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6F0811" w14:textId="77777777" w:rsidR="00EB74E2" w:rsidRPr="00682E89" w:rsidRDefault="00EB74E2" w:rsidP="008E5AAD">
      <w:pPr>
        <w:rPr>
          <w:rFonts w:cs="Arial"/>
          <w:lang w:val="en-IN"/>
        </w:rPr>
      </w:pPr>
    </w:p>
    <w:p w14:paraId="48951EA9" w14:textId="77777777" w:rsidR="00EB74E2" w:rsidRPr="00682E89" w:rsidRDefault="00EB74E2" w:rsidP="008E5AAD">
      <w:pPr>
        <w:rPr>
          <w:rFonts w:cs="Arial"/>
          <w:lang w:val="en-IN"/>
        </w:rPr>
      </w:pPr>
    </w:p>
    <w:p w14:paraId="1BC612DD" w14:textId="77777777" w:rsidR="00EB74E2" w:rsidRPr="00682E89" w:rsidRDefault="00EB74E2" w:rsidP="008E5AAD">
      <w:pPr>
        <w:rPr>
          <w:rFonts w:cs="Arial"/>
          <w:lang w:val="en-IN"/>
        </w:rPr>
      </w:pPr>
    </w:p>
    <w:p w14:paraId="18CE571E" w14:textId="0FE541E7" w:rsidR="00EB74E2" w:rsidRPr="009840BB" w:rsidRDefault="00A71AF5" w:rsidP="009840BB">
      <w:pPr>
        <w:jc w:val="center"/>
        <w:rPr>
          <w:rFonts w:cs="Arial"/>
          <w:b/>
          <w:bCs/>
          <w:i/>
          <w:iCs/>
          <w:sz w:val="28"/>
          <w:szCs w:val="28"/>
        </w:rPr>
      </w:pPr>
      <w:r>
        <w:rPr>
          <w:rFonts w:cs="Arial"/>
          <w:lang w:val="en-IN"/>
        </w:rPr>
        <w:t xml:space="preserve">          </w:t>
      </w:r>
      <w:r w:rsidR="009840BB" w:rsidRPr="009840BB">
        <w:rPr>
          <w:rFonts w:cs="Arial"/>
          <w:b/>
          <w:bCs/>
          <w:i/>
          <w:iCs/>
          <w:sz w:val="28"/>
          <w:szCs w:val="28"/>
        </w:rPr>
        <w:t>Student Name: Kalani Sanjana Bipinkumar</w:t>
      </w:r>
    </w:p>
    <w:p w14:paraId="7BD4F226" w14:textId="0D76DAA5" w:rsidR="00E07622" w:rsidRPr="009840BB" w:rsidRDefault="00E07622" w:rsidP="00A71AF5">
      <w:pPr>
        <w:pStyle w:val="Title"/>
        <w:spacing w:before="240" w:after="240"/>
        <w:contextualSpacing w:val="0"/>
        <w:jc w:val="center"/>
        <w:rPr>
          <w:rFonts w:cs="Arial"/>
          <w:sz w:val="28"/>
          <w:szCs w:val="28"/>
          <w:lang w:val="en-IN"/>
        </w:rPr>
      </w:pPr>
      <w:r w:rsidRPr="009840BB">
        <w:rPr>
          <w:rFonts w:cs="Arial"/>
          <w:sz w:val="28"/>
          <w:szCs w:val="28"/>
          <w:lang w:val="en-IN"/>
        </w:rPr>
        <w:t>Programme: Master of Business Administration</w:t>
      </w:r>
    </w:p>
    <w:p w14:paraId="36CF2283" w14:textId="00BC9527" w:rsidR="00E07622" w:rsidRPr="009840BB" w:rsidRDefault="00E07622" w:rsidP="00A71AF5">
      <w:pPr>
        <w:pStyle w:val="Title"/>
        <w:spacing w:before="240" w:after="240"/>
        <w:contextualSpacing w:val="0"/>
        <w:jc w:val="center"/>
        <w:rPr>
          <w:rFonts w:cs="Arial"/>
          <w:sz w:val="28"/>
          <w:szCs w:val="28"/>
          <w:lang w:val="en-IN"/>
        </w:rPr>
      </w:pPr>
      <w:r w:rsidRPr="009840BB">
        <w:rPr>
          <w:rFonts w:cs="Arial"/>
          <w:sz w:val="28"/>
          <w:szCs w:val="28"/>
          <w:lang w:val="en-IN"/>
        </w:rPr>
        <w:t>Module: Financial Management</w:t>
      </w:r>
    </w:p>
    <w:p w14:paraId="3EF0E188" w14:textId="5B76C068" w:rsidR="00EB74E2" w:rsidRDefault="00E07622" w:rsidP="008E5AAD">
      <w:pPr>
        <w:pStyle w:val="Title"/>
        <w:spacing w:before="240" w:after="240"/>
        <w:contextualSpacing w:val="0"/>
        <w:jc w:val="center"/>
        <w:rPr>
          <w:rFonts w:cs="Arial"/>
          <w:sz w:val="28"/>
          <w:szCs w:val="28"/>
          <w:lang w:val="en-IN"/>
        </w:rPr>
      </w:pPr>
      <w:r w:rsidRPr="009840BB">
        <w:rPr>
          <w:rFonts w:cs="Arial"/>
          <w:sz w:val="28"/>
          <w:szCs w:val="28"/>
          <w:lang w:val="en-IN"/>
        </w:rPr>
        <w:t>Module code: LCMB7002</w:t>
      </w:r>
    </w:p>
    <w:p w14:paraId="17378D54" w14:textId="33DFB6AF" w:rsidR="00AD56CE" w:rsidRDefault="00AD56CE" w:rsidP="00AD56CE">
      <w:pPr>
        <w:rPr>
          <w:rFonts w:cs="Arial"/>
          <w:b/>
          <w:bCs/>
          <w:i/>
          <w:iCs/>
          <w:sz w:val="28"/>
          <w:szCs w:val="28"/>
        </w:rPr>
      </w:pPr>
      <w:r>
        <w:rPr>
          <w:lang w:val="en-IN"/>
        </w:rPr>
        <w:t xml:space="preserve">                                              </w:t>
      </w:r>
      <w:r w:rsidRPr="00F709A1">
        <w:rPr>
          <w:rFonts w:cs="Arial"/>
          <w:b/>
          <w:bCs/>
          <w:i/>
          <w:iCs/>
          <w:sz w:val="28"/>
          <w:szCs w:val="28"/>
        </w:rPr>
        <w:t xml:space="preserve">Student ID: </w:t>
      </w:r>
      <w:r>
        <w:rPr>
          <w:rFonts w:cs="Arial"/>
          <w:b/>
          <w:bCs/>
          <w:i/>
          <w:iCs/>
          <w:sz w:val="28"/>
          <w:szCs w:val="28"/>
        </w:rPr>
        <w:t>2422384</w:t>
      </w:r>
    </w:p>
    <w:p w14:paraId="3606ED52" w14:textId="36E6C0D7" w:rsidR="00611613" w:rsidRDefault="00C7108E" w:rsidP="00AD56CE">
      <w:pPr>
        <w:rPr>
          <w:rFonts w:cs="Arial"/>
          <w:b/>
          <w:bCs/>
          <w:i/>
          <w:iCs/>
          <w:sz w:val="28"/>
          <w:szCs w:val="28"/>
        </w:rPr>
      </w:pPr>
      <w:r>
        <w:rPr>
          <w:rFonts w:cs="Arial"/>
          <w:b/>
          <w:bCs/>
          <w:i/>
          <w:iCs/>
          <w:sz w:val="28"/>
          <w:szCs w:val="28"/>
        </w:rPr>
        <w:t xml:space="preserve">                                      </w:t>
      </w:r>
      <w:r w:rsidRPr="00F709A1">
        <w:rPr>
          <w:rFonts w:cs="Arial"/>
          <w:b/>
          <w:bCs/>
          <w:i/>
          <w:iCs/>
          <w:sz w:val="28"/>
          <w:szCs w:val="28"/>
        </w:rPr>
        <w:t>Lecturer:</w:t>
      </w:r>
      <w:r>
        <w:rPr>
          <w:rFonts w:cs="Arial"/>
          <w:b/>
          <w:bCs/>
          <w:i/>
          <w:iCs/>
          <w:sz w:val="28"/>
          <w:szCs w:val="28"/>
        </w:rPr>
        <w:t xml:space="preserve"> </w:t>
      </w:r>
      <w:proofErr w:type="spellStart"/>
      <w:r w:rsidR="000B3509" w:rsidRPr="000B3509">
        <w:rPr>
          <w:rFonts w:cs="Arial"/>
          <w:b/>
          <w:bCs/>
          <w:i/>
          <w:iCs/>
          <w:sz w:val="28"/>
          <w:szCs w:val="28"/>
        </w:rPr>
        <w:t>Shengfeng</w:t>
      </w:r>
      <w:proofErr w:type="spellEnd"/>
      <w:r w:rsidR="000B3509" w:rsidRPr="000B3509">
        <w:rPr>
          <w:rFonts w:cs="Arial"/>
          <w:b/>
          <w:bCs/>
          <w:i/>
          <w:iCs/>
          <w:sz w:val="28"/>
          <w:szCs w:val="28"/>
        </w:rPr>
        <w:t xml:space="preserve"> Mei </w:t>
      </w:r>
    </w:p>
    <w:p w14:paraId="16672A2B" w14:textId="77777777" w:rsidR="005622DE" w:rsidRPr="00F709A1" w:rsidRDefault="005622DE" w:rsidP="00AD56CE">
      <w:pPr>
        <w:rPr>
          <w:rFonts w:cs="Arial"/>
          <w:b/>
          <w:bCs/>
          <w:i/>
          <w:iCs/>
          <w:sz w:val="28"/>
          <w:szCs w:val="28"/>
        </w:rPr>
      </w:pPr>
    </w:p>
    <w:p w14:paraId="2F5BF753" w14:textId="4935834A" w:rsidR="00AD56CE" w:rsidRPr="00AD56CE" w:rsidRDefault="00AD56CE" w:rsidP="00AD56CE">
      <w:pPr>
        <w:rPr>
          <w:lang w:val="en-IN"/>
        </w:rPr>
      </w:pPr>
    </w:p>
    <w:p w14:paraId="5084F680" w14:textId="77777777" w:rsidR="009840BB" w:rsidRPr="009840BB" w:rsidRDefault="009840BB" w:rsidP="009840BB">
      <w:pPr>
        <w:rPr>
          <w:lang w:val="en-IN"/>
        </w:rPr>
      </w:pPr>
    </w:p>
    <w:p w14:paraId="03D0FBCB" w14:textId="1B574F5C" w:rsidR="00EB74E2" w:rsidRPr="00682E89" w:rsidRDefault="00EB74E2" w:rsidP="00A71AF5">
      <w:pPr>
        <w:rPr>
          <w:rFonts w:cs="Arial"/>
          <w:i/>
          <w:iCs/>
          <w:lang w:val="en-IN"/>
        </w:rPr>
      </w:pPr>
    </w:p>
    <w:p w14:paraId="03585857" w14:textId="58C1F2BC" w:rsidR="00EB74E2" w:rsidRPr="00682E89" w:rsidRDefault="00EB74E2" w:rsidP="00F868EF">
      <w:pPr>
        <w:rPr>
          <w:rFonts w:cs="Arial"/>
          <w:i/>
          <w:iCs/>
          <w:lang w:val="en-IN"/>
        </w:rPr>
      </w:pPr>
    </w:p>
    <w:p w14:paraId="6F41C0EB" w14:textId="77777777" w:rsidR="00EB74E2" w:rsidRPr="00682E89" w:rsidRDefault="00EB74E2" w:rsidP="008E5AAD">
      <w:pPr>
        <w:rPr>
          <w:rFonts w:cs="Arial"/>
          <w:lang w:val="en-IN"/>
        </w:rPr>
      </w:pPr>
      <w:r w:rsidRPr="00682E89">
        <w:rPr>
          <w:rFonts w:cs="Arial"/>
          <w:lang w:val="en-IN"/>
        </w:rPr>
        <w:br w:type="page"/>
      </w:r>
    </w:p>
    <w:sdt>
      <w:sdtPr>
        <w:rPr>
          <w:rFonts w:ascii="Arial" w:eastAsiaTheme="minorHAnsi" w:hAnsi="Arial" w:cs="Arial"/>
          <w:color w:val="auto"/>
          <w:kern w:val="2"/>
          <w:sz w:val="24"/>
          <w:szCs w:val="22"/>
          <w:lang w:val="en-GB"/>
          <w14:ligatures w14:val="standardContextual"/>
        </w:rPr>
        <w:id w:val="1168673154"/>
        <w:docPartObj>
          <w:docPartGallery w:val="Table of Contents"/>
          <w:docPartUnique/>
        </w:docPartObj>
      </w:sdtPr>
      <w:sdtEndPr>
        <w:rPr>
          <w:b/>
          <w:bCs/>
          <w:noProof/>
          <w:szCs w:val="24"/>
        </w:rPr>
      </w:sdtEndPr>
      <w:sdtContent>
        <w:p w14:paraId="4892E3DE" w14:textId="77777777" w:rsidR="00EB74E2" w:rsidRPr="00682E89" w:rsidRDefault="00EB74E2" w:rsidP="008E5AAD">
          <w:pPr>
            <w:pStyle w:val="TOCHeading"/>
            <w:spacing w:after="240" w:line="360" w:lineRule="auto"/>
            <w:rPr>
              <w:rFonts w:ascii="Arial" w:hAnsi="Arial" w:cs="Arial"/>
              <w:b/>
              <w:bCs/>
              <w:color w:val="auto"/>
              <w:sz w:val="24"/>
              <w:szCs w:val="24"/>
            </w:rPr>
          </w:pPr>
          <w:r w:rsidRPr="00682E89">
            <w:rPr>
              <w:rFonts w:ascii="Arial" w:hAnsi="Arial" w:cs="Arial"/>
              <w:b/>
              <w:bCs/>
              <w:color w:val="auto"/>
              <w:sz w:val="24"/>
              <w:szCs w:val="24"/>
            </w:rPr>
            <w:t>Table of Contents</w:t>
          </w:r>
        </w:p>
        <w:p w14:paraId="243140CD" w14:textId="57C049E9" w:rsidR="00202DA7" w:rsidRDefault="00EB74E2" w:rsidP="008E5AAD">
          <w:pPr>
            <w:pStyle w:val="TOC1"/>
            <w:tabs>
              <w:tab w:val="right" w:leader="dot" w:pos="9016"/>
            </w:tabs>
            <w:spacing w:after="240"/>
            <w:rPr>
              <w:rFonts w:asciiTheme="minorHAnsi" w:eastAsiaTheme="minorEastAsia" w:hAnsiTheme="minorHAnsi"/>
              <w:noProof/>
              <w:szCs w:val="24"/>
              <w:lang w:val="en-IN" w:eastAsia="en-IN"/>
            </w:rPr>
          </w:pPr>
          <w:r w:rsidRPr="00682E89">
            <w:rPr>
              <w:rFonts w:cs="Arial"/>
              <w:szCs w:val="24"/>
            </w:rPr>
            <w:fldChar w:fldCharType="begin"/>
          </w:r>
          <w:r w:rsidRPr="00682E89">
            <w:rPr>
              <w:rFonts w:cs="Arial"/>
              <w:szCs w:val="24"/>
            </w:rPr>
            <w:instrText xml:space="preserve"> TOC \o "1-3" \h \z \u </w:instrText>
          </w:r>
          <w:r w:rsidRPr="00682E89">
            <w:rPr>
              <w:rFonts w:cs="Arial"/>
              <w:szCs w:val="24"/>
            </w:rPr>
            <w:fldChar w:fldCharType="separate"/>
          </w:r>
          <w:hyperlink w:anchor="_Toc214014897" w:history="1">
            <w:r w:rsidR="00202DA7" w:rsidRPr="0024733F">
              <w:rPr>
                <w:rStyle w:val="Hyperlink"/>
                <w:rFonts w:cs="Arial"/>
                <w:noProof/>
                <w:lang w:val="en-IN"/>
              </w:rPr>
              <w:t>Introduction</w:t>
            </w:r>
            <w:r w:rsidR="00202DA7">
              <w:rPr>
                <w:noProof/>
                <w:webHidden/>
              </w:rPr>
              <w:tab/>
            </w:r>
            <w:r w:rsidR="00202DA7">
              <w:rPr>
                <w:noProof/>
                <w:webHidden/>
              </w:rPr>
              <w:fldChar w:fldCharType="begin"/>
            </w:r>
            <w:r w:rsidR="00202DA7">
              <w:rPr>
                <w:noProof/>
                <w:webHidden/>
              </w:rPr>
              <w:instrText xml:space="preserve"> PAGEREF _Toc214014897 \h </w:instrText>
            </w:r>
            <w:r w:rsidR="00202DA7">
              <w:rPr>
                <w:noProof/>
                <w:webHidden/>
              </w:rPr>
            </w:r>
            <w:r w:rsidR="00202DA7">
              <w:rPr>
                <w:noProof/>
                <w:webHidden/>
              </w:rPr>
              <w:fldChar w:fldCharType="separate"/>
            </w:r>
            <w:r w:rsidR="00202DA7">
              <w:rPr>
                <w:noProof/>
                <w:webHidden/>
              </w:rPr>
              <w:t>5</w:t>
            </w:r>
            <w:r w:rsidR="00202DA7">
              <w:rPr>
                <w:noProof/>
                <w:webHidden/>
              </w:rPr>
              <w:fldChar w:fldCharType="end"/>
            </w:r>
          </w:hyperlink>
        </w:p>
        <w:p w14:paraId="108FB910" w14:textId="665E80FC" w:rsidR="00202DA7" w:rsidRDefault="00202DA7" w:rsidP="008E5AAD">
          <w:pPr>
            <w:pStyle w:val="TOC1"/>
            <w:tabs>
              <w:tab w:val="right" w:leader="dot" w:pos="9016"/>
            </w:tabs>
            <w:spacing w:after="240"/>
            <w:rPr>
              <w:rFonts w:asciiTheme="minorHAnsi" w:eastAsiaTheme="minorEastAsia" w:hAnsiTheme="minorHAnsi"/>
              <w:noProof/>
              <w:szCs w:val="24"/>
              <w:lang w:val="en-IN" w:eastAsia="en-IN"/>
            </w:rPr>
          </w:pPr>
          <w:hyperlink w:anchor="_Toc214014898" w:history="1">
            <w:r w:rsidRPr="0024733F">
              <w:rPr>
                <w:rStyle w:val="Hyperlink"/>
                <w:rFonts w:cs="Arial"/>
                <w:noProof/>
                <w:lang w:val="en-IN"/>
              </w:rPr>
              <w:t>Financial Health Check</w:t>
            </w:r>
            <w:r>
              <w:rPr>
                <w:noProof/>
                <w:webHidden/>
              </w:rPr>
              <w:tab/>
            </w:r>
            <w:r>
              <w:rPr>
                <w:noProof/>
                <w:webHidden/>
              </w:rPr>
              <w:fldChar w:fldCharType="begin"/>
            </w:r>
            <w:r>
              <w:rPr>
                <w:noProof/>
                <w:webHidden/>
              </w:rPr>
              <w:instrText xml:space="preserve"> PAGEREF _Toc214014898 \h </w:instrText>
            </w:r>
            <w:r>
              <w:rPr>
                <w:noProof/>
                <w:webHidden/>
              </w:rPr>
            </w:r>
            <w:r>
              <w:rPr>
                <w:noProof/>
                <w:webHidden/>
              </w:rPr>
              <w:fldChar w:fldCharType="separate"/>
            </w:r>
            <w:r>
              <w:rPr>
                <w:noProof/>
                <w:webHidden/>
              </w:rPr>
              <w:t>6</w:t>
            </w:r>
            <w:r>
              <w:rPr>
                <w:noProof/>
                <w:webHidden/>
              </w:rPr>
              <w:fldChar w:fldCharType="end"/>
            </w:r>
          </w:hyperlink>
        </w:p>
        <w:p w14:paraId="74BB6450" w14:textId="24E98BDB"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899" w:history="1">
            <w:r w:rsidRPr="0024733F">
              <w:rPr>
                <w:rStyle w:val="Hyperlink"/>
                <w:rFonts w:cs="Arial"/>
                <w:noProof/>
                <w:lang w:val="en-IN"/>
              </w:rPr>
              <w:t>Financial Ratio Analysis</w:t>
            </w:r>
            <w:r>
              <w:rPr>
                <w:noProof/>
                <w:webHidden/>
              </w:rPr>
              <w:tab/>
            </w:r>
            <w:r>
              <w:rPr>
                <w:noProof/>
                <w:webHidden/>
              </w:rPr>
              <w:fldChar w:fldCharType="begin"/>
            </w:r>
            <w:r>
              <w:rPr>
                <w:noProof/>
                <w:webHidden/>
              </w:rPr>
              <w:instrText xml:space="preserve"> PAGEREF _Toc214014899 \h </w:instrText>
            </w:r>
            <w:r>
              <w:rPr>
                <w:noProof/>
                <w:webHidden/>
              </w:rPr>
            </w:r>
            <w:r>
              <w:rPr>
                <w:noProof/>
                <w:webHidden/>
              </w:rPr>
              <w:fldChar w:fldCharType="separate"/>
            </w:r>
            <w:r>
              <w:rPr>
                <w:noProof/>
                <w:webHidden/>
              </w:rPr>
              <w:t>6</w:t>
            </w:r>
            <w:r>
              <w:rPr>
                <w:noProof/>
                <w:webHidden/>
              </w:rPr>
              <w:fldChar w:fldCharType="end"/>
            </w:r>
          </w:hyperlink>
        </w:p>
        <w:p w14:paraId="54045888" w14:textId="5866BE09" w:rsidR="00202DA7" w:rsidRDefault="00202DA7" w:rsidP="008E5AAD">
          <w:pPr>
            <w:pStyle w:val="TOC3"/>
            <w:tabs>
              <w:tab w:val="right" w:leader="dot" w:pos="9016"/>
            </w:tabs>
            <w:spacing w:after="240"/>
            <w:rPr>
              <w:rFonts w:asciiTheme="minorHAnsi" w:eastAsiaTheme="minorEastAsia" w:hAnsiTheme="minorHAnsi"/>
              <w:noProof/>
              <w:szCs w:val="24"/>
              <w:lang w:val="en-IN" w:eastAsia="en-IN"/>
            </w:rPr>
          </w:pPr>
          <w:hyperlink w:anchor="_Toc214014900" w:history="1">
            <w:r w:rsidRPr="0024733F">
              <w:rPr>
                <w:rStyle w:val="Hyperlink"/>
                <w:rFonts w:cs="Arial"/>
                <w:noProof/>
                <w:lang w:val="en-IN"/>
              </w:rPr>
              <w:t>Profitability Ratios</w:t>
            </w:r>
            <w:r>
              <w:rPr>
                <w:noProof/>
                <w:webHidden/>
              </w:rPr>
              <w:tab/>
            </w:r>
            <w:r>
              <w:rPr>
                <w:noProof/>
                <w:webHidden/>
              </w:rPr>
              <w:fldChar w:fldCharType="begin"/>
            </w:r>
            <w:r>
              <w:rPr>
                <w:noProof/>
                <w:webHidden/>
              </w:rPr>
              <w:instrText xml:space="preserve"> PAGEREF _Toc214014900 \h </w:instrText>
            </w:r>
            <w:r>
              <w:rPr>
                <w:noProof/>
                <w:webHidden/>
              </w:rPr>
            </w:r>
            <w:r>
              <w:rPr>
                <w:noProof/>
                <w:webHidden/>
              </w:rPr>
              <w:fldChar w:fldCharType="separate"/>
            </w:r>
            <w:r>
              <w:rPr>
                <w:noProof/>
                <w:webHidden/>
              </w:rPr>
              <w:t>6</w:t>
            </w:r>
            <w:r>
              <w:rPr>
                <w:noProof/>
                <w:webHidden/>
              </w:rPr>
              <w:fldChar w:fldCharType="end"/>
            </w:r>
          </w:hyperlink>
        </w:p>
        <w:p w14:paraId="45C542D5" w14:textId="11188933" w:rsidR="00202DA7" w:rsidRDefault="00202DA7" w:rsidP="008E5AAD">
          <w:pPr>
            <w:pStyle w:val="TOC3"/>
            <w:tabs>
              <w:tab w:val="right" w:leader="dot" w:pos="9016"/>
            </w:tabs>
            <w:spacing w:after="240"/>
            <w:rPr>
              <w:rFonts w:asciiTheme="minorHAnsi" w:eastAsiaTheme="minorEastAsia" w:hAnsiTheme="minorHAnsi"/>
              <w:noProof/>
              <w:szCs w:val="24"/>
              <w:lang w:val="en-IN" w:eastAsia="en-IN"/>
            </w:rPr>
          </w:pPr>
          <w:hyperlink w:anchor="_Toc214014901" w:history="1">
            <w:r w:rsidRPr="0024733F">
              <w:rPr>
                <w:rStyle w:val="Hyperlink"/>
                <w:rFonts w:cs="Arial"/>
                <w:noProof/>
                <w:lang w:val="en-IN"/>
              </w:rPr>
              <w:t>Liquidity Ratios</w:t>
            </w:r>
            <w:r>
              <w:rPr>
                <w:noProof/>
                <w:webHidden/>
              </w:rPr>
              <w:tab/>
            </w:r>
            <w:r>
              <w:rPr>
                <w:noProof/>
                <w:webHidden/>
              </w:rPr>
              <w:fldChar w:fldCharType="begin"/>
            </w:r>
            <w:r>
              <w:rPr>
                <w:noProof/>
                <w:webHidden/>
              </w:rPr>
              <w:instrText xml:space="preserve"> PAGEREF _Toc214014901 \h </w:instrText>
            </w:r>
            <w:r>
              <w:rPr>
                <w:noProof/>
                <w:webHidden/>
              </w:rPr>
            </w:r>
            <w:r>
              <w:rPr>
                <w:noProof/>
                <w:webHidden/>
              </w:rPr>
              <w:fldChar w:fldCharType="separate"/>
            </w:r>
            <w:r>
              <w:rPr>
                <w:noProof/>
                <w:webHidden/>
              </w:rPr>
              <w:t>7</w:t>
            </w:r>
            <w:r>
              <w:rPr>
                <w:noProof/>
                <w:webHidden/>
              </w:rPr>
              <w:fldChar w:fldCharType="end"/>
            </w:r>
          </w:hyperlink>
        </w:p>
        <w:p w14:paraId="3BA1AEA9" w14:textId="36DE018E" w:rsidR="00202DA7" w:rsidRDefault="00202DA7" w:rsidP="008E5AAD">
          <w:pPr>
            <w:pStyle w:val="TOC3"/>
            <w:tabs>
              <w:tab w:val="right" w:leader="dot" w:pos="9016"/>
            </w:tabs>
            <w:spacing w:after="240"/>
            <w:rPr>
              <w:rFonts w:asciiTheme="minorHAnsi" w:eastAsiaTheme="minorEastAsia" w:hAnsiTheme="minorHAnsi"/>
              <w:noProof/>
              <w:szCs w:val="24"/>
              <w:lang w:val="en-IN" w:eastAsia="en-IN"/>
            </w:rPr>
          </w:pPr>
          <w:hyperlink w:anchor="_Toc214014902" w:history="1">
            <w:r w:rsidRPr="0024733F">
              <w:rPr>
                <w:rStyle w:val="Hyperlink"/>
                <w:rFonts w:cs="Arial"/>
                <w:noProof/>
                <w:lang w:val="en-IN"/>
              </w:rPr>
              <w:t>Efficiency Ratios</w:t>
            </w:r>
            <w:r>
              <w:rPr>
                <w:noProof/>
                <w:webHidden/>
              </w:rPr>
              <w:tab/>
            </w:r>
            <w:r>
              <w:rPr>
                <w:noProof/>
                <w:webHidden/>
              </w:rPr>
              <w:fldChar w:fldCharType="begin"/>
            </w:r>
            <w:r>
              <w:rPr>
                <w:noProof/>
                <w:webHidden/>
              </w:rPr>
              <w:instrText xml:space="preserve"> PAGEREF _Toc214014902 \h </w:instrText>
            </w:r>
            <w:r>
              <w:rPr>
                <w:noProof/>
                <w:webHidden/>
              </w:rPr>
            </w:r>
            <w:r>
              <w:rPr>
                <w:noProof/>
                <w:webHidden/>
              </w:rPr>
              <w:fldChar w:fldCharType="separate"/>
            </w:r>
            <w:r>
              <w:rPr>
                <w:noProof/>
                <w:webHidden/>
              </w:rPr>
              <w:t>8</w:t>
            </w:r>
            <w:r>
              <w:rPr>
                <w:noProof/>
                <w:webHidden/>
              </w:rPr>
              <w:fldChar w:fldCharType="end"/>
            </w:r>
          </w:hyperlink>
        </w:p>
        <w:p w14:paraId="44B65599" w14:textId="3E22138D" w:rsidR="00202DA7" w:rsidRDefault="00202DA7" w:rsidP="008E5AAD">
          <w:pPr>
            <w:pStyle w:val="TOC3"/>
            <w:tabs>
              <w:tab w:val="right" w:leader="dot" w:pos="9016"/>
            </w:tabs>
            <w:spacing w:after="240"/>
            <w:rPr>
              <w:rFonts w:asciiTheme="minorHAnsi" w:eastAsiaTheme="minorEastAsia" w:hAnsiTheme="minorHAnsi"/>
              <w:noProof/>
              <w:szCs w:val="24"/>
              <w:lang w:val="en-IN" w:eastAsia="en-IN"/>
            </w:rPr>
          </w:pPr>
          <w:hyperlink w:anchor="_Toc214014903" w:history="1">
            <w:r w:rsidRPr="0024733F">
              <w:rPr>
                <w:rStyle w:val="Hyperlink"/>
                <w:rFonts w:cs="Arial"/>
                <w:noProof/>
                <w:lang w:val="en-IN"/>
              </w:rPr>
              <w:t>Gearing Ratios</w:t>
            </w:r>
            <w:r>
              <w:rPr>
                <w:noProof/>
                <w:webHidden/>
              </w:rPr>
              <w:tab/>
            </w:r>
            <w:r>
              <w:rPr>
                <w:noProof/>
                <w:webHidden/>
              </w:rPr>
              <w:fldChar w:fldCharType="begin"/>
            </w:r>
            <w:r>
              <w:rPr>
                <w:noProof/>
                <w:webHidden/>
              </w:rPr>
              <w:instrText xml:space="preserve"> PAGEREF _Toc214014903 \h </w:instrText>
            </w:r>
            <w:r>
              <w:rPr>
                <w:noProof/>
                <w:webHidden/>
              </w:rPr>
            </w:r>
            <w:r>
              <w:rPr>
                <w:noProof/>
                <w:webHidden/>
              </w:rPr>
              <w:fldChar w:fldCharType="separate"/>
            </w:r>
            <w:r>
              <w:rPr>
                <w:noProof/>
                <w:webHidden/>
              </w:rPr>
              <w:t>9</w:t>
            </w:r>
            <w:r>
              <w:rPr>
                <w:noProof/>
                <w:webHidden/>
              </w:rPr>
              <w:fldChar w:fldCharType="end"/>
            </w:r>
          </w:hyperlink>
        </w:p>
        <w:p w14:paraId="21FE9E02" w14:textId="1E3ADF74" w:rsidR="00202DA7" w:rsidRDefault="00202DA7" w:rsidP="008E5AAD">
          <w:pPr>
            <w:pStyle w:val="TOC3"/>
            <w:tabs>
              <w:tab w:val="right" w:leader="dot" w:pos="9016"/>
            </w:tabs>
            <w:spacing w:after="240"/>
            <w:rPr>
              <w:rFonts w:asciiTheme="minorHAnsi" w:eastAsiaTheme="minorEastAsia" w:hAnsiTheme="minorHAnsi"/>
              <w:noProof/>
              <w:szCs w:val="24"/>
              <w:lang w:val="en-IN" w:eastAsia="en-IN"/>
            </w:rPr>
          </w:pPr>
          <w:hyperlink w:anchor="_Toc214014904" w:history="1">
            <w:r w:rsidRPr="0024733F">
              <w:rPr>
                <w:rStyle w:val="Hyperlink"/>
                <w:rFonts w:cs="Arial"/>
                <w:noProof/>
                <w:lang w:val="en-IN"/>
              </w:rPr>
              <w:t>Investment Ratios</w:t>
            </w:r>
            <w:r>
              <w:rPr>
                <w:noProof/>
                <w:webHidden/>
              </w:rPr>
              <w:tab/>
            </w:r>
            <w:r>
              <w:rPr>
                <w:noProof/>
                <w:webHidden/>
              </w:rPr>
              <w:fldChar w:fldCharType="begin"/>
            </w:r>
            <w:r>
              <w:rPr>
                <w:noProof/>
                <w:webHidden/>
              </w:rPr>
              <w:instrText xml:space="preserve"> PAGEREF _Toc214014904 \h </w:instrText>
            </w:r>
            <w:r>
              <w:rPr>
                <w:noProof/>
                <w:webHidden/>
              </w:rPr>
            </w:r>
            <w:r>
              <w:rPr>
                <w:noProof/>
                <w:webHidden/>
              </w:rPr>
              <w:fldChar w:fldCharType="separate"/>
            </w:r>
            <w:r>
              <w:rPr>
                <w:noProof/>
                <w:webHidden/>
              </w:rPr>
              <w:t>10</w:t>
            </w:r>
            <w:r>
              <w:rPr>
                <w:noProof/>
                <w:webHidden/>
              </w:rPr>
              <w:fldChar w:fldCharType="end"/>
            </w:r>
          </w:hyperlink>
        </w:p>
        <w:p w14:paraId="40007AE2" w14:textId="03705005" w:rsidR="00202DA7" w:rsidRDefault="00202DA7" w:rsidP="008E5AAD">
          <w:pPr>
            <w:pStyle w:val="TOC3"/>
            <w:tabs>
              <w:tab w:val="right" w:leader="dot" w:pos="9016"/>
            </w:tabs>
            <w:spacing w:after="240"/>
            <w:rPr>
              <w:rFonts w:asciiTheme="minorHAnsi" w:eastAsiaTheme="minorEastAsia" w:hAnsiTheme="minorHAnsi"/>
              <w:noProof/>
              <w:szCs w:val="24"/>
              <w:lang w:val="en-IN" w:eastAsia="en-IN"/>
            </w:rPr>
          </w:pPr>
          <w:hyperlink w:anchor="_Toc214014905" w:history="1">
            <w:r w:rsidRPr="0024733F">
              <w:rPr>
                <w:rStyle w:val="Hyperlink"/>
                <w:rFonts w:cs="Arial"/>
                <w:noProof/>
                <w:lang w:val="en-IN"/>
              </w:rPr>
              <w:t>Cash Flow</w:t>
            </w:r>
            <w:r>
              <w:rPr>
                <w:noProof/>
                <w:webHidden/>
              </w:rPr>
              <w:tab/>
            </w:r>
            <w:r>
              <w:rPr>
                <w:noProof/>
                <w:webHidden/>
              </w:rPr>
              <w:fldChar w:fldCharType="begin"/>
            </w:r>
            <w:r>
              <w:rPr>
                <w:noProof/>
                <w:webHidden/>
              </w:rPr>
              <w:instrText xml:space="preserve"> PAGEREF _Toc214014905 \h </w:instrText>
            </w:r>
            <w:r>
              <w:rPr>
                <w:noProof/>
                <w:webHidden/>
              </w:rPr>
            </w:r>
            <w:r>
              <w:rPr>
                <w:noProof/>
                <w:webHidden/>
              </w:rPr>
              <w:fldChar w:fldCharType="separate"/>
            </w:r>
            <w:r>
              <w:rPr>
                <w:noProof/>
                <w:webHidden/>
              </w:rPr>
              <w:t>11</w:t>
            </w:r>
            <w:r>
              <w:rPr>
                <w:noProof/>
                <w:webHidden/>
              </w:rPr>
              <w:fldChar w:fldCharType="end"/>
            </w:r>
          </w:hyperlink>
        </w:p>
        <w:p w14:paraId="6D7706DE" w14:textId="39B0C3EC"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06" w:history="1">
            <w:r w:rsidRPr="0024733F">
              <w:rPr>
                <w:rStyle w:val="Hyperlink"/>
                <w:rFonts w:cs="Arial"/>
                <w:noProof/>
                <w:lang w:val="en-IN"/>
              </w:rPr>
              <w:t>Altman’s Z Score</w:t>
            </w:r>
            <w:r>
              <w:rPr>
                <w:noProof/>
                <w:webHidden/>
              </w:rPr>
              <w:tab/>
            </w:r>
            <w:r>
              <w:rPr>
                <w:noProof/>
                <w:webHidden/>
              </w:rPr>
              <w:fldChar w:fldCharType="begin"/>
            </w:r>
            <w:r>
              <w:rPr>
                <w:noProof/>
                <w:webHidden/>
              </w:rPr>
              <w:instrText xml:space="preserve"> PAGEREF _Toc214014906 \h </w:instrText>
            </w:r>
            <w:r>
              <w:rPr>
                <w:noProof/>
                <w:webHidden/>
              </w:rPr>
            </w:r>
            <w:r>
              <w:rPr>
                <w:noProof/>
                <w:webHidden/>
              </w:rPr>
              <w:fldChar w:fldCharType="separate"/>
            </w:r>
            <w:r>
              <w:rPr>
                <w:noProof/>
                <w:webHidden/>
              </w:rPr>
              <w:t>12</w:t>
            </w:r>
            <w:r>
              <w:rPr>
                <w:noProof/>
                <w:webHidden/>
              </w:rPr>
              <w:fldChar w:fldCharType="end"/>
            </w:r>
          </w:hyperlink>
        </w:p>
        <w:p w14:paraId="0A4F5987" w14:textId="6C0CB505" w:rsidR="00202DA7" w:rsidRDefault="00202DA7" w:rsidP="008E5AAD">
          <w:pPr>
            <w:pStyle w:val="TOC1"/>
            <w:tabs>
              <w:tab w:val="right" w:leader="dot" w:pos="9016"/>
            </w:tabs>
            <w:spacing w:after="240"/>
            <w:rPr>
              <w:rFonts w:asciiTheme="minorHAnsi" w:eastAsiaTheme="minorEastAsia" w:hAnsiTheme="minorHAnsi"/>
              <w:noProof/>
              <w:szCs w:val="24"/>
              <w:lang w:val="en-IN" w:eastAsia="en-IN"/>
            </w:rPr>
          </w:pPr>
          <w:hyperlink w:anchor="_Toc214014907" w:history="1">
            <w:r w:rsidRPr="0024733F">
              <w:rPr>
                <w:rStyle w:val="Hyperlink"/>
                <w:rFonts w:cs="Arial"/>
                <w:noProof/>
                <w:lang w:val="en-IN"/>
              </w:rPr>
              <w:t>Working Capital Management Analysis</w:t>
            </w:r>
            <w:r>
              <w:rPr>
                <w:noProof/>
                <w:webHidden/>
              </w:rPr>
              <w:tab/>
            </w:r>
            <w:r>
              <w:rPr>
                <w:noProof/>
                <w:webHidden/>
              </w:rPr>
              <w:fldChar w:fldCharType="begin"/>
            </w:r>
            <w:r>
              <w:rPr>
                <w:noProof/>
                <w:webHidden/>
              </w:rPr>
              <w:instrText xml:space="preserve"> PAGEREF _Toc214014907 \h </w:instrText>
            </w:r>
            <w:r>
              <w:rPr>
                <w:noProof/>
                <w:webHidden/>
              </w:rPr>
            </w:r>
            <w:r>
              <w:rPr>
                <w:noProof/>
                <w:webHidden/>
              </w:rPr>
              <w:fldChar w:fldCharType="separate"/>
            </w:r>
            <w:r>
              <w:rPr>
                <w:noProof/>
                <w:webHidden/>
              </w:rPr>
              <w:t>14</w:t>
            </w:r>
            <w:r>
              <w:rPr>
                <w:noProof/>
                <w:webHidden/>
              </w:rPr>
              <w:fldChar w:fldCharType="end"/>
            </w:r>
          </w:hyperlink>
        </w:p>
        <w:p w14:paraId="212A52A8" w14:textId="3BBFF338"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08" w:history="1">
            <w:r w:rsidRPr="0024733F">
              <w:rPr>
                <w:rStyle w:val="Hyperlink"/>
                <w:rFonts w:cs="Arial"/>
                <w:noProof/>
                <w:lang w:val="en-IN"/>
              </w:rPr>
              <w:t>Cash Operating Cycle</w:t>
            </w:r>
            <w:r>
              <w:rPr>
                <w:noProof/>
                <w:webHidden/>
              </w:rPr>
              <w:tab/>
            </w:r>
            <w:r>
              <w:rPr>
                <w:noProof/>
                <w:webHidden/>
              </w:rPr>
              <w:fldChar w:fldCharType="begin"/>
            </w:r>
            <w:r>
              <w:rPr>
                <w:noProof/>
                <w:webHidden/>
              </w:rPr>
              <w:instrText xml:space="preserve"> PAGEREF _Toc214014908 \h </w:instrText>
            </w:r>
            <w:r>
              <w:rPr>
                <w:noProof/>
                <w:webHidden/>
              </w:rPr>
            </w:r>
            <w:r>
              <w:rPr>
                <w:noProof/>
                <w:webHidden/>
              </w:rPr>
              <w:fldChar w:fldCharType="separate"/>
            </w:r>
            <w:r>
              <w:rPr>
                <w:noProof/>
                <w:webHidden/>
              </w:rPr>
              <w:t>14</w:t>
            </w:r>
            <w:r>
              <w:rPr>
                <w:noProof/>
                <w:webHidden/>
              </w:rPr>
              <w:fldChar w:fldCharType="end"/>
            </w:r>
          </w:hyperlink>
        </w:p>
        <w:p w14:paraId="6FB1BCDD" w14:textId="0652CB4B"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09" w:history="1">
            <w:r w:rsidRPr="0024733F">
              <w:rPr>
                <w:rStyle w:val="Hyperlink"/>
                <w:rFonts w:cs="Arial"/>
                <w:noProof/>
                <w:lang w:val="en-IN"/>
              </w:rPr>
              <w:t>Recommended Strategies</w:t>
            </w:r>
            <w:r>
              <w:rPr>
                <w:noProof/>
                <w:webHidden/>
              </w:rPr>
              <w:tab/>
            </w:r>
            <w:r>
              <w:rPr>
                <w:noProof/>
                <w:webHidden/>
              </w:rPr>
              <w:fldChar w:fldCharType="begin"/>
            </w:r>
            <w:r>
              <w:rPr>
                <w:noProof/>
                <w:webHidden/>
              </w:rPr>
              <w:instrText xml:space="preserve"> PAGEREF _Toc214014909 \h </w:instrText>
            </w:r>
            <w:r>
              <w:rPr>
                <w:noProof/>
                <w:webHidden/>
              </w:rPr>
            </w:r>
            <w:r>
              <w:rPr>
                <w:noProof/>
                <w:webHidden/>
              </w:rPr>
              <w:fldChar w:fldCharType="separate"/>
            </w:r>
            <w:r>
              <w:rPr>
                <w:noProof/>
                <w:webHidden/>
              </w:rPr>
              <w:t>15</w:t>
            </w:r>
            <w:r>
              <w:rPr>
                <w:noProof/>
                <w:webHidden/>
              </w:rPr>
              <w:fldChar w:fldCharType="end"/>
            </w:r>
          </w:hyperlink>
        </w:p>
        <w:p w14:paraId="10A74F37" w14:textId="0C0D8160"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10" w:history="1">
            <w:r w:rsidRPr="0024733F">
              <w:rPr>
                <w:rStyle w:val="Hyperlink"/>
                <w:rFonts w:cs="Arial"/>
                <w:noProof/>
                <w:lang w:val="en-IN"/>
              </w:rPr>
              <w:t>Short-term and long-term financing options</w:t>
            </w:r>
            <w:r>
              <w:rPr>
                <w:noProof/>
                <w:webHidden/>
              </w:rPr>
              <w:tab/>
            </w:r>
            <w:r>
              <w:rPr>
                <w:noProof/>
                <w:webHidden/>
              </w:rPr>
              <w:fldChar w:fldCharType="begin"/>
            </w:r>
            <w:r>
              <w:rPr>
                <w:noProof/>
                <w:webHidden/>
              </w:rPr>
              <w:instrText xml:space="preserve"> PAGEREF _Toc214014910 \h </w:instrText>
            </w:r>
            <w:r>
              <w:rPr>
                <w:noProof/>
                <w:webHidden/>
              </w:rPr>
            </w:r>
            <w:r>
              <w:rPr>
                <w:noProof/>
                <w:webHidden/>
              </w:rPr>
              <w:fldChar w:fldCharType="separate"/>
            </w:r>
            <w:r>
              <w:rPr>
                <w:noProof/>
                <w:webHidden/>
              </w:rPr>
              <w:t>16</w:t>
            </w:r>
            <w:r>
              <w:rPr>
                <w:noProof/>
                <w:webHidden/>
              </w:rPr>
              <w:fldChar w:fldCharType="end"/>
            </w:r>
          </w:hyperlink>
        </w:p>
        <w:p w14:paraId="7D96BE3A" w14:textId="2668BCBE" w:rsidR="00202DA7" w:rsidRDefault="00202DA7" w:rsidP="008E5AAD">
          <w:pPr>
            <w:pStyle w:val="TOC1"/>
            <w:tabs>
              <w:tab w:val="right" w:leader="dot" w:pos="9016"/>
            </w:tabs>
            <w:spacing w:after="240"/>
            <w:rPr>
              <w:rFonts w:asciiTheme="minorHAnsi" w:eastAsiaTheme="minorEastAsia" w:hAnsiTheme="minorHAnsi"/>
              <w:noProof/>
              <w:szCs w:val="24"/>
              <w:lang w:val="en-IN" w:eastAsia="en-IN"/>
            </w:rPr>
          </w:pPr>
          <w:hyperlink w:anchor="_Toc214014911" w:history="1">
            <w:r w:rsidRPr="0024733F">
              <w:rPr>
                <w:rStyle w:val="Hyperlink"/>
                <w:rFonts w:cs="Arial"/>
                <w:noProof/>
                <w:lang w:val="en-IN"/>
              </w:rPr>
              <w:t>Strategic Financial Restructuring Plan</w:t>
            </w:r>
            <w:r>
              <w:rPr>
                <w:noProof/>
                <w:webHidden/>
              </w:rPr>
              <w:tab/>
            </w:r>
            <w:r>
              <w:rPr>
                <w:noProof/>
                <w:webHidden/>
              </w:rPr>
              <w:fldChar w:fldCharType="begin"/>
            </w:r>
            <w:r>
              <w:rPr>
                <w:noProof/>
                <w:webHidden/>
              </w:rPr>
              <w:instrText xml:space="preserve"> PAGEREF _Toc214014911 \h </w:instrText>
            </w:r>
            <w:r>
              <w:rPr>
                <w:noProof/>
                <w:webHidden/>
              </w:rPr>
            </w:r>
            <w:r>
              <w:rPr>
                <w:noProof/>
                <w:webHidden/>
              </w:rPr>
              <w:fldChar w:fldCharType="separate"/>
            </w:r>
            <w:r>
              <w:rPr>
                <w:noProof/>
                <w:webHidden/>
              </w:rPr>
              <w:t>19</w:t>
            </w:r>
            <w:r>
              <w:rPr>
                <w:noProof/>
                <w:webHidden/>
              </w:rPr>
              <w:fldChar w:fldCharType="end"/>
            </w:r>
          </w:hyperlink>
        </w:p>
        <w:p w14:paraId="1B0CC1B1" w14:textId="554B50AC"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12" w:history="1">
            <w:r w:rsidRPr="0024733F">
              <w:rPr>
                <w:rStyle w:val="Hyperlink"/>
                <w:rFonts w:cs="Arial"/>
                <w:noProof/>
                <w:lang w:val="en-IN"/>
              </w:rPr>
              <w:t>Financial restructuring options</w:t>
            </w:r>
            <w:r>
              <w:rPr>
                <w:noProof/>
                <w:webHidden/>
              </w:rPr>
              <w:tab/>
            </w:r>
            <w:r>
              <w:rPr>
                <w:noProof/>
                <w:webHidden/>
              </w:rPr>
              <w:fldChar w:fldCharType="begin"/>
            </w:r>
            <w:r>
              <w:rPr>
                <w:noProof/>
                <w:webHidden/>
              </w:rPr>
              <w:instrText xml:space="preserve"> PAGEREF _Toc214014912 \h </w:instrText>
            </w:r>
            <w:r>
              <w:rPr>
                <w:noProof/>
                <w:webHidden/>
              </w:rPr>
            </w:r>
            <w:r>
              <w:rPr>
                <w:noProof/>
                <w:webHidden/>
              </w:rPr>
              <w:fldChar w:fldCharType="separate"/>
            </w:r>
            <w:r>
              <w:rPr>
                <w:noProof/>
                <w:webHidden/>
              </w:rPr>
              <w:t>19</w:t>
            </w:r>
            <w:r>
              <w:rPr>
                <w:noProof/>
                <w:webHidden/>
              </w:rPr>
              <w:fldChar w:fldCharType="end"/>
            </w:r>
          </w:hyperlink>
        </w:p>
        <w:p w14:paraId="536F5846" w14:textId="74AEC1DC"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13" w:history="1">
            <w:r w:rsidRPr="0024733F">
              <w:rPr>
                <w:rStyle w:val="Hyperlink"/>
                <w:rFonts w:cs="Arial"/>
                <w:noProof/>
                <w:lang w:val="en-IN"/>
              </w:rPr>
              <w:t>Impact on shareholder value, debt structure, and operational flexibility</w:t>
            </w:r>
            <w:r>
              <w:rPr>
                <w:noProof/>
                <w:webHidden/>
              </w:rPr>
              <w:tab/>
            </w:r>
            <w:r>
              <w:rPr>
                <w:noProof/>
                <w:webHidden/>
              </w:rPr>
              <w:fldChar w:fldCharType="begin"/>
            </w:r>
            <w:r>
              <w:rPr>
                <w:noProof/>
                <w:webHidden/>
              </w:rPr>
              <w:instrText xml:space="preserve"> PAGEREF _Toc214014913 \h </w:instrText>
            </w:r>
            <w:r>
              <w:rPr>
                <w:noProof/>
                <w:webHidden/>
              </w:rPr>
            </w:r>
            <w:r>
              <w:rPr>
                <w:noProof/>
                <w:webHidden/>
              </w:rPr>
              <w:fldChar w:fldCharType="separate"/>
            </w:r>
            <w:r>
              <w:rPr>
                <w:noProof/>
                <w:webHidden/>
              </w:rPr>
              <w:t>20</w:t>
            </w:r>
            <w:r>
              <w:rPr>
                <w:noProof/>
                <w:webHidden/>
              </w:rPr>
              <w:fldChar w:fldCharType="end"/>
            </w:r>
          </w:hyperlink>
        </w:p>
        <w:p w14:paraId="719A5F60" w14:textId="6A4DAC27"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14" w:history="1">
            <w:r w:rsidRPr="0024733F">
              <w:rPr>
                <w:rStyle w:val="Hyperlink"/>
                <w:rFonts w:cs="Arial"/>
                <w:noProof/>
                <w:lang w:val="en-IN"/>
              </w:rPr>
              <w:t>International and ethical considerations</w:t>
            </w:r>
            <w:r>
              <w:rPr>
                <w:noProof/>
                <w:webHidden/>
              </w:rPr>
              <w:tab/>
            </w:r>
            <w:r>
              <w:rPr>
                <w:noProof/>
                <w:webHidden/>
              </w:rPr>
              <w:fldChar w:fldCharType="begin"/>
            </w:r>
            <w:r>
              <w:rPr>
                <w:noProof/>
                <w:webHidden/>
              </w:rPr>
              <w:instrText xml:space="preserve"> PAGEREF _Toc214014914 \h </w:instrText>
            </w:r>
            <w:r>
              <w:rPr>
                <w:noProof/>
                <w:webHidden/>
              </w:rPr>
            </w:r>
            <w:r>
              <w:rPr>
                <w:noProof/>
                <w:webHidden/>
              </w:rPr>
              <w:fldChar w:fldCharType="separate"/>
            </w:r>
            <w:r>
              <w:rPr>
                <w:noProof/>
                <w:webHidden/>
              </w:rPr>
              <w:t>21</w:t>
            </w:r>
            <w:r>
              <w:rPr>
                <w:noProof/>
                <w:webHidden/>
              </w:rPr>
              <w:fldChar w:fldCharType="end"/>
            </w:r>
          </w:hyperlink>
        </w:p>
        <w:p w14:paraId="4A49DFEF" w14:textId="5B610735" w:rsidR="00202DA7" w:rsidRDefault="00202DA7" w:rsidP="008E5AAD">
          <w:pPr>
            <w:pStyle w:val="TOC1"/>
            <w:tabs>
              <w:tab w:val="right" w:leader="dot" w:pos="9016"/>
            </w:tabs>
            <w:spacing w:after="240"/>
            <w:rPr>
              <w:rFonts w:asciiTheme="minorHAnsi" w:eastAsiaTheme="minorEastAsia" w:hAnsiTheme="minorHAnsi"/>
              <w:noProof/>
              <w:szCs w:val="24"/>
              <w:lang w:val="en-IN" w:eastAsia="en-IN"/>
            </w:rPr>
          </w:pPr>
          <w:hyperlink w:anchor="_Toc214014915" w:history="1">
            <w:r w:rsidRPr="0024733F">
              <w:rPr>
                <w:rStyle w:val="Hyperlink"/>
                <w:noProof/>
              </w:rPr>
              <w:t>Investment Appraisal and Capital Budgeting</w:t>
            </w:r>
            <w:r>
              <w:rPr>
                <w:noProof/>
                <w:webHidden/>
              </w:rPr>
              <w:tab/>
            </w:r>
            <w:r>
              <w:rPr>
                <w:noProof/>
                <w:webHidden/>
              </w:rPr>
              <w:fldChar w:fldCharType="begin"/>
            </w:r>
            <w:r>
              <w:rPr>
                <w:noProof/>
                <w:webHidden/>
              </w:rPr>
              <w:instrText xml:space="preserve"> PAGEREF _Toc214014915 \h </w:instrText>
            </w:r>
            <w:r>
              <w:rPr>
                <w:noProof/>
                <w:webHidden/>
              </w:rPr>
            </w:r>
            <w:r>
              <w:rPr>
                <w:noProof/>
                <w:webHidden/>
              </w:rPr>
              <w:fldChar w:fldCharType="separate"/>
            </w:r>
            <w:r>
              <w:rPr>
                <w:noProof/>
                <w:webHidden/>
              </w:rPr>
              <w:t>23</w:t>
            </w:r>
            <w:r>
              <w:rPr>
                <w:noProof/>
                <w:webHidden/>
              </w:rPr>
              <w:fldChar w:fldCharType="end"/>
            </w:r>
          </w:hyperlink>
        </w:p>
        <w:p w14:paraId="0F20A99F" w14:textId="2247A653"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16" w:history="1">
            <w:r w:rsidRPr="0024733F">
              <w:rPr>
                <w:rStyle w:val="Hyperlink"/>
                <w:noProof/>
              </w:rPr>
              <w:t>Payback Period</w:t>
            </w:r>
            <w:r>
              <w:rPr>
                <w:noProof/>
                <w:webHidden/>
              </w:rPr>
              <w:tab/>
            </w:r>
            <w:r>
              <w:rPr>
                <w:noProof/>
                <w:webHidden/>
              </w:rPr>
              <w:fldChar w:fldCharType="begin"/>
            </w:r>
            <w:r>
              <w:rPr>
                <w:noProof/>
                <w:webHidden/>
              </w:rPr>
              <w:instrText xml:space="preserve"> PAGEREF _Toc214014916 \h </w:instrText>
            </w:r>
            <w:r>
              <w:rPr>
                <w:noProof/>
                <w:webHidden/>
              </w:rPr>
            </w:r>
            <w:r>
              <w:rPr>
                <w:noProof/>
                <w:webHidden/>
              </w:rPr>
              <w:fldChar w:fldCharType="separate"/>
            </w:r>
            <w:r>
              <w:rPr>
                <w:noProof/>
                <w:webHidden/>
              </w:rPr>
              <w:t>24</w:t>
            </w:r>
            <w:r>
              <w:rPr>
                <w:noProof/>
                <w:webHidden/>
              </w:rPr>
              <w:fldChar w:fldCharType="end"/>
            </w:r>
          </w:hyperlink>
        </w:p>
        <w:p w14:paraId="7317EB69" w14:textId="59D4AD50"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17" w:history="1">
            <w:r w:rsidRPr="0024733F">
              <w:rPr>
                <w:rStyle w:val="Hyperlink"/>
                <w:noProof/>
              </w:rPr>
              <w:t>Accounting Rate of Return</w:t>
            </w:r>
            <w:r>
              <w:rPr>
                <w:noProof/>
                <w:webHidden/>
              </w:rPr>
              <w:tab/>
            </w:r>
            <w:r>
              <w:rPr>
                <w:noProof/>
                <w:webHidden/>
              </w:rPr>
              <w:fldChar w:fldCharType="begin"/>
            </w:r>
            <w:r>
              <w:rPr>
                <w:noProof/>
                <w:webHidden/>
              </w:rPr>
              <w:instrText xml:space="preserve"> PAGEREF _Toc214014917 \h </w:instrText>
            </w:r>
            <w:r>
              <w:rPr>
                <w:noProof/>
                <w:webHidden/>
              </w:rPr>
            </w:r>
            <w:r>
              <w:rPr>
                <w:noProof/>
                <w:webHidden/>
              </w:rPr>
              <w:fldChar w:fldCharType="separate"/>
            </w:r>
            <w:r>
              <w:rPr>
                <w:noProof/>
                <w:webHidden/>
              </w:rPr>
              <w:t>24</w:t>
            </w:r>
            <w:r>
              <w:rPr>
                <w:noProof/>
                <w:webHidden/>
              </w:rPr>
              <w:fldChar w:fldCharType="end"/>
            </w:r>
          </w:hyperlink>
        </w:p>
        <w:p w14:paraId="77AF1340" w14:textId="429F77BA"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18" w:history="1">
            <w:r w:rsidRPr="0024733F">
              <w:rPr>
                <w:rStyle w:val="Hyperlink"/>
                <w:noProof/>
              </w:rPr>
              <w:t>Net Present Value</w:t>
            </w:r>
            <w:r>
              <w:rPr>
                <w:noProof/>
                <w:webHidden/>
              </w:rPr>
              <w:tab/>
            </w:r>
            <w:r>
              <w:rPr>
                <w:noProof/>
                <w:webHidden/>
              </w:rPr>
              <w:fldChar w:fldCharType="begin"/>
            </w:r>
            <w:r>
              <w:rPr>
                <w:noProof/>
                <w:webHidden/>
              </w:rPr>
              <w:instrText xml:space="preserve"> PAGEREF _Toc214014918 \h </w:instrText>
            </w:r>
            <w:r>
              <w:rPr>
                <w:noProof/>
                <w:webHidden/>
              </w:rPr>
            </w:r>
            <w:r>
              <w:rPr>
                <w:noProof/>
                <w:webHidden/>
              </w:rPr>
              <w:fldChar w:fldCharType="separate"/>
            </w:r>
            <w:r>
              <w:rPr>
                <w:noProof/>
                <w:webHidden/>
              </w:rPr>
              <w:t>25</w:t>
            </w:r>
            <w:r>
              <w:rPr>
                <w:noProof/>
                <w:webHidden/>
              </w:rPr>
              <w:fldChar w:fldCharType="end"/>
            </w:r>
          </w:hyperlink>
        </w:p>
        <w:p w14:paraId="1282850D" w14:textId="57397425"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19" w:history="1">
            <w:r w:rsidRPr="0024733F">
              <w:rPr>
                <w:rStyle w:val="Hyperlink"/>
                <w:noProof/>
              </w:rPr>
              <w:t>Profitability Index</w:t>
            </w:r>
            <w:r>
              <w:rPr>
                <w:noProof/>
                <w:webHidden/>
              </w:rPr>
              <w:tab/>
            </w:r>
            <w:r>
              <w:rPr>
                <w:noProof/>
                <w:webHidden/>
              </w:rPr>
              <w:fldChar w:fldCharType="begin"/>
            </w:r>
            <w:r>
              <w:rPr>
                <w:noProof/>
                <w:webHidden/>
              </w:rPr>
              <w:instrText xml:space="preserve"> PAGEREF _Toc214014919 \h </w:instrText>
            </w:r>
            <w:r>
              <w:rPr>
                <w:noProof/>
                <w:webHidden/>
              </w:rPr>
            </w:r>
            <w:r>
              <w:rPr>
                <w:noProof/>
                <w:webHidden/>
              </w:rPr>
              <w:fldChar w:fldCharType="separate"/>
            </w:r>
            <w:r>
              <w:rPr>
                <w:noProof/>
                <w:webHidden/>
              </w:rPr>
              <w:t>25</w:t>
            </w:r>
            <w:r>
              <w:rPr>
                <w:noProof/>
                <w:webHidden/>
              </w:rPr>
              <w:fldChar w:fldCharType="end"/>
            </w:r>
          </w:hyperlink>
        </w:p>
        <w:p w14:paraId="3436EE82" w14:textId="1E116601"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20" w:history="1">
            <w:r w:rsidRPr="0024733F">
              <w:rPr>
                <w:rStyle w:val="Hyperlink"/>
                <w:noProof/>
              </w:rPr>
              <w:t>Internal Rate of Return</w:t>
            </w:r>
            <w:r>
              <w:rPr>
                <w:noProof/>
                <w:webHidden/>
              </w:rPr>
              <w:tab/>
            </w:r>
            <w:r>
              <w:rPr>
                <w:noProof/>
                <w:webHidden/>
              </w:rPr>
              <w:fldChar w:fldCharType="begin"/>
            </w:r>
            <w:r>
              <w:rPr>
                <w:noProof/>
                <w:webHidden/>
              </w:rPr>
              <w:instrText xml:space="preserve"> PAGEREF _Toc214014920 \h </w:instrText>
            </w:r>
            <w:r>
              <w:rPr>
                <w:noProof/>
                <w:webHidden/>
              </w:rPr>
            </w:r>
            <w:r>
              <w:rPr>
                <w:noProof/>
                <w:webHidden/>
              </w:rPr>
              <w:fldChar w:fldCharType="separate"/>
            </w:r>
            <w:r>
              <w:rPr>
                <w:noProof/>
                <w:webHidden/>
              </w:rPr>
              <w:t>25</w:t>
            </w:r>
            <w:r>
              <w:rPr>
                <w:noProof/>
                <w:webHidden/>
              </w:rPr>
              <w:fldChar w:fldCharType="end"/>
            </w:r>
          </w:hyperlink>
        </w:p>
        <w:p w14:paraId="3A68C034" w14:textId="66A8A1E5"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21" w:history="1">
            <w:r w:rsidRPr="0024733F">
              <w:rPr>
                <w:rStyle w:val="Hyperlink"/>
                <w:noProof/>
              </w:rPr>
              <w:t>Recommendations</w:t>
            </w:r>
            <w:r>
              <w:rPr>
                <w:noProof/>
                <w:webHidden/>
              </w:rPr>
              <w:tab/>
            </w:r>
            <w:r>
              <w:rPr>
                <w:noProof/>
                <w:webHidden/>
              </w:rPr>
              <w:fldChar w:fldCharType="begin"/>
            </w:r>
            <w:r>
              <w:rPr>
                <w:noProof/>
                <w:webHidden/>
              </w:rPr>
              <w:instrText xml:space="preserve"> PAGEREF _Toc214014921 \h </w:instrText>
            </w:r>
            <w:r>
              <w:rPr>
                <w:noProof/>
                <w:webHidden/>
              </w:rPr>
            </w:r>
            <w:r>
              <w:rPr>
                <w:noProof/>
                <w:webHidden/>
              </w:rPr>
              <w:fldChar w:fldCharType="separate"/>
            </w:r>
            <w:r>
              <w:rPr>
                <w:noProof/>
                <w:webHidden/>
              </w:rPr>
              <w:t>26</w:t>
            </w:r>
            <w:r>
              <w:rPr>
                <w:noProof/>
                <w:webHidden/>
              </w:rPr>
              <w:fldChar w:fldCharType="end"/>
            </w:r>
          </w:hyperlink>
        </w:p>
        <w:p w14:paraId="5FA24F99" w14:textId="35967867" w:rsidR="00202DA7" w:rsidRDefault="00202DA7" w:rsidP="008E5AAD">
          <w:pPr>
            <w:pStyle w:val="TOC1"/>
            <w:tabs>
              <w:tab w:val="right" w:leader="dot" w:pos="9016"/>
            </w:tabs>
            <w:spacing w:after="240"/>
            <w:rPr>
              <w:rFonts w:asciiTheme="minorHAnsi" w:eastAsiaTheme="minorEastAsia" w:hAnsiTheme="minorHAnsi"/>
              <w:noProof/>
              <w:szCs w:val="24"/>
              <w:lang w:val="en-IN" w:eastAsia="en-IN"/>
            </w:rPr>
          </w:pPr>
          <w:hyperlink w:anchor="_Toc214014922" w:history="1">
            <w:r w:rsidRPr="0024733F">
              <w:rPr>
                <w:rStyle w:val="Hyperlink"/>
                <w:noProof/>
              </w:rPr>
              <w:t>Conclusion</w:t>
            </w:r>
            <w:r>
              <w:rPr>
                <w:noProof/>
                <w:webHidden/>
              </w:rPr>
              <w:tab/>
            </w:r>
            <w:r>
              <w:rPr>
                <w:noProof/>
                <w:webHidden/>
              </w:rPr>
              <w:fldChar w:fldCharType="begin"/>
            </w:r>
            <w:r>
              <w:rPr>
                <w:noProof/>
                <w:webHidden/>
              </w:rPr>
              <w:instrText xml:space="preserve"> PAGEREF _Toc214014922 \h </w:instrText>
            </w:r>
            <w:r>
              <w:rPr>
                <w:noProof/>
                <w:webHidden/>
              </w:rPr>
            </w:r>
            <w:r>
              <w:rPr>
                <w:noProof/>
                <w:webHidden/>
              </w:rPr>
              <w:fldChar w:fldCharType="separate"/>
            </w:r>
            <w:r>
              <w:rPr>
                <w:noProof/>
                <w:webHidden/>
              </w:rPr>
              <w:t>28</w:t>
            </w:r>
            <w:r>
              <w:rPr>
                <w:noProof/>
                <w:webHidden/>
              </w:rPr>
              <w:fldChar w:fldCharType="end"/>
            </w:r>
          </w:hyperlink>
        </w:p>
        <w:p w14:paraId="70D49013" w14:textId="5A486321" w:rsidR="00202DA7" w:rsidRDefault="00202DA7" w:rsidP="008E5AAD">
          <w:pPr>
            <w:pStyle w:val="TOC1"/>
            <w:tabs>
              <w:tab w:val="right" w:leader="dot" w:pos="9016"/>
            </w:tabs>
            <w:spacing w:after="240"/>
            <w:rPr>
              <w:rFonts w:asciiTheme="minorHAnsi" w:eastAsiaTheme="minorEastAsia" w:hAnsiTheme="minorHAnsi"/>
              <w:noProof/>
              <w:szCs w:val="24"/>
              <w:lang w:val="en-IN" w:eastAsia="en-IN"/>
            </w:rPr>
          </w:pPr>
          <w:hyperlink w:anchor="_Toc214014923" w:history="1">
            <w:r w:rsidRPr="0024733F">
              <w:rPr>
                <w:rStyle w:val="Hyperlink"/>
                <w:rFonts w:cs="Arial"/>
                <w:noProof/>
                <w:lang w:val="en-IN"/>
              </w:rPr>
              <w:t>References</w:t>
            </w:r>
            <w:r>
              <w:rPr>
                <w:noProof/>
                <w:webHidden/>
              </w:rPr>
              <w:tab/>
            </w:r>
            <w:r>
              <w:rPr>
                <w:noProof/>
                <w:webHidden/>
              </w:rPr>
              <w:fldChar w:fldCharType="begin"/>
            </w:r>
            <w:r>
              <w:rPr>
                <w:noProof/>
                <w:webHidden/>
              </w:rPr>
              <w:instrText xml:space="preserve"> PAGEREF _Toc214014923 \h </w:instrText>
            </w:r>
            <w:r>
              <w:rPr>
                <w:noProof/>
                <w:webHidden/>
              </w:rPr>
            </w:r>
            <w:r>
              <w:rPr>
                <w:noProof/>
                <w:webHidden/>
              </w:rPr>
              <w:fldChar w:fldCharType="separate"/>
            </w:r>
            <w:r>
              <w:rPr>
                <w:noProof/>
                <w:webHidden/>
              </w:rPr>
              <w:t>29</w:t>
            </w:r>
            <w:r>
              <w:rPr>
                <w:noProof/>
                <w:webHidden/>
              </w:rPr>
              <w:fldChar w:fldCharType="end"/>
            </w:r>
          </w:hyperlink>
        </w:p>
        <w:p w14:paraId="25A80D88" w14:textId="4641CA39" w:rsidR="00202DA7" w:rsidRDefault="00202DA7" w:rsidP="008E5AAD">
          <w:pPr>
            <w:pStyle w:val="TOC1"/>
            <w:tabs>
              <w:tab w:val="right" w:leader="dot" w:pos="9016"/>
            </w:tabs>
            <w:spacing w:after="240"/>
            <w:rPr>
              <w:rFonts w:asciiTheme="minorHAnsi" w:eastAsiaTheme="minorEastAsia" w:hAnsiTheme="minorHAnsi"/>
              <w:noProof/>
              <w:szCs w:val="24"/>
              <w:lang w:val="en-IN" w:eastAsia="en-IN"/>
            </w:rPr>
          </w:pPr>
          <w:hyperlink w:anchor="_Toc214014924" w:history="1">
            <w:r w:rsidRPr="0024733F">
              <w:rPr>
                <w:rStyle w:val="Hyperlink"/>
                <w:rFonts w:cs="Arial"/>
                <w:noProof/>
                <w:shd w:val="clear" w:color="auto" w:fill="FFFFFF"/>
              </w:rPr>
              <w:t>Appendices</w:t>
            </w:r>
            <w:r>
              <w:rPr>
                <w:noProof/>
                <w:webHidden/>
              </w:rPr>
              <w:tab/>
            </w:r>
            <w:r>
              <w:rPr>
                <w:noProof/>
                <w:webHidden/>
              </w:rPr>
              <w:fldChar w:fldCharType="begin"/>
            </w:r>
            <w:r>
              <w:rPr>
                <w:noProof/>
                <w:webHidden/>
              </w:rPr>
              <w:instrText xml:space="preserve"> PAGEREF _Toc214014924 \h </w:instrText>
            </w:r>
            <w:r>
              <w:rPr>
                <w:noProof/>
                <w:webHidden/>
              </w:rPr>
            </w:r>
            <w:r>
              <w:rPr>
                <w:noProof/>
                <w:webHidden/>
              </w:rPr>
              <w:fldChar w:fldCharType="separate"/>
            </w:r>
            <w:r>
              <w:rPr>
                <w:noProof/>
                <w:webHidden/>
              </w:rPr>
              <w:t>34</w:t>
            </w:r>
            <w:r>
              <w:rPr>
                <w:noProof/>
                <w:webHidden/>
              </w:rPr>
              <w:fldChar w:fldCharType="end"/>
            </w:r>
          </w:hyperlink>
        </w:p>
        <w:p w14:paraId="3B1BF226" w14:textId="0E5553E2"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25" w:history="1">
            <w:r w:rsidRPr="0024733F">
              <w:rPr>
                <w:rStyle w:val="Hyperlink"/>
                <w:noProof/>
              </w:rPr>
              <w:t>Appendix 1: Financial Ratios</w:t>
            </w:r>
            <w:r>
              <w:rPr>
                <w:noProof/>
                <w:webHidden/>
              </w:rPr>
              <w:tab/>
            </w:r>
            <w:r>
              <w:rPr>
                <w:noProof/>
                <w:webHidden/>
              </w:rPr>
              <w:fldChar w:fldCharType="begin"/>
            </w:r>
            <w:r>
              <w:rPr>
                <w:noProof/>
                <w:webHidden/>
              </w:rPr>
              <w:instrText xml:space="preserve"> PAGEREF _Toc214014925 \h </w:instrText>
            </w:r>
            <w:r>
              <w:rPr>
                <w:noProof/>
                <w:webHidden/>
              </w:rPr>
            </w:r>
            <w:r>
              <w:rPr>
                <w:noProof/>
                <w:webHidden/>
              </w:rPr>
              <w:fldChar w:fldCharType="separate"/>
            </w:r>
            <w:r>
              <w:rPr>
                <w:noProof/>
                <w:webHidden/>
              </w:rPr>
              <w:t>34</w:t>
            </w:r>
            <w:r>
              <w:rPr>
                <w:noProof/>
                <w:webHidden/>
              </w:rPr>
              <w:fldChar w:fldCharType="end"/>
            </w:r>
          </w:hyperlink>
        </w:p>
        <w:p w14:paraId="3A256A2E" w14:textId="11181498" w:rsidR="00202DA7" w:rsidRDefault="00202DA7" w:rsidP="008E5AAD">
          <w:pPr>
            <w:pStyle w:val="TOC2"/>
            <w:tabs>
              <w:tab w:val="right" w:leader="dot" w:pos="9016"/>
            </w:tabs>
            <w:spacing w:after="240"/>
            <w:rPr>
              <w:rFonts w:asciiTheme="minorHAnsi" w:eastAsiaTheme="minorEastAsia" w:hAnsiTheme="minorHAnsi"/>
              <w:noProof/>
              <w:szCs w:val="24"/>
              <w:lang w:val="en-IN" w:eastAsia="en-IN"/>
            </w:rPr>
          </w:pPr>
          <w:hyperlink w:anchor="_Toc214014926" w:history="1">
            <w:r w:rsidRPr="0024733F">
              <w:rPr>
                <w:rStyle w:val="Hyperlink"/>
                <w:rFonts w:cs="Arial"/>
                <w:noProof/>
                <w:shd w:val="clear" w:color="auto" w:fill="FFFFFF"/>
              </w:rPr>
              <w:t>Appendix 2: Cash Operating Cycle</w:t>
            </w:r>
            <w:r>
              <w:rPr>
                <w:noProof/>
                <w:webHidden/>
              </w:rPr>
              <w:tab/>
            </w:r>
            <w:r>
              <w:rPr>
                <w:noProof/>
                <w:webHidden/>
              </w:rPr>
              <w:fldChar w:fldCharType="begin"/>
            </w:r>
            <w:r>
              <w:rPr>
                <w:noProof/>
                <w:webHidden/>
              </w:rPr>
              <w:instrText xml:space="preserve"> PAGEREF _Toc214014926 \h </w:instrText>
            </w:r>
            <w:r>
              <w:rPr>
                <w:noProof/>
                <w:webHidden/>
              </w:rPr>
            </w:r>
            <w:r>
              <w:rPr>
                <w:noProof/>
                <w:webHidden/>
              </w:rPr>
              <w:fldChar w:fldCharType="separate"/>
            </w:r>
            <w:r>
              <w:rPr>
                <w:noProof/>
                <w:webHidden/>
              </w:rPr>
              <w:t>35</w:t>
            </w:r>
            <w:r>
              <w:rPr>
                <w:noProof/>
                <w:webHidden/>
              </w:rPr>
              <w:fldChar w:fldCharType="end"/>
            </w:r>
          </w:hyperlink>
        </w:p>
        <w:p w14:paraId="21398425" w14:textId="48674066" w:rsidR="00EB74E2" w:rsidRPr="00682E89" w:rsidRDefault="00EB74E2" w:rsidP="008E5AAD">
          <w:pPr>
            <w:rPr>
              <w:rFonts w:cs="Arial"/>
              <w:szCs w:val="24"/>
            </w:rPr>
          </w:pPr>
          <w:r w:rsidRPr="00682E89">
            <w:rPr>
              <w:rFonts w:cs="Arial"/>
              <w:b/>
              <w:bCs/>
              <w:noProof/>
              <w:szCs w:val="24"/>
            </w:rPr>
            <w:fldChar w:fldCharType="end"/>
          </w:r>
        </w:p>
      </w:sdtContent>
    </w:sdt>
    <w:p w14:paraId="368F50AA" w14:textId="77777777" w:rsidR="00EB74E2" w:rsidRPr="00682E89" w:rsidRDefault="00EB74E2" w:rsidP="008E5AAD">
      <w:pPr>
        <w:rPr>
          <w:rFonts w:cs="Arial"/>
          <w:szCs w:val="24"/>
          <w:lang w:val="en-IN"/>
        </w:rPr>
      </w:pPr>
      <w:r w:rsidRPr="00682E89">
        <w:rPr>
          <w:rFonts w:cs="Arial"/>
          <w:szCs w:val="24"/>
          <w:lang w:val="en-IN"/>
        </w:rPr>
        <w:br w:type="page"/>
      </w:r>
    </w:p>
    <w:p w14:paraId="2F2432D9" w14:textId="77777777" w:rsidR="000B1DF2" w:rsidRPr="00682E89" w:rsidRDefault="000B1DF2" w:rsidP="008E5AAD">
      <w:pPr>
        <w:rPr>
          <w:rFonts w:cs="Arial"/>
          <w:b/>
          <w:bCs/>
          <w:szCs w:val="24"/>
          <w:lang w:val="en-IN"/>
        </w:rPr>
      </w:pPr>
      <w:r w:rsidRPr="00682E89">
        <w:rPr>
          <w:rFonts w:cs="Arial"/>
          <w:b/>
          <w:bCs/>
          <w:szCs w:val="24"/>
          <w:lang w:val="en-IN"/>
        </w:rPr>
        <w:lastRenderedPageBreak/>
        <w:t>Table of Figures</w:t>
      </w:r>
    </w:p>
    <w:p w14:paraId="614DC767" w14:textId="53BE1A00" w:rsidR="00F10420" w:rsidRPr="00F10420" w:rsidRDefault="002454A3" w:rsidP="008E5AAD">
      <w:pPr>
        <w:pStyle w:val="TableofFigures"/>
        <w:tabs>
          <w:tab w:val="right" w:leader="dot" w:pos="9016"/>
        </w:tabs>
        <w:spacing w:after="240"/>
        <w:rPr>
          <w:rFonts w:asciiTheme="minorHAnsi" w:eastAsiaTheme="minorEastAsia" w:hAnsiTheme="minorHAnsi"/>
          <w:noProof/>
          <w:szCs w:val="24"/>
          <w:lang w:val="en-IN" w:eastAsia="en-IN"/>
        </w:rPr>
      </w:pPr>
      <w:r w:rsidRPr="00F10420">
        <w:rPr>
          <w:rFonts w:cs="Arial"/>
          <w:szCs w:val="24"/>
          <w:lang w:val="en-IN"/>
        </w:rPr>
        <w:fldChar w:fldCharType="begin"/>
      </w:r>
      <w:r w:rsidRPr="00F10420">
        <w:rPr>
          <w:rFonts w:cs="Arial"/>
          <w:szCs w:val="24"/>
          <w:lang w:val="en-IN"/>
        </w:rPr>
        <w:instrText xml:space="preserve"> TOC \h \z \c "Figure" </w:instrText>
      </w:r>
      <w:r w:rsidRPr="00F10420">
        <w:rPr>
          <w:rFonts w:cs="Arial"/>
          <w:szCs w:val="24"/>
          <w:lang w:val="en-IN"/>
        </w:rPr>
        <w:fldChar w:fldCharType="separate"/>
      </w:r>
      <w:hyperlink w:anchor="_Toc214014927" w:history="1">
        <w:r w:rsidR="00F10420" w:rsidRPr="00F10420">
          <w:rPr>
            <w:rStyle w:val="Hyperlink"/>
            <w:rFonts w:cs="Arial"/>
            <w:noProof/>
          </w:rPr>
          <w:t>Figure 1: Profitability Ratios</w:t>
        </w:r>
        <w:r w:rsidR="00F10420" w:rsidRPr="00F10420">
          <w:rPr>
            <w:noProof/>
            <w:webHidden/>
          </w:rPr>
          <w:tab/>
        </w:r>
        <w:r w:rsidR="00F10420" w:rsidRPr="00F10420">
          <w:rPr>
            <w:noProof/>
            <w:webHidden/>
          </w:rPr>
          <w:fldChar w:fldCharType="begin"/>
        </w:r>
        <w:r w:rsidR="00F10420" w:rsidRPr="00F10420">
          <w:rPr>
            <w:noProof/>
            <w:webHidden/>
          </w:rPr>
          <w:instrText xml:space="preserve"> PAGEREF _Toc214014927 \h </w:instrText>
        </w:r>
        <w:r w:rsidR="00F10420" w:rsidRPr="00F10420">
          <w:rPr>
            <w:noProof/>
            <w:webHidden/>
          </w:rPr>
        </w:r>
        <w:r w:rsidR="00F10420" w:rsidRPr="00F10420">
          <w:rPr>
            <w:noProof/>
            <w:webHidden/>
          </w:rPr>
          <w:fldChar w:fldCharType="separate"/>
        </w:r>
        <w:r w:rsidR="00F10420" w:rsidRPr="00F10420">
          <w:rPr>
            <w:noProof/>
            <w:webHidden/>
          </w:rPr>
          <w:t>6</w:t>
        </w:r>
        <w:r w:rsidR="00F10420" w:rsidRPr="00F10420">
          <w:rPr>
            <w:noProof/>
            <w:webHidden/>
          </w:rPr>
          <w:fldChar w:fldCharType="end"/>
        </w:r>
      </w:hyperlink>
    </w:p>
    <w:p w14:paraId="7FE7A124" w14:textId="585113F4" w:rsidR="00F10420" w:rsidRPr="00F10420" w:rsidRDefault="00F10420" w:rsidP="008E5AAD">
      <w:pPr>
        <w:pStyle w:val="TableofFigures"/>
        <w:tabs>
          <w:tab w:val="right" w:leader="dot" w:pos="9016"/>
        </w:tabs>
        <w:spacing w:after="240"/>
        <w:rPr>
          <w:rFonts w:asciiTheme="minorHAnsi" w:eastAsiaTheme="minorEastAsia" w:hAnsiTheme="minorHAnsi"/>
          <w:noProof/>
          <w:szCs w:val="24"/>
          <w:lang w:val="en-IN" w:eastAsia="en-IN"/>
        </w:rPr>
      </w:pPr>
      <w:hyperlink w:anchor="_Toc214014928" w:history="1">
        <w:r w:rsidRPr="00F10420">
          <w:rPr>
            <w:rStyle w:val="Hyperlink"/>
            <w:rFonts w:cs="Arial"/>
            <w:noProof/>
          </w:rPr>
          <w:t>Figure 2: Liquidity Ratios</w:t>
        </w:r>
        <w:r w:rsidRPr="00F10420">
          <w:rPr>
            <w:noProof/>
            <w:webHidden/>
          </w:rPr>
          <w:tab/>
        </w:r>
        <w:r w:rsidRPr="00F10420">
          <w:rPr>
            <w:noProof/>
            <w:webHidden/>
          </w:rPr>
          <w:fldChar w:fldCharType="begin"/>
        </w:r>
        <w:r w:rsidRPr="00F10420">
          <w:rPr>
            <w:noProof/>
            <w:webHidden/>
          </w:rPr>
          <w:instrText xml:space="preserve"> PAGEREF _Toc214014928 \h </w:instrText>
        </w:r>
        <w:r w:rsidRPr="00F10420">
          <w:rPr>
            <w:noProof/>
            <w:webHidden/>
          </w:rPr>
        </w:r>
        <w:r w:rsidRPr="00F10420">
          <w:rPr>
            <w:noProof/>
            <w:webHidden/>
          </w:rPr>
          <w:fldChar w:fldCharType="separate"/>
        </w:r>
        <w:r w:rsidRPr="00F10420">
          <w:rPr>
            <w:noProof/>
            <w:webHidden/>
          </w:rPr>
          <w:t>7</w:t>
        </w:r>
        <w:r w:rsidRPr="00F10420">
          <w:rPr>
            <w:noProof/>
            <w:webHidden/>
          </w:rPr>
          <w:fldChar w:fldCharType="end"/>
        </w:r>
      </w:hyperlink>
    </w:p>
    <w:p w14:paraId="741DE367" w14:textId="357A1F72" w:rsidR="00F10420" w:rsidRPr="00F10420" w:rsidRDefault="00F10420" w:rsidP="008E5AAD">
      <w:pPr>
        <w:pStyle w:val="TableofFigures"/>
        <w:tabs>
          <w:tab w:val="right" w:leader="dot" w:pos="9016"/>
        </w:tabs>
        <w:spacing w:after="240"/>
        <w:rPr>
          <w:rFonts w:asciiTheme="minorHAnsi" w:eastAsiaTheme="minorEastAsia" w:hAnsiTheme="minorHAnsi"/>
          <w:noProof/>
          <w:szCs w:val="24"/>
          <w:lang w:val="en-IN" w:eastAsia="en-IN"/>
        </w:rPr>
      </w:pPr>
      <w:hyperlink w:anchor="_Toc214014929" w:history="1">
        <w:r w:rsidRPr="00F10420">
          <w:rPr>
            <w:rStyle w:val="Hyperlink"/>
            <w:rFonts w:cs="Arial"/>
            <w:noProof/>
          </w:rPr>
          <w:t>Figure 3: Efficiency Ratios</w:t>
        </w:r>
        <w:r w:rsidRPr="00F10420">
          <w:rPr>
            <w:noProof/>
            <w:webHidden/>
          </w:rPr>
          <w:tab/>
        </w:r>
        <w:r w:rsidRPr="00F10420">
          <w:rPr>
            <w:noProof/>
            <w:webHidden/>
          </w:rPr>
          <w:fldChar w:fldCharType="begin"/>
        </w:r>
        <w:r w:rsidRPr="00F10420">
          <w:rPr>
            <w:noProof/>
            <w:webHidden/>
          </w:rPr>
          <w:instrText xml:space="preserve"> PAGEREF _Toc214014929 \h </w:instrText>
        </w:r>
        <w:r w:rsidRPr="00F10420">
          <w:rPr>
            <w:noProof/>
            <w:webHidden/>
          </w:rPr>
        </w:r>
        <w:r w:rsidRPr="00F10420">
          <w:rPr>
            <w:noProof/>
            <w:webHidden/>
          </w:rPr>
          <w:fldChar w:fldCharType="separate"/>
        </w:r>
        <w:r w:rsidRPr="00F10420">
          <w:rPr>
            <w:noProof/>
            <w:webHidden/>
          </w:rPr>
          <w:t>8</w:t>
        </w:r>
        <w:r w:rsidRPr="00F10420">
          <w:rPr>
            <w:noProof/>
            <w:webHidden/>
          </w:rPr>
          <w:fldChar w:fldCharType="end"/>
        </w:r>
      </w:hyperlink>
    </w:p>
    <w:p w14:paraId="39A9D40A" w14:textId="2C5E22FC" w:rsidR="00F10420" w:rsidRPr="00F10420" w:rsidRDefault="00F10420" w:rsidP="008E5AAD">
      <w:pPr>
        <w:pStyle w:val="TableofFigures"/>
        <w:tabs>
          <w:tab w:val="right" w:leader="dot" w:pos="9016"/>
        </w:tabs>
        <w:spacing w:after="240"/>
        <w:rPr>
          <w:rFonts w:asciiTheme="minorHAnsi" w:eastAsiaTheme="minorEastAsia" w:hAnsiTheme="minorHAnsi"/>
          <w:noProof/>
          <w:szCs w:val="24"/>
          <w:lang w:val="en-IN" w:eastAsia="en-IN"/>
        </w:rPr>
      </w:pPr>
      <w:hyperlink w:anchor="_Toc214014930" w:history="1">
        <w:r w:rsidRPr="00F10420">
          <w:rPr>
            <w:rStyle w:val="Hyperlink"/>
            <w:rFonts w:cs="Arial"/>
            <w:noProof/>
          </w:rPr>
          <w:t>Figure 4: Gearing Ratios</w:t>
        </w:r>
        <w:r w:rsidRPr="00F10420">
          <w:rPr>
            <w:noProof/>
            <w:webHidden/>
          </w:rPr>
          <w:tab/>
        </w:r>
        <w:r w:rsidRPr="00F10420">
          <w:rPr>
            <w:noProof/>
            <w:webHidden/>
          </w:rPr>
          <w:fldChar w:fldCharType="begin"/>
        </w:r>
        <w:r w:rsidRPr="00F10420">
          <w:rPr>
            <w:noProof/>
            <w:webHidden/>
          </w:rPr>
          <w:instrText xml:space="preserve"> PAGEREF _Toc214014930 \h </w:instrText>
        </w:r>
        <w:r w:rsidRPr="00F10420">
          <w:rPr>
            <w:noProof/>
            <w:webHidden/>
          </w:rPr>
        </w:r>
        <w:r w:rsidRPr="00F10420">
          <w:rPr>
            <w:noProof/>
            <w:webHidden/>
          </w:rPr>
          <w:fldChar w:fldCharType="separate"/>
        </w:r>
        <w:r w:rsidRPr="00F10420">
          <w:rPr>
            <w:noProof/>
            <w:webHidden/>
          </w:rPr>
          <w:t>9</w:t>
        </w:r>
        <w:r w:rsidRPr="00F10420">
          <w:rPr>
            <w:noProof/>
            <w:webHidden/>
          </w:rPr>
          <w:fldChar w:fldCharType="end"/>
        </w:r>
      </w:hyperlink>
    </w:p>
    <w:p w14:paraId="43385395" w14:textId="33117FAA" w:rsidR="00F10420" w:rsidRPr="00F10420" w:rsidRDefault="00F10420" w:rsidP="008E5AAD">
      <w:pPr>
        <w:pStyle w:val="TableofFigures"/>
        <w:tabs>
          <w:tab w:val="right" w:leader="dot" w:pos="9016"/>
        </w:tabs>
        <w:spacing w:after="240"/>
        <w:rPr>
          <w:rFonts w:asciiTheme="minorHAnsi" w:eastAsiaTheme="minorEastAsia" w:hAnsiTheme="minorHAnsi"/>
          <w:noProof/>
          <w:szCs w:val="24"/>
          <w:lang w:val="en-IN" w:eastAsia="en-IN"/>
        </w:rPr>
      </w:pPr>
      <w:hyperlink w:anchor="_Toc214014931" w:history="1">
        <w:r w:rsidRPr="00F10420">
          <w:rPr>
            <w:rStyle w:val="Hyperlink"/>
            <w:rFonts w:cs="Arial"/>
            <w:noProof/>
          </w:rPr>
          <w:t>Figure 5: Investment Ratios</w:t>
        </w:r>
        <w:r w:rsidRPr="00F10420">
          <w:rPr>
            <w:noProof/>
            <w:webHidden/>
          </w:rPr>
          <w:tab/>
        </w:r>
        <w:r w:rsidRPr="00F10420">
          <w:rPr>
            <w:noProof/>
            <w:webHidden/>
          </w:rPr>
          <w:fldChar w:fldCharType="begin"/>
        </w:r>
        <w:r w:rsidRPr="00F10420">
          <w:rPr>
            <w:noProof/>
            <w:webHidden/>
          </w:rPr>
          <w:instrText xml:space="preserve"> PAGEREF _Toc214014931 \h </w:instrText>
        </w:r>
        <w:r w:rsidRPr="00F10420">
          <w:rPr>
            <w:noProof/>
            <w:webHidden/>
          </w:rPr>
        </w:r>
        <w:r w:rsidRPr="00F10420">
          <w:rPr>
            <w:noProof/>
            <w:webHidden/>
          </w:rPr>
          <w:fldChar w:fldCharType="separate"/>
        </w:r>
        <w:r w:rsidRPr="00F10420">
          <w:rPr>
            <w:noProof/>
            <w:webHidden/>
          </w:rPr>
          <w:t>10</w:t>
        </w:r>
        <w:r w:rsidRPr="00F10420">
          <w:rPr>
            <w:noProof/>
            <w:webHidden/>
          </w:rPr>
          <w:fldChar w:fldCharType="end"/>
        </w:r>
      </w:hyperlink>
    </w:p>
    <w:p w14:paraId="62EB4DB3" w14:textId="6A1B9D32" w:rsidR="00F10420" w:rsidRPr="00F10420" w:rsidRDefault="00F10420" w:rsidP="008E5AAD">
      <w:pPr>
        <w:pStyle w:val="TableofFigures"/>
        <w:tabs>
          <w:tab w:val="right" w:leader="dot" w:pos="9016"/>
        </w:tabs>
        <w:spacing w:after="240"/>
        <w:rPr>
          <w:rFonts w:asciiTheme="minorHAnsi" w:eastAsiaTheme="minorEastAsia" w:hAnsiTheme="minorHAnsi"/>
          <w:noProof/>
          <w:szCs w:val="24"/>
          <w:lang w:val="en-IN" w:eastAsia="en-IN"/>
        </w:rPr>
      </w:pPr>
      <w:hyperlink w:anchor="_Toc214014932" w:history="1">
        <w:r w:rsidRPr="00F10420">
          <w:rPr>
            <w:rStyle w:val="Hyperlink"/>
            <w:rFonts w:cs="Arial"/>
            <w:noProof/>
          </w:rPr>
          <w:t>Figure 6: Cash Flow Ratios</w:t>
        </w:r>
        <w:r w:rsidRPr="00F10420">
          <w:rPr>
            <w:noProof/>
            <w:webHidden/>
          </w:rPr>
          <w:tab/>
        </w:r>
        <w:r w:rsidRPr="00F10420">
          <w:rPr>
            <w:noProof/>
            <w:webHidden/>
          </w:rPr>
          <w:fldChar w:fldCharType="begin"/>
        </w:r>
        <w:r w:rsidRPr="00F10420">
          <w:rPr>
            <w:noProof/>
            <w:webHidden/>
          </w:rPr>
          <w:instrText xml:space="preserve"> PAGEREF _Toc214014932 \h </w:instrText>
        </w:r>
        <w:r w:rsidRPr="00F10420">
          <w:rPr>
            <w:noProof/>
            <w:webHidden/>
          </w:rPr>
        </w:r>
        <w:r w:rsidRPr="00F10420">
          <w:rPr>
            <w:noProof/>
            <w:webHidden/>
          </w:rPr>
          <w:fldChar w:fldCharType="separate"/>
        </w:r>
        <w:r w:rsidRPr="00F10420">
          <w:rPr>
            <w:noProof/>
            <w:webHidden/>
          </w:rPr>
          <w:t>11</w:t>
        </w:r>
        <w:r w:rsidRPr="00F10420">
          <w:rPr>
            <w:noProof/>
            <w:webHidden/>
          </w:rPr>
          <w:fldChar w:fldCharType="end"/>
        </w:r>
      </w:hyperlink>
    </w:p>
    <w:p w14:paraId="7810AC4F" w14:textId="4F17B281" w:rsidR="00F10420" w:rsidRPr="00F10420" w:rsidRDefault="00F10420" w:rsidP="008E5AAD">
      <w:pPr>
        <w:pStyle w:val="TableofFigures"/>
        <w:tabs>
          <w:tab w:val="right" w:leader="dot" w:pos="9016"/>
        </w:tabs>
        <w:spacing w:after="240"/>
        <w:rPr>
          <w:rFonts w:asciiTheme="minorHAnsi" w:eastAsiaTheme="minorEastAsia" w:hAnsiTheme="minorHAnsi"/>
          <w:noProof/>
          <w:szCs w:val="24"/>
          <w:lang w:val="en-IN" w:eastAsia="en-IN"/>
        </w:rPr>
      </w:pPr>
      <w:hyperlink w:anchor="_Toc214014933" w:history="1">
        <w:r w:rsidRPr="00F10420">
          <w:rPr>
            <w:rStyle w:val="Hyperlink"/>
            <w:rFonts w:cs="Arial"/>
            <w:noProof/>
          </w:rPr>
          <w:t>Figure 7: Altman's Z Score</w:t>
        </w:r>
        <w:r w:rsidRPr="00F10420">
          <w:rPr>
            <w:noProof/>
            <w:webHidden/>
          </w:rPr>
          <w:tab/>
        </w:r>
        <w:r w:rsidRPr="00F10420">
          <w:rPr>
            <w:noProof/>
            <w:webHidden/>
          </w:rPr>
          <w:fldChar w:fldCharType="begin"/>
        </w:r>
        <w:r w:rsidRPr="00F10420">
          <w:rPr>
            <w:noProof/>
            <w:webHidden/>
          </w:rPr>
          <w:instrText xml:space="preserve"> PAGEREF _Toc214014933 \h </w:instrText>
        </w:r>
        <w:r w:rsidRPr="00F10420">
          <w:rPr>
            <w:noProof/>
            <w:webHidden/>
          </w:rPr>
        </w:r>
        <w:r w:rsidRPr="00F10420">
          <w:rPr>
            <w:noProof/>
            <w:webHidden/>
          </w:rPr>
          <w:fldChar w:fldCharType="separate"/>
        </w:r>
        <w:r w:rsidRPr="00F10420">
          <w:rPr>
            <w:noProof/>
            <w:webHidden/>
          </w:rPr>
          <w:t>12</w:t>
        </w:r>
        <w:r w:rsidRPr="00F10420">
          <w:rPr>
            <w:noProof/>
            <w:webHidden/>
          </w:rPr>
          <w:fldChar w:fldCharType="end"/>
        </w:r>
      </w:hyperlink>
    </w:p>
    <w:p w14:paraId="32AF3C33" w14:textId="24748EC3" w:rsidR="00F10420" w:rsidRPr="00F10420" w:rsidRDefault="00F10420" w:rsidP="008E5AAD">
      <w:pPr>
        <w:pStyle w:val="TableofFigures"/>
        <w:tabs>
          <w:tab w:val="right" w:leader="dot" w:pos="9016"/>
        </w:tabs>
        <w:spacing w:after="240"/>
        <w:rPr>
          <w:rFonts w:asciiTheme="minorHAnsi" w:eastAsiaTheme="minorEastAsia" w:hAnsiTheme="minorHAnsi"/>
          <w:noProof/>
          <w:szCs w:val="24"/>
          <w:lang w:val="en-IN" w:eastAsia="en-IN"/>
        </w:rPr>
      </w:pPr>
      <w:hyperlink w:anchor="_Toc214014934" w:history="1">
        <w:r w:rsidRPr="00F10420">
          <w:rPr>
            <w:rStyle w:val="Hyperlink"/>
            <w:rFonts w:cs="Arial"/>
            <w:noProof/>
          </w:rPr>
          <w:t>Figure 8: Altman's Z Score Calculations</w:t>
        </w:r>
        <w:r w:rsidRPr="00F10420">
          <w:rPr>
            <w:noProof/>
            <w:webHidden/>
          </w:rPr>
          <w:tab/>
        </w:r>
        <w:r w:rsidRPr="00F10420">
          <w:rPr>
            <w:noProof/>
            <w:webHidden/>
          </w:rPr>
          <w:fldChar w:fldCharType="begin"/>
        </w:r>
        <w:r w:rsidRPr="00F10420">
          <w:rPr>
            <w:noProof/>
            <w:webHidden/>
          </w:rPr>
          <w:instrText xml:space="preserve"> PAGEREF _Toc214014934 \h </w:instrText>
        </w:r>
        <w:r w:rsidRPr="00F10420">
          <w:rPr>
            <w:noProof/>
            <w:webHidden/>
          </w:rPr>
        </w:r>
        <w:r w:rsidRPr="00F10420">
          <w:rPr>
            <w:noProof/>
            <w:webHidden/>
          </w:rPr>
          <w:fldChar w:fldCharType="separate"/>
        </w:r>
        <w:r w:rsidRPr="00F10420">
          <w:rPr>
            <w:noProof/>
            <w:webHidden/>
          </w:rPr>
          <w:t>12</w:t>
        </w:r>
        <w:r w:rsidRPr="00F10420">
          <w:rPr>
            <w:noProof/>
            <w:webHidden/>
          </w:rPr>
          <w:fldChar w:fldCharType="end"/>
        </w:r>
      </w:hyperlink>
    </w:p>
    <w:p w14:paraId="07A540C8" w14:textId="516A46F3" w:rsidR="00F10420" w:rsidRPr="00F10420" w:rsidRDefault="00F10420" w:rsidP="008E5AAD">
      <w:pPr>
        <w:pStyle w:val="TableofFigures"/>
        <w:tabs>
          <w:tab w:val="right" w:leader="dot" w:pos="9016"/>
        </w:tabs>
        <w:spacing w:after="240"/>
        <w:rPr>
          <w:rFonts w:asciiTheme="minorHAnsi" w:eastAsiaTheme="minorEastAsia" w:hAnsiTheme="minorHAnsi"/>
          <w:noProof/>
          <w:szCs w:val="24"/>
          <w:lang w:val="en-IN" w:eastAsia="en-IN"/>
        </w:rPr>
      </w:pPr>
      <w:hyperlink w:anchor="_Toc214014935" w:history="1">
        <w:r w:rsidRPr="00F10420">
          <w:rPr>
            <w:rStyle w:val="Hyperlink"/>
            <w:rFonts w:cs="Arial"/>
            <w:noProof/>
          </w:rPr>
          <w:t>Figure 9: Cash Operating Cycle of General Electronics</w:t>
        </w:r>
        <w:r w:rsidRPr="00F10420">
          <w:rPr>
            <w:noProof/>
            <w:webHidden/>
          </w:rPr>
          <w:tab/>
        </w:r>
        <w:r w:rsidRPr="00F10420">
          <w:rPr>
            <w:noProof/>
            <w:webHidden/>
          </w:rPr>
          <w:fldChar w:fldCharType="begin"/>
        </w:r>
        <w:r w:rsidRPr="00F10420">
          <w:rPr>
            <w:noProof/>
            <w:webHidden/>
          </w:rPr>
          <w:instrText xml:space="preserve"> PAGEREF _Toc214014935 \h </w:instrText>
        </w:r>
        <w:r w:rsidRPr="00F10420">
          <w:rPr>
            <w:noProof/>
            <w:webHidden/>
          </w:rPr>
        </w:r>
        <w:r w:rsidRPr="00F10420">
          <w:rPr>
            <w:noProof/>
            <w:webHidden/>
          </w:rPr>
          <w:fldChar w:fldCharType="separate"/>
        </w:r>
        <w:r w:rsidRPr="00F10420">
          <w:rPr>
            <w:noProof/>
            <w:webHidden/>
          </w:rPr>
          <w:t>14</w:t>
        </w:r>
        <w:r w:rsidRPr="00F10420">
          <w:rPr>
            <w:noProof/>
            <w:webHidden/>
          </w:rPr>
          <w:fldChar w:fldCharType="end"/>
        </w:r>
      </w:hyperlink>
    </w:p>
    <w:p w14:paraId="69B2DA5F" w14:textId="6972CBF4" w:rsidR="00F10420" w:rsidRPr="00F10420" w:rsidRDefault="00F10420" w:rsidP="008E5AAD">
      <w:pPr>
        <w:pStyle w:val="TableofFigures"/>
        <w:tabs>
          <w:tab w:val="right" w:leader="dot" w:pos="9016"/>
        </w:tabs>
        <w:spacing w:after="240"/>
        <w:rPr>
          <w:rFonts w:asciiTheme="minorHAnsi" w:eastAsiaTheme="minorEastAsia" w:hAnsiTheme="minorHAnsi"/>
          <w:noProof/>
          <w:szCs w:val="24"/>
          <w:lang w:val="en-IN" w:eastAsia="en-IN"/>
        </w:rPr>
      </w:pPr>
      <w:hyperlink w:anchor="_Toc214014936" w:history="1">
        <w:r w:rsidRPr="00F10420">
          <w:rPr>
            <w:rStyle w:val="Hyperlink"/>
            <w:rFonts w:cs="Arial"/>
            <w:noProof/>
          </w:rPr>
          <w:t>Figure 10: Financing Options</w:t>
        </w:r>
        <w:r w:rsidRPr="00F10420">
          <w:rPr>
            <w:noProof/>
            <w:webHidden/>
          </w:rPr>
          <w:tab/>
        </w:r>
        <w:r w:rsidRPr="00F10420">
          <w:rPr>
            <w:noProof/>
            <w:webHidden/>
          </w:rPr>
          <w:fldChar w:fldCharType="begin"/>
        </w:r>
        <w:r w:rsidRPr="00F10420">
          <w:rPr>
            <w:noProof/>
            <w:webHidden/>
          </w:rPr>
          <w:instrText xml:space="preserve"> PAGEREF _Toc214014936 \h </w:instrText>
        </w:r>
        <w:r w:rsidRPr="00F10420">
          <w:rPr>
            <w:noProof/>
            <w:webHidden/>
          </w:rPr>
        </w:r>
        <w:r w:rsidRPr="00F10420">
          <w:rPr>
            <w:noProof/>
            <w:webHidden/>
          </w:rPr>
          <w:fldChar w:fldCharType="separate"/>
        </w:r>
        <w:r w:rsidRPr="00F10420">
          <w:rPr>
            <w:noProof/>
            <w:webHidden/>
          </w:rPr>
          <w:t>16</w:t>
        </w:r>
        <w:r w:rsidRPr="00F10420">
          <w:rPr>
            <w:noProof/>
            <w:webHidden/>
          </w:rPr>
          <w:fldChar w:fldCharType="end"/>
        </w:r>
      </w:hyperlink>
    </w:p>
    <w:p w14:paraId="0D7064AD" w14:textId="56B46CF8" w:rsidR="00F10420" w:rsidRPr="00F10420" w:rsidRDefault="00F10420" w:rsidP="008E5AAD">
      <w:pPr>
        <w:pStyle w:val="TableofFigures"/>
        <w:tabs>
          <w:tab w:val="right" w:leader="dot" w:pos="9016"/>
        </w:tabs>
        <w:spacing w:after="240"/>
        <w:rPr>
          <w:rFonts w:asciiTheme="minorHAnsi" w:eastAsiaTheme="minorEastAsia" w:hAnsiTheme="minorHAnsi"/>
          <w:noProof/>
          <w:szCs w:val="24"/>
          <w:lang w:val="en-IN" w:eastAsia="en-IN"/>
        </w:rPr>
      </w:pPr>
      <w:hyperlink w:anchor="_Toc214014937" w:history="1">
        <w:r w:rsidRPr="00F10420">
          <w:rPr>
            <w:rStyle w:val="Hyperlink"/>
            <w:rFonts w:cs="Arial"/>
            <w:noProof/>
          </w:rPr>
          <w:t>Figure 11: Financial Restructuring</w:t>
        </w:r>
        <w:r w:rsidRPr="00F10420">
          <w:rPr>
            <w:noProof/>
            <w:webHidden/>
          </w:rPr>
          <w:tab/>
        </w:r>
        <w:r w:rsidRPr="00F10420">
          <w:rPr>
            <w:noProof/>
            <w:webHidden/>
          </w:rPr>
          <w:fldChar w:fldCharType="begin"/>
        </w:r>
        <w:r w:rsidRPr="00F10420">
          <w:rPr>
            <w:noProof/>
            <w:webHidden/>
          </w:rPr>
          <w:instrText xml:space="preserve"> PAGEREF _Toc214014937 \h </w:instrText>
        </w:r>
        <w:r w:rsidRPr="00F10420">
          <w:rPr>
            <w:noProof/>
            <w:webHidden/>
          </w:rPr>
        </w:r>
        <w:r w:rsidRPr="00F10420">
          <w:rPr>
            <w:noProof/>
            <w:webHidden/>
          </w:rPr>
          <w:fldChar w:fldCharType="separate"/>
        </w:r>
        <w:r w:rsidRPr="00F10420">
          <w:rPr>
            <w:noProof/>
            <w:webHidden/>
          </w:rPr>
          <w:t>19</w:t>
        </w:r>
        <w:r w:rsidRPr="00F10420">
          <w:rPr>
            <w:noProof/>
            <w:webHidden/>
          </w:rPr>
          <w:fldChar w:fldCharType="end"/>
        </w:r>
      </w:hyperlink>
    </w:p>
    <w:p w14:paraId="2BD3057C" w14:textId="45187B26" w:rsidR="00F10420" w:rsidRPr="00F10420" w:rsidRDefault="00F10420" w:rsidP="008E5AAD">
      <w:pPr>
        <w:pStyle w:val="TableofFigures"/>
        <w:tabs>
          <w:tab w:val="right" w:leader="dot" w:pos="9016"/>
        </w:tabs>
        <w:spacing w:after="240"/>
        <w:rPr>
          <w:rFonts w:asciiTheme="minorHAnsi" w:eastAsiaTheme="minorEastAsia" w:hAnsiTheme="minorHAnsi"/>
          <w:noProof/>
          <w:szCs w:val="24"/>
          <w:lang w:val="en-IN" w:eastAsia="en-IN"/>
        </w:rPr>
      </w:pPr>
      <w:hyperlink w:anchor="_Toc214014938" w:history="1">
        <w:r w:rsidRPr="00F10420">
          <w:rPr>
            <w:rStyle w:val="Hyperlink"/>
            <w:noProof/>
          </w:rPr>
          <w:t>Figure 12: Calculations of Investment Appraisals</w:t>
        </w:r>
        <w:r w:rsidRPr="00F10420">
          <w:rPr>
            <w:noProof/>
            <w:webHidden/>
          </w:rPr>
          <w:tab/>
        </w:r>
        <w:r w:rsidRPr="00F10420">
          <w:rPr>
            <w:noProof/>
            <w:webHidden/>
          </w:rPr>
          <w:fldChar w:fldCharType="begin"/>
        </w:r>
        <w:r w:rsidRPr="00F10420">
          <w:rPr>
            <w:noProof/>
            <w:webHidden/>
          </w:rPr>
          <w:instrText xml:space="preserve"> PAGEREF _Toc214014938 \h </w:instrText>
        </w:r>
        <w:r w:rsidRPr="00F10420">
          <w:rPr>
            <w:noProof/>
            <w:webHidden/>
          </w:rPr>
        </w:r>
        <w:r w:rsidRPr="00F10420">
          <w:rPr>
            <w:noProof/>
            <w:webHidden/>
          </w:rPr>
          <w:fldChar w:fldCharType="separate"/>
        </w:r>
        <w:r w:rsidRPr="00F10420">
          <w:rPr>
            <w:noProof/>
            <w:webHidden/>
          </w:rPr>
          <w:t>23</w:t>
        </w:r>
        <w:r w:rsidRPr="00F10420">
          <w:rPr>
            <w:noProof/>
            <w:webHidden/>
          </w:rPr>
          <w:fldChar w:fldCharType="end"/>
        </w:r>
      </w:hyperlink>
    </w:p>
    <w:p w14:paraId="53F986C2" w14:textId="59862835" w:rsidR="000B1DF2" w:rsidRPr="00F10420" w:rsidRDefault="002454A3" w:rsidP="008E5AAD">
      <w:pPr>
        <w:rPr>
          <w:rFonts w:eastAsiaTheme="majorEastAsia" w:cs="Arial"/>
          <w:szCs w:val="24"/>
          <w:lang w:val="en-IN"/>
        </w:rPr>
      </w:pPr>
      <w:r w:rsidRPr="00F10420">
        <w:rPr>
          <w:rFonts w:cs="Arial"/>
          <w:szCs w:val="24"/>
          <w:lang w:val="en-IN"/>
        </w:rPr>
        <w:fldChar w:fldCharType="end"/>
      </w:r>
      <w:r w:rsidR="000B1DF2" w:rsidRPr="00F10420">
        <w:rPr>
          <w:rFonts w:cs="Arial"/>
          <w:szCs w:val="24"/>
          <w:lang w:val="en-IN"/>
        </w:rPr>
        <w:br w:type="page"/>
      </w:r>
    </w:p>
    <w:p w14:paraId="33165FB4" w14:textId="41CF97A6" w:rsidR="00EB74E2" w:rsidRPr="00682E89" w:rsidRDefault="00EB74E2" w:rsidP="008E5AAD">
      <w:pPr>
        <w:pStyle w:val="Heading1"/>
        <w:spacing w:after="240"/>
        <w:rPr>
          <w:rFonts w:cs="Arial"/>
          <w:color w:val="auto"/>
          <w:szCs w:val="24"/>
          <w:lang w:val="en-IN"/>
        </w:rPr>
      </w:pPr>
      <w:bookmarkStart w:id="0" w:name="_Toc214014897"/>
      <w:r w:rsidRPr="00682E89">
        <w:rPr>
          <w:rFonts w:cs="Arial"/>
          <w:color w:val="auto"/>
          <w:szCs w:val="24"/>
          <w:lang w:val="en-IN"/>
        </w:rPr>
        <w:lastRenderedPageBreak/>
        <w:t>Introduction</w:t>
      </w:r>
      <w:bookmarkEnd w:id="0"/>
      <w:r w:rsidRPr="00682E89">
        <w:rPr>
          <w:rFonts w:cs="Arial"/>
          <w:color w:val="auto"/>
          <w:szCs w:val="24"/>
          <w:lang w:val="en-IN"/>
        </w:rPr>
        <w:t xml:space="preserve"> </w:t>
      </w:r>
    </w:p>
    <w:p w14:paraId="12E1A744" w14:textId="0B64F86F" w:rsidR="000D3880" w:rsidRPr="00682E89" w:rsidRDefault="00A521F8" w:rsidP="008E5AAD">
      <w:pPr>
        <w:rPr>
          <w:rFonts w:cs="Arial"/>
          <w:szCs w:val="24"/>
          <w:lang w:val="en-IN"/>
        </w:rPr>
      </w:pPr>
      <w:r w:rsidRPr="00682E89">
        <w:rPr>
          <w:rFonts w:cs="Arial"/>
          <w:szCs w:val="24"/>
          <w:lang w:val="en-IN"/>
        </w:rPr>
        <w:t>The report is based on the analysis of General Electronics</w:t>
      </w:r>
      <w:r w:rsidR="00E671FF" w:rsidRPr="00682E89">
        <w:rPr>
          <w:rFonts w:cs="Arial"/>
          <w:szCs w:val="24"/>
          <w:lang w:val="en-IN"/>
        </w:rPr>
        <w:t>,</w:t>
      </w:r>
      <w:r w:rsidRPr="00682E89">
        <w:rPr>
          <w:rFonts w:cs="Arial"/>
          <w:szCs w:val="24"/>
          <w:lang w:val="en-IN"/>
        </w:rPr>
        <w:t xml:space="preserve"> </w:t>
      </w:r>
      <w:r w:rsidR="00190AB5" w:rsidRPr="00682E89">
        <w:rPr>
          <w:rFonts w:cs="Arial"/>
          <w:szCs w:val="24"/>
          <w:lang w:val="en-IN"/>
        </w:rPr>
        <w:t xml:space="preserve">which is struggling </w:t>
      </w:r>
      <w:r w:rsidR="00D85E8B" w:rsidRPr="00682E89">
        <w:rPr>
          <w:rFonts w:cs="Arial"/>
          <w:szCs w:val="24"/>
          <w:lang w:val="en-IN"/>
        </w:rPr>
        <w:t xml:space="preserve">while operating </w:t>
      </w:r>
      <w:r w:rsidR="00E671FF" w:rsidRPr="00682E89">
        <w:rPr>
          <w:rFonts w:cs="Arial"/>
          <w:szCs w:val="24"/>
          <w:lang w:val="en-IN"/>
        </w:rPr>
        <w:t xml:space="preserve">in </w:t>
      </w:r>
      <w:r w:rsidR="00190AB5" w:rsidRPr="00682E89">
        <w:rPr>
          <w:rFonts w:cs="Arial"/>
          <w:szCs w:val="24"/>
          <w:lang w:val="en-IN"/>
        </w:rPr>
        <w:t xml:space="preserve">the consumer </w:t>
      </w:r>
      <w:r w:rsidR="00D85E8B" w:rsidRPr="00682E89">
        <w:rPr>
          <w:rFonts w:cs="Arial"/>
          <w:szCs w:val="24"/>
          <w:lang w:val="en-IN"/>
        </w:rPr>
        <w:t>electronics</w:t>
      </w:r>
      <w:r w:rsidR="00190AB5" w:rsidRPr="00682E89">
        <w:rPr>
          <w:rFonts w:cs="Arial"/>
          <w:szCs w:val="24"/>
          <w:lang w:val="en-IN"/>
        </w:rPr>
        <w:t xml:space="preserve"> industry. </w:t>
      </w:r>
      <w:r w:rsidR="00F00659" w:rsidRPr="00682E89">
        <w:rPr>
          <w:rFonts w:cs="Arial"/>
          <w:szCs w:val="24"/>
          <w:lang w:val="en-IN"/>
        </w:rPr>
        <w:t>It provides a brief analysis of the financial statements of the company in the past five years</w:t>
      </w:r>
      <w:r w:rsidR="0019763D" w:rsidRPr="00682E89">
        <w:rPr>
          <w:rFonts w:cs="Arial"/>
          <w:szCs w:val="24"/>
          <w:lang w:val="en-IN"/>
        </w:rPr>
        <w:t xml:space="preserve"> (2020-2024)</w:t>
      </w:r>
      <w:r w:rsidR="006432A3" w:rsidRPr="00682E89">
        <w:rPr>
          <w:rFonts w:cs="Arial"/>
          <w:szCs w:val="24"/>
          <w:lang w:val="en-IN"/>
        </w:rPr>
        <w:t>, along with an in-depth analysis of the core problem, and proposes</w:t>
      </w:r>
      <w:r w:rsidR="00F00659" w:rsidRPr="00682E89">
        <w:rPr>
          <w:rFonts w:cs="Arial"/>
          <w:szCs w:val="24"/>
          <w:lang w:val="en-IN"/>
        </w:rPr>
        <w:t xml:space="preserve"> a strategy with the support of the financial evidence. </w:t>
      </w:r>
      <w:r w:rsidR="000D3880" w:rsidRPr="00682E89">
        <w:rPr>
          <w:rFonts w:cs="Arial"/>
          <w:szCs w:val="24"/>
          <w:lang w:val="en-IN"/>
        </w:rPr>
        <w:t xml:space="preserve">Also, the analysis will critically reflect </w:t>
      </w:r>
      <w:r w:rsidR="0019763D" w:rsidRPr="00682E89">
        <w:rPr>
          <w:rFonts w:cs="Arial"/>
          <w:szCs w:val="24"/>
          <w:lang w:val="en-IN"/>
        </w:rPr>
        <w:t xml:space="preserve">on </w:t>
      </w:r>
      <w:r w:rsidR="000D3880" w:rsidRPr="00682E89">
        <w:rPr>
          <w:rFonts w:cs="Arial"/>
          <w:szCs w:val="24"/>
          <w:lang w:val="en-IN"/>
        </w:rPr>
        <w:t xml:space="preserve">various </w:t>
      </w:r>
      <w:r w:rsidR="0019763D" w:rsidRPr="00682E89">
        <w:rPr>
          <w:rFonts w:cs="Arial"/>
          <w:szCs w:val="24"/>
          <w:lang w:val="en-IN"/>
        </w:rPr>
        <w:t>investment</w:t>
      </w:r>
      <w:r w:rsidR="000D3880" w:rsidRPr="00682E89">
        <w:rPr>
          <w:rFonts w:cs="Arial"/>
          <w:szCs w:val="24"/>
          <w:lang w:val="en-IN"/>
        </w:rPr>
        <w:t xml:space="preserve"> options for the future growth of the firm. </w:t>
      </w:r>
    </w:p>
    <w:p w14:paraId="6A79EC16" w14:textId="77777777" w:rsidR="00617313" w:rsidRPr="00682E89" w:rsidRDefault="00617313" w:rsidP="008E5AAD">
      <w:pPr>
        <w:rPr>
          <w:rFonts w:cs="Arial"/>
          <w:szCs w:val="24"/>
          <w:lang w:val="en-IN"/>
        </w:rPr>
      </w:pPr>
      <w:r w:rsidRPr="00682E89">
        <w:rPr>
          <w:rFonts w:cs="Arial"/>
          <w:szCs w:val="24"/>
          <w:lang w:val="en-IN"/>
        </w:rPr>
        <w:br w:type="page"/>
      </w:r>
    </w:p>
    <w:p w14:paraId="303F3676" w14:textId="77777777" w:rsidR="00C433E5" w:rsidRPr="00682E89" w:rsidRDefault="00C433E5" w:rsidP="008E5AAD">
      <w:pPr>
        <w:pStyle w:val="Heading1"/>
        <w:spacing w:after="240"/>
        <w:rPr>
          <w:rFonts w:cs="Arial"/>
          <w:color w:val="auto"/>
          <w:szCs w:val="24"/>
          <w:lang w:val="en-IN"/>
        </w:rPr>
      </w:pPr>
      <w:bookmarkStart w:id="1" w:name="_Toc214014898"/>
      <w:r w:rsidRPr="00682E89">
        <w:rPr>
          <w:rFonts w:cs="Arial"/>
          <w:color w:val="auto"/>
          <w:szCs w:val="24"/>
          <w:lang w:val="en-IN"/>
        </w:rPr>
        <w:lastRenderedPageBreak/>
        <w:t>Financial Health Check</w:t>
      </w:r>
      <w:bookmarkEnd w:id="1"/>
      <w:r w:rsidRPr="00682E89">
        <w:rPr>
          <w:rFonts w:cs="Arial"/>
          <w:color w:val="auto"/>
          <w:szCs w:val="24"/>
          <w:lang w:val="en-IN"/>
        </w:rPr>
        <w:t xml:space="preserve"> </w:t>
      </w:r>
    </w:p>
    <w:p w14:paraId="3DE42862" w14:textId="77777777" w:rsidR="00D9203A" w:rsidRPr="00682E89" w:rsidRDefault="00D9203A" w:rsidP="008E5AAD">
      <w:pPr>
        <w:pStyle w:val="Heading2"/>
        <w:spacing w:before="240" w:after="240"/>
        <w:rPr>
          <w:rFonts w:cs="Arial"/>
          <w:szCs w:val="24"/>
          <w:lang w:val="en-IN"/>
        </w:rPr>
      </w:pPr>
      <w:bookmarkStart w:id="2" w:name="_Toc214014899"/>
      <w:r w:rsidRPr="00682E89">
        <w:rPr>
          <w:rFonts w:cs="Arial"/>
          <w:szCs w:val="24"/>
          <w:lang w:val="en-IN"/>
        </w:rPr>
        <w:t>Financial Ratio Analysis</w:t>
      </w:r>
      <w:bookmarkEnd w:id="2"/>
      <w:r w:rsidRPr="00682E89">
        <w:rPr>
          <w:rFonts w:cs="Arial"/>
          <w:szCs w:val="24"/>
          <w:lang w:val="en-IN"/>
        </w:rPr>
        <w:t xml:space="preserve"> </w:t>
      </w:r>
    </w:p>
    <w:p w14:paraId="28152A26" w14:textId="142D9F2A" w:rsidR="003D4DF3" w:rsidRPr="00202DA7" w:rsidRDefault="003340C2" w:rsidP="008E5AAD">
      <w:pPr>
        <w:pStyle w:val="Heading3"/>
        <w:spacing w:before="240" w:after="240"/>
        <w:rPr>
          <w:rFonts w:cs="Arial"/>
          <w:lang w:val="en-IN"/>
        </w:rPr>
      </w:pPr>
      <w:bookmarkStart w:id="3" w:name="_Toc214014900"/>
      <w:r w:rsidRPr="00682E89">
        <w:rPr>
          <w:rFonts w:cs="Arial"/>
          <w:lang w:val="en-IN"/>
        </w:rPr>
        <w:t>Profitability Ratios</w:t>
      </w:r>
      <w:bookmarkEnd w:id="3"/>
      <w:r w:rsidRPr="00682E89">
        <w:rPr>
          <w:rFonts w:cs="Arial"/>
          <w:lang w:val="en-IN"/>
        </w:rPr>
        <w:t xml:space="preserve"> </w:t>
      </w:r>
    </w:p>
    <w:p w14:paraId="4FD62C91" w14:textId="715A9A60" w:rsidR="00070BA1" w:rsidRPr="00682E89" w:rsidRDefault="00070BA1" w:rsidP="008E5AAD">
      <w:pPr>
        <w:jc w:val="center"/>
        <w:rPr>
          <w:rFonts w:cs="Arial"/>
          <w:b/>
          <w:bCs/>
          <w:i/>
          <w:iCs/>
          <w:szCs w:val="24"/>
        </w:rPr>
      </w:pPr>
      <w:r w:rsidRPr="00682E89">
        <w:rPr>
          <w:rFonts w:cs="Arial"/>
          <w:noProof/>
          <w:szCs w:val="24"/>
        </w:rPr>
        <w:drawing>
          <wp:inline distT="0" distB="0" distL="0" distR="0" wp14:anchorId="3BE142B9" wp14:editId="4BC97D29">
            <wp:extent cx="4572000" cy="2628900"/>
            <wp:effectExtent l="0" t="0" r="0" b="0"/>
            <wp:docPr id="1488279598" name="Chart 1">
              <a:extLst xmlns:a="http://schemas.openxmlformats.org/drawingml/2006/main">
                <a:ext uri="{FF2B5EF4-FFF2-40B4-BE49-F238E27FC236}">
                  <a16:creationId xmlns:a16="http://schemas.microsoft.com/office/drawing/2014/main" id="{4FBD418B-6EA1-3E8D-68A5-E12EFB2CED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7ADF79B" w14:textId="01B78503" w:rsidR="003D4DF3" w:rsidRPr="00682E89" w:rsidRDefault="003D4DF3" w:rsidP="008E5AAD">
      <w:pPr>
        <w:jc w:val="center"/>
        <w:rPr>
          <w:rFonts w:cs="Arial"/>
          <w:b/>
          <w:bCs/>
          <w:i/>
          <w:iCs/>
          <w:szCs w:val="24"/>
        </w:rPr>
      </w:pPr>
      <w:bookmarkStart w:id="4" w:name="_Toc214014927"/>
      <w:r w:rsidRPr="00682E89">
        <w:rPr>
          <w:rFonts w:cs="Arial"/>
          <w:b/>
          <w:bCs/>
          <w:i/>
          <w:iCs/>
          <w:szCs w:val="24"/>
        </w:rPr>
        <w:t xml:space="preserve">Figure </w:t>
      </w:r>
      <w:r w:rsidRPr="00682E89">
        <w:rPr>
          <w:rFonts w:cs="Arial"/>
          <w:b/>
          <w:bCs/>
          <w:i/>
          <w:iCs/>
          <w:szCs w:val="24"/>
        </w:rPr>
        <w:fldChar w:fldCharType="begin"/>
      </w:r>
      <w:r w:rsidRPr="00682E89">
        <w:rPr>
          <w:rFonts w:cs="Arial"/>
          <w:b/>
          <w:bCs/>
          <w:i/>
          <w:iCs/>
          <w:szCs w:val="24"/>
        </w:rPr>
        <w:instrText xml:space="preserve"> SEQ Figure \* ARABIC </w:instrText>
      </w:r>
      <w:r w:rsidRPr="00682E89">
        <w:rPr>
          <w:rFonts w:cs="Arial"/>
          <w:b/>
          <w:bCs/>
          <w:i/>
          <w:iCs/>
          <w:szCs w:val="24"/>
        </w:rPr>
        <w:fldChar w:fldCharType="separate"/>
      </w:r>
      <w:r w:rsidR="004A0391">
        <w:rPr>
          <w:rFonts w:cs="Arial"/>
          <w:b/>
          <w:bCs/>
          <w:i/>
          <w:iCs/>
          <w:noProof/>
          <w:szCs w:val="24"/>
        </w:rPr>
        <w:t>1</w:t>
      </w:r>
      <w:r w:rsidRPr="00682E89">
        <w:rPr>
          <w:rFonts w:cs="Arial"/>
          <w:b/>
          <w:bCs/>
          <w:i/>
          <w:iCs/>
          <w:szCs w:val="24"/>
        </w:rPr>
        <w:fldChar w:fldCharType="end"/>
      </w:r>
      <w:r w:rsidRPr="00682E89">
        <w:rPr>
          <w:rFonts w:cs="Arial"/>
          <w:b/>
          <w:bCs/>
          <w:i/>
          <w:iCs/>
          <w:szCs w:val="24"/>
        </w:rPr>
        <w:t>: Profitability Ratios</w:t>
      </w:r>
      <w:bookmarkEnd w:id="4"/>
    </w:p>
    <w:p w14:paraId="3B753FC0" w14:textId="367DF2A3" w:rsidR="00610FD4" w:rsidRPr="00682E89" w:rsidRDefault="00BA0047" w:rsidP="008E5AAD">
      <w:pPr>
        <w:rPr>
          <w:rFonts w:cs="Arial"/>
          <w:szCs w:val="24"/>
          <w:lang w:val="en-IN"/>
        </w:rPr>
      </w:pPr>
      <w:r w:rsidRPr="00682E89">
        <w:rPr>
          <w:rFonts w:cs="Arial"/>
          <w:szCs w:val="24"/>
          <w:lang w:val="en-IN"/>
        </w:rPr>
        <w:t xml:space="preserve">Profitability ratios such as gross profit margin and net profit margin are measures of business profitability by reflecting </w:t>
      </w:r>
      <w:r w:rsidR="000B342A" w:rsidRPr="00682E89">
        <w:rPr>
          <w:rFonts w:cs="Arial"/>
          <w:szCs w:val="24"/>
          <w:lang w:val="en-IN"/>
        </w:rPr>
        <w:t>the ability to generate income in relation to the expenses</w:t>
      </w:r>
      <w:r w:rsidRPr="00682E89">
        <w:rPr>
          <w:rFonts w:cs="Arial"/>
          <w:szCs w:val="24"/>
          <w:lang w:val="en-IN"/>
        </w:rPr>
        <w:t xml:space="preserve"> over a period (</w:t>
      </w:r>
      <w:r w:rsidR="00207019" w:rsidRPr="00682E89">
        <w:rPr>
          <w:rFonts w:cs="Arial"/>
          <w:szCs w:val="24"/>
          <w:lang w:val="en-IN"/>
        </w:rPr>
        <w:t>Vipond, 2025).</w:t>
      </w:r>
      <w:r w:rsidR="00053DED" w:rsidRPr="00682E89">
        <w:rPr>
          <w:rFonts w:cs="Arial"/>
          <w:szCs w:val="24"/>
          <w:lang w:val="en-IN"/>
        </w:rPr>
        <w:t xml:space="preserve"> </w:t>
      </w:r>
      <w:r w:rsidR="00070BA1" w:rsidRPr="00682E89">
        <w:rPr>
          <w:rFonts w:cs="Arial"/>
          <w:szCs w:val="24"/>
        </w:rPr>
        <w:t xml:space="preserve">Gross Profit Ratio of General Electronics has decreased </w:t>
      </w:r>
      <w:r w:rsidR="00347155" w:rsidRPr="00682E89">
        <w:rPr>
          <w:rFonts w:cs="Arial"/>
          <w:szCs w:val="24"/>
        </w:rPr>
        <w:t>from</w:t>
      </w:r>
      <w:r w:rsidR="00070BA1" w:rsidRPr="00682E89">
        <w:rPr>
          <w:rFonts w:cs="Arial"/>
          <w:szCs w:val="24"/>
        </w:rPr>
        <w:t xml:space="preserve"> 28.9 </w:t>
      </w:r>
      <w:r w:rsidR="00347155" w:rsidRPr="00682E89">
        <w:rPr>
          <w:rFonts w:cs="Arial"/>
          <w:szCs w:val="24"/>
        </w:rPr>
        <w:t xml:space="preserve">% </w:t>
      </w:r>
      <w:r w:rsidR="00070BA1" w:rsidRPr="00682E89">
        <w:rPr>
          <w:rFonts w:cs="Arial"/>
          <w:szCs w:val="24"/>
        </w:rPr>
        <w:t xml:space="preserve">in 2024 to 23.2 </w:t>
      </w:r>
      <w:r w:rsidR="00347155" w:rsidRPr="00682E89">
        <w:rPr>
          <w:rFonts w:cs="Arial"/>
          <w:szCs w:val="24"/>
        </w:rPr>
        <w:t xml:space="preserve">% </w:t>
      </w:r>
      <w:r w:rsidR="00070BA1" w:rsidRPr="00682E89">
        <w:rPr>
          <w:rFonts w:cs="Arial"/>
          <w:szCs w:val="24"/>
        </w:rPr>
        <w:t xml:space="preserve">in 2023. </w:t>
      </w:r>
      <w:r w:rsidR="00347155" w:rsidRPr="00682E89">
        <w:rPr>
          <w:rFonts w:cs="Arial"/>
          <w:szCs w:val="24"/>
        </w:rPr>
        <w:t xml:space="preserve">This is </w:t>
      </w:r>
      <w:r w:rsidR="00070BA1" w:rsidRPr="00682E89">
        <w:rPr>
          <w:rFonts w:cs="Arial"/>
          <w:szCs w:val="24"/>
        </w:rPr>
        <w:t>stable than it was in the past years</w:t>
      </w:r>
      <w:r w:rsidR="00347155" w:rsidRPr="00682E89">
        <w:rPr>
          <w:rFonts w:cs="Arial"/>
          <w:szCs w:val="24"/>
        </w:rPr>
        <w:t>,</w:t>
      </w:r>
      <w:r w:rsidR="00070BA1" w:rsidRPr="00682E89">
        <w:rPr>
          <w:rFonts w:cs="Arial"/>
          <w:szCs w:val="24"/>
        </w:rPr>
        <w:t xml:space="preserve"> which means that the cost of sales has also decreased, although not in the same proportion </w:t>
      </w:r>
      <w:r w:rsidR="00C171DC" w:rsidRPr="00682E89">
        <w:rPr>
          <w:rFonts w:cs="Arial"/>
          <w:szCs w:val="24"/>
        </w:rPr>
        <w:t>as</w:t>
      </w:r>
      <w:r w:rsidR="00070BA1" w:rsidRPr="00682E89">
        <w:rPr>
          <w:rFonts w:cs="Arial"/>
          <w:szCs w:val="24"/>
        </w:rPr>
        <w:t xml:space="preserve"> the decline in revenue. This decreasing gross profitability indicates that the company has poor management of efficient costs in an environment that is becoming smaller in terms of revenues, which might be caused by </w:t>
      </w:r>
      <w:r w:rsidR="00C171DC" w:rsidRPr="00682E89">
        <w:rPr>
          <w:rFonts w:cs="Arial"/>
          <w:szCs w:val="24"/>
        </w:rPr>
        <w:t>heightened</w:t>
      </w:r>
      <w:r w:rsidR="00070BA1" w:rsidRPr="00682E89">
        <w:rPr>
          <w:rFonts w:cs="Arial"/>
          <w:szCs w:val="24"/>
        </w:rPr>
        <w:t xml:space="preserve"> competition or higher input prices. </w:t>
      </w:r>
      <w:r w:rsidR="00C171DC" w:rsidRPr="00682E89">
        <w:rPr>
          <w:rFonts w:cs="Arial"/>
          <w:szCs w:val="24"/>
        </w:rPr>
        <w:t>T</w:t>
      </w:r>
      <w:r w:rsidR="00070BA1" w:rsidRPr="00682E89">
        <w:rPr>
          <w:rFonts w:cs="Arial"/>
          <w:szCs w:val="24"/>
        </w:rPr>
        <w:t xml:space="preserve">he Net Profit Ratio </w:t>
      </w:r>
      <w:r w:rsidR="00C171DC" w:rsidRPr="00682E89">
        <w:rPr>
          <w:rFonts w:cs="Arial"/>
          <w:szCs w:val="24"/>
        </w:rPr>
        <w:t xml:space="preserve">amounted to </w:t>
      </w:r>
      <w:r w:rsidR="00070BA1" w:rsidRPr="00682E89">
        <w:rPr>
          <w:rFonts w:cs="Arial"/>
          <w:szCs w:val="24"/>
        </w:rPr>
        <w:t xml:space="preserve">0.88% in 2021 and -6.09% in 2024. Such </w:t>
      </w:r>
      <w:r w:rsidR="00C171DC" w:rsidRPr="00682E89">
        <w:rPr>
          <w:rFonts w:cs="Arial"/>
          <w:szCs w:val="24"/>
        </w:rPr>
        <w:t xml:space="preserve">a drastic fall highlights that the company is struggling to convert revenue to net profit due to </w:t>
      </w:r>
      <w:r w:rsidR="00070BA1" w:rsidRPr="00682E89">
        <w:rPr>
          <w:rFonts w:cs="Arial"/>
          <w:szCs w:val="24"/>
        </w:rPr>
        <w:t xml:space="preserve">expensive operating expenses and interest payments. The trend is </w:t>
      </w:r>
      <w:r w:rsidR="00C171DC" w:rsidRPr="00682E89">
        <w:rPr>
          <w:rFonts w:cs="Arial"/>
          <w:szCs w:val="24"/>
        </w:rPr>
        <w:t>characterised</w:t>
      </w:r>
      <w:r w:rsidR="00070BA1" w:rsidRPr="00682E89">
        <w:rPr>
          <w:rFonts w:cs="Arial"/>
          <w:szCs w:val="24"/>
        </w:rPr>
        <w:t xml:space="preserve"> by growing financial distress, accumulating losses and inefficient operations. The huge decline in profitability is </w:t>
      </w:r>
      <w:r w:rsidR="00C171DC" w:rsidRPr="00682E89">
        <w:rPr>
          <w:rFonts w:cs="Arial"/>
          <w:szCs w:val="24"/>
        </w:rPr>
        <w:t xml:space="preserve">a threat to the sustainability of the firm, and hence, </w:t>
      </w:r>
      <w:r w:rsidR="002B19A0" w:rsidRPr="00682E89">
        <w:rPr>
          <w:rFonts w:cs="Arial"/>
          <w:szCs w:val="24"/>
        </w:rPr>
        <w:t>requires</w:t>
      </w:r>
      <w:r w:rsidR="00C171DC" w:rsidRPr="00682E89">
        <w:rPr>
          <w:rFonts w:cs="Arial"/>
          <w:szCs w:val="24"/>
        </w:rPr>
        <w:t xml:space="preserve"> effective cost reduction measures and </w:t>
      </w:r>
      <w:r w:rsidR="00070BA1" w:rsidRPr="00682E89">
        <w:rPr>
          <w:rFonts w:cs="Arial"/>
          <w:szCs w:val="24"/>
        </w:rPr>
        <w:t>better management of finances.</w:t>
      </w:r>
    </w:p>
    <w:p w14:paraId="1A9C0CA7" w14:textId="1FE7EDB5" w:rsidR="003D4DF3" w:rsidRPr="00202DA7" w:rsidRDefault="003340C2" w:rsidP="008E5AAD">
      <w:pPr>
        <w:pStyle w:val="Heading3"/>
        <w:spacing w:before="240" w:after="240"/>
        <w:rPr>
          <w:rFonts w:cs="Arial"/>
          <w:lang w:val="en-IN"/>
        </w:rPr>
      </w:pPr>
      <w:bookmarkStart w:id="5" w:name="_Toc214014901"/>
      <w:r w:rsidRPr="00682E89">
        <w:rPr>
          <w:rFonts w:cs="Arial"/>
          <w:lang w:val="en-IN"/>
        </w:rPr>
        <w:lastRenderedPageBreak/>
        <w:t>Liquidity Ratios</w:t>
      </w:r>
      <w:bookmarkEnd w:id="5"/>
      <w:r w:rsidRPr="00682E89">
        <w:rPr>
          <w:rFonts w:cs="Arial"/>
          <w:lang w:val="en-IN"/>
        </w:rPr>
        <w:t xml:space="preserve"> </w:t>
      </w:r>
    </w:p>
    <w:p w14:paraId="37E3D192" w14:textId="1B367A19" w:rsidR="00070BA1" w:rsidRPr="00682E89" w:rsidRDefault="00070BA1" w:rsidP="008E5AAD">
      <w:pPr>
        <w:jc w:val="center"/>
        <w:rPr>
          <w:rFonts w:cs="Arial"/>
          <w:b/>
          <w:bCs/>
          <w:i/>
          <w:iCs/>
          <w:szCs w:val="24"/>
        </w:rPr>
      </w:pPr>
      <w:r w:rsidRPr="00682E89">
        <w:rPr>
          <w:rFonts w:cs="Arial"/>
          <w:noProof/>
          <w:szCs w:val="24"/>
        </w:rPr>
        <w:drawing>
          <wp:inline distT="0" distB="0" distL="0" distR="0" wp14:anchorId="13F6DDF6" wp14:editId="00ADE7C9">
            <wp:extent cx="4572000" cy="2743200"/>
            <wp:effectExtent l="0" t="0" r="0" b="0"/>
            <wp:docPr id="1055414424" name="Chart 1">
              <a:extLst xmlns:a="http://schemas.openxmlformats.org/drawingml/2006/main">
                <a:ext uri="{FF2B5EF4-FFF2-40B4-BE49-F238E27FC236}">
                  <a16:creationId xmlns:a16="http://schemas.microsoft.com/office/drawing/2014/main" id="{564FD1D2-39E8-3C4D-0413-5BDAA86456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4213C8B" w14:textId="0D4B48E8" w:rsidR="00A938A6" w:rsidRPr="00682E89" w:rsidRDefault="003D4DF3" w:rsidP="008E5AAD">
      <w:pPr>
        <w:jc w:val="center"/>
        <w:rPr>
          <w:rFonts w:cs="Arial"/>
          <w:b/>
          <w:bCs/>
          <w:i/>
          <w:iCs/>
          <w:szCs w:val="24"/>
          <w:lang w:val="en-IN"/>
        </w:rPr>
      </w:pPr>
      <w:bookmarkStart w:id="6" w:name="_Toc214014928"/>
      <w:r w:rsidRPr="00682E89">
        <w:rPr>
          <w:rFonts w:cs="Arial"/>
          <w:b/>
          <w:bCs/>
          <w:i/>
          <w:iCs/>
          <w:szCs w:val="24"/>
        </w:rPr>
        <w:t xml:space="preserve">Figure </w:t>
      </w:r>
      <w:r w:rsidRPr="00682E89">
        <w:rPr>
          <w:rFonts w:cs="Arial"/>
          <w:b/>
          <w:bCs/>
          <w:i/>
          <w:iCs/>
          <w:szCs w:val="24"/>
        </w:rPr>
        <w:fldChar w:fldCharType="begin"/>
      </w:r>
      <w:r w:rsidRPr="00682E89">
        <w:rPr>
          <w:rFonts w:cs="Arial"/>
          <w:b/>
          <w:bCs/>
          <w:i/>
          <w:iCs/>
          <w:szCs w:val="24"/>
        </w:rPr>
        <w:instrText xml:space="preserve"> SEQ Figure \* ARABIC </w:instrText>
      </w:r>
      <w:r w:rsidRPr="00682E89">
        <w:rPr>
          <w:rFonts w:cs="Arial"/>
          <w:b/>
          <w:bCs/>
          <w:i/>
          <w:iCs/>
          <w:szCs w:val="24"/>
        </w:rPr>
        <w:fldChar w:fldCharType="separate"/>
      </w:r>
      <w:r w:rsidR="004A0391">
        <w:rPr>
          <w:rFonts w:cs="Arial"/>
          <w:b/>
          <w:bCs/>
          <w:i/>
          <w:iCs/>
          <w:noProof/>
          <w:szCs w:val="24"/>
        </w:rPr>
        <w:t>2</w:t>
      </w:r>
      <w:r w:rsidRPr="00682E89">
        <w:rPr>
          <w:rFonts w:cs="Arial"/>
          <w:b/>
          <w:bCs/>
          <w:i/>
          <w:iCs/>
          <w:szCs w:val="24"/>
        </w:rPr>
        <w:fldChar w:fldCharType="end"/>
      </w:r>
      <w:r w:rsidRPr="00682E89">
        <w:rPr>
          <w:rFonts w:cs="Arial"/>
          <w:b/>
          <w:bCs/>
          <w:i/>
          <w:iCs/>
          <w:szCs w:val="24"/>
        </w:rPr>
        <w:t>: Liquidity Ratios</w:t>
      </w:r>
      <w:bookmarkEnd w:id="6"/>
    </w:p>
    <w:p w14:paraId="09A121B2" w14:textId="557DA436" w:rsidR="00070BA1" w:rsidRPr="00682E89" w:rsidRDefault="00E63930" w:rsidP="008E5AAD">
      <w:pPr>
        <w:rPr>
          <w:rFonts w:cs="Arial"/>
          <w:szCs w:val="24"/>
          <w:lang w:val="en-IN"/>
        </w:rPr>
      </w:pPr>
      <w:r w:rsidRPr="00682E89">
        <w:rPr>
          <w:rFonts w:cs="Arial"/>
          <w:szCs w:val="24"/>
          <w:lang w:val="en-IN"/>
        </w:rPr>
        <w:t>Liquidity ratios</w:t>
      </w:r>
      <w:r w:rsidR="00607C2E" w:rsidRPr="00682E89">
        <w:rPr>
          <w:rFonts w:cs="Arial"/>
          <w:szCs w:val="24"/>
          <w:lang w:val="en-IN"/>
        </w:rPr>
        <w:t>,</w:t>
      </w:r>
      <w:r w:rsidRPr="00682E89">
        <w:rPr>
          <w:rFonts w:cs="Arial"/>
          <w:szCs w:val="24"/>
          <w:lang w:val="en-IN"/>
        </w:rPr>
        <w:t xml:space="preserve"> including current ratio, quick ratio and cash ratio</w:t>
      </w:r>
      <w:r w:rsidR="00607C2E" w:rsidRPr="00682E89">
        <w:rPr>
          <w:rFonts w:cs="Arial"/>
          <w:szCs w:val="24"/>
          <w:lang w:val="en-IN"/>
        </w:rPr>
        <w:t>,</w:t>
      </w:r>
      <w:r w:rsidRPr="00682E89">
        <w:rPr>
          <w:rFonts w:cs="Arial"/>
          <w:szCs w:val="24"/>
          <w:lang w:val="en-IN"/>
        </w:rPr>
        <w:t xml:space="preserve"> </w:t>
      </w:r>
      <w:r w:rsidR="00607C2E" w:rsidRPr="00682E89">
        <w:rPr>
          <w:rFonts w:cs="Arial"/>
          <w:szCs w:val="24"/>
          <w:lang w:val="en-IN"/>
        </w:rPr>
        <w:t>reflect</w:t>
      </w:r>
      <w:r w:rsidRPr="00682E89">
        <w:rPr>
          <w:rFonts w:cs="Arial"/>
          <w:szCs w:val="24"/>
          <w:lang w:val="en-IN"/>
        </w:rPr>
        <w:t xml:space="preserve"> the ability of an organisation to pay </w:t>
      </w:r>
      <w:r w:rsidR="00607C2E" w:rsidRPr="00682E89">
        <w:rPr>
          <w:rFonts w:cs="Arial"/>
          <w:szCs w:val="24"/>
          <w:lang w:val="en-IN"/>
        </w:rPr>
        <w:t>short-term</w:t>
      </w:r>
      <w:r w:rsidRPr="00682E89">
        <w:rPr>
          <w:rFonts w:cs="Arial"/>
          <w:szCs w:val="24"/>
          <w:lang w:val="en-IN"/>
        </w:rPr>
        <w:t xml:space="preserve"> obligations with the use of </w:t>
      </w:r>
      <w:r w:rsidR="00607C2E" w:rsidRPr="00682E89">
        <w:rPr>
          <w:rFonts w:cs="Arial"/>
          <w:szCs w:val="24"/>
          <w:lang w:val="en-IN"/>
        </w:rPr>
        <w:t>its</w:t>
      </w:r>
      <w:r w:rsidRPr="00682E89">
        <w:rPr>
          <w:rFonts w:cs="Arial"/>
          <w:szCs w:val="24"/>
          <w:lang w:val="en-IN"/>
        </w:rPr>
        <w:t xml:space="preserve"> current assets in a specific period (</w:t>
      </w:r>
      <w:r w:rsidR="003D5025" w:rsidRPr="00682E89">
        <w:rPr>
          <w:rFonts w:cs="Arial"/>
          <w:szCs w:val="24"/>
          <w:lang w:val="en-IN"/>
        </w:rPr>
        <w:t xml:space="preserve">BBC, 2025). </w:t>
      </w:r>
      <w:r w:rsidR="002B19A0" w:rsidRPr="00682E89">
        <w:rPr>
          <w:rFonts w:cs="Arial"/>
          <w:szCs w:val="24"/>
          <w:lang w:val="en-IN"/>
        </w:rPr>
        <w:t xml:space="preserve">The </w:t>
      </w:r>
      <w:r w:rsidR="002B19A0" w:rsidRPr="00682E89">
        <w:rPr>
          <w:rFonts w:cs="Arial"/>
          <w:szCs w:val="24"/>
        </w:rPr>
        <w:t>c</w:t>
      </w:r>
      <w:r w:rsidR="00070BA1" w:rsidRPr="00682E89">
        <w:rPr>
          <w:rFonts w:cs="Arial"/>
          <w:szCs w:val="24"/>
        </w:rPr>
        <w:t xml:space="preserve">urrent </w:t>
      </w:r>
      <w:r w:rsidR="002B19A0" w:rsidRPr="00682E89">
        <w:rPr>
          <w:rFonts w:cs="Arial"/>
          <w:szCs w:val="24"/>
        </w:rPr>
        <w:t>r</w:t>
      </w:r>
      <w:r w:rsidR="00070BA1" w:rsidRPr="00682E89">
        <w:rPr>
          <w:rFonts w:cs="Arial"/>
          <w:szCs w:val="24"/>
        </w:rPr>
        <w:t xml:space="preserve">atio of General Electronics declined </w:t>
      </w:r>
      <w:r w:rsidR="002B19A0" w:rsidRPr="00682E89">
        <w:rPr>
          <w:rFonts w:cs="Arial"/>
          <w:szCs w:val="24"/>
        </w:rPr>
        <w:t>from</w:t>
      </w:r>
      <w:r w:rsidR="00070BA1" w:rsidRPr="00682E89">
        <w:rPr>
          <w:rFonts w:cs="Arial"/>
          <w:szCs w:val="24"/>
        </w:rPr>
        <w:t xml:space="preserve"> </w:t>
      </w:r>
      <w:r w:rsidR="002B19A0" w:rsidRPr="00682E89">
        <w:rPr>
          <w:rFonts w:cs="Arial"/>
          <w:szCs w:val="24"/>
        </w:rPr>
        <w:t>1.821</w:t>
      </w:r>
      <w:r w:rsidR="00070BA1" w:rsidRPr="00682E89">
        <w:rPr>
          <w:rFonts w:cs="Arial"/>
          <w:szCs w:val="24"/>
        </w:rPr>
        <w:t xml:space="preserve"> to 1.5</w:t>
      </w:r>
      <w:r w:rsidR="002B19A0" w:rsidRPr="00682E89">
        <w:rPr>
          <w:rFonts w:cs="Arial"/>
          <w:szCs w:val="24"/>
        </w:rPr>
        <w:t>32</w:t>
      </w:r>
      <w:r w:rsidR="00070BA1" w:rsidRPr="00682E89">
        <w:rPr>
          <w:rFonts w:cs="Arial"/>
          <w:szCs w:val="24"/>
        </w:rPr>
        <w:t xml:space="preserve"> in 2024, which shows that </w:t>
      </w:r>
      <w:r w:rsidR="002B19A0" w:rsidRPr="00682E89">
        <w:rPr>
          <w:rFonts w:cs="Arial"/>
          <w:szCs w:val="24"/>
        </w:rPr>
        <w:t xml:space="preserve">it is </w:t>
      </w:r>
      <w:r w:rsidR="00070BA1" w:rsidRPr="00682E89">
        <w:rPr>
          <w:rFonts w:cs="Arial"/>
          <w:szCs w:val="24"/>
        </w:rPr>
        <w:t xml:space="preserve">experiencing a small reduction in its short-term liability coverage capacity by current assets. Although the ratio still indicates the ability of the firm to meet its obligations, the decreasing trend indicates the declining liquidity and the possible cash </w:t>
      </w:r>
      <w:r w:rsidR="002B19A0" w:rsidRPr="00682E89">
        <w:rPr>
          <w:rFonts w:cs="Arial"/>
          <w:szCs w:val="24"/>
        </w:rPr>
        <w:t>flow</w:t>
      </w:r>
      <w:r w:rsidR="00070BA1" w:rsidRPr="00682E89">
        <w:rPr>
          <w:rFonts w:cs="Arial"/>
          <w:szCs w:val="24"/>
        </w:rPr>
        <w:t xml:space="preserve"> problem. The </w:t>
      </w:r>
      <w:r w:rsidR="00536A5E" w:rsidRPr="00682E89">
        <w:rPr>
          <w:rFonts w:cs="Arial"/>
          <w:szCs w:val="24"/>
        </w:rPr>
        <w:t>acid test</w:t>
      </w:r>
      <w:r w:rsidR="00070BA1" w:rsidRPr="00682E89">
        <w:rPr>
          <w:rFonts w:cs="Arial"/>
          <w:szCs w:val="24"/>
        </w:rPr>
        <w:t xml:space="preserve"> </w:t>
      </w:r>
      <w:r w:rsidR="00536A5E" w:rsidRPr="00682E89">
        <w:rPr>
          <w:rFonts w:cs="Arial"/>
          <w:szCs w:val="24"/>
        </w:rPr>
        <w:t>r</w:t>
      </w:r>
      <w:r w:rsidR="00070BA1" w:rsidRPr="00682E89">
        <w:rPr>
          <w:rFonts w:cs="Arial"/>
          <w:szCs w:val="24"/>
        </w:rPr>
        <w:t xml:space="preserve">atio had also declined, with a decrease in 2020 of 1.15 to 1.03 in 2024, which was mainly due to </w:t>
      </w:r>
      <w:r w:rsidR="00536A5E" w:rsidRPr="00682E89">
        <w:rPr>
          <w:rFonts w:cs="Arial"/>
          <w:szCs w:val="24"/>
        </w:rPr>
        <w:t xml:space="preserve">an </w:t>
      </w:r>
      <w:r w:rsidR="00070BA1" w:rsidRPr="00682E89">
        <w:rPr>
          <w:rFonts w:cs="Arial"/>
          <w:szCs w:val="24"/>
        </w:rPr>
        <w:t>increase in inventories. It is an indication of increasing the ratio of current assets to the total assets of the company</w:t>
      </w:r>
      <w:r w:rsidR="00536A5E" w:rsidRPr="00682E89">
        <w:rPr>
          <w:rFonts w:cs="Arial"/>
          <w:szCs w:val="24"/>
        </w:rPr>
        <w:t>, which is allocated to the unsold goods,</w:t>
      </w:r>
      <w:r w:rsidR="00070BA1" w:rsidRPr="00682E89">
        <w:rPr>
          <w:rFonts w:cs="Arial"/>
          <w:szCs w:val="24"/>
        </w:rPr>
        <w:t xml:space="preserve"> that may impact the liquidity. </w:t>
      </w:r>
      <w:r w:rsidR="00536A5E" w:rsidRPr="00682E89">
        <w:rPr>
          <w:rFonts w:cs="Arial"/>
          <w:szCs w:val="24"/>
        </w:rPr>
        <w:t>These ratios are moving closer to the critical 1 threshold,</w:t>
      </w:r>
      <w:r w:rsidR="00070BA1" w:rsidRPr="00682E89">
        <w:rPr>
          <w:rFonts w:cs="Arial"/>
          <w:szCs w:val="24"/>
        </w:rPr>
        <w:t xml:space="preserve"> which shows that the liquidity threats are real</w:t>
      </w:r>
      <w:r w:rsidR="00603A27" w:rsidRPr="00682E89">
        <w:rPr>
          <w:rFonts w:cs="Arial"/>
          <w:szCs w:val="24"/>
        </w:rPr>
        <w:t xml:space="preserve"> (</w:t>
      </w:r>
      <w:r w:rsidR="00603A27" w:rsidRPr="00682E89">
        <w:rPr>
          <w:rFonts w:cs="Arial"/>
          <w:szCs w:val="24"/>
          <w:shd w:val="clear" w:color="auto" w:fill="FFFFFF"/>
        </w:rPr>
        <w:t xml:space="preserve">Lalithchandra and Rajendhiran, 2021). </w:t>
      </w:r>
      <w:r w:rsidR="00070BA1" w:rsidRPr="00682E89">
        <w:rPr>
          <w:rFonts w:cs="Arial"/>
          <w:szCs w:val="24"/>
        </w:rPr>
        <w:t>The trend implies a loss in liquidity</w:t>
      </w:r>
      <w:r w:rsidR="00536A5E" w:rsidRPr="00682E89">
        <w:rPr>
          <w:rFonts w:cs="Arial"/>
          <w:szCs w:val="24"/>
        </w:rPr>
        <w:t>,</w:t>
      </w:r>
      <w:r w:rsidR="00070BA1" w:rsidRPr="00682E89">
        <w:rPr>
          <w:rFonts w:cs="Arial"/>
          <w:szCs w:val="24"/>
        </w:rPr>
        <w:t xml:space="preserve"> and the risk of encountering problems with cash flow increases</w:t>
      </w:r>
      <w:r w:rsidR="001A57CC" w:rsidRPr="00682E89">
        <w:rPr>
          <w:rFonts w:cs="Arial"/>
          <w:szCs w:val="24"/>
        </w:rPr>
        <w:t xml:space="preserve">. </w:t>
      </w:r>
    </w:p>
    <w:p w14:paraId="18DB4829" w14:textId="4E177307" w:rsidR="003340C2" w:rsidRPr="00682E89" w:rsidRDefault="003340C2" w:rsidP="008E5AAD">
      <w:pPr>
        <w:pStyle w:val="Heading3"/>
        <w:spacing w:before="240" w:after="240"/>
        <w:rPr>
          <w:rFonts w:cs="Arial"/>
          <w:lang w:val="en-IN"/>
        </w:rPr>
      </w:pPr>
      <w:bookmarkStart w:id="7" w:name="_Toc214014902"/>
      <w:r w:rsidRPr="00682E89">
        <w:rPr>
          <w:rFonts w:cs="Arial"/>
          <w:lang w:val="en-IN"/>
        </w:rPr>
        <w:lastRenderedPageBreak/>
        <w:t>Efficiency Ratios</w:t>
      </w:r>
      <w:bookmarkEnd w:id="7"/>
      <w:r w:rsidRPr="00682E89">
        <w:rPr>
          <w:rFonts w:cs="Arial"/>
          <w:lang w:val="en-IN"/>
        </w:rPr>
        <w:t xml:space="preserve"> </w:t>
      </w:r>
    </w:p>
    <w:p w14:paraId="1EAC3489" w14:textId="62FBC75B" w:rsidR="00070BA1" w:rsidRPr="00682E89" w:rsidRDefault="00070BA1" w:rsidP="008E5AAD">
      <w:pPr>
        <w:jc w:val="center"/>
        <w:rPr>
          <w:rFonts w:cs="Arial"/>
          <w:b/>
          <w:bCs/>
          <w:i/>
          <w:iCs/>
          <w:szCs w:val="24"/>
        </w:rPr>
      </w:pPr>
      <w:r w:rsidRPr="00682E89">
        <w:rPr>
          <w:rFonts w:cs="Arial"/>
          <w:noProof/>
          <w:szCs w:val="24"/>
        </w:rPr>
        <w:drawing>
          <wp:inline distT="0" distB="0" distL="0" distR="0" wp14:anchorId="701BC905" wp14:editId="74FBB249">
            <wp:extent cx="4572000" cy="2743200"/>
            <wp:effectExtent l="0" t="0" r="0" b="0"/>
            <wp:docPr id="1208926403" name="Chart 1">
              <a:extLst xmlns:a="http://schemas.openxmlformats.org/drawingml/2006/main">
                <a:ext uri="{FF2B5EF4-FFF2-40B4-BE49-F238E27FC236}">
                  <a16:creationId xmlns:a16="http://schemas.microsoft.com/office/drawing/2014/main" id="{A5065E56-8EA0-73B9-7BEA-A8174DC76C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FA1B7E2" w14:textId="6BC1C375" w:rsidR="00B37D7C" w:rsidRPr="00682E89" w:rsidRDefault="00B37D7C" w:rsidP="008E5AAD">
      <w:pPr>
        <w:jc w:val="center"/>
        <w:rPr>
          <w:rFonts w:cs="Arial"/>
          <w:b/>
          <w:bCs/>
          <w:i/>
          <w:iCs/>
          <w:szCs w:val="24"/>
        </w:rPr>
      </w:pPr>
      <w:bookmarkStart w:id="8" w:name="_Toc214014929"/>
      <w:r w:rsidRPr="00682E89">
        <w:rPr>
          <w:rFonts w:cs="Arial"/>
          <w:b/>
          <w:bCs/>
          <w:i/>
          <w:iCs/>
          <w:szCs w:val="24"/>
        </w:rPr>
        <w:t xml:space="preserve">Figure </w:t>
      </w:r>
      <w:r w:rsidRPr="00682E89">
        <w:rPr>
          <w:rFonts w:cs="Arial"/>
          <w:b/>
          <w:bCs/>
          <w:i/>
          <w:iCs/>
          <w:szCs w:val="24"/>
        </w:rPr>
        <w:fldChar w:fldCharType="begin"/>
      </w:r>
      <w:r w:rsidRPr="00682E89">
        <w:rPr>
          <w:rFonts w:cs="Arial"/>
          <w:b/>
          <w:bCs/>
          <w:i/>
          <w:iCs/>
          <w:szCs w:val="24"/>
        </w:rPr>
        <w:instrText xml:space="preserve"> SEQ Figure \* ARABIC </w:instrText>
      </w:r>
      <w:r w:rsidRPr="00682E89">
        <w:rPr>
          <w:rFonts w:cs="Arial"/>
          <w:b/>
          <w:bCs/>
          <w:i/>
          <w:iCs/>
          <w:szCs w:val="24"/>
        </w:rPr>
        <w:fldChar w:fldCharType="separate"/>
      </w:r>
      <w:r w:rsidR="004A0391">
        <w:rPr>
          <w:rFonts w:cs="Arial"/>
          <w:b/>
          <w:bCs/>
          <w:i/>
          <w:iCs/>
          <w:noProof/>
          <w:szCs w:val="24"/>
        </w:rPr>
        <w:t>3</w:t>
      </w:r>
      <w:r w:rsidRPr="00682E89">
        <w:rPr>
          <w:rFonts w:cs="Arial"/>
          <w:b/>
          <w:bCs/>
          <w:i/>
          <w:iCs/>
          <w:szCs w:val="24"/>
        </w:rPr>
        <w:fldChar w:fldCharType="end"/>
      </w:r>
      <w:r w:rsidRPr="00682E89">
        <w:rPr>
          <w:rFonts w:cs="Arial"/>
          <w:b/>
          <w:bCs/>
          <w:i/>
          <w:iCs/>
          <w:szCs w:val="24"/>
        </w:rPr>
        <w:t>: Efficiency Ratios</w:t>
      </w:r>
      <w:bookmarkEnd w:id="8"/>
    </w:p>
    <w:p w14:paraId="1056BCE0" w14:textId="3E9502C8" w:rsidR="00070BA1" w:rsidRPr="00682E89" w:rsidRDefault="009B0C90" w:rsidP="008E5AAD">
      <w:pPr>
        <w:rPr>
          <w:rFonts w:cs="Arial"/>
          <w:szCs w:val="24"/>
          <w:lang w:val="en-IN"/>
        </w:rPr>
      </w:pPr>
      <w:r w:rsidRPr="00682E89">
        <w:rPr>
          <w:rFonts w:cs="Arial"/>
          <w:szCs w:val="24"/>
          <w:lang w:val="en-IN"/>
        </w:rPr>
        <w:t xml:space="preserve">Ratios such as </w:t>
      </w:r>
      <w:r w:rsidR="00164E4C" w:rsidRPr="00682E89">
        <w:rPr>
          <w:rFonts w:cs="Arial"/>
          <w:szCs w:val="24"/>
          <w:lang w:val="en-IN"/>
        </w:rPr>
        <w:t>investor</w:t>
      </w:r>
      <w:r w:rsidRPr="00682E89">
        <w:rPr>
          <w:rFonts w:cs="Arial"/>
          <w:szCs w:val="24"/>
          <w:lang w:val="en-IN"/>
        </w:rPr>
        <w:t xml:space="preserve"> turnover, asset turnover and </w:t>
      </w:r>
      <w:r w:rsidR="00164E4C" w:rsidRPr="00682E89">
        <w:rPr>
          <w:rFonts w:cs="Arial"/>
          <w:szCs w:val="24"/>
          <w:lang w:val="en-IN"/>
        </w:rPr>
        <w:t>receivables</w:t>
      </w:r>
      <w:r w:rsidRPr="00682E89">
        <w:rPr>
          <w:rFonts w:cs="Arial"/>
          <w:szCs w:val="24"/>
          <w:lang w:val="en-IN"/>
        </w:rPr>
        <w:t xml:space="preserve"> turnover ratios are the key efficiency measures of an organisation</w:t>
      </w:r>
      <w:r w:rsidR="00784507" w:rsidRPr="00682E89">
        <w:rPr>
          <w:rFonts w:cs="Arial"/>
          <w:szCs w:val="24"/>
          <w:lang w:val="en-IN"/>
        </w:rPr>
        <w:t>,</w:t>
      </w:r>
      <w:r w:rsidRPr="00682E89">
        <w:rPr>
          <w:rFonts w:cs="Arial"/>
          <w:szCs w:val="24"/>
          <w:lang w:val="en-IN"/>
        </w:rPr>
        <w:t xml:space="preserve"> which </w:t>
      </w:r>
      <w:r w:rsidR="00D11F37" w:rsidRPr="00682E89">
        <w:rPr>
          <w:rFonts w:cs="Arial"/>
          <w:szCs w:val="24"/>
          <w:lang w:val="en-IN"/>
        </w:rPr>
        <w:t>determine</w:t>
      </w:r>
      <w:r w:rsidRPr="00682E89">
        <w:rPr>
          <w:rFonts w:cs="Arial"/>
          <w:szCs w:val="24"/>
          <w:lang w:val="en-IN"/>
        </w:rPr>
        <w:t xml:space="preserve"> </w:t>
      </w:r>
      <w:r w:rsidR="00C51F8F" w:rsidRPr="00682E89">
        <w:rPr>
          <w:rFonts w:cs="Arial"/>
          <w:szCs w:val="24"/>
          <w:lang w:val="en-IN"/>
        </w:rPr>
        <w:t xml:space="preserve">the </w:t>
      </w:r>
      <w:r w:rsidR="00751755" w:rsidRPr="00682E89">
        <w:rPr>
          <w:rFonts w:cs="Arial"/>
          <w:szCs w:val="24"/>
          <w:lang w:val="en-IN"/>
        </w:rPr>
        <w:t>effectiveness</w:t>
      </w:r>
      <w:r w:rsidR="009608BF" w:rsidRPr="00682E89">
        <w:rPr>
          <w:rFonts w:cs="Arial"/>
          <w:szCs w:val="24"/>
          <w:lang w:val="en-IN"/>
        </w:rPr>
        <w:t xml:space="preserve"> of using assets and liabilities to generate revenue and profits</w:t>
      </w:r>
      <w:r w:rsidR="00751755" w:rsidRPr="00682E89">
        <w:rPr>
          <w:rFonts w:cs="Arial"/>
          <w:szCs w:val="24"/>
          <w:lang w:val="en-IN"/>
        </w:rPr>
        <w:t xml:space="preserve"> </w:t>
      </w:r>
      <w:r w:rsidR="00D66A9C" w:rsidRPr="00682E89">
        <w:rPr>
          <w:rFonts w:cs="Arial"/>
          <w:szCs w:val="24"/>
          <w:lang w:val="en-IN"/>
        </w:rPr>
        <w:t>(</w:t>
      </w:r>
      <w:r w:rsidR="002D7380" w:rsidRPr="00682E89">
        <w:rPr>
          <w:rFonts w:cs="Arial"/>
          <w:szCs w:val="24"/>
          <w:lang w:val="en-IN"/>
        </w:rPr>
        <w:t>Bichachi, 2022).</w:t>
      </w:r>
      <w:r w:rsidR="001A57CC" w:rsidRPr="00682E89">
        <w:rPr>
          <w:rFonts w:cs="Arial"/>
          <w:szCs w:val="24"/>
          <w:lang w:val="en-IN"/>
        </w:rPr>
        <w:t xml:space="preserve"> </w:t>
      </w:r>
      <w:r w:rsidR="00070BA1" w:rsidRPr="00682E89">
        <w:rPr>
          <w:rFonts w:cs="Arial"/>
          <w:szCs w:val="24"/>
        </w:rPr>
        <w:t xml:space="preserve">The number of Receivables Turnover Days has risen </w:t>
      </w:r>
      <w:r w:rsidR="001A57CC" w:rsidRPr="00682E89">
        <w:rPr>
          <w:rFonts w:cs="Arial"/>
          <w:szCs w:val="24"/>
        </w:rPr>
        <w:t>from 77 days in 2020 to 106 days in 2024</w:t>
      </w:r>
      <w:r w:rsidR="00070BA1" w:rsidRPr="00682E89">
        <w:rPr>
          <w:rFonts w:cs="Arial"/>
          <w:szCs w:val="24"/>
        </w:rPr>
        <w:t xml:space="preserve">, which indicates </w:t>
      </w:r>
      <w:r w:rsidR="001A57CC" w:rsidRPr="00682E89">
        <w:rPr>
          <w:rFonts w:cs="Arial"/>
          <w:szCs w:val="24"/>
        </w:rPr>
        <w:t>a slowdown in</w:t>
      </w:r>
      <w:r w:rsidR="00070BA1" w:rsidRPr="00682E89">
        <w:rPr>
          <w:rFonts w:cs="Arial"/>
          <w:szCs w:val="24"/>
        </w:rPr>
        <w:t xml:space="preserve"> the process of collecting money owed by customers. </w:t>
      </w:r>
      <w:r w:rsidR="001A57CC" w:rsidRPr="00682E89">
        <w:rPr>
          <w:rFonts w:cs="Arial"/>
          <w:szCs w:val="24"/>
        </w:rPr>
        <w:t xml:space="preserve">This puts the company in question </w:t>
      </w:r>
      <w:r w:rsidR="00D87B4E" w:rsidRPr="00682E89">
        <w:rPr>
          <w:rFonts w:cs="Arial"/>
          <w:szCs w:val="24"/>
        </w:rPr>
        <w:t>regarding</w:t>
      </w:r>
      <w:r w:rsidR="001A57CC" w:rsidRPr="00682E89">
        <w:rPr>
          <w:rFonts w:cs="Arial"/>
          <w:szCs w:val="24"/>
        </w:rPr>
        <w:t xml:space="preserve"> ineffective handling of its credit,</w:t>
      </w:r>
      <w:r w:rsidR="00070BA1" w:rsidRPr="00682E89">
        <w:rPr>
          <w:rFonts w:cs="Arial"/>
          <w:szCs w:val="24"/>
        </w:rPr>
        <w:t xml:space="preserve"> or the customers are paying at a slower rate</w:t>
      </w:r>
      <w:r w:rsidR="003707AC" w:rsidRPr="00682E89">
        <w:rPr>
          <w:rFonts w:cs="Arial"/>
          <w:szCs w:val="24"/>
        </w:rPr>
        <w:t>, which adversely impacts cash flow</w:t>
      </w:r>
      <w:r w:rsidR="00070BA1" w:rsidRPr="00682E89">
        <w:rPr>
          <w:rFonts w:cs="Arial"/>
          <w:szCs w:val="24"/>
        </w:rPr>
        <w:t xml:space="preserve">. </w:t>
      </w:r>
      <w:r w:rsidR="006968A0" w:rsidRPr="00682E89">
        <w:rPr>
          <w:rFonts w:cs="Arial"/>
          <w:szCs w:val="24"/>
        </w:rPr>
        <w:t>Also</w:t>
      </w:r>
      <w:r w:rsidR="00070BA1" w:rsidRPr="00682E89">
        <w:rPr>
          <w:rFonts w:cs="Arial"/>
          <w:szCs w:val="24"/>
        </w:rPr>
        <w:t xml:space="preserve">, there was a slight </w:t>
      </w:r>
      <w:r w:rsidR="003707AC" w:rsidRPr="00682E89">
        <w:rPr>
          <w:rFonts w:cs="Arial"/>
          <w:szCs w:val="24"/>
        </w:rPr>
        <w:t xml:space="preserve">increase </w:t>
      </w:r>
      <w:r w:rsidR="00070BA1" w:rsidRPr="00682E89">
        <w:rPr>
          <w:rFonts w:cs="Arial"/>
          <w:szCs w:val="24"/>
        </w:rPr>
        <w:t xml:space="preserve">in the Inventory Turnover Days </w:t>
      </w:r>
      <w:r w:rsidR="003707AC" w:rsidRPr="00682E89">
        <w:rPr>
          <w:rFonts w:cs="Arial"/>
          <w:szCs w:val="24"/>
        </w:rPr>
        <w:t>from 100 days to 103 days in 2020 and 2024,</w:t>
      </w:r>
      <w:r w:rsidR="00070BA1" w:rsidRPr="00682E89">
        <w:rPr>
          <w:rFonts w:cs="Arial"/>
          <w:szCs w:val="24"/>
        </w:rPr>
        <w:t xml:space="preserve"> respectively. The change is small</w:t>
      </w:r>
      <w:r w:rsidR="003707AC" w:rsidRPr="00682E89">
        <w:rPr>
          <w:rFonts w:cs="Arial"/>
          <w:szCs w:val="24"/>
        </w:rPr>
        <w:t>, but this suggests that the company is taking longer to sell its inventory</w:t>
      </w:r>
      <w:r w:rsidR="009C6EFD" w:rsidRPr="00682E89">
        <w:rPr>
          <w:rFonts w:cs="Arial"/>
          <w:szCs w:val="24"/>
        </w:rPr>
        <w:t>,</w:t>
      </w:r>
      <w:r w:rsidR="003707AC" w:rsidRPr="00682E89">
        <w:rPr>
          <w:rFonts w:cs="Arial"/>
          <w:szCs w:val="24"/>
        </w:rPr>
        <w:t xml:space="preserve"> which suggests </w:t>
      </w:r>
      <w:r w:rsidR="00070BA1" w:rsidRPr="00682E89">
        <w:rPr>
          <w:rFonts w:cs="Arial"/>
          <w:szCs w:val="24"/>
        </w:rPr>
        <w:t xml:space="preserve">a lack of sales, overproduction, or poor inventory turnover. The unused inventory is a liability on the working capital and worsens the cash flow problems of the firm. </w:t>
      </w:r>
    </w:p>
    <w:p w14:paraId="0E165EE6" w14:textId="41B9E3FE" w:rsidR="007E74E2" w:rsidRPr="00682E89" w:rsidRDefault="007E74E2" w:rsidP="008E5AAD">
      <w:pPr>
        <w:pStyle w:val="Heading3"/>
        <w:spacing w:before="240" w:after="240"/>
        <w:rPr>
          <w:rFonts w:cs="Arial"/>
          <w:lang w:val="en-IN"/>
        </w:rPr>
      </w:pPr>
      <w:bookmarkStart w:id="9" w:name="_Toc214014903"/>
      <w:r w:rsidRPr="00682E89">
        <w:rPr>
          <w:rFonts w:cs="Arial"/>
          <w:lang w:val="en-IN"/>
        </w:rPr>
        <w:lastRenderedPageBreak/>
        <w:t>Gearing Ratios</w:t>
      </w:r>
      <w:bookmarkEnd w:id="9"/>
      <w:r w:rsidRPr="00682E89">
        <w:rPr>
          <w:rFonts w:cs="Arial"/>
          <w:lang w:val="en-IN"/>
        </w:rPr>
        <w:t xml:space="preserve"> </w:t>
      </w:r>
    </w:p>
    <w:p w14:paraId="3AE6E1F6" w14:textId="275C8F99" w:rsidR="00070BA1" w:rsidRPr="00682E89" w:rsidRDefault="00070BA1" w:rsidP="008E5AAD">
      <w:pPr>
        <w:jc w:val="center"/>
        <w:rPr>
          <w:rFonts w:cs="Arial"/>
          <w:b/>
          <w:bCs/>
          <w:i/>
          <w:iCs/>
          <w:szCs w:val="24"/>
        </w:rPr>
      </w:pPr>
      <w:r w:rsidRPr="00682E89">
        <w:rPr>
          <w:rFonts w:cs="Arial"/>
          <w:noProof/>
          <w:szCs w:val="24"/>
        </w:rPr>
        <w:drawing>
          <wp:inline distT="0" distB="0" distL="0" distR="0" wp14:anchorId="24FD9D5A" wp14:editId="308A4516">
            <wp:extent cx="4572000" cy="2628900"/>
            <wp:effectExtent l="0" t="0" r="0" b="0"/>
            <wp:docPr id="452431277" name="Chart 1">
              <a:extLst xmlns:a="http://schemas.openxmlformats.org/drawingml/2006/main">
                <a:ext uri="{FF2B5EF4-FFF2-40B4-BE49-F238E27FC236}">
                  <a16:creationId xmlns:a16="http://schemas.microsoft.com/office/drawing/2014/main" id="{AD37A1E4-0C04-030F-E6E4-60EC42356F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4AEF939" w14:textId="3966DEFA" w:rsidR="00A938A6" w:rsidRPr="00682E89" w:rsidRDefault="00663F12" w:rsidP="008E5AAD">
      <w:pPr>
        <w:jc w:val="center"/>
        <w:rPr>
          <w:rFonts w:cs="Arial"/>
          <w:b/>
          <w:bCs/>
          <w:i/>
          <w:iCs/>
          <w:szCs w:val="24"/>
          <w:lang w:val="en-IN"/>
        </w:rPr>
      </w:pPr>
      <w:bookmarkStart w:id="10" w:name="_Toc214014930"/>
      <w:r w:rsidRPr="00682E89">
        <w:rPr>
          <w:rFonts w:cs="Arial"/>
          <w:b/>
          <w:bCs/>
          <w:i/>
          <w:iCs/>
          <w:szCs w:val="24"/>
        </w:rPr>
        <w:t xml:space="preserve">Figure </w:t>
      </w:r>
      <w:r w:rsidRPr="00682E89">
        <w:rPr>
          <w:rFonts w:cs="Arial"/>
          <w:b/>
          <w:bCs/>
          <w:i/>
          <w:iCs/>
          <w:szCs w:val="24"/>
        </w:rPr>
        <w:fldChar w:fldCharType="begin"/>
      </w:r>
      <w:r w:rsidRPr="00682E89">
        <w:rPr>
          <w:rFonts w:cs="Arial"/>
          <w:b/>
          <w:bCs/>
          <w:i/>
          <w:iCs/>
          <w:szCs w:val="24"/>
        </w:rPr>
        <w:instrText xml:space="preserve"> SEQ Figure \* ARABIC </w:instrText>
      </w:r>
      <w:r w:rsidRPr="00682E89">
        <w:rPr>
          <w:rFonts w:cs="Arial"/>
          <w:b/>
          <w:bCs/>
          <w:i/>
          <w:iCs/>
          <w:szCs w:val="24"/>
        </w:rPr>
        <w:fldChar w:fldCharType="separate"/>
      </w:r>
      <w:r w:rsidR="004A0391">
        <w:rPr>
          <w:rFonts w:cs="Arial"/>
          <w:b/>
          <w:bCs/>
          <w:i/>
          <w:iCs/>
          <w:noProof/>
          <w:szCs w:val="24"/>
        </w:rPr>
        <w:t>4</w:t>
      </w:r>
      <w:r w:rsidRPr="00682E89">
        <w:rPr>
          <w:rFonts w:cs="Arial"/>
          <w:b/>
          <w:bCs/>
          <w:i/>
          <w:iCs/>
          <w:szCs w:val="24"/>
        </w:rPr>
        <w:fldChar w:fldCharType="end"/>
      </w:r>
      <w:r w:rsidRPr="00682E89">
        <w:rPr>
          <w:rFonts w:cs="Arial"/>
          <w:b/>
          <w:bCs/>
          <w:i/>
          <w:iCs/>
          <w:szCs w:val="24"/>
        </w:rPr>
        <w:t>: Gearing Ratios</w:t>
      </w:r>
      <w:bookmarkEnd w:id="10"/>
    </w:p>
    <w:p w14:paraId="644D75CB" w14:textId="7155694A" w:rsidR="00070BA1" w:rsidRPr="00682E89" w:rsidRDefault="002036AF" w:rsidP="008E5AAD">
      <w:pPr>
        <w:rPr>
          <w:rFonts w:cs="Arial"/>
          <w:szCs w:val="24"/>
          <w:lang w:val="en-IN"/>
        </w:rPr>
      </w:pPr>
      <w:r w:rsidRPr="00682E89">
        <w:rPr>
          <w:rFonts w:cs="Arial"/>
          <w:szCs w:val="24"/>
          <w:lang w:val="en-IN"/>
        </w:rPr>
        <w:t xml:space="preserve">A business </w:t>
      </w:r>
      <w:r w:rsidR="007928B9" w:rsidRPr="00682E89">
        <w:rPr>
          <w:rFonts w:cs="Arial"/>
          <w:szCs w:val="24"/>
          <w:lang w:val="en-IN"/>
        </w:rPr>
        <w:t>analyses</w:t>
      </w:r>
      <w:r w:rsidRPr="00682E89">
        <w:rPr>
          <w:rFonts w:cs="Arial"/>
          <w:szCs w:val="24"/>
          <w:lang w:val="en-IN"/>
        </w:rPr>
        <w:t xml:space="preserve"> its financial </w:t>
      </w:r>
      <w:r w:rsidR="00CB1CC7" w:rsidRPr="00682E89">
        <w:rPr>
          <w:rFonts w:cs="Arial"/>
          <w:szCs w:val="24"/>
          <w:lang w:val="en-IN"/>
        </w:rPr>
        <w:t>leverage</w:t>
      </w:r>
      <w:r w:rsidRPr="00682E89">
        <w:rPr>
          <w:rFonts w:cs="Arial"/>
          <w:szCs w:val="24"/>
          <w:lang w:val="en-IN"/>
        </w:rPr>
        <w:t xml:space="preserve"> with a comparison of the debt in relation to its equity</w:t>
      </w:r>
      <w:r w:rsidR="007928B9" w:rsidRPr="00682E89">
        <w:rPr>
          <w:rFonts w:cs="Arial"/>
          <w:szCs w:val="24"/>
          <w:lang w:val="en-IN"/>
        </w:rPr>
        <w:t>,</w:t>
      </w:r>
      <w:r w:rsidRPr="00682E89">
        <w:rPr>
          <w:rFonts w:cs="Arial"/>
          <w:szCs w:val="24"/>
          <w:lang w:val="en-IN"/>
        </w:rPr>
        <w:t xml:space="preserve"> </w:t>
      </w:r>
      <w:r w:rsidR="003171B0" w:rsidRPr="00682E89">
        <w:rPr>
          <w:rFonts w:cs="Arial"/>
          <w:szCs w:val="24"/>
          <w:lang w:val="en-IN"/>
        </w:rPr>
        <w:t xml:space="preserve">which is defined as gearing ratios such as </w:t>
      </w:r>
      <w:r w:rsidR="000D3FF3" w:rsidRPr="00682E89">
        <w:rPr>
          <w:rFonts w:cs="Arial"/>
          <w:szCs w:val="24"/>
          <w:lang w:val="en-IN"/>
        </w:rPr>
        <w:t xml:space="preserve">the </w:t>
      </w:r>
      <w:r w:rsidR="00E131EC" w:rsidRPr="00682E89">
        <w:rPr>
          <w:rFonts w:cs="Arial"/>
          <w:szCs w:val="24"/>
          <w:lang w:val="en-IN"/>
        </w:rPr>
        <w:t>debt-to-equity</w:t>
      </w:r>
      <w:r w:rsidR="003171B0" w:rsidRPr="00682E89">
        <w:rPr>
          <w:rFonts w:cs="Arial"/>
          <w:szCs w:val="24"/>
          <w:lang w:val="en-IN"/>
        </w:rPr>
        <w:t xml:space="preserve"> ratio (</w:t>
      </w:r>
      <w:r w:rsidR="007928B9" w:rsidRPr="00682E89">
        <w:rPr>
          <w:rFonts w:cs="Arial"/>
          <w:szCs w:val="24"/>
          <w:lang w:val="en-IN"/>
        </w:rPr>
        <w:t xml:space="preserve">Allianz, 2024). </w:t>
      </w:r>
      <w:r w:rsidR="00070BA1" w:rsidRPr="00682E89">
        <w:rPr>
          <w:rFonts w:cs="Arial"/>
          <w:szCs w:val="24"/>
        </w:rPr>
        <w:t xml:space="preserve">The Debt-Equity Ratio has been low </w:t>
      </w:r>
      <w:r w:rsidR="00176ABE" w:rsidRPr="00682E89">
        <w:rPr>
          <w:rFonts w:cs="Arial"/>
          <w:szCs w:val="24"/>
        </w:rPr>
        <w:t xml:space="preserve">despite </w:t>
      </w:r>
      <w:r w:rsidR="00070BA1" w:rsidRPr="00682E89">
        <w:rPr>
          <w:rFonts w:cs="Arial"/>
          <w:szCs w:val="24"/>
        </w:rPr>
        <w:t xml:space="preserve">the rise </w:t>
      </w:r>
      <w:r w:rsidR="00176ABE" w:rsidRPr="00682E89">
        <w:rPr>
          <w:rFonts w:cs="Arial"/>
          <w:szCs w:val="24"/>
        </w:rPr>
        <w:t xml:space="preserve">from </w:t>
      </w:r>
      <w:r w:rsidR="00070BA1" w:rsidRPr="00682E89">
        <w:rPr>
          <w:rFonts w:cs="Arial"/>
          <w:szCs w:val="24"/>
        </w:rPr>
        <w:t xml:space="preserve">0.056 in 2020 </w:t>
      </w:r>
      <w:r w:rsidR="00176ABE" w:rsidRPr="00682E89">
        <w:rPr>
          <w:rFonts w:cs="Arial"/>
          <w:szCs w:val="24"/>
        </w:rPr>
        <w:t>to</w:t>
      </w:r>
      <w:r w:rsidR="00070BA1" w:rsidRPr="00682E89">
        <w:rPr>
          <w:rFonts w:cs="Arial"/>
          <w:szCs w:val="24"/>
        </w:rPr>
        <w:t xml:space="preserve"> 0.078 in 2024. It implies that the company has become a little bit more dependent on debt financing. </w:t>
      </w:r>
      <w:r w:rsidR="0060635B" w:rsidRPr="00682E89">
        <w:rPr>
          <w:rFonts w:cs="Arial"/>
          <w:szCs w:val="24"/>
        </w:rPr>
        <w:t>The trend has been on an upward trend,</w:t>
      </w:r>
      <w:r w:rsidR="00070BA1" w:rsidRPr="00682E89">
        <w:rPr>
          <w:rFonts w:cs="Arial"/>
          <w:szCs w:val="24"/>
        </w:rPr>
        <w:t xml:space="preserve"> showing that there may be issues with rising levels of debt as profitability keeps </w:t>
      </w:r>
      <w:r w:rsidR="0060635B" w:rsidRPr="00682E89">
        <w:rPr>
          <w:rFonts w:cs="Arial"/>
          <w:szCs w:val="24"/>
        </w:rPr>
        <w:t>decreasing</w:t>
      </w:r>
      <w:r w:rsidR="00070BA1" w:rsidRPr="00682E89">
        <w:rPr>
          <w:rFonts w:cs="Arial"/>
          <w:szCs w:val="24"/>
        </w:rPr>
        <w:t xml:space="preserve">. </w:t>
      </w:r>
      <w:r w:rsidR="0060635B" w:rsidRPr="00682E89">
        <w:rPr>
          <w:rFonts w:cs="Arial"/>
          <w:szCs w:val="24"/>
        </w:rPr>
        <w:t>T</w:t>
      </w:r>
      <w:r w:rsidR="00070BA1" w:rsidRPr="00682E89">
        <w:rPr>
          <w:rFonts w:cs="Arial"/>
          <w:szCs w:val="24"/>
        </w:rPr>
        <w:t>he Interest Coverage Ratio</w:t>
      </w:r>
      <w:r w:rsidR="0060635B" w:rsidRPr="00682E89">
        <w:rPr>
          <w:rFonts w:cs="Arial"/>
          <w:szCs w:val="24"/>
        </w:rPr>
        <w:t xml:space="preserve"> is still worse</w:t>
      </w:r>
      <w:r w:rsidR="00D12243" w:rsidRPr="00682E89">
        <w:rPr>
          <w:rFonts w:cs="Arial"/>
          <w:szCs w:val="24"/>
        </w:rPr>
        <w:t xml:space="preserve">, as it </w:t>
      </w:r>
      <w:r w:rsidR="0060635B" w:rsidRPr="00682E89">
        <w:rPr>
          <w:rFonts w:cs="Arial"/>
          <w:szCs w:val="24"/>
        </w:rPr>
        <w:t xml:space="preserve">decreased </w:t>
      </w:r>
      <w:r w:rsidR="00D12243" w:rsidRPr="00682E89">
        <w:rPr>
          <w:rFonts w:cs="Arial"/>
          <w:szCs w:val="24"/>
        </w:rPr>
        <w:t>from</w:t>
      </w:r>
      <w:r w:rsidR="0060635B" w:rsidRPr="00682E89">
        <w:rPr>
          <w:rFonts w:cs="Arial"/>
          <w:szCs w:val="24"/>
        </w:rPr>
        <w:t xml:space="preserve"> 26.21 </w:t>
      </w:r>
      <w:r w:rsidR="00D12243" w:rsidRPr="00682E89">
        <w:rPr>
          <w:rFonts w:cs="Arial"/>
          <w:szCs w:val="24"/>
        </w:rPr>
        <w:t xml:space="preserve">in 2020 to </w:t>
      </w:r>
      <w:r w:rsidR="00070BA1" w:rsidRPr="00682E89">
        <w:rPr>
          <w:rFonts w:cs="Arial"/>
          <w:szCs w:val="24"/>
        </w:rPr>
        <w:t>-4.55</w:t>
      </w:r>
      <w:r w:rsidR="00D12243" w:rsidRPr="00682E89">
        <w:rPr>
          <w:rFonts w:cs="Arial"/>
          <w:szCs w:val="24"/>
        </w:rPr>
        <w:t xml:space="preserve"> in 2024</w:t>
      </w:r>
      <w:r w:rsidR="00070BA1" w:rsidRPr="00682E89">
        <w:rPr>
          <w:rFonts w:cs="Arial"/>
          <w:szCs w:val="24"/>
        </w:rPr>
        <w:t xml:space="preserve">, showing that the business is not capable of earning enough before interest and taxes (EBIT) to meet </w:t>
      </w:r>
      <w:r w:rsidR="00B2462B">
        <w:rPr>
          <w:rFonts w:cs="Arial"/>
          <w:szCs w:val="24"/>
        </w:rPr>
        <w:t>its</w:t>
      </w:r>
      <w:r w:rsidR="00070BA1" w:rsidRPr="00682E89">
        <w:rPr>
          <w:rFonts w:cs="Arial"/>
          <w:szCs w:val="24"/>
        </w:rPr>
        <w:t xml:space="preserve"> interest payments. A significant threat is the negative ratio, which is an indicator of </w:t>
      </w:r>
      <w:r w:rsidR="00D12243" w:rsidRPr="00682E89">
        <w:rPr>
          <w:rFonts w:cs="Arial"/>
          <w:szCs w:val="24"/>
        </w:rPr>
        <w:t>financial hardship and the company's inability</w:t>
      </w:r>
      <w:r w:rsidR="00070BA1" w:rsidRPr="00682E89">
        <w:rPr>
          <w:rFonts w:cs="Arial"/>
          <w:szCs w:val="24"/>
        </w:rPr>
        <w:t xml:space="preserve"> to cope with its debts. Urgent restructuring and cost reduction </w:t>
      </w:r>
      <w:r w:rsidR="00B2462B">
        <w:rPr>
          <w:rFonts w:cs="Arial"/>
          <w:szCs w:val="24"/>
        </w:rPr>
        <w:t>are required</w:t>
      </w:r>
      <w:r w:rsidR="00D12243" w:rsidRPr="00682E89">
        <w:rPr>
          <w:rFonts w:cs="Arial"/>
          <w:szCs w:val="24"/>
        </w:rPr>
        <w:t xml:space="preserve"> </w:t>
      </w:r>
      <w:r w:rsidR="00070BA1" w:rsidRPr="00682E89">
        <w:rPr>
          <w:rFonts w:cs="Arial"/>
          <w:szCs w:val="24"/>
        </w:rPr>
        <w:t>to enhance earnings and sustain financial stability</w:t>
      </w:r>
      <w:r w:rsidR="00C42275" w:rsidRPr="00682E89">
        <w:rPr>
          <w:rFonts w:cs="Arial"/>
          <w:szCs w:val="24"/>
        </w:rPr>
        <w:t xml:space="preserve">. </w:t>
      </w:r>
    </w:p>
    <w:p w14:paraId="01C16A3B" w14:textId="391006D5" w:rsidR="008370E9" w:rsidRPr="00202DA7" w:rsidRDefault="003340C2" w:rsidP="008E5AAD">
      <w:pPr>
        <w:pStyle w:val="Heading3"/>
        <w:spacing w:before="240" w:after="240"/>
        <w:rPr>
          <w:rFonts w:cs="Arial"/>
          <w:lang w:val="en-IN"/>
        </w:rPr>
      </w:pPr>
      <w:bookmarkStart w:id="11" w:name="_Toc214014904"/>
      <w:r w:rsidRPr="00682E89">
        <w:rPr>
          <w:rFonts w:cs="Arial"/>
          <w:lang w:val="en-IN"/>
        </w:rPr>
        <w:lastRenderedPageBreak/>
        <w:t>Investment Ratios</w:t>
      </w:r>
      <w:bookmarkEnd w:id="11"/>
      <w:r w:rsidRPr="00682E89">
        <w:rPr>
          <w:rFonts w:cs="Arial"/>
          <w:lang w:val="en-IN"/>
        </w:rPr>
        <w:t xml:space="preserve"> </w:t>
      </w:r>
    </w:p>
    <w:p w14:paraId="41839013" w14:textId="0A0962BC" w:rsidR="00070BA1" w:rsidRPr="00682E89" w:rsidRDefault="00070BA1" w:rsidP="008E5AAD">
      <w:pPr>
        <w:jc w:val="center"/>
        <w:rPr>
          <w:rFonts w:cs="Arial"/>
          <w:b/>
          <w:bCs/>
          <w:i/>
          <w:iCs/>
          <w:szCs w:val="24"/>
        </w:rPr>
      </w:pPr>
      <w:r w:rsidRPr="00682E89">
        <w:rPr>
          <w:rFonts w:cs="Arial"/>
          <w:noProof/>
          <w:szCs w:val="24"/>
        </w:rPr>
        <w:drawing>
          <wp:inline distT="0" distB="0" distL="0" distR="0" wp14:anchorId="251D7607" wp14:editId="7645B911">
            <wp:extent cx="4572000" cy="2628900"/>
            <wp:effectExtent l="0" t="0" r="0" b="0"/>
            <wp:docPr id="1766745336" name="Chart 1">
              <a:extLst xmlns:a="http://schemas.openxmlformats.org/drawingml/2006/main">
                <a:ext uri="{FF2B5EF4-FFF2-40B4-BE49-F238E27FC236}">
                  <a16:creationId xmlns:a16="http://schemas.microsoft.com/office/drawing/2014/main" id="{1DB884EA-EE81-717C-AC28-36F1AEAB32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21AE87F" w14:textId="7354F3A0" w:rsidR="008370E9" w:rsidRPr="00682E89" w:rsidRDefault="008370E9" w:rsidP="008E5AAD">
      <w:pPr>
        <w:jc w:val="center"/>
        <w:rPr>
          <w:rFonts w:cs="Arial"/>
          <w:b/>
          <w:bCs/>
          <w:i/>
          <w:iCs/>
          <w:szCs w:val="24"/>
        </w:rPr>
      </w:pPr>
      <w:bookmarkStart w:id="12" w:name="_Toc214014931"/>
      <w:r w:rsidRPr="00682E89">
        <w:rPr>
          <w:rFonts w:cs="Arial"/>
          <w:b/>
          <w:bCs/>
          <w:i/>
          <w:iCs/>
          <w:szCs w:val="24"/>
        </w:rPr>
        <w:t xml:space="preserve">Figure </w:t>
      </w:r>
      <w:r w:rsidRPr="00682E89">
        <w:rPr>
          <w:rFonts w:cs="Arial"/>
          <w:b/>
          <w:bCs/>
          <w:i/>
          <w:iCs/>
          <w:szCs w:val="24"/>
        </w:rPr>
        <w:fldChar w:fldCharType="begin"/>
      </w:r>
      <w:r w:rsidRPr="00682E89">
        <w:rPr>
          <w:rFonts w:cs="Arial"/>
          <w:b/>
          <w:bCs/>
          <w:i/>
          <w:iCs/>
          <w:szCs w:val="24"/>
        </w:rPr>
        <w:instrText xml:space="preserve"> SEQ Figure \* ARABIC </w:instrText>
      </w:r>
      <w:r w:rsidRPr="00682E89">
        <w:rPr>
          <w:rFonts w:cs="Arial"/>
          <w:b/>
          <w:bCs/>
          <w:i/>
          <w:iCs/>
          <w:szCs w:val="24"/>
        </w:rPr>
        <w:fldChar w:fldCharType="separate"/>
      </w:r>
      <w:r w:rsidR="004A0391">
        <w:rPr>
          <w:rFonts w:cs="Arial"/>
          <w:b/>
          <w:bCs/>
          <w:i/>
          <w:iCs/>
          <w:noProof/>
          <w:szCs w:val="24"/>
        </w:rPr>
        <w:t>5</w:t>
      </w:r>
      <w:r w:rsidRPr="00682E89">
        <w:rPr>
          <w:rFonts w:cs="Arial"/>
          <w:b/>
          <w:bCs/>
          <w:i/>
          <w:iCs/>
          <w:szCs w:val="24"/>
        </w:rPr>
        <w:fldChar w:fldCharType="end"/>
      </w:r>
      <w:r w:rsidRPr="00682E89">
        <w:rPr>
          <w:rFonts w:cs="Arial"/>
          <w:b/>
          <w:bCs/>
          <w:i/>
          <w:iCs/>
          <w:szCs w:val="24"/>
        </w:rPr>
        <w:t>: Investment Ratios</w:t>
      </w:r>
      <w:bookmarkEnd w:id="12"/>
    </w:p>
    <w:p w14:paraId="0DE741C7" w14:textId="603F0754" w:rsidR="00070BA1" w:rsidRPr="00682E89" w:rsidRDefault="002503AD" w:rsidP="008E5AAD">
      <w:pPr>
        <w:rPr>
          <w:rFonts w:cs="Arial"/>
          <w:szCs w:val="24"/>
          <w:shd w:val="clear" w:color="auto" w:fill="FFFFFF"/>
        </w:rPr>
      </w:pPr>
      <w:r w:rsidRPr="00682E89">
        <w:rPr>
          <w:rFonts w:cs="Arial"/>
          <w:szCs w:val="24"/>
          <w:lang w:val="en-IN"/>
        </w:rPr>
        <w:t xml:space="preserve">Price-to-Earnings Ratios, </w:t>
      </w:r>
      <w:r w:rsidR="00EC05FB" w:rsidRPr="00682E89">
        <w:rPr>
          <w:rFonts w:cs="Arial"/>
          <w:szCs w:val="24"/>
          <w:lang w:val="en-IN"/>
        </w:rPr>
        <w:t>Earnings Per Share and Dividend Yield ratios are some of the investment ratios which evaluate the performance of a company and its value by analysing the relationship between the price of a stock and its profits</w:t>
      </w:r>
      <w:r w:rsidRPr="00682E89">
        <w:rPr>
          <w:rFonts w:cs="Arial"/>
          <w:szCs w:val="24"/>
          <w:lang w:val="en-IN"/>
        </w:rPr>
        <w:t>, assets and dividends</w:t>
      </w:r>
      <w:r w:rsidR="00EC05FB" w:rsidRPr="00682E89">
        <w:rPr>
          <w:rFonts w:cs="Arial"/>
          <w:szCs w:val="24"/>
          <w:lang w:val="en-IN"/>
        </w:rPr>
        <w:t xml:space="preserve"> (</w:t>
      </w:r>
      <w:r w:rsidR="009E492A" w:rsidRPr="00682E89">
        <w:rPr>
          <w:rFonts w:cs="Arial"/>
          <w:szCs w:val="24"/>
          <w:shd w:val="clear" w:color="auto" w:fill="FFFFFF"/>
        </w:rPr>
        <w:t xml:space="preserve">Sundoro, et al., 2023). </w:t>
      </w:r>
      <w:r w:rsidR="00775CAC" w:rsidRPr="00682E89">
        <w:rPr>
          <w:rFonts w:cs="Arial"/>
          <w:szCs w:val="24"/>
        </w:rPr>
        <w:t xml:space="preserve">The </w:t>
      </w:r>
      <w:r w:rsidR="00070BA1" w:rsidRPr="00682E89">
        <w:rPr>
          <w:rFonts w:cs="Arial"/>
          <w:szCs w:val="24"/>
        </w:rPr>
        <w:t xml:space="preserve">Return on Equity (ROE) </w:t>
      </w:r>
      <w:r w:rsidR="00775CAC" w:rsidRPr="00682E89">
        <w:rPr>
          <w:rFonts w:cs="Arial"/>
          <w:szCs w:val="24"/>
        </w:rPr>
        <w:t xml:space="preserve">of General Electronics </w:t>
      </w:r>
      <w:r w:rsidR="00070BA1" w:rsidRPr="00682E89">
        <w:rPr>
          <w:rFonts w:cs="Arial"/>
          <w:szCs w:val="24"/>
        </w:rPr>
        <w:t xml:space="preserve">has been experiencing a drastic </w:t>
      </w:r>
      <w:r w:rsidR="00775CAC" w:rsidRPr="00682E89">
        <w:rPr>
          <w:rFonts w:cs="Arial"/>
          <w:szCs w:val="24"/>
        </w:rPr>
        <w:t>downturn, reaching -15.69% in 2024, compared to 12.31% in 2020. This</w:t>
      </w:r>
      <w:r w:rsidR="00070BA1" w:rsidRPr="00682E89">
        <w:rPr>
          <w:rFonts w:cs="Arial"/>
          <w:szCs w:val="24"/>
        </w:rPr>
        <w:t xml:space="preserve"> </w:t>
      </w:r>
      <w:r w:rsidR="00775CAC" w:rsidRPr="00682E89">
        <w:rPr>
          <w:rFonts w:cs="Arial"/>
          <w:szCs w:val="24"/>
        </w:rPr>
        <w:t>reflects</w:t>
      </w:r>
      <w:r w:rsidR="00070BA1" w:rsidRPr="00682E89">
        <w:rPr>
          <w:rFonts w:cs="Arial"/>
          <w:szCs w:val="24"/>
        </w:rPr>
        <w:t xml:space="preserve"> that the company is not making returns to its shareholders. This decrease is mainly caused by </w:t>
      </w:r>
      <w:r w:rsidR="00775CAC" w:rsidRPr="00682E89">
        <w:rPr>
          <w:rFonts w:cs="Arial"/>
          <w:szCs w:val="24"/>
        </w:rPr>
        <w:t>a net profit decrease and growing losses</w:t>
      </w:r>
      <w:r w:rsidR="00070BA1" w:rsidRPr="00682E89">
        <w:rPr>
          <w:rFonts w:cs="Arial"/>
          <w:szCs w:val="24"/>
        </w:rPr>
        <w:t xml:space="preserve">. The negative ROE in 2024 </w:t>
      </w:r>
      <w:r w:rsidR="00775CAC" w:rsidRPr="00682E89">
        <w:rPr>
          <w:rFonts w:cs="Arial"/>
          <w:szCs w:val="24"/>
        </w:rPr>
        <w:t xml:space="preserve">reflects focus on </w:t>
      </w:r>
      <w:r w:rsidR="00070BA1" w:rsidRPr="00682E89">
        <w:rPr>
          <w:rFonts w:cs="Arial"/>
          <w:szCs w:val="24"/>
        </w:rPr>
        <w:t xml:space="preserve">losing shareholder value, which is a </w:t>
      </w:r>
      <w:r w:rsidR="00775CAC" w:rsidRPr="00682E89">
        <w:rPr>
          <w:rFonts w:cs="Arial"/>
          <w:szCs w:val="24"/>
        </w:rPr>
        <w:t>critical</w:t>
      </w:r>
      <w:r w:rsidR="00070BA1" w:rsidRPr="00682E89">
        <w:rPr>
          <w:rFonts w:cs="Arial"/>
          <w:szCs w:val="24"/>
        </w:rPr>
        <w:t xml:space="preserve"> matter to the investors. </w:t>
      </w:r>
      <w:r w:rsidR="00775CAC" w:rsidRPr="00682E89">
        <w:rPr>
          <w:rFonts w:cs="Arial"/>
          <w:szCs w:val="24"/>
        </w:rPr>
        <w:t xml:space="preserve">Also, the </w:t>
      </w:r>
      <w:r w:rsidR="00070BA1" w:rsidRPr="00682E89">
        <w:rPr>
          <w:rFonts w:cs="Arial"/>
          <w:szCs w:val="24"/>
        </w:rPr>
        <w:t xml:space="preserve">Earnings per Share (EPS) is negative and is declining since it </w:t>
      </w:r>
      <w:r w:rsidR="00775CAC" w:rsidRPr="00682E89">
        <w:rPr>
          <w:rFonts w:cs="Arial"/>
          <w:szCs w:val="24"/>
        </w:rPr>
        <w:t xml:space="preserve">went to </w:t>
      </w:r>
      <w:r w:rsidR="00070BA1" w:rsidRPr="00682E89">
        <w:rPr>
          <w:rFonts w:cs="Arial"/>
          <w:szCs w:val="24"/>
        </w:rPr>
        <w:t>-1.85 in 2024</w:t>
      </w:r>
      <w:r w:rsidR="00775CAC" w:rsidRPr="00682E89">
        <w:rPr>
          <w:rFonts w:cs="Arial"/>
          <w:szCs w:val="24"/>
        </w:rPr>
        <w:t>,</w:t>
      </w:r>
      <w:r w:rsidR="00070BA1" w:rsidRPr="00682E89">
        <w:rPr>
          <w:rFonts w:cs="Arial"/>
          <w:szCs w:val="24"/>
        </w:rPr>
        <w:t xml:space="preserve"> </w:t>
      </w:r>
      <w:r w:rsidR="00775CAC" w:rsidRPr="00682E89">
        <w:rPr>
          <w:rFonts w:cs="Arial"/>
          <w:szCs w:val="24"/>
        </w:rPr>
        <w:t xml:space="preserve">which was </w:t>
      </w:r>
      <w:r w:rsidR="00070BA1" w:rsidRPr="00682E89">
        <w:rPr>
          <w:rFonts w:cs="Arial"/>
          <w:szCs w:val="24"/>
        </w:rPr>
        <w:t xml:space="preserve">2.78 in 2020. This is another indication that the company is not able to make profits, and this would not be appealing to investors. The company has to work on enhancing profitability, cutting </w:t>
      </w:r>
      <w:r w:rsidR="00775CAC" w:rsidRPr="00682E89">
        <w:rPr>
          <w:rFonts w:cs="Arial"/>
          <w:szCs w:val="24"/>
        </w:rPr>
        <w:t>expenditure and maximising</w:t>
      </w:r>
      <w:r w:rsidR="00070BA1" w:rsidRPr="00682E89">
        <w:rPr>
          <w:rFonts w:cs="Arial"/>
          <w:szCs w:val="24"/>
        </w:rPr>
        <w:t xml:space="preserve"> its earnings to regain </w:t>
      </w:r>
      <w:r w:rsidR="00E14D14" w:rsidRPr="00682E89">
        <w:rPr>
          <w:rFonts w:cs="Arial"/>
          <w:szCs w:val="24"/>
        </w:rPr>
        <w:t>shareholder</w:t>
      </w:r>
      <w:r w:rsidR="00070BA1" w:rsidRPr="00682E89">
        <w:rPr>
          <w:rFonts w:cs="Arial"/>
          <w:szCs w:val="24"/>
        </w:rPr>
        <w:t xml:space="preserve"> value and investor confidence.</w:t>
      </w:r>
    </w:p>
    <w:p w14:paraId="105197BB" w14:textId="253D75E6" w:rsidR="003340C2" w:rsidRPr="00682E89" w:rsidRDefault="003340C2" w:rsidP="008E5AAD">
      <w:pPr>
        <w:pStyle w:val="Heading3"/>
        <w:spacing w:before="240" w:after="240"/>
        <w:rPr>
          <w:rFonts w:cs="Arial"/>
          <w:lang w:val="en-IN"/>
        </w:rPr>
      </w:pPr>
      <w:bookmarkStart w:id="13" w:name="_Toc214014905"/>
      <w:r w:rsidRPr="00682E89">
        <w:rPr>
          <w:rFonts w:cs="Arial"/>
          <w:lang w:val="en-IN"/>
        </w:rPr>
        <w:lastRenderedPageBreak/>
        <w:t>Cash Flow</w:t>
      </w:r>
      <w:bookmarkEnd w:id="13"/>
      <w:r w:rsidRPr="00682E89">
        <w:rPr>
          <w:rFonts w:cs="Arial"/>
          <w:lang w:val="en-IN"/>
        </w:rPr>
        <w:t xml:space="preserve"> </w:t>
      </w:r>
    </w:p>
    <w:p w14:paraId="7C8CFF80" w14:textId="0090A42D" w:rsidR="00070BA1" w:rsidRPr="00682E89" w:rsidRDefault="00070BA1" w:rsidP="008E5AAD">
      <w:pPr>
        <w:jc w:val="center"/>
        <w:rPr>
          <w:rFonts w:cs="Arial"/>
          <w:b/>
          <w:bCs/>
          <w:i/>
          <w:iCs/>
          <w:szCs w:val="24"/>
        </w:rPr>
      </w:pPr>
      <w:r w:rsidRPr="00682E89">
        <w:rPr>
          <w:rFonts w:cs="Arial"/>
          <w:noProof/>
          <w:szCs w:val="24"/>
        </w:rPr>
        <w:drawing>
          <wp:inline distT="0" distB="0" distL="0" distR="0" wp14:anchorId="47F706DF" wp14:editId="6ACF7F83">
            <wp:extent cx="4572000" cy="2628900"/>
            <wp:effectExtent l="0" t="0" r="0" b="0"/>
            <wp:docPr id="1238621652" name="Chart 1">
              <a:extLst xmlns:a="http://schemas.openxmlformats.org/drawingml/2006/main">
                <a:ext uri="{FF2B5EF4-FFF2-40B4-BE49-F238E27FC236}">
                  <a16:creationId xmlns:a16="http://schemas.microsoft.com/office/drawing/2014/main" id="{2E41EE4E-7CCC-245E-6A97-DF921923F1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A8CDDF0" w14:textId="54956BF4" w:rsidR="00605DDB" w:rsidRPr="00682E89" w:rsidRDefault="00605DDB" w:rsidP="008E5AAD">
      <w:pPr>
        <w:jc w:val="center"/>
        <w:rPr>
          <w:rFonts w:cs="Arial"/>
          <w:b/>
          <w:bCs/>
          <w:i/>
          <w:iCs/>
          <w:szCs w:val="24"/>
        </w:rPr>
      </w:pPr>
      <w:bookmarkStart w:id="14" w:name="_Toc214014932"/>
      <w:r w:rsidRPr="00682E89">
        <w:rPr>
          <w:rFonts w:cs="Arial"/>
          <w:b/>
          <w:bCs/>
          <w:i/>
          <w:iCs/>
          <w:szCs w:val="24"/>
        </w:rPr>
        <w:t xml:space="preserve">Figure </w:t>
      </w:r>
      <w:r w:rsidRPr="00682E89">
        <w:rPr>
          <w:rFonts w:cs="Arial"/>
          <w:b/>
          <w:bCs/>
          <w:i/>
          <w:iCs/>
          <w:szCs w:val="24"/>
        </w:rPr>
        <w:fldChar w:fldCharType="begin"/>
      </w:r>
      <w:r w:rsidRPr="00682E89">
        <w:rPr>
          <w:rFonts w:cs="Arial"/>
          <w:b/>
          <w:bCs/>
          <w:i/>
          <w:iCs/>
          <w:szCs w:val="24"/>
        </w:rPr>
        <w:instrText xml:space="preserve"> SEQ Figure \* ARABIC </w:instrText>
      </w:r>
      <w:r w:rsidRPr="00682E89">
        <w:rPr>
          <w:rFonts w:cs="Arial"/>
          <w:b/>
          <w:bCs/>
          <w:i/>
          <w:iCs/>
          <w:szCs w:val="24"/>
        </w:rPr>
        <w:fldChar w:fldCharType="separate"/>
      </w:r>
      <w:r w:rsidR="004A0391">
        <w:rPr>
          <w:rFonts w:cs="Arial"/>
          <w:b/>
          <w:bCs/>
          <w:i/>
          <w:iCs/>
          <w:noProof/>
          <w:szCs w:val="24"/>
        </w:rPr>
        <w:t>6</w:t>
      </w:r>
      <w:r w:rsidRPr="00682E89">
        <w:rPr>
          <w:rFonts w:cs="Arial"/>
          <w:b/>
          <w:bCs/>
          <w:i/>
          <w:iCs/>
          <w:szCs w:val="24"/>
        </w:rPr>
        <w:fldChar w:fldCharType="end"/>
      </w:r>
      <w:r w:rsidRPr="00682E89">
        <w:rPr>
          <w:rFonts w:cs="Arial"/>
          <w:b/>
          <w:bCs/>
          <w:i/>
          <w:iCs/>
          <w:szCs w:val="24"/>
        </w:rPr>
        <w:t>: Cash Flow Ratios</w:t>
      </w:r>
      <w:bookmarkEnd w:id="14"/>
    </w:p>
    <w:p w14:paraId="06392541" w14:textId="035C7B99" w:rsidR="00070BA1" w:rsidRPr="00682E89" w:rsidRDefault="00EC5380" w:rsidP="008E5AAD">
      <w:pPr>
        <w:rPr>
          <w:rFonts w:cs="Arial"/>
          <w:szCs w:val="24"/>
          <w:lang w:val="en-IN"/>
        </w:rPr>
      </w:pPr>
      <w:r w:rsidRPr="00682E89">
        <w:rPr>
          <w:rFonts w:cs="Arial"/>
          <w:szCs w:val="24"/>
          <w:lang w:val="en-IN"/>
        </w:rPr>
        <w:t xml:space="preserve">Cash Flow ratios </w:t>
      </w:r>
      <w:r w:rsidR="00E4342D" w:rsidRPr="00682E89">
        <w:rPr>
          <w:rFonts w:cs="Arial"/>
          <w:szCs w:val="24"/>
          <w:lang w:val="en-IN"/>
        </w:rPr>
        <w:t>reflect</w:t>
      </w:r>
      <w:r w:rsidRPr="00682E89">
        <w:rPr>
          <w:rFonts w:cs="Arial"/>
          <w:szCs w:val="24"/>
          <w:lang w:val="en-IN"/>
        </w:rPr>
        <w:t xml:space="preserve"> the ability of a firm to generate cash and pay the current obligations associated with it</w:t>
      </w:r>
      <w:r w:rsidR="00E4342D" w:rsidRPr="00682E89">
        <w:rPr>
          <w:rFonts w:cs="Arial"/>
          <w:szCs w:val="24"/>
          <w:lang w:val="en-IN"/>
        </w:rPr>
        <w:t>,</w:t>
      </w:r>
      <w:r w:rsidRPr="00682E89">
        <w:rPr>
          <w:rFonts w:cs="Arial"/>
          <w:szCs w:val="24"/>
          <w:lang w:val="en-IN"/>
        </w:rPr>
        <w:t xml:space="preserve"> and therefore, assess </w:t>
      </w:r>
      <w:r w:rsidR="00670913" w:rsidRPr="00682E89">
        <w:rPr>
          <w:rFonts w:cs="Arial"/>
          <w:szCs w:val="24"/>
          <w:lang w:val="en-IN"/>
        </w:rPr>
        <w:t>short-term</w:t>
      </w:r>
      <w:r w:rsidRPr="00682E89">
        <w:rPr>
          <w:rFonts w:cs="Arial"/>
          <w:szCs w:val="24"/>
          <w:lang w:val="en-IN"/>
        </w:rPr>
        <w:t xml:space="preserve"> liquidity (</w:t>
      </w:r>
      <w:r w:rsidR="0081284E" w:rsidRPr="00682E89">
        <w:rPr>
          <w:rFonts w:cs="Arial"/>
          <w:szCs w:val="24"/>
          <w:lang w:val="en-IN"/>
        </w:rPr>
        <w:t xml:space="preserve">Novuna, 2025). </w:t>
      </w:r>
      <w:r w:rsidR="00070BA1" w:rsidRPr="00682E89">
        <w:rPr>
          <w:rFonts w:cs="Arial"/>
          <w:szCs w:val="24"/>
        </w:rPr>
        <w:t xml:space="preserve">The Operating Cash Flow Ratio has significantly decreased </w:t>
      </w:r>
      <w:r w:rsidR="00775CAC" w:rsidRPr="00682E89">
        <w:rPr>
          <w:rFonts w:cs="Arial"/>
          <w:szCs w:val="24"/>
        </w:rPr>
        <w:t xml:space="preserve">from 0.409 in 2020 to 0.094 in 2024, </w:t>
      </w:r>
      <w:r w:rsidR="00070BA1" w:rsidRPr="00682E89">
        <w:rPr>
          <w:rFonts w:cs="Arial"/>
          <w:szCs w:val="24"/>
        </w:rPr>
        <w:t>indicating that the cash flow of operations is not enough to cover the current liabilities of the company anymore. This reduction in the ratio is also a major weakness</w:t>
      </w:r>
      <w:r w:rsidR="00775CAC" w:rsidRPr="00682E89">
        <w:rPr>
          <w:rFonts w:cs="Arial"/>
          <w:szCs w:val="24"/>
        </w:rPr>
        <w:t>, as it indicates that the operational activities are failing to yield sufficient cash to settle short-term</w:t>
      </w:r>
      <w:r w:rsidR="00070BA1" w:rsidRPr="00682E89">
        <w:rPr>
          <w:rFonts w:cs="Arial"/>
          <w:szCs w:val="24"/>
        </w:rPr>
        <w:t xml:space="preserve"> liabilities. </w:t>
      </w:r>
      <w:r w:rsidR="00775CAC" w:rsidRPr="00682E89">
        <w:rPr>
          <w:rFonts w:cs="Arial"/>
          <w:szCs w:val="24"/>
        </w:rPr>
        <w:t>T</w:t>
      </w:r>
      <w:r w:rsidR="00070BA1" w:rsidRPr="00682E89">
        <w:rPr>
          <w:rFonts w:cs="Arial"/>
          <w:szCs w:val="24"/>
        </w:rPr>
        <w:t>he Cash Flow Margin is also decreasing, with the value of 11.94% in 2020 and 3.75% in 2024, which also shows that the company is not good at turning its sales into cash. The falling cash flow margins</w:t>
      </w:r>
      <w:r w:rsidR="00775CAC" w:rsidRPr="00682E89">
        <w:rPr>
          <w:rFonts w:cs="Arial"/>
          <w:szCs w:val="24"/>
        </w:rPr>
        <w:t xml:space="preserve"> </w:t>
      </w:r>
      <w:r w:rsidR="00BE7C01" w:rsidRPr="00682E89">
        <w:rPr>
          <w:rFonts w:cs="Arial"/>
          <w:szCs w:val="24"/>
        </w:rPr>
        <w:t>reflect</w:t>
      </w:r>
      <w:r w:rsidR="00775CAC" w:rsidRPr="00682E89">
        <w:rPr>
          <w:rFonts w:cs="Arial"/>
          <w:szCs w:val="24"/>
        </w:rPr>
        <w:t xml:space="preserve"> that the firm </w:t>
      </w:r>
      <w:r w:rsidR="00070BA1" w:rsidRPr="00682E89">
        <w:rPr>
          <w:rFonts w:cs="Arial"/>
          <w:szCs w:val="24"/>
        </w:rPr>
        <w:t>is experiencing operational inefficiencies and rising costs. The</w:t>
      </w:r>
      <w:r w:rsidR="00775CAC" w:rsidRPr="00682E89">
        <w:rPr>
          <w:rFonts w:cs="Arial"/>
          <w:szCs w:val="24"/>
        </w:rPr>
        <w:t xml:space="preserve">re is </w:t>
      </w:r>
      <w:r w:rsidR="00917EA9" w:rsidRPr="00682E89">
        <w:rPr>
          <w:rFonts w:cs="Arial"/>
          <w:szCs w:val="24"/>
        </w:rPr>
        <w:t xml:space="preserve">an urgent need </w:t>
      </w:r>
      <w:r w:rsidR="00070BA1" w:rsidRPr="00682E89">
        <w:rPr>
          <w:rFonts w:cs="Arial"/>
          <w:szCs w:val="24"/>
        </w:rPr>
        <w:t>to get a better cash flow and to deal with operational inefficiencies and ensure better management of the expenses</w:t>
      </w:r>
      <w:r w:rsidR="00775CAC" w:rsidRPr="00682E89">
        <w:rPr>
          <w:rFonts w:cs="Arial"/>
          <w:szCs w:val="24"/>
        </w:rPr>
        <w:t xml:space="preserve">. </w:t>
      </w:r>
    </w:p>
    <w:p w14:paraId="6CF8B4BF" w14:textId="77777777" w:rsidR="002B4B9C" w:rsidRPr="00682E89" w:rsidRDefault="002B4B9C" w:rsidP="008E5AAD">
      <w:pPr>
        <w:pStyle w:val="Heading2"/>
        <w:spacing w:before="240" w:after="240"/>
        <w:rPr>
          <w:rFonts w:cs="Arial"/>
          <w:szCs w:val="24"/>
          <w:lang w:val="en-IN"/>
        </w:rPr>
      </w:pPr>
      <w:bookmarkStart w:id="15" w:name="_Toc214014906"/>
      <w:r w:rsidRPr="00682E89">
        <w:rPr>
          <w:rFonts w:cs="Arial"/>
          <w:szCs w:val="24"/>
          <w:lang w:val="en-IN"/>
        </w:rPr>
        <w:lastRenderedPageBreak/>
        <w:t>Altman’s Z Score</w:t>
      </w:r>
      <w:bookmarkEnd w:id="15"/>
      <w:r w:rsidRPr="00682E89">
        <w:rPr>
          <w:rFonts w:cs="Arial"/>
          <w:szCs w:val="24"/>
          <w:lang w:val="en-IN"/>
        </w:rPr>
        <w:t xml:space="preserve"> </w:t>
      </w:r>
    </w:p>
    <w:p w14:paraId="1CD16AEC" w14:textId="77777777" w:rsidR="00CD780A" w:rsidRPr="00682E89" w:rsidRDefault="00CD780A" w:rsidP="008E5AAD">
      <w:pPr>
        <w:jc w:val="center"/>
        <w:rPr>
          <w:rFonts w:cs="Arial"/>
          <w:b/>
          <w:bCs/>
          <w:i/>
          <w:iCs/>
          <w:szCs w:val="24"/>
        </w:rPr>
      </w:pPr>
      <w:r w:rsidRPr="00682E89">
        <w:rPr>
          <w:rFonts w:cs="Arial"/>
          <w:b/>
          <w:bCs/>
          <w:i/>
          <w:iCs/>
          <w:noProof/>
          <w:szCs w:val="24"/>
          <w:lang w:val="en-IN"/>
        </w:rPr>
        <w:drawing>
          <wp:inline distT="0" distB="0" distL="0" distR="0" wp14:anchorId="229D1D46" wp14:editId="658236C2">
            <wp:extent cx="3267076" cy="2428681"/>
            <wp:effectExtent l="0" t="0" r="0" b="0"/>
            <wp:docPr id="1097483187" name="Picture 1" descr="A diagram of a stress z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483187" name="Picture 1" descr="A diagram of a stress zone&#10;&#10;AI-generated content may be incorrect."/>
                    <pic:cNvPicPr/>
                  </pic:nvPicPr>
                  <pic:blipFill>
                    <a:blip r:embed="rId14"/>
                    <a:stretch>
                      <a:fillRect/>
                    </a:stretch>
                  </pic:blipFill>
                  <pic:spPr>
                    <a:xfrm>
                      <a:off x="0" y="0"/>
                      <a:ext cx="3270734" cy="2431400"/>
                    </a:xfrm>
                    <a:prstGeom prst="rect">
                      <a:avLst/>
                    </a:prstGeom>
                  </pic:spPr>
                </pic:pic>
              </a:graphicData>
            </a:graphic>
          </wp:inline>
        </w:drawing>
      </w:r>
    </w:p>
    <w:p w14:paraId="28FFAF4F" w14:textId="34C784AE" w:rsidR="00CD780A" w:rsidRPr="00682E89" w:rsidRDefault="00CD780A" w:rsidP="008E5AAD">
      <w:pPr>
        <w:jc w:val="center"/>
        <w:rPr>
          <w:rFonts w:cs="Arial"/>
          <w:b/>
          <w:bCs/>
          <w:i/>
          <w:iCs/>
          <w:szCs w:val="24"/>
        </w:rPr>
      </w:pPr>
      <w:bookmarkStart w:id="16" w:name="_Toc214014933"/>
      <w:r w:rsidRPr="00682E89">
        <w:rPr>
          <w:rFonts w:cs="Arial"/>
          <w:b/>
          <w:bCs/>
          <w:i/>
          <w:iCs/>
          <w:szCs w:val="24"/>
        </w:rPr>
        <w:t xml:space="preserve">Figure </w:t>
      </w:r>
      <w:r w:rsidRPr="00682E89">
        <w:rPr>
          <w:rFonts w:cs="Arial"/>
          <w:b/>
          <w:bCs/>
          <w:i/>
          <w:iCs/>
          <w:szCs w:val="24"/>
        </w:rPr>
        <w:fldChar w:fldCharType="begin"/>
      </w:r>
      <w:r w:rsidRPr="00682E89">
        <w:rPr>
          <w:rFonts w:cs="Arial"/>
          <w:b/>
          <w:bCs/>
          <w:i/>
          <w:iCs/>
          <w:szCs w:val="24"/>
        </w:rPr>
        <w:instrText xml:space="preserve"> SEQ Figure \* ARABIC </w:instrText>
      </w:r>
      <w:r w:rsidRPr="00682E89">
        <w:rPr>
          <w:rFonts w:cs="Arial"/>
          <w:b/>
          <w:bCs/>
          <w:i/>
          <w:iCs/>
          <w:szCs w:val="24"/>
        </w:rPr>
        <w:fldChar w:fldCharType="separate"/>
      </w:r>
      <w:r w:rsidR="004A0391">
        <w:rPr>
          <w:rFonts w:cs="Arial"/>
          <w:b/>
          <w:bCs/>
          <w:i/>
          <w:iCs/>
          <w:noProof/>
          <w:szCs w:val="24"/>
        </w:rPr>
        <w:t>7</w:t>
      </w:r>
      <w:r w:rsidRPr="00682E89">
        <w:rPr>
          <w:rFonts w:cs="Arial"/>
          <w:b/>
          <w:bCs/>
          <w:i/>
          <w:iCs/>
          <w:szCs w:val="24"/>
        </w:rPr>
        <w:fldChar w:fldCharType="end"/>
      </w:r>
      <w:r w:rsidRPr="00682E89">
        <w:rPr>
          <w:rFonts w:cs="Arial"/>
          <w:b/>
          <w:bCs/>
          <w:i/>
          <w:iCs/>
          <w:szCs w:val="24"/>
        </w:rPr>
        <w:t>: Altman's Z Score</w:t>
      </w:r>
      <w:bookmarkEnd w:id="16"/>
    </w:p>
    <w:p w14:paraId="5C3C9FF5" w14:textId="3491B328" w:rsidR="00CD780A" w:rsidRPr="00682E89" w:rsidRDefault="00CD780A" w:rsidP="008E5AAD">
      <w:pPr>
        <w:jc w:val="center"/>
        <w:rPr>
          <w:rFonts w:cs="Arial"/>
          <w:szCs w:val="24"/>
        </w:rPr>
      </w:pPr>
      <w:r w:rsidRPr="00682E89">
        <w:rPr>
          <w:rFonts w:cs="Arial"/>
          <w:b/>
          <w:bCs/>
          <w:i/>
          <w:iCs/>
          <w:szCs w:val="24"/>
        </w:rPr>
        <w:t>(Source: CFI, 2025)</w:t>
      </w:r>
    </w:p>
    <w:p w14:paraId="6045EC14" w14:textId="2B80976B" w:rsidR="00E80ECA" w:rsidRPr="00682E89" w:rsidRDefault="007D3065" w:rsidP="008E5AAD">
      <w:pPr>
        <w:rPr>
          <w:rFonts w:cs="Arial"/>
          <w:szCs w:val="24"/>
          <w:lang w:val="en-IN"/>
        </w:rPr>
      </w:pPr>
      <w:r w:rsidRPr="00682E89">
        <w:rPr>
          <w:rFonts w:cs="Arial"/>
          <w:szCs w:val="24"/>
          <w:lang w:val="en-IN"/>
        </w:rPr>
        <w:t xml:space="preserve">Altman’s Z Score is a metric which calculates the likelihood of a firm </w:t>
      </w:r>
      <w:r w:rsidR="004C4586" w:rsidRPr="00682E89">
        <w:rPr>
          <w:rFonts w:cs="Arial"/>
          <w:szCs w:val="24"/>
          <w:lang w:val="en-IN"/>
        </w:rPr>
        <w:t>going bankrupt due to the various factors within the next two years, and hence, provides a great value to the company and investors in decision-making</w:t>
      </w:r>
      <w:r w:rsidR="003946E8" w:rsidRPr="00682E89">
        <w:rPr>
          <w:rFonts w:cs="Arial"/>
          <w:szCs w:val="24"/>
          <w:lang w:val="en-IN"/>
        </w:rPr>
        <w:t xml:space="preserve"> (</w:t>
      </w:r>
      <w:r w:rsidR="007D7CD1" w:rsidRPr="00682E89">
        <w:rPr>
          <w:rFonts w:cs="Arial"/>
          <w:szCs w:val="24"/>
          <w:lang w:val="en-IN"/>
        </w:rPr>
        <w:t xml:space="preserve">CFI, 2025). </w:t>
      </w:r>
      <w:r w:rsidR="001C6744" w:rsidRPr="00682E89">
        <w:rPr>
          <w:rFonts w:cs="Arial"/>
          <w:szCs w:val="24"/>
          <w:lang w:val="en-IN"/>
        </w:rPr>
        <w:t xml:space="preserve">It has three zones which </w:t>
      </w:r>
      <w:r w:rsidR="00E14D14" w:rsidRPr="00682E89">
        <w:rPr>
          <w:rFonts w:cs="Arial"/>
          <w:szCs w:val="24"/>
          <w:lang w:val="en-IN"/>
        </w:rPr>
        <w:t>reflect</w:t>
      </w:r>
      <w:r w:rsidR="001C6744" w:rsidRPr="00682E89">
        <w:rPr>
          <w:rFonts w:cs="Arial"/>
          <w:szCs w:val="24"/>
          <w:lang w:val="en-IN"/>
        </w:rPr>
        <w:t xml:space="preserve"> the chances as shown </w:t>
      </w:r>
      <w:r w:rsidR="00893B9C" w:rsidRPr="00682E89">
        <w:rPr>
          <w:rFonts w:cs="Arial"/>
          <w:szCs w:val="24"/>
          <w:lang w:val="en-IN"/>
        </w:rPr>
        <w:t xml:space="preserve">above </w:t>
      </w:r>
      <w:r w:rsidR="001C6744" w:rsidRPr="00682E89">
        <w:rPr>
          <w:rFonts w:cs="Arial"/>
          <w:szCs w:val="24"/>
          <w:lang w:val="en-IN"/>
        </w:rPr>
        <w:t>in the figure.</w:t>
      </w:r>
    </w:p>
    <w:p w14:paraId="4185A32F" w14:textId="627D6F5C" w:rsidR="00D02625" w:rsidRPr="00682E89" w:rsidRDefault="00CD780A" w:rsidP="008E5AAD">
      <w:pPr>
        <w:jc w:val="center"/>
        <w:rPr>
          <w:rFonts w:cs="Arial"/>
          <w:b/>
          <w:bCs/>
          <w:i/>
          <w:iCs/>
          <w:szCs w:val="24"/>
        </w:rPr>
      </w:pPr>
      <w:r w:rsidRPr="00682E89">
        <w:rPr>
          <w:rFonts w:cs="Arial"/>
          <w:b/>
          <w:bCs/>
          <w:i/>
          <w:iCs/>
          <w:noProof/>
          <w:szCs w:val="24"/>
          <w:lang w:val="en-IN"/>
        </w:rPr>
        <w:drawing>
          <wp:inline distT="0" distB="0" distL="0" distR="0" wp14:anchorId="65287CCA" wp14:editId="2B088BF1">
            <wp:extent cx="5731510" cy="1855470"/>
            <wp:effectExtent l="0" t="0" r="2540" b="0"/>
            <wp:docPr id="14235054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05411" name="Picture 1" descr="A screenshot of a computer&#10;&#10;AI-generated content may be incorrect."/>
                    <pic:cNvPicPr/>
                  </pic:nvPicPr>
                  <pic:blipFill>
                    <a:blip r:embed="rId15"/>
                    <a:stretch>
                      <a:fillRect/>
                    </a:stretch>
                  </pic:blipFill>
                  <pic:spPr>
                    <a:xfrm>
                      <a:off x="0" y="0"/>
                      <a:ext cx="5731510" cy="1855470"/>
                    </a:xfrm>
                    <a:prstGeom prst="rect">
                      <a:avLst/>
                    </a:prstGeom>
                  </pic:spPr>
                </pic:pic>
              </a:graphicData>
            </a:graphic>
          </wp:inline>
        </w:drawing>
      </w:r>
    </w:p>
    <w:p w14:paraId="48A672D9" w14:textId="129AA7CF" w:rsidR="001C6744" w:rsidRPr="00682E89" w:rsidRDefault="00D02625" w:rsidP="008E5AAD">
      <w:pPr>
        <w:jc w:val="center"/>
        <w:rPr>
          <w:rFonts w:cs="Arial"/>
          <w:b/>
          <w:bCs/>
          <w:i/>
          <w:iCs/>
          <w:szCs w:val="24"/>
        </w:rPr>
      </w:pPr>
      <w:bookmarkStart w:id="17" w:name="_Toc214014934"/>
      <w:r w:rsidRPr="00682E89">
        <w:rPr>
          <w:rFonts w:cs="Arial"/>
          <w:b/>
          <w:bCs/>
          <w:i/>
          <w:iCs/>
          <w:szCs w:val="24"/>
        </w:rPr>
        <w:t xml:space="preserve">Figure </w:t>
      </w:r>
      <w:r w:rsidRPr="00682E89">
        <w:rPr>
          <w:rFonts w:cs="Arial"/>
          <w:b/>
          <w:bCs/>
          <w:i/>
          <w:iCs/>
          <w:szCs w:val="24"/>
        </w:rPr>
        <w:fldChar w:fldCharType="begin"/>
      </w:r>
      <w:r w:rsidRPr="00682E89">
        <w:rPr>
          <w:rFonts w:cs="Arial"/>
          <w:b/>
          <w:bCs/>
          <w:i/>
          <w:iCs/>
          <w:szCs w:val="24"/>
        </w:rPr>
        <w:instrText xml:space="preserve"> SEQ Figure \* ARABIC </w:instrText>
      </w:r>
      <w:r w:rsidRPr="00682E89">
        <w:rPr>
          <w:rFonts w:cs="Arial"/>
          <w:b/>
          <w:bCs/>
          <w:i/>
          <w:iCs/>
          <w:szCs w:val="24"/>
        </w:rPr>
        <w:fldChar w:fldCharType="separate"/>
      </w:r>
      <w:r w:rsidR="004A0391">
        <w:rPr>
          <w:rFonts w:cs="Arial"/>
          <w:b/>
          <w:bCs/>
          <w:i/>
          <w:iCs/>
          <w:noProof/>
          <w:szCs w:val="24"/>
        </w:rPr>
        <w:t>8</w:t>
      </w:r>
      <w:r w:rsidRPr="00682E89">
        <w:rPr>
          <w:rFonts w:cs="Arial"/>
          <w:b/>
          <w:bCs/>
          <w:i/>
          <w:iCs/>
          <w:szCs w:val="24"/>
        </w:rPr>
        <w:fldChar w:fldCharType="end"/>
      </w:r>
      <w:r w:rsidRPr="00682E89">
        <w:rPr>
          <w:rFonts w:cs="Arial"/>
          <w:b/>
          <w:bCs/>
          <w:i/>
          <w:iCs/>
          <w:szCs w:val="24"/>
        </w:rPr>
        <w:t>: Altman's Z Score Calculations</w:t>
      </w:r>
      <w:bookmarkEnd w:id="17"/>
    </w:p>
    <w:p w14:paraId="2CED1534" w14:textId="198AB398" w:rsidR="00A22369" w:rsidRPr="00682E89" w:rsidRDefault="00D23891" w:rsidP="008E5AAD">
      <w:pPr>
        <w:rPr>
          <w:rFonts w:cs="Arial"/>
          <w:szCs w:val="24"/>
        </w:rPr>
      </w:pPr>
      <w:r w:rsidRPr="00682E89">
        <w:rPr>
          <w:rFonts w:cs="Arial"/>
          <w:szCs w:val="24"/>
        </w:rPr>
        <w:t>General Electric's score of 3.49 on the Altman Z-Score represents a low-risk rating of corporate default, as a score above 2.99 normally implies that the company is financially stable</w:t>
      </w:r>
      <w:r w:rsidR="00E46EDA" w:rsidRPr="00682E89">
        <w:rPr>
          <w:rFonts w:cs="Arial"/>
          <w:szCs w:val="24"/>
        </w:rPr>
        <w:t xml:space="preserve"> (</w:t>
      </w:r>
      <w:r w:rsidR="00E46EDA" w:rsidRPr="00682E89">
        <w:rPr>
          <w:rFonts w:cs="Arial"/>
          <w:szCs w:val="24"/>
          <w:shd w:val="clear" w:color="auto" w:fill="FFFFFF"/>
        </w:rPr>
        <w:t>Alcalde, et al., 2022).</w:t>
      </w:r>
      <w:r w:rsidRPr="00682E89">
        <w:rPr>
          <w:rFonts w:cs="Arial"/>
          <w:szCs w:val="24"/>
        </w:rPr>
        <w:t xml:space="preserve"> </w:t>
      </w:r>
      <w:r w:rsidR="001D2D70" w:rsidRPr="00682E89">
        <w:rPr>
          <w:rFonts w:cs="Arial"/>
          <w:szCs w:val="24"/>
        </w:rPr>
        <w:t>However</w:t>
      </w:r>
      <w:r w:rsidRPr="00682E89">
        <w:rPr>
          <w:rFonts w:cs="Arial"/>
          <w:szCs w:val="24"/>
        </w:rPr>
        <w:t xml:space="preserve">, the </w:t>
      </w:r>
      <w:r w:rsidR="006527C1" w:rsidRPr="00682E89">
        <w:rPr>
          <w:rFonts w:cs="Arial"/>
          <w:szCs w:val="24"/>
        </w:rPr>
        <w:t>Z-score</w:t>
      </w:r>
      <w:r w:rsidRPr="00682E89">
        <w:rPr>
          <w:rFonts w:cs="Arial"/>
          <w:szCs w:val="24"/>
        </w:rPr>
        <w:t xml:space="preserve"> has dropped to 3.49 in 2024 compared to 3.60 in 2020</w:t>
      </w:r>
      <w:r w:rsidR="006527C1" w:rsidRPr="00682E89">
        <w:rPr>
          <w:rFonts w:cs="Arial"/>
          <w:szCs w:val="24"/>
        </w:rPr>
        <w:t>,</w:t>
      </w:r>
      <w:r w:rsidRPr="00682E89">
        <w:rPr>
          <w:rFonts w:cs="Arial"/>
          <w:szCs w:val="24"/>
        </w:rPr>
        <w:t xml:space="preserve"> indicating a slow decline in financial health. This has decreased because of the </w:t>
      </w:r>
      <w:r w:rsidR="006527C1" w:rsidRPr="00682E89">
        <w:rPr>
          <w:rFonts w:cs="Arial"/>
          <w:szCs w:val="24"/>
        </w:rPr>
        <w:t>decline</w:t>
      </w:r>
      <w:r w:rsidRPr="00682E89">
        <w:rPr>
          <w:rFonts w:cs="Arial"/>
          <w:szCs w:val="24"/>
        </w:rPr>
        <w:t xml:space="preserve"> </w:t>
      </w:r>
      <w:r w:rsidR="00165D95" w:rsidRPr="00682E89">
        <w:rPr>
          <w:rFonts w:cs="Arial"/>
          <w:szCs w:val="24"/>
        </w:rPr>
        <w:t>in</w:t>
      </w:r>
      <w:r w:rsidRPr="00682E89">
        <w:rPr>
          <w:rFonts w:cs="Arial"/>
          <w:szCs w:val="24"/>
        </w:rPr>
        <w:t xml:space="preserve"> the EBIT and also due to the reduction in the </w:t>
      </w:r>
      <w:r w:rsidRPr="00682E89">
        <w:rPr>
          <w:rFonts w:cs="Arial"/>
          <w:szCs w:val="24"/>
        </w:rPr>
        <w:lastRenderedPageBreak/>
        <w:t>Market value of equity as compared to the total liabilities</w:t>
      </w:r>
      <w:r w:rsidR="006527C1" w:rsidRPr="00682E89">
        <w:rPr>
          <w:rFonts w:cs="Arial"/>
          <w:szCs w:val="24"/>
        </w:rPr>
        <w:t>,</w:t>
      </w:r>
      <w:r w:rsidRPr="00682E89">
        <w:rPr>
          <w:rFonts w:cs="Arial"/>
          <w:szCs w:val="24"/>
        </w:rPr>
        <w:t xml:space="preserve"> and this affects the overall score. The fact that negative EBIT occurs in 2024 is also an area of concern, as inefficiencies in the operations are displayed, indicating a high cost. </w:t>
      </w:r>
      <w:r w:rsidR="006527C1" w:rsidRPr="00682E89">
        <w:rPr>
          <w:rFonts w:cs="Arial"/>
          <w:szCs w:val="24"/>
        </w:rPr>
        <w:t xml:space="preserve">This even reflects that the declining </w:t>
      </w:r>
      <w:r w:rsidR="006C37AE" w:rsidRPr="00682E89">
        <w:rPr>
          <w:rFonts w:cs="Arial"/>
          <w:szCs w:val="24"/>
        </w:rPr>
        <w:t>trend</w:t>
      </w:r>
      <w:r w:rsidR="006527C1" w:rsidRPr="00682E89">
        <w:rPr>
          <w:rFonts w:cs="Arial"/>
          <w:szCs w:val="24"/>
        </w:rPr>
        <w:t xml:space="preserve"> reminds </w:t>
      </w:r>
      <w:r w:rsidR="006C37AE" w:rsidRPr="00682E89">
        <w:rPr>
          <w:rFonts w:cs="Arial"/>
          <w:szCs w:val="24"/>
        </w:rPr>
        <w:t>the need for</w:t>
      </w:r>
      <w:r w:rsidR="006527C1" w:rsidRPr="00682E89">
        <w:rPr>
          <w:rFonts w:cs="Arial"/>
          <w:szCs w:val="24"/>
        </w:rPr>
        <w:t xml:space="preserve"> some reorganisation</w:t>
      </w:r>
      <w:r w:rsidRPr="00682E89">
        <w:rPr>
          <w:rFonts w:cs="Arial"/>
          <w:szCs w:val="24"/>
        </w:rPr>
        <w:t xml:space="preserve"> to prevent the financial turmoil in the future.</w:t>
      </w:r>
    </w:p>
    <w:p w14:paraId="0CB29D77" w14:textId="3B4FA44A" w:rsidR="00382D2D" w:rsidRPr="00682E89" w:rsidRDefault="00382D2D" w:rsidP="008E5AAD">
      <w:pPr>
        <w:rPr>
          <w:rFonts w:cs="Arial"/>
          <w:szCs w:val="24"/>
        </w:rPr>
      </w:pPr>
      <w:r w:rsidRPr="00682E89">
        <w:rPr>
          <w:rFonts w:cs="Arial"/>
          <w:szCs w:val="24"/>
        </w:rPr>
        <w:br w:type="page"/>
      </w:r>
    </w:p>
    <w:p w14:paraId="4BCE805A" w14:textId="77777777" w:rsidR="00382D2D" w:rsidRPr="00682E89" w:rsidRDefault="00382D2D" w:rsidP="008E5AAD">
      <w:pPr>
        <w:pStyle w:val="Heading1"/>
        <w:spacing w:after="240"/>
        <w:rPr>
          <w:rFonts w:cs="Arial"/>
          <w:color w:val="auto"/>
          <w:szCs w:val="24"/>
          <w:lang w:val="en-IN"/>
        </w:rPr>
      </w:pPr>
      <w:bookmarkStart w:id="18" w:name="_Toc214014907"/>
      <w:r w:rsidRPr="00682E89">
        <w:rPr>
          <w:rFonts w:cs="Arial"/>
          <w:color w:val="auto"/>
          <w:szCs w:val="24"/>
          <w:lang w:val="en-IN"/>
        </w:rPr>
        <w:lastRenderedPageBreak/>
        <w:t>Working Capital Management Analysis</w:t>
      </w:r>
      <w:bookmarkEnd w:id="18"/>
      <w:r w:rsidRPr="00682E89">
        <w:rPr>
          <w:rFonts w:cs="Arial"/>
          <w:color w:val="auto"/>
          <w:szCs w:val="24"/>
          <w:lang w:val="en-IN"/>
        </w:rPr>
        <w:t xml:space="preserve"> </w:t>
      </w:r>
    </w:p>
    <w:p w14:paraId="4C1EE2E6" w14:textId="77777777" w:rsidR="00382D2D" w:rsidRPr="00682E89" w:rsidRDefault="00382D2D" w:rsidP="008E5AAD">
      <w:pPr>
        <w:pStyle w:val="Heading2"/>
        <w:spacing w:before="240" w:after="240"/>
        <w:rPr>
          <w:rFonts w:cs="Arial"/>
          <w:szCs w:val="24"/>
          <w:lang w:val="en-IN"/>
        </w:rPr>
      </w:pPr>
      <w:bookmarkStart w:id="19" w:name="_Toc214014908"/>
      <w:r w:rsidRPr="00682E89">
        <w:rPr>
          <w:rFonts w:cs="Arial"/>
          <w:szCs w:val="24"/>
          <w:lang w:val="en-IN"/>
        </w:rPr>
        <w:t>Cash Operating Cycle</w:t>
      </w:r>
      <w:bookmarkEnd w:id="19"/>
      <w:r w:rsidRPr="00682E89">
        <w:rPr>
          <w:rFonts w:cs="Arial"/>
          <w:szCs w:val="24"/>
          <w:lang w:val="en-IN"/>
        </w:rPr>
        <w:t xml:space="preserve"> </w:t>
      </w:r>
    </w:p>
    <w:p w14:paraId="57F3621A" w14:textId="77777777" w:rsidR="00382D2D" w:rsidRPr="00682E89" w:rsidRDefault="00382D2D" w:rsidP="008E5AAD">
      <w:pPr>
        <w:rPr>
          <w:rFonts w:cs="Arial"/>
          <w:szCs w:val="24"/>
        </w:rPr>
      </w:pPr>
      <w:r w:rsidRPr="00682E89">
        <w:rPr>
          <w:rFonts w:cs="Arial"/>
          <w:szCs w:val="24"/>
          <w:lang w:val="en-IN"/>
        </w:rPr>
        <w:t xml:space="preserve">Cash operating cycle (COC) is also known as the cash conversion cycle (CCC) that helps in measuring the average number of days undertaken by a firm to convert inventory </w:t>
      </w:r>
      <w:r w:rsidRPr="00682E89">
        <w:rPr>
          <w:rFonts w:cs="Arial"/>
          <w:szCs w:val="24"/>
        </w:rPr>
        <w:t>purchases into cash receipts from customers (</w:t>
      </w:r>
      <w:r w:rsidRPr="00682E89">
        <w:rPr>
          <w:rFonts w:cs="Arial"/>
          <w:szCs w:val="24"/>
          <w:shd w:val="clear" w:color="auto" w:fill="FFFFFF"/>
        </w:rPr>
        <w:t>CFI, 2025</w:t>
      </w:r>
      <w:r w:rsidRPr="00682E89">
        <w:rPr>
          <w:rFonts w:cs="Arial"/>
          <w:szCs w:val="24"/>
        </w:rPr>
        <w:t xml:space="preserve">). It is calculated using the following formula: </w:t>
      </w:r>
    </w:p>
    <w:p w14:paraId="2F076367" w14:textId="77777777" w:rsidR="00382D2D" w:rsidRPr="00682E89" w:rsidRDefault="00382D2D" w:rsidP="008E5AAD">
      <w:pPr>
        <w:rPr>
          <w:rFonts w:eastAsiaTheme="minorEastAsia" w:cs="Arial"/>
          <w:i/>
          <w:szCs w:val="24"/>
        </w:rPr>
      </w:pPr>
      <m:oMathPara>
        <m:oMath>
          <m:r>
            <w:rPr>
              <w:rFonts w:ascii="Cambria Math" w:hAnsi="Cambria Math" w:cs="Arial"/>
              <w:szCs w:val="24"/>
            </w:rPr>
            <m:t>COC=Days Inventory Outstanding (DIO)+Days Sales Outstanding (DSO)-Days Payable Outstanding (DPO)</m:t>
          </m:r>
        </m:oMath>
      </m:oMathPara>
    </w:p>
    <w:p w14:paraId="497D25BB" w14:textId="77777777" w:rsidR="00382D2D" w:rsidRPr="00682E89" w:rsidRDefault="00382D2D" w:rsidP="008E5AAD">
      <w:pPr>
        <w:rPr>
          <w:rFonts w:cs="Arial"/>
          <w:szCs w:val="24"/>
        </w:rPr>
      </w:pPr>
      <w:r w:rsidRPr="00682E89">
        <w:rPr>
          <w:rFonts w:eastAsiaTheme="minorEastAsia" w:cs="Arial"/>
          <w:iCs/>
          <w:szCs w:val="24"/>
        </w:rPr>
        <w:t xml:space="preserve">It represents the efficiency of a firm in managing working capital and reflects how long </w:t>
      </w:r>
      <w:r w:rsidRPr="00682E89">
        <w:rPr>
          <w:rFonts w:cs="Arial"/>
          <w:szCs w:val="24"/>
        </w:rPr>
        <w:t>cash is tied up in operations before it is recovered. A shorter COC indicates better liquidity and reduced dependence on external financing, whereas, a longer cycle reflects capital being locked in inventory or receivables resulting in increased financing costs and minimised flexibility (</w:t>
      </w:r>
      <w:r w:rsidRPr="00682E89">
        <w:rPr>
          <w:rFonts w:cs="Arial"/>
          <w:szCs w:val="24"/>
          <w:shd w:val="clear" w:color="auto" w:fill="FFFFFF"/>
        </w:rPr>
        <w:t>Yanney, 2023</w:t>
      </w:r>
      <w:r w:rsidRPr="00682E89">
        <w:rPr>
          <w:rFonts w:cs="Arial"/>
          <w:szCs w:val="24"/>
        </w:rPr>
        <w:t xml:space="preserve">). </w:t>
      </w:r>
    </w:p>
    <w:p w14:paraId="1B3883CF" w14:textId="77777777" w:rsidR="002534DD" w:rsidRPr="00682E89" w:rsidRDefault="00382D2D" w:rsidP="008E5AAD">
      <w:pPr>
        <w:keepNext/>
        <w:jc w:val="center"/>
        <w:rPr>
          <w:rFonts w:cs="Arial"/>
          <w:szCs w:val="24"/>
        </w:rPr>
      </w:pPr>
      <w:r w:rsidRPr="00682E89">
        <w:rPr>
          <w:rFonts w:cs="Arial"/>
          <w:iCs/>
          <w:noProof/>
          <w:szCs w:val="24"/>
        </w:rPr>
        <w:drawing>
          <wp:inline distT="0" distB="0" distL="0" distR="0" wp14:anchorId="48087814" wp14:editId="07F3633F">
            <wp:extent cx="4032250" cy="2351178"/>
            <wp:effectExtent l="0" t="0" r="6350" b="0"/>
            <wp:docPr id="1316422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422059" name=""/>
                    <pic:cNvPicPr/>
                  </pic:nvPicPr>
                  <pic:blipFill>
                    <a:blip r:embed="rId16"/>
                    <a:stretch>
                      <a:fillRect/>
                    </a:stretch>
                  </pic:blipFill>
                  <pic:spPr>
                    <a:xfrm>
                      <a:off x="0" y="0"/>
                      <a:ext cx="4034948" cy="2352751"/>
                    </a:xfrm>
                    <a:prstGeom prst="rect">
                      <a:avLst/>
                    </a:prstGeom>
                  </pic:spPr>
                </pic:pic>
              </a:graphicData>
            </a:graphic>
          </wp:inline>
        </w:drawing>
      </w:r>
    </w:p>
    <w:p w14:paraId="3F7C4D66" w14:textId="145CA49A" w:rsidR="00382D2D" w:rsidRPr="00682E89" w:rsidRDefault="002534DD" w:rsidP="008E5AAD">
      <w:pPr>
        <w:pStyle w:val="Caption"/>
        <w:spacing w:before="240" w:after="240" w:line="360" w:lineRule="auto"/>
        <w:jc w:val="center"/>
        <w:rPr>
          <w:rFonts w:cs="Arial"/>
          <w:b/>
          <w:bCs/>
          <w:color w:val="auto"/>
          <w:sz w:val="24"/>
          <w:szCs w:val="24"/>
        </w:rPr>
      </w:pPr>
      <w:bookmarkStart w:id="20" w:name="_Toc214014935"/>
      <w:r w:rsidRPr="00682E89">
        <w:rPr>
          <w:rFonts w:cs="Arial"/>
          <w:b/>
          <w:bCs/>
          <w:color w:val="auto"/>
          <w:sz w:val="24"/>
          <w:szCs w:val="24"/>
        </w:rPr>
        <w:t xml:space="preserve">Figure </w:t>
      </w:r>
      <w:r w:rsidRPr="00682E89">
        <w:rPr>
          <w:rFonts w:cs="Arial"/>
          <w:b/>
          <w:bCs/>
          <w:color w:val="auto"/>
          <w:sz w:val="24"/>
          <w:szCs w:val="24"/>
        </w:rPr>
        <w:fldChar w:fldCharType="begin"/>
      </w:r>
      <w:r w:rsidRPr="00682E89">
        <w:rPr>
          <w:rFonts w:cs="Arial"/>
          <w:b/>
          <w:bCs/>
          <w:color w:val="auto"/>
          <w:sz w:val="24"/>
          <w:szCs w:val="24"/>
        </w:rPr>
        <w:instrText xml:space="preserve"> SEQ Figure \* ARABIC </w:instrText>
      </w:r>
      <w:r w:rsidRPr="00682E89">
        <w:rPr>
          <w:rFonts w:cs="Arial"/>
          <w:b/>
          <w:bCs/>
          <w:color w:val="auto"/>
          <w:sz w:val="24"/>
          <w:szCs w:val="24"/>
        </w:rPr>
        <w:fldChar w:fldCharType="separate"/>
      </w:r>
      <w:r w:rsidR="004A0391">
        <w:rPr>
          <w:rFonts w:cs="Arial"/>
          <w:b/>
          <w:bCs/>
          <w:noProof/>
          <w:color w:val="auto"/>
          <w:sz w:val="24"/>
          <w:szCs w:val="24"/>
        </w:rPr>
        <w:t>9</w:t>
      </w:r>
      <w:r w:rsidRPr="00682E89">
        <w:rPr>
          <w:rFonts w:cs="Arial"/>
          <w:b/>
          <w:bCs/>
          <w:color w:val="auto"/>
          <w:sz w:val="24"/>
          <w:szCs w:val="24"/>
        </w:rPr>
        <w:fldChar w:fldCharType="end"/>
      </w:r>
      <w:r w:rsidRPr="00682E89">
        <w:rPr>
          <w:rFonts w:cs="Arial"/>
          <w:b/>
          <w:bCs/>
          <w:color w:val="auto"/>
          <w:sz w:val="24"/>
          <w:szCs w:val="24"/>
        </w:rPr>
        <w:t>: Cash Operating Cycle of General Electronics</w:t>
      </w:r>
      <w:bookmarkEnd w:id="20"/>
    </w:p>
    <w:p w14:paraId="1EB2251D" w14:textId="77777777" w:rsidR="00382D2D" w:rsidRPr="00682E89" w:rsidRDefault="00382D2D" w:rsidP="008E5AAD">
      <w:pPr>
        <w:rPr>
          <w:rFonts w:cs="Arial"/>
          <w:szCs w:val="24"/>
        </w:rPr>
      </w:pPr>
      <w:r w:rsidRPr="00682E89">
        <w:rPr>
          <w:rFonts w:cs="Arial"/>
          <w:szCs w:val="24"/>
        </w:rPr>
        <w:t xml:space="preserve">Based on the above figure, the COC of General Electronics moved from 108 days in 2020 to 114 days in 2021 to 140, 133, and 115 days in 2022, 2023, and 2024 respectively. The five-year trend reflects volatility with a significant weakening in 2022 when inventory days spiked to 131, extending the cycle to its longest point. Whereas, in 2024, it records the shortest cycle since 2020 indicating a </w:t>
      </w:r>
      <w:r w:rsidRPr="00682E89">
        <w:rPr>
          <w:rStyle w:val="Strong"/>
          <w:rFonts w:cs="Arial"/>
          <w:szCs w:val="24"/>
        </w:rPr>
        <w:t>25-day improvement</w:t>
      </w:r>
      <w:r w:rsidRPr="00682E89">
        <w:rPr>
          <w:rFonts w:cs="Arial"/>
          <w:szCs w:val="24"/>
        </w:rPr>
        <w:t xml:space="preserve"> from 2022 mainly due to better receivables management and slightly leaner </w:t>
      </w:r>
      <w:r w:rsidRPr="00682E89">
        <w:rPr>
          <w:rFonts w:cs="Arial"/>
          <w:szCs w:val="24"/>
        </w:rPr>
        <w:lastRenderedPageBreak/>
        <w:t xml:space="preserve">inventories. This reflects an effective improvement in liquidity and operational efficiency in the current year as compared to the previous year suggesting that management addressed earlier inefficiencies through better inventory planning and supplier negotiations. However, the cycle is lengthy at 115 days implying more than three months of working capital required before converting to cash. Thus, it can be assessed that COC in 2024 is efficient by showing improved operational cash flow management but further reductions are required for attaining optimal levels. </w:t>
      </w:r>
    </w:p>
    <w:p w14:paraId="334681F5" w14:textId="77777777" w:rsidR="00382D2D" w:rsidRPr="00682E89" w:rsidRDefault="00382D2D" w:rsidP="008E5AAD">
      <w:pPr>
        <w:pStyle w:val="Heading2"/>
        <w:spacing w:before="240" w:after="240"/>
        <w:rPr>
          <w:rFonts w:cs="Arial"/>
          <w:szCs w:val="24"/>
          <w:lang w:val="en-IN"/>
        </w:rPr>
      </w:pPr>
      <w:bookmarkStart w:id="21" w:name="_Toc214014909"/>
      <w:r w:rsidRPr="00682E89">
        <w:rPr>
          <w:rFonts w:cs="Arial"/>
          <w:szCs w:val="24"/>
          <w:lang w:val="en-IN"/>
        </w:rPr>
        <w:t>Recommended Strategies</w:t>
      </w:r>
      <w:bookmarkEnd w:id="21"/>
      <w:r w:rsidRPr="00682E89">
        <w:rPr>
          <w:rFonts w:cs="Arial"/>
          <w:szCs w:val="24"/>
          <w:lang w:val="en-IN"/>
        </w:rPr>
        <w:t xml:space="preserve"> </w:t>
      </w:r>
    </w:p>
    <w:p w14:paraId="32F4653A" w14:textId="77777777" w:rsidR="00382D2D" w:rsidRPr="00682E89" w:rsidRDefault="00382D2D" w:rsidP="008E5AAD">
      <w:pPr>
        <w:rPr>
          <w:rFonts w:cs="Arial"/>
          <w:szCs w:val="24"/>
          <w:lang w:val="en-IN"/>
        </w:rPr>
      </w:pPr>
      <w:r w:rsidRPr="00682E89">
        <w:rPr>
          <w:rFonts w:cs="Arial"/>
          <w:szCs w:val="24"/>
          <w:lang w:val="en-IN"/>
        </w:rPr>
        <w:t xml:space="preserve">Considering the analysis, it has been seen that General Electronics’ cash operating cycle is improving but still signalling excessive capital blockage. A proactive working-capital policy needs to </w:t>
      </w:r>
      <w:r w:rsidRPr="00682E89">
        <w:rPr>
          <w:rFonts w:cs="Arial"/>
          <w:b/>
          <w:bCs/>
          <w:i/>
          <w:iCs/>
          <w:szCs w:val="24"/>
          <w:lang w:val="en-IN"/>
        </w:rPr>
        <w:t xml:space="preserve">focus on balancing liquidity, profitability, and risk </w:t>
      </w:r>
      <w:r w:rsidRPr="00682E89">
        <w:rPr>
          <w:rFonts w:cs="Arial"/>
          <w:szCs w:val="24"/>
          <w:lang w:val="en-IN"/>
        </w:rPr>
        <w:t xml:space="preserve">through improvements in inventory, receivables, and payables. </w:t>
      </w:r>
    </w:p>
    <w:p w14:paraId="64DC3803" w14:textId="77777777" w:rsidR="00382D2D" w:rsidRPr="00682E89" w:rsidRDefault="00382D2D" w:rsidP="008E5AAD">
      <w:pPr>
        <w:pStyle w:val="ListParagraph"/>
        <w:numPr>
          <w:ilvl w:val="0"/>
          <w:numId w:val="1"/>
        </w:numPr>
        <w:contextualSpacing w:val="0"/>
        <w:rPr>
          <w:rFonts w:cs="Arial"/>
          <w:b/>
          <w:bCs/>
          <w:i/>
          <w:iCs/>
          <w:szCs w:val="24"/>
          <w:lang w:val="en-IN"/>
        </w:rPr>
      </w:pPr>
      <w:r w:rsidRPr="00682E89">
        <w:rPr>
          <w:rFonts w:cs="Arial"/>
          <w:szCs w:val="24"/>
          <w:lang w:val="en-IN"/>
        </w:rPr>
        <w:t xml:space="preserve">In terms of inventory which remains relatively high as compared to earlier years, the company is recommended to </w:t>
      </w:r>
      <w:r w:rsidRPr="00682E89">
        <w:rPr>
          <w:rFonts w:cs="Arial"/>
          <w:b/>
          <w:bCs/>
          <w:i/>
          <w:iCs/>
          <w:szCs w:val="24"/>
          <w:lang w:val="en-IN"/>
        </w:rPr>
        <w:t>implement demand-driven inventory control techniques</w:t>
      </w:r>
      <w:r w:rsidRPr="00682E89">
        <w:rPr>
          <w:rFonts w:cs="Arial"/>
          <w:szCs w:val="24"/>
          <w:lang w:val="en-IN"/>
        </w:rPr>
        <w:t xml:space="preserve"> such as Economic Order Quantity (EOQ), Just-in-Time (JIT) or Material Requirements Planning (MRP) to align stock levels with sales forecasts (</w:t>
      </w:r>
      <w:r w:rsidRPr="00682E89">
        <w:rPr>
          <w:rFonts w:cs="Arial"/>
          <w:szCs w:val="24"/>
          <w:shd w:val="clear" w:color="auto" w:fill="FFFFFF"/>
        </w:rPr>
        <w:t>Alsoussi and Tahboub, 2025</w:t>
      </w:r>
      <w:r w:rsidRPr="00682E89">
        <w:rPr>
          <w:rFonts w:cs="Arial"/>
          <w:szCs w:val="24"/>
          <w:lang w:val="en-IN"/>
        </w:rPr>
        <w:t xml:space="preserve">). General Electronics by segregating fast- and slow-moving items through </w:t>
      </w:r>
      <w:r w:rsidRPr="00682E89">
        <w:rPr>
          <w:rFonts w:cs="Arial"/>
          <w:b/>
          <w:bCs/>
          <w:i/>
          <w:iCs/>
          <w:szCs w:val="24"/>
          <w:lang w:val="en-IN"/>
        </w:rPr>
        <w:t>ABC analysis</w:t>
      </w:r>
      <w:r w:rsidRPr="00682E89">
        <w:rPr>
          <w:rFonts w:cs="Arial"/>
          <w:szCs w:val="24"/>
          <w:lang w:val="en-IN"/>
        </w:rPr>
        <w:t xml:space="preserve"> can lead to prevent </w:t>
      </w:r>
      <w:r w:rsidRPr="00682E89">
        <w:rPr>
          <w:rFonts w:cs="Arial"/>
          <w:szCs w:val="24"/>
        </w:rPr>
        <w:t xml:space="preserve">capital being tied up in low-turnover goods. Moreover, </w:t>
      </w:r>
      <w:r w:rsidRPr="00682E89">
        <w:rPr>
          <w:rFonts w:cs="Arial"/>
          <w:b/>
          <w:bCs/>
          <w:i/>
          <w:iCs/>
          <w:szCs w:val="24"/>
        </w:rPr>
        <w:t xml:space="preserve">vendor-managed inventory (VMI) </w:t>
      </w:r>
      <w:r w:rsidRPr="00682E89">
        <w:rPr>
          <w:rFonts w:cs="Arial"/>
          <w:szCs w:val="24"/>
        </w:rPr>
        <w:t>arrangements could also lead to minimising replenishment cycles and safety stock (</w:t>
      </w:r>
      <w:r w:rsidRPr="00682E89">
        <w:rPr>
          <w:rFonts w:cs="Arial"/>
          <w:szCs w:val="24"/>
          <w:shd w:val="clear" w:color="auto" w:fill="FFFFFF"/>
        </w:rPr>
        <w:t>Van den Bogaert and Van Jaarsveld, 2022</w:t>
      </w:r>
      <w:r w:rsidRPr="00682E89">
        <w:rPr>
          <w:rFonts w:cs="Arial"/>
          <w:szCs w:val="24"/>
        </w:rPr>
        <w:t xml:space="preserve">). </w:t>
      </w:r>
    </w:p>
    <w:p w14:paraId="6F5DB20A" w14:textId="77777777" w:rsidR="00382D2D" w:rsidRPr="00682E89" w:rsidRDefault="00382D2D" w:rsidP="008E5AAD">
      <w:pPr>
        <w:pStyle w:val="ListParagraph"/>
        <w:numPr>
          <w:ilvl w:val="0"/>
          <w:numId w:val="1"/>
        </w:numPr>
        <w:contextualSpacing w:val="0"/>
        <w:rPr>
          <w:rFonts w:cs="Arial"/>
          <w:b/>
          <w:bCs/>
          <w:i/>
          <w:iCs/>
          <w:szCs w:val="24"/>
          <w:lang w:val="en-IN"/>
        </w:rPr>
      </w:pPr>
      <w:r w:rsidRPr="00682E89">
        <w:rPr>
          <w:rFonts w:cs="Arial"/>
          <w:szCs w:val="24"/>
        </w:rPr>
        <w:t xml:space="preserve">It has been seen that the collection period has strengthened since 2022 indicating more effective credit terms or slower customer payments. However, the firm is recommended to </w:t>
      </w:r>
      <w:r w:rsidRPr="00682E89">
        <w:rPr>
          <w:rFonts w:cs="Arial"/>
          <w:b/>
          <w:bCs/>
          <w:i/>
          <w:iCs/>
          <w:szCs w:val="24"/>
        </w:rPr>
        <w:t xml:space="preserve">conduct periodic credit reviews, tighten credit control procedures, and offer early payment discounts </w:t>
      </w:r>
      <w:r w:rsidRPr="00682E89">
        <w:rPr>
          <w:rFonts w:cs="Arial"/>
          <w:szCs w:val="24"/>
        </w:rPr>
        <w:t xml:space="preserve">in order to incentivise quicker settlements. Further, General Electronics can also bring automation through </w:t>
      </w:r>
      <w:r w:rsidRPr="00682E89">
        <w:rPr>
          <w:rFonts w:cs="Arial"/>
          <w:b/>
          <w:bCs/>
          <w:i/>
          <w:iCs/>
          <w:szCs w:val="24"/>
        </w:rPr>
        <w:t xml:space="preserve">electronic invoicing and credit-monitoring software </w:t>
      </w:r>
      <w:r w:rsidRPr="00682E89">
        <w:rPr>
          <w:rFonts w:cs="Arial"/>
          <w:szCs w:val="24"/>
        </w:rPr>
        <w:t>for minimising delays and disputes (</w:t>
      </w:r>
      <w:r w:rsidRPr="00682E89">
        <w:rPr>
          <w:rFonts w:cs="Arial"/>
          <w:szCs w:val="24"/>
          <w:shd w:val="clear" w:color="auto" w:fill="FFFFFF"/>
        </w:rPr>
        <w:t>Pamisetty, et al., 2024</w:t>
      </w:r>
      <w:r w:rsidRPr="00682E89">
        <w:rPr>
          <w:rFonts w:cs="Arial"/>
          <w:szCs w:val="24"/>
        </w:rPr>
        <w:t xml:space="preserve">). </w:t>
      </w:r>
    </w:p>
    <w:p w14:paraId="7884197F" w14:textId="77777777" w:rsidR="00382D2D" w:rsidRPr="00682E89" w:rsidRDefault="00382D2D" w:rsidP="008E5AAD">
      <w:pPr>
        <w:pStyle w:val="ListParagraph"/>
        <w:numPr>
          <w:ilvl w:val="0"/>
          <w:numId w:val="1"/>
        </w:numPr>
        <w:contextualSpacing w:val="0"/>
        <w:rPr>
          <w:rFonts w:cs="Arial"/>
          <w:b/>
          <w:bCs/>
          <w:i/>
          <w:iCs/>
          <w:szCs w:val="24"/>
          <w:lang w:val="en-IN"/>
        </w:rPr>
      </w:pPr>
      <w:r w:rsidRPr="00682E89">
        <w:rPr>
          <w:rFonts w:cs="Arial"/>
          <w:szCs w:val="24"/>
          <w:lang w:val="en-IN"/>
        </w:rPr>
        <w:t xml:space="preserve">Considering a longer DPO indicates stronger supplier negotiations but it needs to be managed effectively to avoid supplier strain. For the same, the management of General Electronics can </w:t>
      </w:r>
      <w:r w:rsidRPr="00682E89">
        <w:rPr>
          <w:rFonts w:cs="Arial"/>
          <w:b/>
          <w:bCs/>
          <w:i/>
          <w:iCs/>
          <w:szCs w:val="24"/>
          <w:lang w:val="en-IN"/>
        </w:rPr>
        <w:t xml:space="preserve">introduce supply-chain financing or reverse factoring </w:t>
      </w:r>
      <w:r w:rsidRPr="00682E89">
        <w:rPr>
          <w:rFonts w:cs="Arial"/>
          <w:b/>
          <w:bCs/>
          <w:i/>
          <w:iCs/>
          <w:szCs w:val="24"/>
          <w:lang w:val="en-IN"/>
        </w:rPr>
        <w:lastRenderedPageBreak/>
        <w:t xml:space="preserve">programs </w:t>
      </w:r>
      <w:r w:rsidRPr="00682E89">
        <w:rPr>
          <w:rFonts w:cs="Arial"/>
          <w:szCs w:val="24"/>
          <w:lang w:val="en-IN"/>
        </w:rPr>
        <w:t>to extend its payment window along with ensuring prompt payment from the financier to suppliers (</w:t>
      </w:r>
      <w:r w:rsidRPr="00682E89">
        <w:rPr>
          <w:rFonts w:cs="Arial"/>
          <w:szCs w:val="24"/>
          <w:shd w:val="clear" w:color="auto" w:fill="FFFFFF"/>
        </w:rPr>
        <w:t>Beyer and Herzog, 2021</w:t>
      </w:r>
      <w:r w:rsidRPr="00682E89">
        <w:rPr>
          <w:rFonts w:cs="Arial"/>
          <w:szCs w:val="24"/>
          <w:lang w:val="en-IN"/>
        </w:rPr>
        <w:t xml:space="preserve">). </w:t>
      </w:r>
    </w:p>
    <w:p w14:paraId="7ED324AE" w14:textId="77777777" w:rsidR="00382D2D" w:rsidRPr="00682E89" w:rsidRDefault="00382D2D" w:rsidP="008E5AAD">
      <w:pPr>
        <w:rPr>
          <w:rFonts w:cs="Arial"/>
          <w:szCs w:val="24"/>
          <w:lang w:val="en-IN"/>
        </w:rPr>
      </w:pPr>
      <w:r w:rsidRPr="00682E89">
        <w:rPr>
          <w:rFonts w:cs="Arial"/>
          <w:szCs w:val="24"/>
          <w:lang w:val="en-IN"/>
        </w:rPr>
        <w:t xml:space="preserve">Therefore, establishing a </w:t>
      </w:r>
      <w:r w:rsidRPr="00682E89">
        <w:rPr>
          <w:rFonts w:cs="Arial"/>
          <w:b/>
          <w:bCs/>
          <w:i/>
          <w:iCs/>
          <w:szCs w:val="24"/>
          <w:lang w:val="en-IN"/>
        </w:rPr>
        <w:t xml:space="preserve">working capital task force </w:t>
      </w:r>
      <w:r w:rsidRPr="00682E89">
        <w:rPr>
          <w:rFonts w:cs="Arial"/>
          <w:szCs w:val="24"/>
          <w:lang w:val="en-IN"/>
        </w:rPr>
        <w:t xml:space="preserve">can help in setting clear KPIs in terms of minimising the DIO to below 95 days, DSO below 90 days, and DPO around 90 days. Attaining these KPIs would help in attaining approximately 90 days of COC leading to freeing substantial cash and improving liquidity sustainability. </w:t>
      </w:r>
    </w:p>
    <w:p w14:paraId="053317AF" w14:textId="77777777" w:rsidR="00382D2D" w:rsidRPr="00682E89" w:rsidRDefault="00382D2D" w:rsidP="008E5AAD">
      <w:pPr>
        <w:pStyle w:val="Heading2"/>
        <w:spacing w:before="240" w:after="240"/>
        <w:rPr>
          <w:rFonts w:cs="Arial"/>
          <w:szCs w:val="24"/>
          <w:lang w:val="en-IN"/>
        </w:rPr>
      </w:pPr>
      <w:bookmarkStart w:id="22" w:name="_Toc214014910"/>
      <w:r w:rsidRPr="00682E89">
        <w:rPr>
          <w:rFonts w:cs="Arial"/>
          <w:szCs w:val="24"/>
          <w:lang w:val="en-IN"/>
        </w:rPr>
        <w:t>Short-term and long-term financing options</w:t>
      </w:r>
      <w:bookmarkEnd w:id="22"/>
      <w:r w:rsidRPr="00682E89">
        <w:rPr>
          <w:rFonts w:cs="Arial"/>
          <w:szCs w:val="24"/>
          <w:lang w:val="en-IN"/>
        </w:rPr>
        <w:t xml:space="preserve"> </w:t>
      </w:r>
    </w:p>
    <w:p w14:paraId="14203A6A" w14:textId="77777777" w:rsidR="00382D2D" w:rsidRPr="00682E89" w:rsidRDefault="00382D2D" w:rsidP="008E5AAD">
      <w:pPr>
        <w:keepNext/>
        <w:jc w:val="center"/>
        <w:rPr>
          <w:rFonts w:cs="Arial"/>
          <w:b/>
          <w:bCs/>
          <w:szCs w:val="24"/>
        </w:rPr>
      </w:pPr>
      <w:r w:rsidRPr="00682E89">
        <w:rPr>
          <w:rFonts w:cs="Arial"/>
          <w:b/>
          <w:bCs/>
          <w:noProof/>
          <w:szCs w:val="24"/>
          <w:lang w:val="en-IN"/>
        </w:rPr>
        <w:drawing>
          <wp:inline distT="0" distB="0" distL="0" distR="0" wp14:anchorId="1F332268" wp14:editId="07BBC44E">
            <wp:extent cx="3627120" cy="1600200"/>
            <wp:effectExtent l="0" t="0" r="0" b="19050"/>
            <wp:docPr id="153455888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36DC3EF" w14:textId="26BA0D31" w:rsidR="00382D2D" w:rsidRPr="00682E89" w:rsidRDefault="00382D2D" w:rsidP="008E5AAD">
      <w:pPr>
        <w:pStyle w:val="Caption"/>
        <w:spacing w:before="240" w:after="240" w:line="360" w:lineRule="auto"/>
        <w:jc w:val="center"/>
        <w:rPr>
          <w:rFonts w:cs="Arial"/>
          <w:b/>
          <w:bCs/>
          <w:color w:val="auto"/>
          <w:sz w:val="24"/>
          <w:szCs w:val="24"/>
          <w:lang w:val="en-IN"/>
        </w:rPr>
      </w:pPr>
      <w:bookmarkStart w:id="23" w:name="_Toc214014936"/>
      <w:r w:rsidRPr="00682E89">
        <w:rPr>
          <w:rFonts w:cs="Arial"/>
          <w:b/>
          <w:bCs/>
          <w:color w:val="auto"/>
          <w:sz w:val="24"/>
          <w:szCs w:val="24"/>
        </w:rPr>
        <w:t xml:space="preserve">Figure </w:t>
      </w:r>
      <w:r w:rsidRPr="00682E89">
        <w:rPr>
          <w:rFonts w:cs="Arial"/>
          <w:b/>
          <w:bCs/>
          <w:color w:val="auto"/>
          <w:sz w:val="24"/>
          <w:szCs w:val="24"/>
        </w:rPr>
        <w:fldChar w:fldCharType="begin"/>
      </w:r>
      <w:r w:rsidRPr="00682E89">
        <w:rPr>
          <w:rFonts w:cs="Arial"/>
          <w:b/>
          <w:bCs/>
          <w:color w:val="auto"/>
          <w:sz w:val="24"/>
          <w:szCs w:val="24"/>
        </w:rPr>
        <w:instrText xml:space="preserve"> SEQ Figure \* ARABIC </w:instrText>
      </w:r>
      <w:r w:rsidRPr="00682E89">
        <w:rPr>
          <w:rFonts w:cs="Arial"/>
          <w:b/>
          <w:bCs/>
          <w:color w:val="auto"/>
          <w:sz w:val="24"/>
          <w:szCs w:val="24"/>
        </w:rPr>
        <w:fldChar w:fldCharType="separate"/>
      </w:r>
      <w:r w:rsidR="004A0391">
        <w:rPr>
          <w:rFonts w:cs="Arial"/>
          <w:b/>
          <w:bCs/>
          <w:noProof/>
          <w:color w:val="auto"/>
          <w:sz w:val="24"/>
          <w:szCs w:val="24"/>
        </w:rPr>
        <w:t>10</w:t>
      </w:r>
      <w:r w:rsidRPr="00682E89">
        <w:rPr>
          <w:rFonts w:cs="Arial"/>
          <w:b/>
          <w:bCs/>
          <w:color w:val="auto"/>
          <w:sz w:val="24"/>
          <w:szCs w:val="24"/>
        </w:rPr>
        <w:fldChar w:fldCharType="end"/>
      </w:r>
      <w:r w:rsidRPr="00682E89">
        <w:rPr>
          <w:rFonts w:cs="Arial"/>
          <w:b/>
          <w:bCs/>
          <w:color w:val="auto"/>
          <w:sz w:val="24"/>
          <w:szCs w:val="24"/>
        </w:rPr>
        <w:t>: Financing Options</w:t>
      </w:r>
      <w:bookmarkEnd w:id="23"/>
    </w:p>
    <w:p w14:paraId="15026FFC" w14:textId="77777777" w:rsidR="00382D2D" w:rsidRPr="00682E89" w:rsidRDefault="00382D2D" w:rsidP="008E5AAD">
      <w:pPr>
        <w:rPr>
          <w:rFonts w:cs="Arial"/>
          <w:szCs w:val="24"/>
        </w:rPr>
      </w:pPr>
      <w:r w:rsidRPr="00682E89">
        <w:rPr>
          <w:rFonts w:cs="Arial"/>
          <w:szCs w:val="24"/>
          <w:lang w:val="en-IN"/>
        </w:rPr>
        <w:t xml:space="preserve">An efficient working-capital financing requires </w:t>
      </w:r>
      <w:r w:rsidRPr="00682E89">
        <w:rPr>
          <w:rFonts w:cs="Arial"/>
          <w:szCs w:val="24"/>
        </w:rPr>
        <w:t>balancing short-term instruments for operational liquidity with long-term funding to ensure stability (</w:t>
      </w:r>
      <w:r w:rsidRPr="00682E89">
        <w:rPr>
          <w:rFonts w:cs="Arial"/>
          <w:szCs w:val="24"/>
          <w:shd w:val="clear" w:color="auto" w:fill="FFFFFF"/>
        </w:rPr>
        <w:t>Ismail, 2017</w:t>
      </w:r>
      <w:r w:rsidRPr="00682E89">
        <w:rPr>
          <w:rFonts w:cs="Arial"/>
          <w:szCs w:val="24"/>
        </w:rPr>
        <w:t xml:space="preserve">). The financing options are provided below. </w:t>
      </w:r>
    </w:p>
    <w:tbl>
      <w:tblPr>
        <w:tblStyle w:val="TableGrid"/>
        <w:tblW w:w="0" w:type="auto"/>
        <w:tblLook w:val="04A0" w:firstRow="1" w:lastRow="0" w:firstColumn="1" w:lastColumn="0" w:noHBand="0" w:noVBand="1"/>
      </w:tblPr>
      <w:tblGrid>
        <w:gridCol w:w="2972"/>
        <w:gridCol w:w="6044"/>
      </w:tblGrid>
      <w:tr w:rsidR="00682E89" w:rsidRPr="00682E89" w14:paraId="014AA412" w14:textId="77777777" w:rsidTr="00DD4463">
        <w:tc>
          <w:tcPr>
            <w:tcW w:w="2972" w:type="dxa"/>
          </w:tcPr>
          <w:p w14:paraId="198EC6F4" w14:textId="77777777" w:rsidR="00382D2D" w:rsidRPr="00682E89" w:rsidRDefault="00382D2D" w:rsidP="008E5AAD">
            <w:pPr>
              <w:spacing w:before="240" w:after="240" w:line="360" w:lineRule="auto"/>
              <w:jc w:val="center"/>
              <w:rPr>
                <w:rFonts w:cs="Arial"/>
                <w:b/>
                <w:bCs/>
                <w:szCs w:val="24"/>
                <w:lang w:val="en-IN"/>
              </w:rPr>
            </w:pPr>
            <w:r w:rsidRPr="00682E89">
              <w:rPr>
                <w:rFonts w:cs="Arial"/>
                <w:b/>
                <w:bCs/>
                <w:szCs w:val="24"/>
                <w:lang w:val="en-IN"/>
              </w:rPr>
              <w:t>Financing options</w:t>
            </w:r>
          </w:p>
        </w:tc>
        <w:tc>
          <w:tcPr>
            <w:tcW w:w="6044" w:type="dxa"/>
          </w:tcPr>
          <w:p w14:paraId="15733F28" w14:textId="77777777" w:rsidR="00382D2D" w:rsidRPr="00682E89" w:rsidRDefault="00382D2D" w:rsidP="008E5AAD">
            <w:pPr>
              <w:spacing w:before="240" w:after="240" w:line="360" w:lineRule="auto"/>
              <w:jc w:val="center"/>
              <w:rPr>
                <w:rFonts w:cs="Arial"/>
                <w:b/>
                <w:bCs/>
                <w:szCs w:val="24"/>
                <w:lang w:val="en-IN"/>
              </w:rPr>
            </w:pPr>
            <w:r w:rsidRPr="00682E89">
              <w:rPr>
                <w:rFonts w:cs="Arial"/>
                <w:b/>
                <w:bCs/>
                <w:szCs w:val="24"/>
                <w:lang w:val="en-IN"/>
              </w:rPr>
              <w:t>Description</w:t>
            </w:r>
          </w:p>
        </w:tc>
      </w:tr>
      <w:tr w:rsidR="00682E89" w:rsidRPr="00682E89" w14:paraId="44C42BA6" w14:textId="77777777" w:rsidTr="00DD4463">
        <w:tc>
          <w:tcPr>
            <w:tcW w:w="2972" w:type="dxa"/>
          </w:tcPr>
          <w:p w14:paraId="27850568" w14:textId="77777777" w:rsidR="00382D2D" w:rsidRPr="00682E89" w:rsidRDefault="00382D2D" w:rsidP="008E5AAD">
            <w:pPr>
              <w:spacing w:before="240" w:after="240" w:line="360" w:lineRule="auto"/>
              <w:rPr>
                <w:rFonts w:cs="Arial"/>
                <w:b/>
                <w:bCs/>
                <w:i/>
                <w:iCs/>
                <w:szCs w:val="24"/>
                <w:lang w:val="en-IN"/>
              </w:rPr>
            </w:pPr>
            <w:r w:rsidRPr="00682E89">
              <w:rPr>
                <w:rFonts w:cs="Arial"/>
                <w:b/>
                <w:bCs/>
                <w:i/>
                <w:iCs/>
                <w:szCs w:val="24"/>
                <w:lang w:val="en-IN"/>
              </w:rPr>
              <w:t>Short-term financing</w:t>
            </w:r>
          </w:p>
        </w:tc>
        <w:tc>
          <w:tcPr>
            <w:tcW w:w="6044" w:type="dxa"/>
          </w:tcPr>
          <w:p w14:paraId="352D2978" w14:textId="77777777" w:rsidR="00382D2D" w:rsidRPr="00682E89" w:rsidRDefault="00382D2D" w:rsidP="008E5AAD">
            <w:pPr>
              <w:pStyle w:val="ListParagraph"/>
              <w:numPr>
                <w:ilvl w:val="0"/>
                <w:numId w:val="2"/>
              </w:numPr>
              <w:spacing w:before="240" w:after="240" w:line="360" w:lineRule="auto"/>
              <w:contextualSpacing w:val="0"/>
              <w:rPr>
                <w:rFonts w:cs="Arial"/>
                <w:szCs w:val="24"/>
                <w:lang w:val="en-IN"/>
              </w:rPr>
            </w:pPr>
            <w:r w:rsidRPr="00682E89">
              <w:rPr>
                <w:rFonts w:cs="Arial"/>
                <w:i/>
                <w:iCs/>
                <w:szCs w:val="24"/>
                <w:lang w:val="en-IN"/>
              </w:rPr>
              <w:t xml:space="preserve">Trade Credit: </w:t>
            </w:r>
            <w:r w:rsidRPr="00682E89">
              <w:rPr>
                <w:rFonts w:cs="Arial"/>
                <w:szCs w:val="24"/>
                <w:lang w:val="en-IN"/>
              </w:rPr>
              <w:t xml:space="preserve">This </w:t>
            </w:r>
            <w:r w:rsidRPr="00682E89">
              <w:rPr>
                <w:rFonts w:cs="Arial"/>
                <w:szCs w:val="24"/>
              </w:rPr>
              <w:t>is the most common and cost-effective short-term financing source associated with delaying supplier payments considering agreed terms. It helps in improving liquidity without incurring interest costs but excessive stretching can harm supplier relationships or lead to lost discounts (</w:t>
            </w:r>
            <w:r w:rsidRPr="00682E89">
              <w:rPr>
                <w:rFonts w:cs="Arial"/>
                <w:szCs w:val="24"/>
                <w:shd w:val="clear" w:color="auto" w:fill="FFFFFF"/>
              </w:rPr>
              <w:t>Hoang, et al., 2019</w:t>
            </w:r>
            <w:r w:rsidRPr="00682E89">
              <w:rPr>
                <w:rFonts w:cs="Arial"/>
                <w:szCs w:val="24"/>
              </w:rPr>
              <w:t>).</w:t>
            </w:r>
          </w:p>
          <w:p w14:paraId="209CB8E6" w14:textId="77777777" w:rsidR="00382D2D" w:rsidRPr="00682E89" w:rsidRDefault="00382D2D" w:rsidP="008E5AAD">
            <w:pPr>
              <w:pStyle w:val="ListParagraph"/>
              <w:numPr>
                <w:ilvl w:val="0"/>
                <w:numId w:val="2"/>
              </w:numPr>
              <w:spacing w:before="240" w:after="240" w:line="360" w:lineRule="auto"/>
              <w:contextualSpacing w:val="0"/>
              <w:rPr>
                <w:rFonts w:cs="Arial"/>
                <w:szCs w:val="24"/>
                <w:lang w:val="en-IN"/>
              </w:rPr>
            </w:pPr>
            <w:r w:rsidRPr="00682E89">
              <w:rPr>
                <w:rFonts w:cs="Arial"/>
                <w:i/>
                <w:iCs/>
                <w:szCs w:val="24"/>
                <w:lang w:val="en-IN"/>
              </w:rPr>
              <w:t xml:space="preserve">Bank Overdraft: </w:t>
            </w:r>
            <w:r w:rsidRPr="00682E89">
              <w:rPr>
                <w:rFonts w:cs="Arial"/>
                <w:szCs w:val="24"/>
                <w:lang w:val="en-IN"/>
              </w:rPr>
              <w:t xml:space="preserve">It offers </w:t>
            </w:r>
            <w:r w:rsidRPr="00682E89">
              <w:rPr>
                <w:rFonts w:cs="Arial"/>
                <w:szCs w:val="24"/>
              </w:rPr>
              <w:t xml:space="preserve">flexible, on-demand funding for temporary cash shortfalls. They are useful for </w:t>
            </w:r>
            <w:r w:rsidRPr="00682E89">
              <w:rPr>
                <w:rFonts w:cs="Arial"/>
                <w:szCs w:val="24"/>
              </w:rPr>
              <w:lastRenderedPageBreak/>
              <w:t>managing seasonal fluctuations but often have higher interest rates and can be withdrawn without notice.</w:t>
            </w:r>
          </w:p>
          <w:p w14:paraId="376E18A6" w14:textId="77777777" w:rsidR="00382D2D" w:rsidRPr="00682E89" w:rsidRDefault="00382D2D" w:rsidP="008E5AAD">
            <w:pPr>
              <w:pStyle w:val="ListParagraph"/>
              <w:numPr>
                <w:ilvl w:val="0"/>
                <w:numId w:val="2"/>
              </w:numPr>
              <w:spacing w:before="240" w:after="240" w:line="360" w:lineRule="auto"/>
              <w:contextualSpacing w:val="0"/>
              <w:rPr>
                <w:rFonts w:cs="Arial"/>
                <w:szCs w:val="24"/>
                <w:lang w:val="en-IN"/>
              </w:rPr>
            </w:pPr>
            <w:r w:rsidRPr="00682E89">
              <w:rPr>
                <w:rFonts w:cs="Arial"/>
                <w:i/>
                <w:iCs/>
                <w:szCs w:val="24"/>
                <w:lang w:val="en-IN"/>
              </w:rPr>
              <w:t xml:space="preserve">Revolving Credit Facility (RCF): </w:t>
            </w:r>
            <w:r w:rsidRPr="00682E89">
              <w:rPr>
                <w:rFonts w:cs="Arial"/>
                <w:szCs w:val="24"/>
                <w:lang w:val="en-IN"/>
              </w:rPr>
              <w:t xml:space="preserve">It is a </w:t>
            </w:r>
            <w:r w:rsidRPr="00682E89">
              <w:rPr>
                <w:rFonts w:cs="Arial"/>
                <w:szCs w:val="24"/>
              </w:rPr>
              <w:t>committed short-term access to capital with a defined limit and maturity (</w:t>
            </w:r>
            <w:r w:rsidRPr="00682E89">
              <w:rPr>
                <w:rFonts w:cs="Arial"/>
                <w:szCs w:val="24"/>
                <w:shd w:val="clear" w:color="auto" w:fill="FFFFFF"/>
              </w:rPr>
              <w:t>AGUILAR, et al., 2019</w:t>
            </w:r>
            <w:r w:rsidRPr="00682E89">
              <w:rPr>
                <w:rFonts w:cs="Arial"/>
                <w:szCs w:val="24"/>
              </w:rPr>
              <w:t>). Further, it offers flexibility at a predictable fee but requires arrangement charges and contracts.</w:t>
            </w:r>
          </w:p>
          <w:p w14:paraId="15B46645" w14:textId="77777777" w:rsidR="00382D2D" w:rsidRPr="00682E89" w:rsidRDefault="00382D2D" w:rsidP="008E5AAD">
            <w:pPr>
              <w:pStyle w:val="ListParagraph"/>
              <w:numPr>
                <w:ilvl w:val="0"/>
                <w:numId w:val="2"/>
              </w:numPr>
              <w:spacing w:before="240" w:after="240" w:line="360" w:lineRule="auto"/>
              <w:contextualSpacing w:val="0"/>
              <w:rPr>
                <w:rFonts w:cs="Arial"/>
                <w:szCs w:val="24"/>
                <w:lang w:val="en-IN"/>
              </w:rPr>
            </w:pPr>
            <w:r w:rsidRPr="00682E89">
              <w:rPr>
                <w:rFonts w:cs="Arial"/>
                <w:i/>
                <w:iCs/>
                <w:szCs w:val="24"/>
                <w:lang w:val="en-IN"/>
              </w:rPr>
              <w:t xml:space="preserve">Commercial Paper: </w:t>
            </w:r>
            <w:r w:rsidRPr="00682E89">
              <w:rPr>
                <w:rFonts w:cs="Arial"/>
                <w:szCs w:val="24"/>
                <w:lang w:val="en-IN"/>
              </w:rPr>
              <w:t xml:space="preserve">It is suitable for large and creditworthy firms by offering </w:t>
            </w:r>
            <w:r w:rsidRPr="00682E89">
              <w:rPr>
                <w:rFonts w:cs="Arial"/>
                <w:szCs w:val="24"/>
              </w:rPr>
              <w:t>lower interest than bank loans but is exposed to refinancing and market risk.</w:t>
            </w:r>
          </w:p>
        </w:tc>
      </w:tr>
      <w:tr w:rsidR="00682E89" w:rsidRPr="00682E89" w14:paraId="43132F19" w14:textId="77777777" w:rsidTr="00DD4463">
        <w:tc>
          <w:tcPr>
            <w:tcW w:w="2972" w:type="dxa"/>
          </w:tcPr>
          <w:p w14:paraId="34CB5D31" w14:textId="77777777" w:rsidR="00382D2D" w:rsidRPr="00682E89" w:rsidRDefault="00382D2D" w:rsidP="008E5AAD">
            <w:pPr>
              <w:spacing w:before="240" w:after="240" w:line="360" w:lineRule="auto"/>
              <w:rPr>
                <w:rFonts w:cs="Arial"/>
                <w:b/>
                <w:bCs/>
                <w:i/>
                <w:iCs/>
                <w:szCs w:val="24"/>
                <w:lang w:val="en-IN"/>
              </w:rPr>
            </w:pPr>
            <w:r w:rsidRPr="00682E89">
              <w:rPr>
                <w:rFonts w:cs="Arial"/>
                <w:b/>
                <w:bCs/>
                <w:i/>
                <w:iCs/>
                <w:szCs w:val="24"/>
                <w:lang w:val="en-IN"/>
              </w:rPr>
              <w:lastRenderedPageBreak/>
              <w:t>Long-term financing</w:t>
            </w:r>
          </w:p>
        </w:tc>
        <w:tc>
          <w:tcPr>
            <w:tcW w:w="6044" w:type="dxa"/>
          </w:tcPr>
          <w:p w14:paraId="78C2EB20" w14:textId="77777777" w:rsidR="00382D2D" w:rsidRPr="00682E89" w:rsidRDefault="00382D2D" w:rsidP="008E5AAD">
            <w:pPr>
              <w:pStyle w:val="ListParagraph"/>
              <w:numPr>
                <w:ilvl w:val="0"/>
                <w:numId w:val="3"/>
              </w:numPr>
              <w:spacing w:before="240" w:after="240" w:line="360" w:lineRule="auto"/>
              <w:contextualSpacing w:val="0"/>
              <w:rPr>
                <w:rFonts w:cs="Arial"/>
                <w:i/>
                <w:iCs/>
                <w:szCs w:val="24"/>
                <w:lang w:val="en-IN"/>
              </w:rPr>
            </w:pPr>
            <w:r w:rsidRPr="00682E89">
              <w:rPr>
                <w:rFonts w:cs="Arial"/>
                <w:i/>
                <w:iCs/>
                <w:szCs w:val="24"/>
                <w:lang w:val="en-IN"/>
              </w:rPr>
              <w:t xml:space="preserve">Term Loan: </w:t>
            </w:r>
            <w:r w:rsidRPr="00682E89">
              <w:rPr>
                <w:rFonts w:cs="Arial"/>
                <w:szCs w:val="24"/>
                <w:lang w:val="en-IN"/>
              </w:rPr>
              <w:t xml:space="preserve">This is a fixed-period bank loan that is used </w:t>
            </w:r>
            <w:r w:rsidRPr="00682E89">
              <w:rPr>
                <w:rFonts w:cs="Arial"/>
                <w:szCs w:val="24"/>
              </w:rPr>
              <w:t>for structural funding or capital expansion (</w:t>
            </w:r>
            <w:r w:rsidRPr="00682E89">
              <w:rPr>
                <w:rFonts w:cs="Arial"/>
                <w:szCs w:val="24"/>
                <w:shd w:val="clear" w:color="auto" w:fill="FFFFFF"/>
              </w:rPr>
              <w:t>ACCA Global, 2025</w:t>
            </w:r>
            <w:r w:rsidRPr="00682E89">
              <w:rPr>
                <w:rFonts w:cs="Arial"/>
                <w:szCs w:val="24"/>
              </w:rPr>
              <w:t>). They provide stability and typically lower rates than overdrafts but reduce financial flexibility.</w:t>
            </w:r>
          </w:p>
          <w:p w14:paraId="68C33205" w14:textId="77777777" w:rsidR="00382D2D" w:rsidRPr="00682E89" w:rsidRDefault="00382D2D" w:rsidP="008E5AAD">
            <w:pPr>
              <w:pStyle w:val="ListParagraph"/>
              <w:numPr>
                <w:ilvl w:val="0"/>
                <w:numId w:val="3"/>
              </w:numPr>
              <w:spacing w:before="240" w:after="240" w:line="360" w:lineRule="auto"/>
              <w:contextualSpacing w:val="0"/>
              <w:rPr>
                <w:rFonts w:cs="Arial"/>
                <w:i/>
                <w:iCs/>
                <w:szCs w:val="24"/>
                <w:lang w:val="en-IN"/>
              </w:rPr>
            </w:pPr>
            <w:r w:rsidRPr="00682E89">
              <w:rPr>
                <w:rFonts w:cs="Arial"/>
                <w:i/>
                <w:iCs/>
                <w:szCs w:val="24"/>
                <w:lang w:val="en-IN"/>
              </w:rPr>
              <w:t xml:space="preserve">Corporate Bonds or Debentures: </w:t>
            </w:r>
            <w:r w:rsidRPr="00682E89">
              <w:rPr>
                <w:rFonts w:cs="Arial"/>
                <w:szCs w:val="24"/>
                <w:lang w:val="en-IN"/>
              </w:rPr>
              <w:t xml:space="preserve">Debts help in </w:t>
            </w:r>
            <w:r w:rsidRPr="00682E89">
              <w:rPr>
                <w:rFonts w:cs="Arial"/>
                <w:szCs w:val="24"/>
              </w:rPr>
              <w:t>raising large sums with fixed interest and long maturities associated with long-term investment cycles. Despite this, issuance costs and disclosure obligations are higher.</w:t>
            </w:r>
          </w:p>
          <w:p w14:paraId="2362CC59" w14:textId="77777777" w:rsidR="00382D2D" w:rsidRPr="00682E89" w:rsidRDefault="00382D2D" w:rsidP="008E5AAD">
            <w:pPr>
              <w:pStyle w:val="ListParagraph"/>
              <w:numPr>
                <w:ilvl w:val="0"/>
                <w:numId w:val="3"/>
              </w:numPr>
              <w:spacing w:before="240" w:after="240" w:line="360" w:lineRule="auto"/>
              <w:contextualSpacing w:val="0"/>
              <w:rPr>
                <w:rFonts w:cs="Arial"/>
                <w:i/>
                <w:iCs/>
                <w:szCs w:val="24"/>
                <w:lang w:val="en-IN"/>
              </w:rPr>
            </w:pPr>
            <w:r w:rsidRPr="00682E89">
              <w:rPr>
                <w:rFonts w:cs="Arial"/>
                <w:i/>
                <w:iCs/>
                <w:szCs w:val="24"/>
                <w:lang w:val="en-IN"/>
              </w:rPr>
              <w:t xml:space="preserve">Equity Financing: </w:t>
            </w:r>
            <w:r w:rsidRPr="00682E89">
              <w:rPr>
                <w:rFonts w:cs="Arial"/>
                <w:szCs w:val="24"/>
                <w:lang w:val="en-IN"/>
              </w:rPr>
              <w:t xml:space="preserve">This type of financing raises </w:t>
            </w:r>
            <w:r w:rsidRPr="00682E89">
              <w:rPr>
                <w:rFonts w:cs="Arial"/>
                <w:szCs w:val="24"/>
              </w:rPr>
              <w:t>capital through new share issues leading to strengthening the balance sheet and reducing gearing (</w:t>
            </w:r>
            <w:r w:rsidRPr="00682E89">
              <w:rPr>
                <w:rFonts w:cs="Arial"/>
                <w:szCs w:val="24"/>
                <w:shd w:val="clear" w:color="auto" w:fill="FFFFFF"/>
              </w:rPr>
              <w:t>Achieng, et al., 2018</w:t>
            </w:r>
            <w:r w:rsidRPr="00682E89">
              <w:rPr>
                <w:rFonts w:cs="Arial"/>
                <w:szCs w:val="24"/>
              </w:rPr>
              <w:t>). However, it results in diluting ownership and is more expensive than debt in terms of cost of capital.</w:t>
            </w:r>
          </w:p>
          <w:p w14:paraId="204646B4" w14:textId="77777777" w:rsidR="00382D2D" w:rsidRPr="00682E89" w:rsidRDefault="00382D2D" w:rsidP="008E5AAD">
            <w:pPr>
              <w:pStyle w:val="ListParagraph"/>
              <w:numPr>
                <w:ilvl w:val="0"/>
                <w:numId w:val="3"/>
              </w:numPr>
              <w:spacing w:before="240" w:after="240" w:line="360" w:lineRule="auto"/>
              <w:contextualSpacing w:val="0"/>
              <w:rPr>
                <w:rFonts w:cs="Arial"/>
                <w:i/>
                <w:iCs/>
                <w:szCs w:val="24"/>
                <w:lang w:val="en-IN"/>
              </w:rPr>
            </w:pPr>
            <w:r w:rsidRPr="00682E89">
              <w:rPr>
                <w:rFonts w:cs="Arial"/>
                <w:i/>
                <w:iCs/>
                <w:szCs w:val="24"/>
                <w:lang w:val="en-IN"/>
              </w:rPr>
              <w:lastRenderedPageBreak/>
              <w:t xml:space="preserve">Retained Earnings: </w:t>
            </w:r>
            <w:r w:rsidRPr="00682E89">
              <w:rPr>
                <w:rFonts w:cs="Arial"/>
                <w:szCs w:val="24"/>
                <w:lang w:val="en-IN"/>
              </w:rPr>
              <w:t>This is concerned with using internally generated profits in the firm to f</w:t>
            </w:r>
            <w:r w:rsidRPr="00682E89">
              <w:rPr>
                <w:rFonts w:cs="Arial"/>
                <w:szCs w:val="24"/>
              </w:rPr>
              <w:t>inance operations, avoiding interest costs and maintaining control. However, it limits dividend capacity and may signal fewer growth opportunities.</w:t>
            </w:r>
          </w:p>
        </w:tc>
      </w:tr>
    </w:tbl>
    <w:p w14:paraId="5202A567" w14:textId="77777777" w:rsidR="00382D2D" w:rsidRPr="00682E89" w:rsidRDefault="00382D2D" w:rsidP="008E5AAD">
      <w:pPr>
        <w:rPr>
          <w:rFonts w:cs="Arial"/>
          <w:szCs w:val="24"/>
          <w:lang w:val="en-IN"/>
        </w:rPr>
      </w:pPr>
      <w:r w:rsidRPr="00682E89">
        <w:rPr>
          <w:rFonts w:cs="Arial"/>
          <w:szCs w:val="24"/>
          <w:lang w:val="en-IN"/>
        </w:rPr>
        <w:lastRenderedPageBreak/>
        <w:t>Therefore, short-term financing helps in ensuring responsiveness and agility to seasonal cash needs but enhances liquidity risk if the market tightens (</w:t>
      </w:r>
      <w:r w:rsidRPr="00682E89">
        <w:rPr>
          <w:rFonts w:cs="Arial"/>
          <w:szCs w:val="24"/>
          <w:shd w:val="clear" w:color="auto" w:fill="FFFFFF"/>
        </w:rPr>
        <w:t>Zheng, et al., 2025</w:t>
      </w:r>
      <w:r w:rsidRPr="00682E89">
        <w:rPr>
          <w:rFonts w:cs="Arial"/>
          <w:szCs w:val="24"/>
          <w:lang w:val="en-IN"/>
        </w:rPr>
        <w:t>). Whereas, long-term funding provides cost efficiency and stability but is less flexible for day-to-day needs. Considering the improving financial position of General Electronics but still an ex</w:t>
      </w:r>
      <w:r w:rsidRPr="00682E89">
        <w:rPr>
          <w:rFonts w:cs="Arial"/>
          <w:szCs w:val="24"/>
        </w:rPr>
        <w:t xml:space="preserve">tended cash cycle of 115 days, an optimal structure would be </w:t>
      </w:r>
      <w:r w:rsidRPr="00682E89">
        <w:rPr>
          <w:rStyle w:val="Strong"/>
          <w:rFonts w:cs="Arial"/>
          <w:i/>
          <w:iCs/>
          <w:szCs w:val="24"/>
        </w:rPr>
        <w:t>70% short-term</w:t>
      </w:r>
      <w:r w:rsidRPr="00682E89">
        <w:rPr>
          <w:rFonts w:cs="Arial"/>
          <w:i/>
          <w:iCs/>
          <w:szCs w:val="24"/>
        </w:rPr>
        <w:t xml:space="preserve"> and </w:t>
      </w:r>
      <w:r w:rsidRPr="00682E89">
        <w:rPr>
          <w:rStyle w:val="Strong"/>
          <w:rFonts w:cs="Arial"/>
          <w:i/>
          <w:iCs/>
          <w:szCs w:val="24"/>
        </w:rPr>
        <w:t>30% long-term</w:t>
      </w:r>
      <w:r w:rsidRPr="00682E89">
        <w:rPr>
          <w:rFonts w:cs="Arial"/>
          <w:szCs w:val="24"/>
        </w:rPr>
        <w:t xml:space="preserve"> instruments. Short-term financing would lead to covering operational fluctuations, whereas, moderate long-term financing would help in securing stable liquidity along with supporting ongoing restructuring (</w:t>
      </w:r>
      <w:r w:rsidRPr="00682E89">
        <w:rPr>
          <w:rFonts w:cs="Arial"/>
          <w:szCs w:val="24"/>
          <w:shd w:val="clear" w:color="auto" w:fill="FFFFFF"/>
        </w:rPr>
        <w:t>Tarullo, 2019</w:t>
      </w:r>
      <w:r w:rsidRPr="00682E89">
        <w:rPr>
          <w:rFonts w:cs="Arial"/>
          <w:szCs w:val="24"/>
        </w:rPr>
        <w:t xml:space="preserve">). This hybrid approach can help General Electronics to balance cost-efficiency with resilience and ensure continuous funding for operations without over-reliance on short-term credit. </w:t>
      </w:r>
    </w:p>
    <w:p w14:paraId="4A9039A8" w14:textId="77777777" w:rsidR="00382D2D" w:rsidRPr="00682E89" w:rsidRDefault="00382D2D" w:rsidP="008E5AAD">
      <w:pPr>
        <w:rPr>
          <w:rFonts w:cs="Arial"/>
          <w:b/>
          <w:bCs/>
          <w:szCs w:val="24"/>
          <w:lang w:val="en-IN"/>
        </w:rPr>
      </w:pPr>
      <w:r w:rsidRPr="00682E89">
        <w:rPr>
          <w:rFonts w:cs="Arial"/>
          <w:b/>
          <w:bCs/>
          <w:szCs w:val="24"/>
          <w:lang w:val="en-IN"/>
        </w:rPr>
        <w:br w:type="page"/>
      </w:r>
    </w:p>
    <w:p w14:paraId="1A00C8B0" w14:textId="77777777" w:rsidR="00382D2D" w:rsidRPr="00682E89" w:rsidRDefault="00382D2D" w:rsidP="008E5AAD">
      <w:pPr>
        <w:pStyle w:val="Heading1"/>
        <w:spacing w:after="240"/>
        <w:rPr>
          <w:rFonts w:cs="Arial"/>
          <w:color w:val="auto"/>
          <w:szCs w:val="24"/>
          <w:lang w:val="en-IN"/>
        </w:rPr>
      </w:pPr>
      <w:bookmarkStart w:id="24" w:name="_Toc214014911"/>
      <w:r w:rsidRPr="00682E89">
        <w:rPr>
          <w:rFonts w:cs="Arial"/>
          <w:color w:val="auto"/>
          <w:szCs w:val="24"/>
          <w:lang w:val="en-IN"/>
        </w:rPr>
        <w:lastRenderedPageBreak/>
        <w:t>Strategic Financial Restructuring Plan</w:t>
      </w:r>
      <w:bookmarkEnd w:id="24"/>
      <w:r w:rsidRPr="00682E89">
        <w:rPr>
          <w:rFonts w:cs="Arial"/>
          <w:color w:val="auto"/>
          <w:szCs w:val="24"/>
          <w:lang w:val="en-IN"/>
        </w:rPr>
        <w:t xml:space="preserve"> </w:t>
      </w:r>
    </w:p>
    <w:p w14:paraId="2B1FB592" w14:textId="77777777" w:rsidR="00382D2D" w:rsidRPr="00682E89" w:rsidRDefault="00382D2D" w:rsidP="008E5AAD">
      <w:pPr>
        <w:pStyle w:val="Heading2"/>
        <w:spacing w:before="240" w:after="240"/>
        <w:rPr>
          <w:rFonts w:cs="Arial"/>
          <w:szCs w:val="24"/>
          <w:lang w:val="en-IN"/>
        </w:rPr>
      </w:pPr>
      <w:bookmarkStart w:id="25" w:name="_Toc214014912"/>
      <w:r w:rsidRPr="00682E89">
        <w:rPr>
          <w:rFonts w:cs="Arial"/>
          <w:szCs w:val="24"/>
          <w:lang w:val="en-IN"/>
        </w:rPr>
        <w:t>Financial restructuring options</w:t>
      </w:r>
      <w:bookmarkEnd w:id="25"/>
      <w:r w:rsidRPr="00682E89">
        <w:rPr>
          <w:rFonts w:cs="Arial"/>
          <w:szCs w:val="24"/>
          <w:lang w:val="en-IN"/>
        </w:rPr>
        <w:t xml:space="preserve"> </w:t>
      </w:r>
    </w:p>
    <w:p w14:paraId="7A856D44" w14:textId="77777777" w:rsidR="00382D2D" w:rsidRPr="00682E89" w:rsidRDefault="00382D2D" w:rsidP="008E5AAD">
      <w:pPr>
        <w:keepNext/>
        <w:jc w:val="center"/>
        <w:rPr>
          <w:rFonts w:cs="Arial"/>
          <w:szCs w:val="24"/>
        </w:rPr>
      </w:pPr>
      <w:r w:rsidRPr="00682E89">
        <w:rPr>
          <w:rFonts w:cs="Arial"/>
          <w:noProof/>
          <w:szCs w:val="24"/>
        </w:rPr>
        <w:drawing>
          <wp:inline distT="0" distB="0" distL="0" distR="0" wp14:anchorId="4966939E" wp14:editId="7F39DF79">
            <wp:extent cx="5731510" cy="3225800"/>
            <wp:effectExtent l="0" t="0" r="2540" b="0"/>
            <wp:docPr id="803708292" name="Picture 2" descr="Corporate Restructuring in Future-Growing Ideas | Updated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porate Restructuring in Future-Growing Ideas | Updated 202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6BBDB1A0" w14:textId="11C324A4" w:rsidR="00382D2D" w:rsidRPr="00682E89" w:rsidRDefault="00382D2D" w:rsidP="008E5AAD">
      <w:pPr>
        <w:pStyle w:val="Caption"/>
        <w:spacing w:before="240" w:after="240" w:line="360" w:lineRule="auto"/>
        <w:jc w:val="center"/>
        <w:rPr>
          <w:rFonts w:cs="Arial"/>
          <w:b/>
          <w:bCs/>
          <w:color w:val="auto"/>
          <w:sz w:val="24"/>
          <w:szCs w:val="24"/>
        </w:rPr>
      </w:pPr>
      <w:bookmarkStart w:id="26" w:name="_Toc214014937"/>
      <w:r w:rsidRPr="00682E89">
        <w:rPr>
          <w:rFonts w:cs="Arial"/>
          <w:b/>
          <w:bCs/>
          <w:color w:val="auto"/>
          <w:sz w:val="24"/>
          <w:szCs w:val="24"/>
        </w:rPr>
        <w:t xml:space="preserve">Figure </w:t>
      </w:r>
      <w:r w:rsidRPr="00682E89">
        <w:rPr>
          <w:rFonts w:cs="Arial"/>
          <w:b/>
          <w:bCs/>
          <w:color w:val="auto"/>
          <w:sz w:val="24"/>
          <w:szCs w:val="24"/>
        </w:rPr>
        <w:fldChar w:fldCharType="begin"/>
      </w:r>
      <w:r w:rsidRPr="00682E89">
        <w:rPr>
          <w:rFonts w:cs="Arial"/>
          <w:b/>
          <w:bCs/>
          <w:color w:val="auto"/>
          <w:sz w:val="24"/>
          <w:szCs w:val="24"/>
        </w:rPr>
        <w:instrText xml:space="preserve"> SEQ Figure \* ARABIC </w:instrText>
      </w:r>
      <w:r w:rsidRPr="00682E89">
        <w:rPr>
          <w:rFonts w:cs="Arial"/>
          <w:b/>
          <w:bCs/>
          <w:color w:val="auto"/>
          <w:sz w:val="24"/>
          <w:szCs w:val="24"/>
        </w:rPr>
        <w:fldChar w:fldCharType="separate"/>
      </w:r>
      <w:r w:rsidR="004A0391">
        <w:rPr>
          <w:rFonts w:cs="Arial"/>
          <w:b/>
          <w:bCs/>
          <w:noProof/>
          <w:color w:val="auto"/>
          <w:sz w:val="24"/>
          <w:szCs w:val="24"/>
        </w:rPr>
        <w:t>11</w:t>
      </w:r>
      <w:r w:rsidRPr="00682E89">
        <w:rPr>
          <w:rFonts w:cs="Arial"/>
          <w:b/>
          <w:bCs/>
          <w:color w:val="auto"/>
          <w:sz w:val="24"/>
          <w:szCs w:val="24"/>
        </w:rPr>
        <w:fldChar w:fldCharType="end"/>
      </w:r>
      <w:r w:rsidRPr="00682E89">
        <w:rPr>
          <w:rFonts w:cs="Arial"/>
          <w:b/>
          <w:bCs/>
          <w:color w:val="auto"/>
          <w:sz w:val="24"/>
          <w:szCs w:val="24"/>
        </w:rPr>
        <w:t>: Financial Restructuring</w:t>
      </w:r>
      <w:bookmarkEnd w:id="26"/>
    </w:p>
    <w:p w14:paraId="675444ED" w14:textId="77777777" w:rsidR="00382D2D" w:rsidRPr="00682E89" w:rsidRDefault="00382D2D" w:rsidP="008E5AAD">
      <w:pPr>
        <w:jc w:val="center"/>
        <w:rPr>
          <w:rFonts w:cs="Arial"/>
          <w:b/>
          <w:bCs/>
          <w:i/>
          <w:iCs/>
          <w:szCs w:val="24"/>
        </w:rPr>
      </w:pPr>
      <w:r w:rsidRPr="00682E89">
        <w:rPr>
          <w:rFonts w:cs="Arial"/>
          <w:b/>
          <w:bCs/>
          <w:i/>
          <w:iCs/>
          <w:szCs w:val="24"/>
        </w:rPr>
        <w:t>(Source: ACTE, 2025)</w:t>
      </w:r>
    </w:p>
    <w:p w14:paraId="26E53767" w14:textId="77777777" w:rsidR="00382D2D" w:rsidRPr="00682E89" w:rsidRDefault="00382D2D" w:rsidP="008E5AAD">
      <w:pPr>
        <w:rPr>
          <w:rFonts w:cs="Arial"/>
          <w:szCs w:val="24"/>
        </w:rPr>
      </w:pPr>
      <w:r w:rsidRPr="00682E89">
        <w:rPr>
          <w:rFonts w:cs="Arial"/>
          <w:szCs w:val="24"/>
        </w:rPr>
        <w:t>Financial restructuring is a process of realigning the firm’s capital structure, operational focus, and asset base for enhancing solvency, profitability, and shareholder value (</w:t>
      </w:r>
      <w:r w:rsidRPr="00682E89">
        <w:rPr>
          <w:rFonts w:cs="Arial"/>
          <w:szCs w:val="24"/>
          <w:shd w:val="clear" w:color="auto" w:fill="FFFFFF"/>
        </w:rPr>
        <w:t>Mavlutova, et al., 2021</w:t>
      </w:r>
      <w:r w:rsidRPr="00682E89">
        <w:rPr>
          <w:rFonts w:cs="Arial"/>
          <w:szCs w:val="24"/>
        </w:rPr>
        <w:t xml:space="preserve">). General Electronics is concerned with recent deterioration in profitability, fluctuating cash flows, and moderate liquidity improvement reflecting the need for a balanced strategy assessing both financial and operational inefficiencies, and hence the recommendations are provided below. </w:t>
      </w:r>
    </w:p>
    <w:p w14:paraId="428B3532" w14:textId="77777777" w:rsidR="00382D2D" w:rsidRPr="00682E89" w:rsidRDefault="00382D2D" w:rsidP="008E5AAD">
      <w:pPr>
        <w:pStyle w:val="ListParagraph"/>
        <w:numPr>
          <w:ilvl w:val="0"/>
          <w:numId w:val="4"/>
        </w:numPr>
        <w:contextualSpacing w:val="0"/>
        <w:rPr>
          <w:rFonts w:cs="Arial"/>
          <w:i/>
          <w:iCs/>
          <w:szCs w:val="24"/>
        </w:rPr>
      </w:pPr>
      <w:r w:rsidRPr="00682E89">
        <w:rPr>
          <w:rFonts w:cs="Arial"/>
          <w:i/>
          <w:iCs/>
          <w:szCs w:val="24"/>
        </w:rPr>
        <w:t xml:space="preserve">Equity Injection: </w:t>
      </w:r>
      <w:r w:rsidRPr="00682E89">
        <w:rPr>
          <w:rFonts w:cs="Arial"/>
          <w:szCs w:val="24"/>
        </w:rPr>
        <w:t>A targeted equity injection can be done through a rights issue or private placement that can strengthen the capital base and minimise dependency on short-term debt (</w:t>
      </w:r>
      <w:r w:rsidRPr="00682E89">
        <w:rPr>
          <w:rFonts w:cs="Arial"/>
          <w:szCs w:val="24"/>
          <w:shd w:val="clear" w:color="auto" w:fill="FFFFFF"/>
        </w:rPr>
        <w:t>Bavoso, 2020</w:t>
      </w:r>
      <w:r w:rsidRPr="00682E89">
        <w:rPr>
          <w:rFonts w:cs="Arial"/>
          <w:szCs w:val="24"/>
        </w:rPr>
        <w:t xml:space="preserve">). This would help in improving debt-equity ratio and regain the confidence of investors. For example, General Electronics by conducting an equity restructuring in certain divisions can raise fresh equity as well as streamline its balance sheet. This can lead to increasing financial flexibility and </w:t>
      </w:r>
      <w:r w:rsidRPr="00682E89">
        <w:rPr>
          <w:rFonts w:cs="Arial"/>
          <w:szCs w:val="24"/>
        </w:rPr>
        <w:lastRenderedPageBreak/>
        <w:t>signalling long-term confidence to the market considering providing long-term investments and stable credit ratings (</w:t>
      </w:r>
      <w:r w:rsidRPr="00682E89">
        <w:rPr>
          <w:rFonts w:cs="Arial"/>
          <w:szCs w:val="24"/>
          <w:shd w:val="clear" w:color="auto" w:fill="FFFFFF"/>
        </w:rPr>
        <w:t>Francisca, 2025</w:t>
      </w:r>
      <w:r w:rsidRPr="00682E89">
        <w:rPr>
          <w:rFonts w:cs="Arial"/>
          <w:szCs w:val="24"/>
        </w:rPr>
        <w:t xml:space="preserve">). </w:t>
      </w:r>
    </w:p>
    <w:p w14:paraId="7184A3A4" w14:textId="77777777" w:rsidR="00382D2D" w:rsidRPr="00682E89" w:rsidRDefault="00382D2D" w:rsidP="008E5AAD">
      <w:pPr>
        <w:pStyle w:val="ListParagraph"/>
        <w:numPr>
          <w:ilvl w:val="0"/>
          <w:numId w:val="4"/>
        </w:numPr>
        <w:contextualSpacing w:val="0"/>
        <w:rPr>
          <w:rFonts w:cs="Arial"/>
          <w:i/>
          <w:iCs/>
          <w:szCs w:val="24"/>
        </w:rPr>
      </w:pPr>
      <w:r w:rsidRPr="00682E89">
        <w:rPr>
          <w:rFonts w:cs="Arial"/>
          <w:i/>
          <w:iCs/>
          <w:szCs w:val="24"/>
        </w:rPr>
        <w:t xml:space="preserve">Debt restructuring and refinancing: </w:t>
      </w:r>
      <w:r w:rsidRPr="00682E89">
        <w:rPr>
          <w:rFonts w:cs="Arial"/>
          <w:szCs w:val="24"/>
        </w:rPr>
        <w:t>The company can renegotiate the terms of existing loans in order to get lower interest rates and longer maturities. Refinancing the high-cost debt with medium-term instruments will help in minimising the interest burden and improving interest coverage (</w:t>
      </w:r>
      <w:r w:rsidRPr="00682E89">
        <w:rPr>
          <w:rFonts w:cs="Arial"/>
          <w:szCs w:val="24"/>
          <w:shd w:val="clear" w:color="auto" w:fill="FFFFFF"/>
        </w:rPr>
        <w:t>Hodula and Melecký, 2020</w:t>
      </w:r>
      <w:r w:rsidRPr="00682E89">
        <w:rPr>
          <w:rFonts w:cs="Arial"/>
          <w:szCs w:val="24"/>
        </w:rPr>
        <w:t>). It has been seen that General Electronics employed a similar debt optimisation approach in 2024 by reducing its net debt from £15.8b to £11.9b and improving its interest coverage ratio from -19.7 in 2023 to -4.5 times in 2024 showing the importance of active debt management in turning around cash-negative operations.</w:t>
      </w:r>
    </w:p>
    <w:p w14:paraId="0886BAAD" w14:textId="77777777" w:rsidR="00382D2D" w:rsidRPr="00682E89" w:rsidRDefault="00382D2D" w:rsidP="008E5AAD">
      <w:pPr>
        <w:pStyle w:val="ListParagraph"/>
        <w:numPr>
          <w:ilvl w:val="0"/>
          <w:numId w:val="4"/>
        </w:numPr>
        <w:contextualSpacing w:val="0"/>
        <w:rPr>
          <w:rFonts w:cs="Arial"/>
          <w:i/>
          <w:iCs/>
          <w:szCs w:val="24"/>
        </w:rPr>
      </w:pPr>
      <w:r w:rsidRPr="00682E89">
        <w:rPr>
          <w:rFonts w:cs="Arial"/>
          <w:i/>
          <w:iCs/>
          <w:szCs w:val="24"/>
        </w:rPr>
        <w:t xml:space="preserve">Asset Divestiture and Portfolio Rationalisation: </w:t>
      </w:r>
      <w:r w:rsidRPr="00682E89">
        <w:rPr>
          <w:rFonts w:cs="Arial"/>
          <w:szCs w:val="24"/>
        </w:rPr>
        <w:t>The process of divesting non-core or underperforming assets releases cash to repay debt and invest in core assets (</w:t>
      </w:r>
      <w:r w:rsidRPr="00682E89">
        <w:rPr>
          <w:rFonts w:cs="Arial"/>
          <w:szCs w:val="24"/>
          <w:shd w:val="clear" w:color="auto" w:fill="FFFFFF"/>
        </w:rPr>
        <w:t>Teng, et al., 2021</w:t>
      </w:r>
      <w:r w:rsidRPr="00682E89">
        <w:rPr>
          <w:rFonts w:cs="Arial"/>
          <w:szCs w:val="24"/>
        </w:rPr>
        <w:t xml:space="preserve">). General Electronics by planning a divestiture or separation can lead to simplified operations and improve return on invested capital. This can involve selling underutilised fixed assets, minority equity stakes or redundant subsidiaries. Through this, General Electronics would be able to improve liquidity along with enabling management to focus on profitable segments. </w:t>
      </w:r>
    </w:p>
    <w:p w14:paraId="33B42822" w14:textId="77777777" w:rsidR="00382D2D" w:rsidRPr="00682E89" w:rsidRDefault="00382D2D" w:rsidP="008E5AAD">
      <w:pPr>
        <w:pStyle w:val="ListParagraph"/>
        <w:numPr>
          <w:ilvl w:val="0"/>
          <w:numId w:val="4"/>
        </w:numPr>
        <w:contextualSpacing w:val="0"/>
        <w:rPr>
          <w:rFonts w:cs="Arial"/>
          <w:i/>
          <w:iCs/>
          <w:szCs w:val="24"/>
        </w:rPr>
      </w:pPr>
      <w:r w:rsidRPr="00682E89">
        <w:rPr>
          <w:rFonts w:cs="Arial"/>
          <w:i/>
          <w:iCs/>
          <w:szCs w:val="24"/>
        </w:rPr>
        <w:t xml:space="preserve">Strategic Merger or Joint Venture: </w:t>
      </w:r>
      <w:r w:rsidRPr="00682E89">
        <w:rPr>
          <w:rFonts w:cs="Arial"/>
          <w:szCs w:val="24"/>
        </w:rPr>
        <w:t>The firm can focus on partnering with a financially stronger entity that can help in enabling synergies in terms of technology, market access and cost reduction (</w:t>
      </w:r>
      <w:r w:rsidRPr="00682E89">
        <w:rPr>
          <w:rFonts w:cs="Arial"/>
          <w:szCs w:val="24"/>
          <w:shd w:val="clear" w:color="auto" w:fill="FFFFFF"/>
        </w:rPr>
        <w:t>Attah, et al., 2024</w:t>
      </w:r>
      <w:r w:rsidRPr="00682E89">
        <w:rPr>
          <w:rFonts w:cs="Arial"/>
          <w:szCs w:val="24"/>
        </w:rPr>
        <w:t>). A merger would increase the economies of scale whereas a joint venture would decrease the capital intensity. For example, General Electronics’ partnerships in renewable energy help in demonstrating the revitalised innovation through strategic partnerships without overextending capital.</w:t>
      </w:r>
    </w:p>
    <w:p w14:paraId="21747D6A" w14:textId="77777777" w:rsidR="00382D2D" w:rsidRPr="00682E89" w:rsidRDefault="00382D2D" w:rsidP="008E5AAD">
      <w:pPr>
        <w:pStyle w:val="Heading2"/>
        <w:spacing w:before="240" w:after="240"/>
        <w:rPr>
          <w:rFonts w:cs="Arial"/>
          <w:szCs w:val="24"/>
          <w:lang w:val="en-IN"/>
        </w:rPr>
      </w:pPr>
      <w:bookmarkStart w:id="27" w:name="_Toc214014913"/>
      <w:r w:rsidRPr="00682E89">
        <w:rPr>
          <w:rFonts w:cs="Arial"/>
          <w:szCs w:val="24"/>
          <w:lang w:val="en-IN"/>
        </w:rPr>
        <w:t>Impact on shareholder value, debt structure, and operational flexibility</w:t>
      </w:r>
      <w:bookmarkEnd w:id="27"/>
      <w:r w:rsidRPr="00682E89">
        <w:rPr>
          <w:rFonts w:cs="Arial"/>
          <w:szCs w:val="24"/>
          <w:lang w:val="en-IN"/>
        </w:rPr>
        <w:t xml:space="preserve"> </w:t>
      </w:r>
    </w:p>
    <w:p w14:paraId="0CFC15EA" w14:textId="77777777" w:rsidR="00382D2D" w:rsidRPr="00682E89" w:rsidRDefault="00382D2D" w:rsidP="008E5AAD">
      <w:pPr>
        <w:rPr>
          <w:rFonts w:cs="Arial"/>
          <w:szCs w:val="24"/>
        </w:rPr>
      </w:pPr>
      <w:r w:rsidRPr="00682E89">
        <w:rPr>
          <w:rFonts w:cs="Arial"/>
          <w:i/>
          <w:iCs/>
          <w:szCs w:val="24"/>
          <w:lang w:val="en-IN"/>
        </w:rPr>
        <w:t xml:space="preserve">Impact on </w:t>
      </w:r>
      <w:r w:rsidRPr="00682E89">
        <w:rPr>
          <w:rFonts w:cs="Arial"/>
          <w:i/>
          <w:iCs/>
          <w:szCs w:val="24"/>
        </w:rPr>
        <w:t xml:space="preserve">Shareholder Value: </w:t>
      </w:r>
      <w:r w:rsidRPr="00682E89">
        <w:rPr>
          <w:rFonts w:cs="Arial"/>
          <w:szCs w:val="24"/>
        </w:rPr>
        <w:t>A well-designed restructuring plan can help in maximising shareholder wealth through market confidence and sustainable profitability (</w:t>
      </w:r>
      <w:r w:rsidRPr="00682E89">
        <w:rPr>
          <w:rFonts w:cs="Arial"/>
          <w:szCs w:val="24"/>
          <w:shd w:val="clear" w:color="auto" w:fill="FFFFFF"/>
        </w:rPr>
        <w:t>Shepherd, et al., 2025</w:t>
      </w:r>
      <w:r w:rsidRPr="00682E89">
        <w:rPr>
          <w:rFonts w:cs="Arial"/>
          <w:szCs w:val="24"/>
        </w:rPr>
        <w:t xml:space="preserve">). Initially, equity injection results in diluting ownership but effective reinvestment results in enhancing long-term value by strengthening the balance sheet and improving future earnings. Divestitures help in enhancing share price and determine restoration of investor trust and future earnings </w:t>
      </w:r>
      <w:r w:rsidRPr="00682E89">
        <w:rPr>
          <w:rFonts w:cs="Arial"/>
          <w:szCs w:val="24"/>
        </w:rPr>
        <w:lastRenderedPageBreak/>
        <w:t>expectations through strategic realignment (</w:t>
      </w:r>
      <w:r w:rsidRPr="00682E89">
        <w:rPr>
          <w:rFonts w:cs="Arial"/>
          <w:szCs w:val="24"/>
          <w:shd w:val="clear" w:color="auto" w:fill="FFFFFF"/>
        </w:rPr>
        <w:t>Chen and Feldman, 2018</w:t>
      </w:r>
      <w:r w:rsidRPr="00682E89">
        <w:rPr>
          <w:rFonts w:cs="Arial"/>
          <w:szCs w:val="24"/>
        </w:rPr>
        <w:t xml:space="preserve">). Similarly, General Electronics will be able to enhance investor sentiment and valuation multiples through restructuring (clear capital allocation and transparent communication). </w:t>
      </w:r>
    </w:p>
    <w:p w14:paraId="3DE173A5" w14:textId="77777777" w:rsidR="00382D2D" w:rsidRPr="00682E89" w:rsidRDefault="00382D2D" w:rsidP="008E5AAD">
      <w:pPr>
        <w:rPr>
          <w:rFonts w:cs="Arial"/>
          <w:szCs w:val="24"/>
        </w:rPr>
      </w:pPr>
      <w:r w:rsidRPr="00682E89">
        <w:rPr>
          <w:rFonts w:cs="Arial"/>
          <w:i/>
          <w:iCs/>
          <w:szCs w:val="24"/>
        </w:rPr>
        <w:t xml:space="preserve">Impact on Debt Structure: </w:t>
      </w:r>
      <w:r w:rsidRPr="00682E89">
        <w:rPr>
          <w:rFonts w:cs="Arial"/>
          <w:szCs w:val="24"/>
        </w:rPr>
        <w:t>The debt-equity ratio currently in 2024 is 0.078 indicating that the firm is conservatively leveraged. However, to optimise WACC (Weighted Average Cost of Capital), the company required higher leverage pressures, partial deleveraging, and necessitated refinancing (</w:t>
      </w:r>
      <w:r w:rsidRPr="00682E89">
        <w:rPr>
          <w:rFonts w:cs="Arial"/>
          <w:szCs w:val="24"/>
          <w:shd w:val="clear" w:color="auto" w:fill="FFFFFF"/>
        </w:rPr>
        <w:t>Gill, et al., 2019</w:t>
      </w:r>
      <w:r w:rsidRPr="00682E89">
        <w:rPr>
          <w:rFonts w:cs="Arial"/>
          <w:szCs w:val="24"/>
        </w:rPr>
        <w:t xml:space="preserve">). Thus, the firm by replacing short-term, high-cost borrowings with long-term debt can able to minimise refinancing risk and interest leverage and hence improve the interest coverage ratio resulting in better credit standing. </w:t>
      </w:r>
    </w:p>
    <w:p w14:paraId="0D1E5F48" w14:textId="77777777" w:rsidR="00382D2D" w:rsidRPr="00682E89" w:rsidRDefault="00382D2D" w:rsidP="008E5AAD">
      <w:pPr>
        <w:rPr>
          <w:rFonts w:cs="Arial"/>
          <w:szCs w:val="24"/>
        </w:rPr>
      </w:pPr>
      <w:r w:rsidRPr="00682E89">
        <w:rPr>
          <w:rFonts w:cs="Arial"/>
          <w:i/>
          <w:iCs/>
          <w:szCs w:val="24"/>
        </w:rPr>
        <w:t xml:space="preserve">Impact on Operational Flexibility: </w:t>
      </w:r>
      <w:r w:rsidRPr="00682E89">
        <w:rPr>
          <w:rFonts w:cs="Arial"/>
          <w:szCs w:val="24"/>
        </w:rPr>
        <w:t>It has been seen that joint ventures and divestitures can free management resources and minimise operating complexity leading to enhanced agility. For instance, segmentation in General Electronics can pursue independent strategies and hence increase operational speed and accountability. This could help in attaining faster decision-making, and better focus on high-margin segments by minimising diversification and optimising the portfolio. Moreover, converting illiquid assets into cash helps in allowing more flexible working-capital deployment and strengthens liquidity (</w:t>
      </w:r>
      <w:r w:rsidRPr="00682E89">
        <w:rPr>
          <w:rFonts w:cs="Arial"/>
          <w:szCs w:val="24"/>
          <w:shd w:val="clear" w:color="auto" w:fill="FFFFFF"/>
        </w:rPr>
        <w:t>Tago and Ponsian, 2024</w:t>
      </w:r>
      <w:r w:rsidRPr="00682E89">
        <w:rPr>
          <w:rFonts w:cs="Arial"/>
          <w:szCs w:val="24"/>
        </w:rPr>
        <w:t xml:space="preserve">). However, restructuring requires careful execution for preventing a loss of institutional knowledge and workforce disruptions that could offset efficiency gains. </w:t>
      </w:r>
    </w:p>
    <w:p w14:paraId="6139F491" w14:textId="77777777" w:rsidR="00382D2D" w:rsidRPr="00682E89" w:rsidRDefault="00382D2D" w:rsidP="008E5AAD">
      <w:pPr>
        <w:rPr>
          <w:rFonts w:cs="Arial"/>
          <w:szCs w:val="24"/>
          <w:lang w:val="en-IN"/>
        </w:rPr>
      </w:pPr>
      <w:r w:rsidRPr="00682E89">
        <w:rPr>
          <w:rFonts w:cs="Arial"/>
          <w:szCs w:val="24"/>
        </w:rPr>
        <w:t xml:space="preserve">Therefore, a balanced debt realignment, equity strengthening, and selective asset divestment can help in minimising risk, improving the firm’s valuation, and creating a more agile capital structure to attain sustainable growth. </w:t>
      </w:r>
    </w:p>
    <w:p w14:paraId="07684D59" w14:textId="77777777" w:rsidR="00382D2D" w:rsidRPr="00682E89" w:rsidRDefault="00382D2D" w:rsidP="008E5AAD">
      <w:pPr>
        <w:pStyle w:val="Heading2"/>
        <w:spacing w:before="240" w:after="240"/>
        <w:rPr>
          <w:rFonts w:cs="Arial"/>
          <w:szCs w:val="24"/>
          <w:lang w:val="en-IN"/>
        </w:rPr>
      </w:pPr>
      <w:bookmarkStart w:id="28" w:name="_Toc214014914"/>
      <w:r w:rsidRPr="00682E89">
        <w:rPr>
          <w:rFonts w:cs="Arial"/>
          <w:szCs w:val="24"/>
          <w:lang w:val="en-IN"/>
        </w:rPr>
        <w:t>International and ethical considerations</w:t>
      </w:r>
      <w:bookmarkEnd w:id="28"/>
      <w:r w:rsidRPr="00682E89">
        <w:rPr>
          <w:rFonts w:cs="Arial"/>
          <w:szCs w:val="24"/>
          <w:lang w:val="en-IN"/>
        </w:rPr>
        <w:t xml:space="preserve"> </w:t>
      </w:r>
    </w:p>
    <w:p w14:paraId="476C0DAC" w14:textId="77777777" w:rsidR="00382D2D" w:rsidRPr="00682E89" w:rsidRDefault="00382D2D" w:rsidP="008E5AAD">
      <w:pPr>
        <w:rPr>
          <w:rFonts w:cs="Arial"/>
          <w:szCs w:val="24"/>
        </w:rPr>
      </w:pPr>
      <w:r w:rsidRPr="00682E89">
        <w:rPr>
          <w:rFonts w:cs="Arial"/>
          <w:szCs w:val="24"/>
          <w:lang w:val="en-IN"/>
        </w:rPr>
        <w:t xml:space="preserve">Financial restructuring is also based on the </w:t>
      </w:r>
      <w:r w:rsidRPr="00682E89">
        <w:rPr>
          <w:rFonts w:cs="Arial"/>
          <w:szCs w:val="24"/>
        </w:rPr>
        <w:t>international and ethical dimensions that impact both sustainability and compliance.</w:t>
      </w:r>
    </w:p>
    <w:p w14:paraId="17555E1F" w14:textId="77777777" w:rsidR="00382D2D" w:rsidRPr="00682E89" w:rsidRDefault="00382D2D" w:rsidP="008E5AAD">
      <w:pPr>
        <w:rPr>
          <w:rFonts w:cs="Arial"/>
          <w:szCs w:val="24"/>
        </w:rPr>
      </w:pPr>
      <w:r w:rsidRPr="00682E89">
        <w:rPr>
          <w:rFonts w:cs="Arial"/>
          <w:i/>
          <w:iCs/>
          <w:szCs w:val="24"/>
        </w:rPr>
        <w:t xml:space="preserve">Taxation: </w:t>
      </w:r>
      <w:r w:rsidRPr="00682E89">
        <w:rPr>
          <w:rFonts w:cs="Arial"/>
          <w:szCs w:val="24"/>
        </w:rPr>
        <w:t xml:space="preserve">Cross-border operations impact firms in terms of various tax regimes. Effective restructuring needs to consider withholding taxes, tax optimisation, and transfer pricing under international law. A firm needs to focus on </w:t>
      </w:r>
      <w:r w:rsidRPr="00682E89">
        <w:rPr>
          <w:rFonts w:cs="Arial"/>
          <w:b/>
          <w:bCs/>
          <w:i/>
          <w:iCs/>
          <w:szCs w:val="24"/>
        </w:rPr>
        <w:t xml:space="preserve">ethical tax planning </w:t>
      </w:r>
      <w:r w:rsidRPr="00682E89">
        <w:rPr>
          <w:rFonts w:cs="Arial"/>
          <w:szCs w:val="24"/>
        </w:rPr>
        <w:t xml:space="preserve">to ensure compliance and transparency with the guidelines of OECD Base Erosion </w:t>
      </w:r>
      <w:r w:rsidRPr="00682E89">
        <w:rPr>
          <w:rFonts w:cs="Arial"/>
          <w:szCs w:val="24"/>
        </w:rPr>
        <w:lastRenderedPageBreak/>
        <w:t>and Profit Shifting (BEPS) (</w:t>
      </w:r>
      <w:r w:rsidRPr="00682E89">
        <w:rPr>
          <w:rFonts w:cs="Arial"/>
          <w:szCs w:val="24"/>
          <w:shd w:val="clear" w:color="auto" w:fill="FFFFFF"/>
        </w:rPr>
        <w:t>Akinsola, 2025</w:t>
      </w:r>
      <w:r w:rsidRPr="00682E89">
        <w:rPr>
          <w:rFonts w:cs="Arial"/>
          <w:szCs w:val="24"/>
        </w:rPr>
        <w:t xml:space="preserve">). Thus, General Electronics can focus on intercompany transactions, re-evaluating group structures, and deferred tax liabilities to reduce tax exposure while maintaining integrity. </w:t>
      </w:r>
    </w:p>
    <w:p w14:paraId="41088E8C" w14:textId="77777777" w:rsidR="00382D2D" w:rsidRPr="00682E89" w:rsidRDefault="00382D2D" w:rsidP="008E5AAD">
      <w:pPr>
        <w:rPr>
          <w:rFonts w:cs="Arial"/>
          <w:szCs w:val="24"/>
        </w:rPr>
      </w:pPr>
      <w:r w:rsidRPr="00682E89">
        <w:rPr>
          <w:rFonts w:cs="Arial"/>
          <w:i/>
          <w:iCs/>
          <w:szCs w:val="24"/>
        </w:rPr>
        <w:t xml:space="preserve">Currency and Exchange Rate Risk: </w:t>
      </w:r>
      <w:r w:rsidRPr="00682E89">
        <w:rPr>
          <w:rFonts w:cs="Arial"/>
          <w:szCs w:val="24"/>
        </w:rPr>
        <w:t xml:space="preserve">While operating internationally, restructuring a firm involves overseas asset sales and foreign-currency loans. Currency depreciation could lead to inflated debt obligations, and to mitigate the same, the management can focus on adopting </w:t>
      </w:r>
      <w:r w:rsidRPr="00682E89">
        <w:rPr>
          <w:rFonts w:cs="Arial"/>
          <w:b/>
          <w:bCs/>
          <w:i/>
          <w:iCs/>
          <w:szCs w:val="24"/>
        </w:rPr>
        <w:t xml:space="preserve">hedging instruments </w:t>
      </w:r>
      <w:r w:rsidRPr="00682E89">
        <w:rPr>
          <w:rFonts w:cs="Arial"/>
          <w:szCs w:val="24"/>
        </w:rPr>
        <w:t>like options, forwards, or natural hedges by matching costs and revenues in the same currency (</w:t>
      </w:r>
      <w:r w:rsidRPr="00682E89">
        <w:rPr>
          <w:rFonts w:cs="Arial"/>
          <w:szCs w:val="24"/>
          <w:shd w:val="clear" w:color="auto" w:fill="FFFFFF"/>
        </w:rPr>
        <w:t>Ogundu, 2025</w:t>
      </w:r>
      <w:r w:rsidRPr="00682E89">
        <w:rPr>
          <w:rFonts w:cs="Arial"/>
          <w:szCs w:val="24"/>
        </w:rPr>
        <w:t>). It has been seen that establishing a central treasury can lead to ensuring consistent risk management and limiting volatility in reported earnings.</w:t>
      </w:r>
    </w:p>
    <w:p w14:paraId="00516F0C" w14:textId="77777777" w:rsidR="00382D2D" w:rsidRPr="00682E89" w:rsidRDefault="00382D2D" w:rsidP="008E5AAD">
      <w:pPr>
        <w:rPr>
          <w:rFonts w:cs="Arial"/>
          <w:szCs w:val="24"/>
        </w:rPr>
      </w:pPr>
      <w:r w:rsidRPr="00682E89">
        <w:rPr>
          <w:rFonts w:cs="Arial"/>
          <w:i/>
          <w:iCs/>
          <w:szCs w:val="24"/>
        </w:rPr>
        <w:t xml:space="preserve">Inflationary Pressures: </w:t>
      </w:r>
      <w:r w:rsidRPr="00682E89">
        <w:rPr>
          <w:rFonts w:cs="Arial"/>
          <w:szCs w:val="24"/>
        </w:rPr>
        <w:t>Restructuring in a high-inflation environment enhances financing costs and impacts asset values. Thus, the margins can be protected through dynamic pricing strategies and inflation-linked debt instruments (</w:t>
      </w:r>
      <w:r w:rsidRPr="00682E89">
        <w:rPr>
          <w:rFonts w:cs="Arial"/>
          <w:szCs w:val="24"/>
          <w:shd w:val="clear" w:color="auto" w:fill="FFFFFF"/>
        </w:rPr>
        <w:t>Bahaj, et al., 2023</w:t>
      </w:r>
      <w:r w:rsidRPr="00682E89">
        <w:rPr>
          <w:rFonts w:cs="Arial"/>
          <w:szCs w:val="24"/>
        </w:rPr>
        <w:t>). The inflation clauses can also be undertaken in supplier and customer contracts to safeguard cash flows.</w:t>
      </w:r>
    </w:p>
    <w:p w14:paraId="795E7E5A" w14:textId="79CF954A" w:rsidR="00BE0813" w:rsidRDefault="00382D2D" w:rsidP="008E5AAD">
      <w:pPr>
        <w:rPr>
          <w:rFonts w:cs="Arial"/>
          <w:szCs w:val="24"/>
        </w:rPr>
      </w:pPr>
      <w:r w:rsidRPr="00682E89">
        <w:rPr>
          <w:rFonts w:cs="Arial"/>
          <w:i/>
          <w:iCs/>
          <w:szCs w:val="24"/>
        </w:rPr>
        <w:t xml:space="preserve">Corporate Social Responsibility (CSR) and Governance: </w:t>
      </w:r>
      <w:r w:rsidRPr="00682E89">
        <w:rPr>
          <w:rFonts w:cs="Arial"/>
          <w:szCs w:val="24"/>
        </w:rPr>
        <w:t>Ethical restructuring includes protecting suppliers, employees, and communities. Mergers or divestitures need to adhere to fair labour practices and environmental standards (</w:t>
      </w:r>
      <w:r w:rsidRPr="00682E89">
        <w:rPr>
          <w:rFonts w:cs="Arial"/>
          <w:szCs w:val="24"/>
          <w:shd w:val="clear" w:color="auto" w:fill="FFFFFF"/>
        </w:rPr>
        <w:t>Malapur, 2024</w:t>
      </w:r>
      <w:r w:rsidRPr="00682E89">
        <w:rPr>
          <w:rFonts w:cs="Arial"/>
          <w:szCs w:val="24"/>
        </w:rPr>
        <w:t>). The company can incorporate CSR reporting into its restructuring plan, carbon reduction commitments, community impact, and ensure transparency in workforce transitions to enhance the firm’s global competitiveness and long-term reputation.</w:t>
      </w:r>
    </w:p>
    <w:p w14:paraId="2B9F3E4E" w14:textId="77777777" w:rsidR="00BE0813" w:rsidRDefault="00BE0813" w:rsidP="008E5AAD">
      <w:pPr>
        <w:rPr>
          <w:rFonts w:cs="Arial"/>
          <w:szCs w:val="24"/>
        </w:rPr>
      </w:pPr>
      <w:r>
        <w:rPr>
          <w:rFonts w:cs="Arial"/>
          <w:szCs w:val="24"/>
        </w:rPr>
        <w:br w:type="page"/>
      </w:r>
    </w:p>
    <w:p w14:paraId="08993D41" w14:textId="43D1BB4C" w:rsidR="00382D2D" w:rsidRDefault="00180154" w:rsidP="008E5AAD">
      <w:pPr>
        <w:pStyle w:val="Heading1"/>
        <w:spacing w:after="240"/>
      </w:pPr>
      <w:bookmarkStart w:id="29" w:name="_Toc214014915"/>
      <w:r>
        <w:lastRenderedPageBreak/>
        <w:t>Investment Appraisal and Capital Budgeting</w:t>
      </w:r>
      <w:bookmarkEnd w:id="29"/>
    </w:p>
    <w:p w14:paraId="5E767490" w14:textId="205326CC" w:rsidR="00CF450D" w:rsidRDefault="00E97428" w:rsidP="008E5AAD">
      <w:r>
        <w:t xml:space="preserve">Investment appraisal </w:t>
      </w:r>
      <w:r w:rsidR="004A2325">
        <w:t xml:space="preserve">is one of the important areas of </w:t>
      </w:r>
      <w:r w:rsidR="001718EF">
        <w:t xml:space="preserve">decision-making for </w:t>
      </w:r>
      <w:r w:rsidR="004A2325">
        <w:t xml:space="preserve">companies as it involves </w:t>
      </w:r>
      <w:r w:rsidR="00BA5C5B">
        <w:t>potential</w:t>
      </w:r>
      <w:r w:rsidR="004A2325">
        <w:t xml:space="preserve"> investments to determine the viability and profitability of a project and gain certain benefits by </w:t>
      </w:r>
      <w:r w:rsidR="00BA5C5B">
        <w:t>achieving</w:t>
      </w:r>
      <w:r w:rsidR="004A2325">
        <w:t xml:space="preserve"> the set goal (</w:t>
      </w:r>
      <w:r w:rsidR="00284F8B">
        <w:t xml:space="preserve">ACCA Global, 2025). </w:t>
      </w:r>
      <w:r w:rsidR="005F77AF">
        <w:t>There are various methods of investment appraisal used by companies in order to assess economic viability</w:t>
      </w:r>
      <w:r w:rsidR="0078788A">
        <w:t>,</w:t>
      </w:r>
      <w:r w:rsidR="005F77AF">
        <w:t xml:space="preserve"> </w:t>
      </w:r>
      <w:r w:rsidR="00377FD2">
        <w:t>which include payback period (PBP), Accounting Rate of Return (</w:t>
      </w:r>
      <w:r w:rsidR="004021FC">
        <w:t>ARR)</w:t>
      </w:r>
      <w:r w:rsidR="00AB7D55">
        <w:t xml:space="preserve">, Net Present Value (NPV), </w:t>
      </w:r>
      <w:r w:rsidR="00752805">
        <w:t>Profitability Index (PI)</w:t>
      </w:r>
      <w:r w:rsidR="001E4984">
        <w:t>, and Internal Rate of Return</w:t>
      </w:r>
      <w:r w:rsidR="00752805">
        <w:t xml:space="preserve"> (IRR). </w:t>
      </w:r>
      <w:r w:rsidR="00530A79" w:rsidRPr="00530A79">
        <w:t>This analysis reviews three proposed investment projects</w:t>
      </w:r>
      <w:r w:rsidR="00530A79">
        <w:t xml:space="preserve"> as the firm f</w:t>
      </w:r>
      <w:r w:rsidR="00530A79" w:rsidRPr="00530A79">
        <w:t>aces capital rationing, with a maximum available investment of £60 million.</w:t>
      </w:r>
    </w:p>
    <w:p w14:paraId="1C60CCD8" w14:textId="50C5F44B" w:rsidR="001E4984" w:rsidRDefault="004A0391" w:rsidP="008E5AAD">
      <w:pPr>
        <w:jc w:val="center"/>
      </w:pPr>
      <w:r w:rsidRPr="004A0391">
        <w:rPr>
          <w:noProof/>
        </w:rPr>
        <w:drawing>
          <wp:inline distT="0" distB="0" distL="0" distR="0" wp14:anchorId="5539C1D4" wp14:editId="373A8E2F">
            <wp:extent cx="4055110" cy="1638937"/>
            <wp:effectExtent l="0" t="0" r="2540" b="0"/>
            <wp:docPr id="1364433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433146" name=""/>
                    <pic:cNvPicPr/>
                  </pic:nvPicPr>
                  <pic:blipFill>
                    <a:blip r:embed="rId23"/>
                    <a:stretch>
                      <a:fillRect/>
                    </a:stretch>
                  </pic:blipFill>
                  <pic:spPr>
                    <a:xfrm>
                      <a:off x="0" y="0"/>
                      <a:ext cx="4059202" cy="1640591"/>
                    </a:xfrm>
                    <a:prstGeom prst="rect">
                      <a:avLst/>
                    </a:prstGeom>
                  </pic:spPr>
                </pic:pic>
              </a:graphicData>
            </a:graphic>
          </wp:inline>
        </w:drawing>
      </w:r>
    </w:p>
    <w:p w14:paraId="64EA9EA2" w14:textId="4261E308" w:rsidR="004A0391" w:rsidRDefault="004A0391" w:rsidP="008E5AAD">
      <w:pPr>
        <w:jc w:val="center"/>
      </w:pPr>
      <w:r w:rsidRPr="004A0391">
        <w:rPr>
          <w:noProof/>
        </w:rPr>
        <w:drawing>
          <wp:inline distT="0" distB="0" distL="0" distR="0" wp14:anchorId="404F846C" wp14:editId="0EECE37F">
            <wp:extent cx="4045585" cy="1660635"/>
            <wp:effectExtent l="0" t="0" r="0" b="0"/>
            <wp:docPr id="1420190030" name="Picture 1" descr="A green and black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190030" name="Picture 1" descr="A green and black table with numbers and symbols&#10;&#10;AI-generated content may be incorrect."/>
                    <pic:cNvPicPr/>
                  </pic:nvPicPr>
                  <pic:blipFill>
                    <a:blip r:embed="rId24"/>
                    <a:stretch>
                      <a:fillRect/>
                    </a:stretch>
                  </pic:blipFill>
                  <pic:spPr>
                    <a:xfrm>
                      <a:off x="0" y="0"/>
                      <a:ext cx="4059903" cy="1666512"/>
                    </a:xfrm>
                    <a:prstGeom prst="rect">
                      <a:avLst/>
                    </a:prstGeom>
                  </pic:spPr>
                </pic:pic>
              </a:graphicData>
            </a:graphic>
          </wp:inline>
        </w:drawing>
      </w:r>
    </w:p>
    <w:p w14:paraId="799AEBBA" w14:textId="77777777" w:rsidR="004A0391" w:rsidRPr="002F492A" w:rsidRDefault="004A0391" w:rsidP="008E5AAD">
      <w:pPr>
        <w:jc w:val="center"/>
        <w:rPr>
          <w:b/>
          <w:bCs/>
          <w:i/>
          <w:iCs/>
        </w:rPr>
      </w:pPr>
      <w:r w:rsidRPr="002F492A">
        <w:rPr>
          <w:b/>
          <w:bCs/>
          <w:i/>
          <w:iCs/>
          <w:noProof/>
        </w:rPr>
        <w:drawing>
          <wp:inline distT="0" distB="0" distL="0" distR="0" wp14:anchorId="775A72FD" wp14:editId="080FFBEC">
            <wp:extent cx="4045585" cy="1653015"/>
            <wp:effectExtent l="0" t="0" r="0" b="4445"/>
            <wp:docPr id="997585479"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585479" name="Picture 1" descr="A table with numbers and symbols&#10;&#10;AI-generated content may be incorrect."/>
                    <pic:cNvPicPr/>
                  </pic:nvPicPr>
                  <pic:blipFill>
                    <a:blip r:embed="rId25"/>
                    <a:stretch>
                      <a:fillRect/>
                    </a:stretch>
                  </pic:blipFill>
                  <pic:spPr>
                    <a:xfrm>
                      <a:off x="0" y="0"/>
                      <a:ext cx="4052935" cy="1656018"/>
                    </a:xfrm>
                    <a:prstGeom prst="rect">
                      <a:avLst/>
                    </a:prstGeom>
                  </pic:spPr>
                </pic:pic>
              </a:graphicData>
            </a:graphic>
          </wp:inline>
        </w:drawing>
      </w:r>
    </w:p>
    <w:p w14:paraId="67DCA151" w14:textId="27378179" w:rsidR="004A0391" w:rsidRPr="002F492A" w:rsidRDefault="004A0391" w:rsidP="008E5AAD">
      <w:pPr>
        <w:jc w:val="center"/>
        <w:rPr>
          <w:b/>
          <w:bCs/>
          <w:i/>
          <w:iCs/>
        </w:rPr>
      </w:pPr>
      <w:bookmarkStart w:id="30" w:name="_Toc214014938"/>
      <w:r w:rsidRPr="002F492A">
        <w:rPr>
          <w:b/>
          <w:bCs/>
          <w:i/>
          <w:iCs/>
        </w:rPr>
        <w:t xml:space="preserve">Figure </w:t>
      </w:r>
      <w:r w:rsidRPr="002F492A">
        <w:rPr>
          <w:b/>
          <w:bCs/>
          <w:i/>
          <w:iCs/>
        </w:rPr>
        <w:fldChar w:fldCharType="begin"/>
      </w:r>
      <w:r w:rsidRPr="002F492A">
        <w:rPr>
          <w:b/>
          <w:bCs/>
          <w:i/>
          <w:iCs/>
        </w:rPr>
        <w:instrText xml:space="preserve"> SEQ Figure \* ARABIC </w:instrText>
      </w:r>
      <w:r w:rsidRPr="002F492A">
        <w:rPr>
          <w:b/>
          <w:bCs/>
          <w:i/>
          <w:iCs/>
        </w:rPr>
        <w:fldChar w:fldCharType="separate"/>
      </w:r>
      <w:r w:rsidRPr="002F492A">
        <w:rPr>
          <w:b/>
          <w:bCs/>
          <w:i/>
          <w:iCs/>
          <w:noProof/>
        </w:rPr>
        <w:t>12</w:t>
      </w:r>
      <w:r w:rsidRPr="002F492A">
        <w:rPr>
          <w:b/>
          <w:bCs/>
          <w:i/>
          <w:iCs/>
        </w:rPr>
        <w:fldChar w:fldCharType="end"/>
      </w:r>
      <w:r w:rsidRPr="002F492A">
        <w:rPr>
          <w:b/>
          <w:bCs/>
          <w:i/>
          <w:iCs/>
        </w:rPr>
        <w:t>: Calculations of Investment Appraisals</w:t>
      </w:r>
      <w:bookmarkEnd w:id="30"/>
    </w:p>
    <w:p w14:paraId="0301F8BE" w14:textId="19929CFC" w:rsidR="00824917" w:rsidRDefault="00B8323E" w:rsidP="008E5AAD">
      <w:pPr>
        <w:pStyle w:val="Heading2"/>
        <w:spacing w:before="240" w:after="240"/>
      </w:pPr>
      <w:bookmarkStart w:id="31" w:name="_Toc214014916"/>
      <w:r>
        <w:lastRenderedPageBreak/>
        <w:t>Payback Period</w:t>
      </w:r>
      <w:bookmarkEnd w:id="31"/>
      <w:r>
        <w:t xml:space="preserve"> </w:t>
      </w:r>
    </w:p>
    <w:p w14:paraId="490152EF" w14:textId="2250281F" w:rsidR="00FD2431" w:rsidRDefault="00A708DD" w:rsidP="008E5AAD">
      <w:r>
        <w:t xml:space="preserve">Payback period refers to the </w:t>
      </w:r>
      <w:r w:rsidR="00542804">
        <w:t>potential</w:t>
      </w:r>
      <w:r>
        <w:t xml:space="preserve"> time taken by a particular investment </w:t>
      </w:r>
      <w:r w:rsidR="004F109E">
        <w:t xml:space="preserve">to recoup its initial investment value and hence reach the </w:t>
      </w:r>
      <w:r w:rsidR="004C24E9">
        <w:t>breakeven</w:t>
      </w:r>
      <w:r w:rsidR="00542804">
        <w:t xml:space="preserve"> point (</w:t>
      </w:r>
      <w:r w:rsidR="00FD29AE">
        <w:t xml:space="preserve">CFI, 2025). </w:t>
      </w:r>
      <w:r w:rsidR="00FD2431">
        <w:t xml:space="preserve">In the case of Project A, the initial investment is </w:t>
      </w:r>
      <w:r w:rsidR="00FD2431">
        <w:rPr>
          <w:rFonts w:cs="Arial"/>
        </w:rPr>
        <w:t>£</w:t>
      </w:r>
      <w:r w:rsidR="00FD2431">
        <w:t xml:space="preserve">40 million and the cumulative cash flows are </w:t>
      </w:r>
      <w:r w:rsidR="00FD2431">
        <w:rPr>
          <w:rFonts w:cs="Arial"/>
        </w:rPr>
        <w:t>£</w:t>
      </w:r>
      <w:r w:rsidR="00FD2431">
        <w:t xml:space="preserve">10 million in Year 1, </w:t>
      </w:r>
      <w:r w:rsidR="00FD2431">
        <w:rPr>
          <w:rFonts w:cs="Arial"/>
        </w:rPr>
        <w:t>£</w:t>
      </w:r>
      <w:r w:rsidR="00FD2431">
        <w:t xml:space="preserve">12 million in Year 2, </w:t>
      </w:r>
      <w:r w:rsidR="00FD2431">
        <w:rPr>
          <w:rFonts w:cs="Arial"/>
        </w:rPr>
        <w:t>£</w:t>
      </w:r>
      <w:r w:rsidR="00FD2431">
        <w:t xml:space="preserve">14 million in Year 3, </w:t>
      </w:r>
      <w:r w:rsidR="00FD2431">
        <w:rPr>
          <w:rFonts w:cs="Arial"/>
        </w:rPr>
        <w:t>£</w:t>
      </w:r>
      <w:r w:rsidR="00FD2431">
        <w:t>10 million in Year 4</w:t>
      </w:r>
      <w:r w:rsidR="0099259B">
        <w:t>,</w:t>
      </w:r>
      <w:r w:rsidR="00FD2431">
        <w:t xml:space="preserve"> and </w:t>
      </w:r>
      <w:r w:rsidR="00FD2431">
        <w:rPr>
          <w:rFonts w:cs="Arial"/>
        </w:rPr>
        <w:t>£</w:t>
      </w:r>
      <w:r w:rsidR="00FD2431">
        <w:t xml:space="preserve">8 million in Year 5. The cumulative cash flow at the end of </w:t>
      </w:r>
      <w:r w:rsidR="0099259B">
        <w:t>Year 3 is greater than the original investment,</w:t>
      </w:r>
      <w:r w:rsidR="00FD2431">
        <w:t xml:space="preserve"> implying that the payback period is about 3.4 years. </w:t>
      </w:r>
      <w:r w:rsidR="0099259B">
        <w:t>On the other hand</w:t>
      </w:r>
      <w:r w:rsidR="00FD2431">
        <w:t>, Project B</w:t>
      </w:r>
      <w:r w:rsidR="0099259B">
        <w:t>, which has an initial investment of £30 million, has cash inflows of £6 million every year,</w:t>
      </w:r>
      <w:r w:rsidR="00FD2431">
        <w:t xml:space="preserve"> and the overall payback is in Year 5. This makes Project B have </w:t>
      </w:r>
      <w:r w:rsidR="0099259B">
        <w:t xml:space="preserve">a Payback Period of 5 years, which is the </w:t>
      </w:r>
      <w:r w:rsidR="00FD2431">
        <w:t>highest of the three projects. Project C</w:t>
      </w:r>
      <w:r w:rsidR="0099259B">
        <w:t xml:space="preserve"> requires an initial investment of </w:t>
      </w:r>
      <w:r w:rsidR="0099259B">
        <w:rPr>
          <w:rFonts w:cs="Arial"/>
        </w:rPr>
        <w:t>£</w:t>
      </w:r>
      <w:r w:rsidR="0099259B">
        <w:t xml:space="preserve">50 million, and the cumulative cash flows of the project are </w:t>
      </w:r>
      <w:r w:rsidR="0099259B">
        <w:rPr>
          <w:rFonts w:cs="Arial"/>
        </w:rPr>
        <w:t>£</w:t>
      </w:r>
      <w:r w:rsidR="0099259B">
        <w:t xml:space="preserve">5 million, </w:t>
      </w:r>
      <w:r w:rsidR="0099259B">
        <w:rPr>
          <w:rFonts w:cs="Arial"/>
        </w:rPr>
        <w:t>£</w:t>
      </w:r>
      <w:r w:rsidR="0099259B">
        <w:t xml:space="preserve">10 million, </w:t>
      </w:r>
      <w:r w:rsidR="0099259B">
        <w:rPr>
          <w:rFonts w:cs="Arial"/>
        </w:rPr>
        <w:t>£</w:t>
      </w:r>
      <w:r w:rsidR="0099259B">
        <w:t xml:space="preserve">20 million, </w:t>
      </w:r>
      <w:r w:rsidR="0099259B">
        <w:rPr>
          <w:rFonts w:cs="Arial"/>
        </w:rPr>
        <w:t>£</w:t>
      </w:r>
      <w:r w:rsidR="0099259B">
        <w:t xml:space="preserve">25 million, and </w:t>
      </w:r>
      <w:r w:rsidR="0099259B">
        <w:rPr>
          <w:rFonts w:cs="Arial"/>
        </w:rPr>
        <w:t>£</w:t>
      </w:r>
      <w:r w:rsidR="0099259B">
        <w:t>15 million in Years 1, 2, 3, 4, and 5,</w:t>
      </w:r>
      <w:r w:rsidR="00FD2431">
        <w:t xml:space="preserve"> respectively. The cumulative cash flow shows that the investment has made up more than the initial investment by the end of Year 4, and hence the Payback Period </w:t>
      </w:r>
      <w:r w:rsidR="0099259B">
        <w:t>is</w:t>
      </w:r>
      <w:r w:rsidR="00FD2431">
        <w:t xml:space="preserve"> 3.6 years. Thus, </w:t>
      </w:r>
      <w:r w:rsidR="0099259B">
        <w:t>Project A will have the shortest payback period</w:t>
      </w:r>
      <w:r w:rsidR="00FD2431">
        <w:t>.</w:t>
      </w:r>
    </w:p>
    <w:p w14:paraId="5A90892D" w14:textId="06D3E476" w:rsidR="00195016" w:rsidRDefault="00ED2631" w:rsidP="008E5AAD">
      <w:pPr>
        <w:pStyle w:val="Heading2"/>
        <w:spacing w:before="240" w:after="240"/>
      </w:pPr>
      <w:bookmarkStart w:id="32" w:name="_Toc214014917"/>
      <w:r>
        <w:t>Accounting Rate of Return</w:t>
      </w:r>
      <w:bookmarkEnd w:id="32"/>
    </w:p>
    <w:p w14:paraId="460F4C65" w14:textId="185982DB" w:rsidR="002B4561" w:rsidRDefault="00082D19" w:rsidP="008E5AAD">
      <w:r>
        <w:t>Accounting Rate of Return provides the calculations of the profitability of a project by reflecting the potential return and helps compare accounting profits of different projects while making investment decisions (</w:t>
      </w:r>
      <w:r w:rsidR="001F22C1">
        <w:t>Vipond, 202</w:t>
      </w:r>
      <w:r w:rsidR="00820666">
        <w:t>5</w:t>
      </w:r>
      <w:r w:rsidR="001F22C1">
        <w:t xml:space="preserve">). </w:t>
      </w:r>
      <w:r w:rsidR="002B4561">
        <w:t>It measures the annual average rate of profit as a percentage of the initial investment. Project A will have an ARR of 54</w:t>
      </w:r>
      <w:r w:rsidR="00503BD4">
        <w:t>%</w:t>
      </w:r>
      <w:r w:rsidR="002B4561">
        <w:t xml:space="preserve">, which would be the average profit of </w:t>
      </w:r>
      <w:r w:rsidR="002B4561">
        <w:rPr>
          <w:rFonts w:cs="Arial"/>
        </w:rPr>
        <w:t>£</w:t>
      </w:r>
      <w:r w:rsidR="002B4561">
        <w:t xml:space="preserve">10.12 million per year compared to the initial investment of </w:t>
      </w:r>
      <w:r w:rsidR="002B4561">
        <w:rPr>
          <w:rFonts w:cs="Arial"/>
        </w:rPr>
        <w:t>£</w:t>
      </w:r>
      <w:r w:rsidR="002B4561">
        <w:t xml:space="preserve">40 million. On the other hand, Project B offers a constant cash flow of </w:t>
      </w:r>
      <w:r w:rsidR="002B4561">
        <w:rPr>
          <w:rFonts w:cs="Arial"/>
        </w:rPr>
        <w:t>£</w:t>
      </w:r>
      <w:r w:rsidR="002B4561">
        <w:t>6 million a year and therefore it offers an ARR of 40</w:t>
      </w:r>
      <w:r w:rsidR="00503BD4">
        <w:t xml:space="preserve">% </w:t>
      </w:r>
      <w:r w:rsidR="002B4561">
        <w:t>as compared to Project A. However, Project C has an ARR of 60</w:t>
      </w:r>
      <w:r w:rsidR="00503BD4">
        <w:t>%</w:t>
      </w:r>
      <w:r w:rsidR="002B4561">
        <w:t>, the largest among the three projects. It has a high ARR, which indicates that it yields maximum profit as compared to the investment.</w:t>
      </w:r>
      <w:r w:rsidR="00436FF2">
        <w:t xml:space="preserve"> </w:t>
      </w:r>
      <w:r w:rsidR="008C3D24" w:rsidRPr="008C3D24">
        <w:t>Project A and Project B are close to each other with ARR of 54 and 60, respectively</w:t>
      </w:r>
      <w:r w:rsidR="008C3D24">
        <w:t>.</w:t>
      </w:r>
      <w:r w:rsidR="002B4561">
        <w:t xml:space="preserve"> This clearly </w:t>
      </w:r>
      <w:r w:rsidR="00FF1A3B">
        <w:t>indicates</w:t>
      </w:r>
      <w:r w:rsidR="002B4561">
        <w:t xml:space="preserve"> that Project C is the most profitable venture based on the returns per year.</w:t>
      </w:r>
    </w:p>
    <w:p w14:paraId="348DFC28" w14:textId="77777777" w:rsidR="002B4561" w:rsidRDefault="002B4561" w:rsidP="008E5AAD"/>
    <w:p w14:paraId="40B52D58" w14:textId="506F899A" w:rsidR="00B347FE" w:rsidRDefault="00DF07A3" w:rsidP="008E5AAD">
      <w:pPr>
        <w:pStyle w:val="Heading2"/>
        <w:spacing w:before="240" w:after="240"/>
      </w:pPr>
      <w:bookmarkStart w:id="33" w:name="_Toc214014918"/>
      <w:r>
        <w:lastRenderedPageBreak/>
        <w:t>Net Present Value</w:t>
      </w:r>
      <w:bookmarkEnd w:id="33"/>
      <w:r>
        <w:t xml:space="preserve"> </w:t>
      </w:r>
    </w:p>
    <w:p w14:paraId="01B61DA0" w14:textId="496FE600" w:rsidR="00503BD4" w:rsidRDefault="00875317" w:rsidP="008E5AAD">
      <w:r>
        <w:t xml:space="preserve">Net Present Value helps measure the investment profitability by </w:t>
      </w:r>
      <w:r w:rsidR="00F00037">
        <w:t>subtracting</w:t>
      </w:r>
      <w:r>
        <w:t xml:space="preserve"> the present value of future cash outflows from the cash inflows</w:t>
      </w:r>
      <w:r w:rsidR="004C2611">
        <w:t>,</w:t>
      </w:r>
      <w:r>
        <w:t xml:space="preserve"> </w:t>
      </w:r>
      <w:r w:rsidR="00F00037">
        <w:t xml:space="preserve">and therefore, its positive value indicates </w:t>
      </w:r>
      <w:r w:rsidR="007607F5">
        <w:t>a profitable venture (AFP,</w:t>
      </w:r>
      <w:r w:rsidR="00534934">
        <w:t xml:space="preserve"> 2025). </w:t>
      </w:r>
      <w:r w:rsidR="00503BD4">
        <w:t xml:space="preserve">The difference between the current value of cash outflows and inflows at the required rate of return by the company, which is 10%, has been analysed for different values for each project. Project A has a positive NPV of </w:t>
      </w:r>
      <w:r w:rsidR="00247364">
        <w:rPr>
          <w:rFonts w:cs="Arial"/>
        </w:rPr>
        <w:t>£</w:t>
      </w:r>
      <w:r w:rsidR="00503BD4">
        <w:t xml:space="preserve">1.32 million, indicating that it will be beneficial to the firm. </w:t>
      </w:r>
      <w:r w:rsidR="00247364">
        <w:t>O</w:t>
      </w:r>
      <w:r w:rsidR="00503BD4">
        <w:t>n the other hand,</w:t>
      </w:r>
      <w:r w:rsidR="00247364">
        <w:t xml:space="preserve"> Project B</w:t>
      </w:r>
      <w:r w:rsidR="00503BD4">
        <w:t xml:space="preserve"> has a negative NPV of -£7.26 million, which implies that the project will </w:t>
      </w:r>
      <w:r w:rsidR="00247364">
        <w:t>destroy</w:t>
      </w:r>
      <w:r w:rsidR="00503BD4">
        <w:t xml:space="preserve"> value</w:t>
      </w:r>
      <w:r w:rsidR="00247364">
        <w:t xml:space="preserve"> and hence,</w:t>
      </w:r>
      <w:r w:rsidR="00503BD4">
        <w:t xml:space="preserve"> it is not advisable. Project C has the best NPV of £4.23 million</w:t>
      </w:r>
      <w:r w:rsidR="00247364">
        <w:t>,</w:t>
      </w:r>
      <w:r w:rsidR="00503BD4">
        <w:t xml:space="preserve"> and this is an indicator of a big value addition to the company. The high NPV value shows that Project C offers the best returns in terms of profitability relative to </w:t>
      </w:r>
      <w:r w:rsidR="00247364">
        <w:t xml:space="preserve">the </w:t>
      </w:r>
      <w:r w:rsidR="00503BD4">
        <w:t xml:space="preserve">time value of money. </w:t>
      </w:r>
      <w:r w:rsidR="008C3D24" w:rsidRPr="008C3D24">
        <w:t>The NPV of Project B is negative, which is why it is the least viable option to be invested in because it does not generate any value to the company.</w:t>
      </w:r>
    </w:p>
    <w:p w14:paraId="3065A123" w14:textId="4CBD918D" w:rsidR="003C2BFF" w:rsidRDefault="00464D45" w:rsidP="008E5AAD">
      <w:pPr>
        <w:pStyle w:val="Heading2"/>
        <w:spacing w:before="240" w:after="240"/>
      </w:pPr>
      <w:bookmarkStart w:id="34" w:name="_Toc214014919"/>
      <w:r>
        <w:t>Profitability</w:t>
      </w:r>
      <w:r w:rsidR="006E2929">
        <w:t xml:space="preserve"> Index</w:t>
      </w:r>
      <w:bookmarkEnd w:id="34"/>
    </w:p>
    <w:p w14:paraId="2E13748F" w14:textId="0FE3B784" w:rsidR="00464D45" w:rsidRDefault="00C7417A" w:rsidP="008E5AAD">
      <w:r>
        <w:t xml:space="preserve">Profitability index measures the value a project will create for each unit </w:t>
      </w:r>
      <w:r w:rsidR="00C657BB">
        <w:t>of</w:t>
      </w:r>
      <w:r>
        <w:t xml:space="preserve"> the invested currency</w:t>
      </w:r>
      <w:r w:rsidR="00E07EE9">
        <w:t>, and the measurement over 1 defines a profitable</w:t>
      </w:r>
      <w:r>
        <w:t xml:space="preserve"> project (</w:t>
      </w:r>
      <w:r w:rsidR="000D620A">
        <w:t>Bajaj Finserv, 2025)</w:t>
      </w:r>
      <w:r w:rsidR="005E0CD1">
        <w:t>. In the case of Project A, the PI stands at 1.03, which is calculated by taking the present value of inflows (£41.32 million)/ initial investment (£40 million). The PI of project B is 0.76</w:t>
      </w:r>
      <w:r w:rsidR="00476F9C">
        <w:t>, and this falls short of 1,</w:t>
      </w:r>
      <w:r w:rsidR="005E0CD1">
        <w:t xml:space="preserve"> </w:t>
      </w:r>
      <w:r w:rsidR="00476F9C">
        <w:t>reflecting</w:t>
      </w:r>
      <w:r w:rsidR="005E0CD1">
        <w:t xml:space="preserve"> that it will not be a profitable venture considering its price. </w:t>
      </w:r>
      <w:r w:rsidR="00476F9C">
        <w:t>On the other hand, Project C has a PI of 1.08,</w:t>
      </w:r>
      <w:r w:rsidR="005E0CD1">
        <w:t xml:space="preserve"> </w:t>
      </w:r>
      <w:r w:rsidR="00352BF4">
        <w:t>indicating</w:t>
      </w:r>
      <w:r w:rsidR="00C440C5">
        <w:t xml:space="preserve"> </w:t>
      </w:r>
      <w:r w:rsidR="005E0CD1">
        <w:t>that it has the highest value per pound of investment.</w:t>
      </w:r>
      <w:r w:rsidR="00352BF4">
        <w:t xml:space="preserve"> Therefore,</w:t>
      </w:r>
      <w:r w:rsidR="005E0CD1">
        <w:t xml:space="preserve"> Project A is profitable with a PI of 1.03</w:t>
      </w:r>
      <w:r w:rsidR="00476F9C">
        <w:t>, whereas Project B has the lowest PI</w:t>
      </w:r>
      <w:r w:rsidR="00283A93">
        <w:t>, which substantially proves</w:t>
      </w:r>
      <w:r w:rsidR="005E0CD1">
        <w:t xml:space="preserve"> that it should not be included in the list of viable investment projects.</w:t>
      </w:r>
    </w:p>
    <w:p w14:paraId="6F14D447" w14:textId="00F42816" w:rsidR="00B70653" w:rsidRDefault="003A5E6D" w:rsidP="008E5AAD">
      <w:pPr>
        <w:pStyle w:val="Heading2"/>
        <w:spacing w:before="240" w:after="240"/>
      </w:pPr>
      <w:bookmarkStart w:id="35" w:name="_Toc214014920"/>
      <w:r>
        <w:t>Internal Rate of Return</w:t>
      </w:r>
      <w:bookmarkEnd w:id="35"/>
      <w:r>
        <w:t xml:space="preserve"> </w:t>
      </w:r>
    </w:p>
    <w:p w14:paraId="0503F614" w14:textId="3F2FCD14" w:rsidR="009E0F6D" w:rsidRDefault="00963857" w:rsidP="008E5AAD">
      <w:r>
        <w:t>The internal</w:t>
      </w:r>
      <w:r w:rsidR="00AE437D">
        <w:t xml:space="preserve"> rate of return shows the estimation of the </w:t>
      </w:r>
      <w:r>
        <w:t>investment's</w:t>
      </w:r>
      <w:r w:rsidR="00AE437D">
        <w:t xml:space="preserve"> profitability by reflecting the discount rate when the net present value of cash flows of an investment becomes zero (</w:t>
      </w:r>
      <w:r>
        <w:t xml:space="preserve">ACCA </w:t>
      </w:r>
      <w:r w:rsidR="009F009F">
        <w:t>Global</w:t>
      </w:r>
      <w:r>
        <w:t>, 2025)</w:t>
      </w:r>
      <w:r w:rsidR="009F009F">
        <w:t xml:space="preserve">. </w:t>
      </w:r>
      <w:r w:rsidR="00C76AB3">
        <w:t xml:space="preserve">It has been analysed that Project A has </w:t>
      </w:r>
      <w:r w:rsidR="00932571">
        <w:t xml:space="preserve">an IRR of 1.21% which is much lower than the required rate of return by the company, which is 10%, and therefore, not as appealing as it has a </w:t>
      </w:r>
      <w:r w:rsidR="00C76AB3">
        <w:t>positive NPV. The IRR of project B is negative</w:t>
      </w:r>
      <w:r w:rsidR="00932571">
        <w:t>,</w:t>
      </w:r>
      <w:r w:rsidR="00EB56F0">
        <w:t xml:space="preserve"> </w:t>
      </w:r>
      <w:r w:rsidR="00932571">
        <w:t>amounting</w:t>
      </w:r>
      <w:r w:rsidR="00EB56F0">
        <w:t xml:space="preserve"> to </w:t>
      </w:r>
      <w:r w:rsidR="00C76AB3">
        <w:t>-9.09</w:t>
      </w:r>
      <w:r w:rsidR="006549C6">
        <w:t>%</w:t>
      </w:r>
      <w:r w:rsidR="00C76AB3">
        <w:t xml:space="preserve">, and it means that the project will not result in sufficient returns to justify the investment at all, and, therefore, it should be rejected. </w:t>
      </w:r>
      <w:r w:rsidR="00C76AB3">
        <w:lastRenderedPageBreak/>
        <w:t xml:space="preserve">Project C </w:t>
      </w:r>
      <w:r w:rsidR="006549C6">
        <w:t xml:space="preserve">has </w:t>
      </w:r>
      <w:r w:rsidR="00932571">
        <w:t>an</w:t>
      </w:r>
      <w:r w:rsidR="006549C6">
        <w:t xml:space="preserve"> </w:t>
      </w:r>
      <w:r w:rsidR="00C76AB3">
        <w:t xml:space="preserve">IRR </w:t>
      </w:r>
      <w:r w:rsidR="006549C6">
        <w:t>of</w:t>
      </w:r>
      <w:r w:rsidR="00C76AB3">
        <w:t xml:space="preserve"> 2.47</w:t>
      </w:r>
      <w:r w:rsidR="006549C6">
        <w:t>%,</w:t>
      </w:r>
      <w:r w:rsidR="00C76AB3">
        <w:t xml:space="preserve"> and this is not high enough to be defined as 10</w:t>
      </w:r>
      <w:r w:rsidR="006549C6">
        <w:t>%</w:t>
      </w:r>
      <w:r w:rsidR="00C76AB3">
        <w:t xml:space="preserve"> </w:t>
      </w:r>
      <w:r w:rsidR="006549C6">
        <w:t xml:space="preserve">but is </w:t>
      </w:r>
      <w:r w:rsidR="00C76AB3">
        <w:t>higher than Project A. However, Project C is the most preferable one since it provides the most optimal ratio of profitability and value creation.</w:t>
      </w:r>
    </w:p>
    <w:p w14:paraId="46C074EB" w14:textId="7CD707BA" w:rsidR="00643187" w:rsidRDefault="00A857BF" w:rsidP="008E5AAD">
      <w:pPr>
        <w:pStyle w:val="Heading2"/>
        <w:spacing w:before="240" w:after="240"/>
      </w:pPr>
      <w:bookmarkStart w:id="36" w:name="_Toc214014921"/>
      <w:r>
        <w:t>Recommendations</w:t>
      </w:r>
      <w:bookmarkEnd w:id="36"/>
      <w:r>
        <w:t xml:space="preserve"> </w:t>
      </w:r>
    </w:p>
    <w:p w14:paraId="2C730A25" w14:textId="0B9AE8DA" w:rsidR="009E0F6D" w:rsidRDefault="007C09A0" w:rsidP="008E5AAD">
      <w:r>
        <w:t xml:space="preserve">It has been </w:t>
      </w:r>
      <w:r w:rsidR="001F39F1">
        <w:t xml:space="preserve">found that, </w:t>
      </w:r>
      <w:r>
        <w:t xml:space="preserve">considering </w:t>
      </w:r>
      <w:r w:rsidR="009E0F6D">
        <w:t xml:space="preserve">a capital rationing limit of £60 million, </w:t>
      </w:r>
      <w:r w:rsidR="001F39F1">
        <w:t>the company</w:t>
      </w:r>
      <w:r w:rsidR="009E0F6D">
        <w:t xml:space="preserve"> need</w:t>
      </w:r>
      <w:r w:rsidR="001F39F1">
        <w:t xml:space="preserve">ed </w:t>
      </w:r>
      <w:r w:rsidR="009E0F6D">
        <w:t xml:space="preserve">to make choices </w:t>
      </w:r>
      <w:r w:rsidR="001F39F1">
        <w:t xml:space="preserve">out of the three respective </w:t>
      </w:r>
      <w:r w:rsidR="007B3D32">
        <w:t>projects</w:t>
      </w:r>
      <w:r w:rsidR="001F39F1">
        <w:t xml:space="preserve"> </w:t>
      </w:r>
      <w:r w:rsidR="009E0F6D">
        <w:t>to invest</w:t>
      </w:r>
      <w:r w:rsidR="007B3D32">
        <w:t>, as these projects reflect</w:t>
      </w:r>
      <w:r w:rsidR="003A5BC9">
        <w:t xml:space="preserve"> different measures. </w:t>
      </w:r>
      <w:r w:rsidR="00C768B9">
        <w:t xml:space="preserve">The analysis revealed </w:t>
      </w:r>
      <w:r w:rsidR="007B3D32">
        <w:t xml:space="preserve">that </w:t>
      </w:r>
      <w:r w:rsidR="009E0F6D">
        <w:t xml:space="preserve">Project A needs </w:t>
      </w:r>
      <w:r w:rsidR="00572BD5">
        <w:t xml:space="preserve">an investment of </w:t>
      </w:r>
      <w:r w:rsidR="00572BD5">
        <w:rPr>
          <w:rFonts w:cs="Arial"/>
        </w:rPr>
        <w:t>£</w:t>
      </w:r>
      <w:r w:rsidR="009E0F6D">
        <w:t>40 million, Project B needs an investment of 30 million</w:t>
      </w:r>
      <w:r w:rsidR="007B3D32">
        <w:t>,</w:t>
      </w:r>
      <w:r w:rsidR="009E0F6D">
        <w:t xml:space="preserve"> </w:t>
      </w:r>
      <w:r w:rsidR="00572BD5">
        <w:t xml:space="preserve">while </w:t>
      </w:r>
      <w:r w:rsidR="009E0F6D">
        <w:t xml:space="preserve">Project C </w:t>
      </w:r>
      <w:r w:rsidR="00572BD5">
        <w:t xml:space="preserve">reqiures an investment of </w:t>
      </w:r>
      <w:r w:rsidR="00572BD5">
        <w:rPr>
          <w:rFonts w:cs="Arial"/>
        </w:rPr>
        <w:t>£</w:t>
      </w:r>
      <w:r w:rsidR="00572BD5">
        <w:t>4</w:t>
      </w:r>
      <w:r w:rsidR="009E0F6D">
        <w:t xml:space="preserve">50 million. In case the company had to do two projects, the total cost of Project A (£40 million) and Project C (£50 million) would be more than the budget (£60 million). Thus, the company is not in a position to invest in more than one project. With the analysis, Project C will be the most desirable investment, though not the most advantageous due to its lower IRR, </w:t>
      </w:r>
      <w:r w:rsidR="00572BD5">
        <w:t xml:space="preserve">but because of </w:t>
      </w:r>
      <w:r w:rsidR="009E0F6D">
        <w:t>the excellent NPV, PI, and ARR. Project C is the most valuable and profitable project and therefore the most suitable project within the existing budget limits.</w:t>
      </w:r>
    </w:p>
    <w:p w14:paraId="5458EA0F" w14:textId="125278F1" w:rsidR="009E0F6D" w:rsidRDefault="00572BD5" w:rsidP="008E5AAD">
      <w:r>
        <w:t>This investment appraisal in terms of the Payback Period, ARR, NPV, PI, and IRR indicates</w:t>
      </w:r>
      <w:r w:rsidR="009E0F6D">
        <w:t xml:space="preserve"> that Project C is the best investment choice General Electronics should make. It has the best payoff in terms of money and value generation</w:t>
      </w:r>
      <w:r>
        <w:t>, hence it is the most effective to guarantee the long-term</w:t>
      </w:r>
      <w:r w:rsidR="009E0F6D">
        <w:t xml:space="preserve"> financial sustainability and development of the company. Though Project A has a positive NPV and good profitability as well, it has a lower NPV and IRR than Project C, which ranks it </w:t>
      </w:r>
      <w:r>
        <w:t>as</w:t>
      </w:r>
      <w:r w:rsidR="009E0F6D">
        <w:t xml:space="preserve"> a secondary alternative. </w:t>
      </w:r>
      <w:r>
        <w:t>Project</w:t>
      </w:r>
      <w:r w:rsidR="009E0F6D">
        <w:t xml:space="preserve"> B should not be accepted because of its adverse NPV, low PI</w:t>
      </w:r>
      <w:r>
        <w:t>, and low IRR,</w:t>
      </w:r>
      <w:r w:rsidR="009E0F6D">
        <w:t xml:space="preserve"> </w:t>
      </w:r>
      <w:r w:rsidR="009E0F6D" w:rsidRPr="00572BD5">
        <w:t xml:space="preserve">which demonstrate that it will not be financially beneficial to the company. Therefore, Project C </w:t>
      </w:r>
      <w:r>
        <w:t xml:space="preserve">is finally recommended to </w:t>
      </w:r>
      <w:r w:rsidR="001D7DD0">
        <w:t>be prioritised</w:t>
      </w:r>
      <w:r w:rsidR="009E0F6D" w:rsidRPr="00572BD5">
        <w:t xml:space="preserve"> </w:t>
      </w:r>
      <w:r w:rsidR="001D7DD0">
        <w:t>in order to</w:t>
      </w:r>
      <w:r w:rsidR="009E0F6D" w:rsidRPr="00572BD5">
        <w:t xml:space="preserve"> maximi</w:t>
      </w:r>
      <w:r w:rsidR="001D7DD0">
        <w:t>s</w:t>
      </w:r>
      <w:r w:rsidR="009E0F6D" w:rsidRPr="00572BD5">
        <w:t>e the company’s returns and secure future profitability.</w:t>
      </w:r>
    </w:p>
    <w:p w14:paraId="5F6E489B" w14:textId="436126FC" w:rsidR="00CE610A" w:rsidRDefault="000C3566" w:rsidP="008E5AAD">
      <w:r>
        <w:t xml:space="preserve">Also, </w:t>
      </w:r>
      <w:r w:rsidR="00C974BB">
        <w:t xml:space="preserve">the implication of the current financial performance and positioning of </w:t>
      </w:r>
      <w:r w:rsidR="00920103">
        <w:t xml:space="preserve">General Electronics </w:t>
      </w:r>
      <w:r w:rsidR="00274A2D">
        <w:t xml:space="preserve">even reflects it </w:t>
      </w:r>
      <w:r w:rsidR="000551FD">
        <w:t xml:space="preserve">as </w:t>
      </w:r>
      <w:r w:rsidR="00972FBB">
        <w:t>the</w:t>
      </w:r>
      <w:r w:rsidR="00274A2D">
        <w:t xml:space="preserve"> </w:t>
      </w:r>
      <w:r w:rsidR="000551FD">
        <w:t>best option</w:t>
      </w:r>
      <w:r w:rsidR="00AA252A">
        <w:t>,</w:t>
      </w:r>
      <w:r w:rsidR="00274A2D">
        <w:t xml:space="preserve"> </w:t>
      </w:r>
      <w:r w:rsidR="000551FD">
        <w:t xml:space="preserve">as it </w:t>
      </w:r>
      <w:r w:rsidR="000551FD" w:rsidRPr="000551FD">
        <w:t>is financially struggling</w:t>
      </w:r>
      <w:r w:rsidR="00972FBB">
        <w:t>.</w:t>
      </w:r>
      <w:r w:rsidR="000551FD" w:rsidRPr="000551FD">
        <w:t xml:space="preserve"> Project C has the best NPV (£4.23 million) and ARR (60%), </w:t>
      </w:r>
      <w:r w:rsidR="00AA252A">
        <w:t xml:space="preserve">states </w:t>
      </w:r>
      <w:r w:rsidR="000551FD" w:rsidRPr="000551FD">
        <w:t xml:space="preserve">that it </w:t>
      </w:r>
      <w:r w:rsidR="00AA252A">
        <w:t xml:space="preserve">will give good returns as well as provide </w:t>
      </w:r>
      <w:r w:rsidR="000551FD" w:rsidRPr="000551FD">
        <w:t>the best value out of the investment. Also, the PI of 1.08 of Project C implies that each pound invested results in good profitability. The 3.6 years of Payback Period is not as short as in Project A</w:t>
      </w:r>
      <w:r w:rsidR="003D6006">
        <w:t xml:space="preserve"> but</w:t>
      </w:r>
      <w:r w:rsidR="000551FD" w:rsidRPr="000551FD">
        <w:t xml:space="preserve"> </w:t>
      </w:r>
      <w:r w:rsidR="003D6006">
        <w:t xml:space="preserve">this </w:t>
      </w:r>
      <w:r w:rsidR="000551FD" w:rsidRPr="000551FD">
        <w:t xml:space="preserve">is not too bad, considering that </w:t>
      </w:r>
      <w:r w:rsidR="000551FD" w:rsidRPr="000551FD">
        <w:lastRenderedPageBreak/>
        <w:t xml:space="preserve">the company requires a long-term and sustainable solution. Project C has a more manageable cash flow </w:t>
      </w:r>
      <w:r w:rsidR="003D6006">
        <w:t>volatility as compared to Project B, which has a negative IRR and NPV,</w:t>
      </w:r>
      <w:r w:rsidR="000551FD" w:rsidRPr="000551FD">
        <w:t xml:space="preserve"> indicating a greater risk of loss. Although the IRR of Project C is comparatively low</w:t>
      </w:r>
      <w:r w:rsidR="003D6006">
        <w:t xml:space="preserve">, </w:t>
      </w:r>
      <w:r w:rsidR="000551FD" w:rsidRPr="000551FD">
        <w:t xml:space="preserve">this project poses the lowest financial risk because of its positive </w:t>
      </w:r>
      <w:r w:rsidR="003D6006">
        <w:t>indicators</w:t>
      </w:r>
      <w:r w:rsidR="000551FD" w:rsidRPr="000551FD">
        <w:t xml:space="preserve"> of profitability and the potential </w:t>
      </w:r>
      <w:r w:rsidR="000B0709">
        <w:t>for</w:t>
      </w:r>
      <w:r w:rsidR="000551FD" w:rsidRPr="000551FD">
        <w:t xml:space="preserve"> value generation, which is consistent with the financial rejuvenation objective of General Electronics. Thus, Project C provides the most solid investment opportunity</w:t>
      </w:r>
      <w:r w:rsidR="003D6006">
        <w:t>,</w:t>
      </w:r>
      <w:r w:rsidR="000551FD" w:rsidRPr="000551FD">
        <w:t xml:space="preserve"> and it has the most appropriate risk and payoff mix.</w:t>
      </w:r>
    </w:p>
    <w:p w14:paraId="0D983D15" w14:textId="77777777" w:rsidR="00CE610A" w:rsidRDefault="00CE610A" w:rsidP="008E5AAD">
      <w:r>
        <w:br w:type="page"/>
      </w:r>
    </w:p>
    <w:p w14:paraId="600A2C57" w14:textId="5C33F0D9" w:rsidR="000551FD" w:rsidRDefault="00804454" w:rsidP="008E5AAD">
      <w:pPr>
        <w:pStyle w:val="Heading1"/>
        <w:spacing w:after="240"/>
      </w:pPr>
      <w:bookmarkStart w:id="37" w:name="_Toc214014922"/>
      <w:r>
        <w:lastRenderedPageBreak/>
        <w:t>Conclusion</w:t>
      </w:r>
      <w:bookmarkEnd w:id="37"/>
      <w:r>
        <w:t xml:space="preserve"> </w:t>
      </w:r>
    </w:p>
    <w:p w14:paraId="4A775EB1" w14:textId="27E3AFC4" w:rsidR="006D74F1" w:rsidRDefault="006D74F1" w:rsidP="008E5AAD">
      <w:r>
        <w:t xml:space="preserve">It has been analysed that General Electronics is encountering serious financial challenges, and its ratios of profitability are </w:t>
      </w:r>
      <w:r w:rsidR="00040B37">
        <w:t>falling, including the net profit margin and ROE,</w:t>
      </w:r>
      <w:r>
        <w:t xml:space="preserve"> indicating poor cost control and increased financial difficulties. The liquidity ratios also indicate a worrying decrease, which points to the possible cash flow issues that may limit the company in terms of fulfilling </w:t>
      </w:r>
      <w:r w:rsidR="00040B37">
        <w:t>its</w:t>
      </w:r>
      <w:r>
        <w:t xml:space="preserve"> short-term liabilities.</w:t>
      </w:r>
      <w:r w:rsidR="00040B37">
        <w:t xml:space="preserve"> </w:t>
      </w:r>
      <w:r>
        <w:t>The cash operating cycle is slightly better in 2024</w:t>
      </w:r>
      <w:r w:rsidR="00040B37">
        <w:t>, but there are still inefficiencies in the company, in terms of inventory and receivables, which tie up capital and make</w:t>
      </w:r>
      <w:r>
        <w:t xml:space="preserve"> liquidity worse.</w:t>
      </w:r>
      <w:r w:rsidR="00040B37">
        <w:t xml:space="preserve"> The suggested restructuring proposal reflects equity injections, debt refinancing, and asset selling to enhance the liquidity and make the company more profitable. These plans will help the firm to improve its profitability and share price in the long run. Lastly, the </w:t>
      </w:r>
      <w:r>
        <w:t>three prospective projects analy</w:t>
      </w:r>
      <w:r w:rsidR="00040B37">
        <w:t>s</w:t>
      </w:r>
      <w:r>
        <w:t>ed showed that the best returns are reali</w:t>
      </w:r>
      <w:r w:rsidR="00040B37">
        <w:t>s</w:t>
      </w:r>
      <w:r>
        <w:t xml:space="preserve">ed on Project C, which has the best NPV, ARR, </w:t>
      </w:r>
      <w:r w:rsidR="00040B37">
        <w:t>and PI,</w:t>
      </w:r>
      <w:r>
        <w:t xml:space="preserve"> although with </w:t>
      </w:r>
      <w:r w:rsidR="00040B37">
        <w:t xml:space="preserve">a </w:t>
      </w:r>
      <w:r>
        <w:t>lower IRR. Taking into consideration the capital rationing constraint of the company, Project C is the feasible one.</w:t>
      </w:r>
    </w:p>
    <w:p w14:paraId="60787907" w14:textId="77777777" w:rsidR="006D74F1" w:rsidRDefault="006D74F1" w:rsidP="008E5AAD"/>
    <w:p w14:paraId="03D4C7DA" w14:textId="77777777" w:rsidR="00C76AB3" w:rsidRPr="003A5E6D" w:rsidRDefault="00C76AB3" w:rsidP="008E5AAD"/>
    <w:p w14:paraId="7C623CFA" w14:textId="4B66FA8B" w:rsidR="00EB74E2" w:rsidRPr="00682E89" w:rsidRDefault="00EB74E2" w:rsidP="008E5AAD">
      <w:pPr>
        <w:rPr>
          <w:rFonts w:cs="Arial"/>
          <w:szCs w:val="24"/>
          <w:lang w:val="en-IN"/>
        </w:rPr>
      </w:pPr>
      <w:r w:rsidRPr="00682E89">
        <w:rPr>
          <w:rFonts w:cs="Arial"/>
          <w:szCs w:val="24"/>
          <w:lang w:val="en-IN"/>
        </w:rPr>
        <w:br w:type="page"/>
      </w:r>
    </w:p>
    <w:p w14:paraId="5FCA32B0" w14:textId="77777777" w:rsidR="00EB74E2" w:rsidRPr="00682E89" w:rsidRDefault="00EB74E2" w:rsidP="008E5AAD">
      <w:pPr>
        <w:pStyle w:val="Heading1"/>
        <w:spacing w:after="240"/>
        <w:rPr>
          <w:rFonts w:cs="Arial"/>
          <w:color w:val="auto"/>
          <w:szCs w:val="24"/>
          <w:lang w:val="en-IN"/>
        </w:rPr>
      </w:pPr>
      <w:bookmarkStart w:id="38" w:name="_Toc214014923"/>
      <w:r w:rsidRPr="00682E89">
        <w:rPr>
          <w:rFonts w:cs="Arial"/>
          <w:color w:val="auto"/>
          <w:szCs w:val="24"/>
          <w:lang w:val="en-IN"/>
        </w:rPr>
        <w:lastRenderedPageBreak/>
        <w:t>References</w:t>
      </w:r>
      <w:bookmarkEnd w:id="38"/>
      <w:r w:rsidRPr="00682E89">
        <w:rPr>
          <w:rFonts w:cs="Arial"/>
          <w:color w:val="auto"/>
          <w:szCs w:val="24"/>
          <w:lang w:val="en-IN"/>
        </w:rPr>
        <w:t xml:space="preserve"> </w:t>
      </w:r>
    </w:p>
    <w:p w14:paraId="4A42A0AA" w14:textId="77777777" w:rsidR="005D5210" w:rsidRDefault="005D5210" w:rsidP="008E5AAD">
      <w:pPr>
        <w:rPr>
          <w:rFonts w:cs="Arial"/>
          <w:szCs w:val="24"/>
          <w:shd w:val="clear" w:color="auto" w:fill="FFFFFF"/>
        </w:rPr>
      </w:pPr>
      <w:r w:rsidRPr="00682E89">
        <w:rPr>
          <w:rFonts w:cs="Arial"/>
          <w:szCs w:val="24"/>
          <w:shd w:val="clear" w:color="auto" w:fill="FFFFFF"/>
        </w:rPr>
        <w:t xml:space="preserve">ACCA Global. (2025) Bank Loans. [Online]. Available at: </w:t>
      </w:r>
      <w:hyperlink r:id="rId26" w:history="1">
        <w:r w:rsidRPr="00682E89">
          <w:rPr>
            <w:rStyle w:val="Hyperlink"/>
            <w:rFonts w:cs="Arial"/>
            <w:color w:val="auto"/>
            <w:szCs w:val="24"/>
            <w:shd w:val="clear" w:color="auto" w:fill="FFFFFF"/>
          </w:rPr>
          <w:t>https://www.accaglobal.com/in/en/business-finance/types-finance/loans.html</w:t>
        </w:r>
      </w:hyperlink>
      <w:r w:rsidRPr="00682E89">
        <w:rPr>
          <w:rFonts w:cs="Arial"/>
          <w:szCs w:val="24"/>
          <w:shd w:val="clear" w:color="auto" w:fill="FFFFFF"/>
        </w:rPr>
        <w:t xml:space="preserve"> [Accessed on: 13.11.2025]. </w:t>
      </w:r>
    </w:p>
    <w:p w14:paraId="791A78B0" w14:textId="77777777" w:rsidR="005D5210" w:rsidRPr="00682E89" w:rsidRDefault="005D5210" w:rsidP="008E5AAD">
      <w:pPr>
        <w:rPr>
          <w:rFonts w:cs="Arial"/>
          <w:szCs w:val="24"/>
          <w:shd w:val="clear" w:color="auto" w:fill="FFFFFF"/>
        </w:rPr>
      </w:pPr>
      <w:r>
        <w:t xml:space="preserve">ACCA Global. (2025) </w:t>
      </w:r>
      <w:r w:rsidRPr="001718EF">
        <w:t>Investment appraisal</w:t>
      </w:r>
      <w:r>
        <w:t xml:space="preserve">. [Online]. Available at: </w:t>
      </w:r>
      <w:hyperlink r:id="rId27" w:history="1">
        <w:r w:rsidRPr="004245DE">
          <w:rPr>
            <w:rStyle w:val="Hyperlink"/>
          </w:rPr>
          <w:t>https://www.accaglobal.com/in/en/student/exam-support-resources/prodipsust-study-resources/technical-articles/investment-appraisal.html</w:t>
        </w:r>
      </w:hyperlink>
      <w:r>
        <w:t xml:space="preserve"> [Accessed on: 14.11.2025]. </w:t>
      </w:r>
    </w:p>
    <w:p w14:paraId="0794FD77" w14:textId="77777777" w:rsidR="005D5210" w:rsidRPr="00682E89" w:rsidRDefault="005D5210" w:rsidP="008E5AAD">
      <w:pPr>
        <w:rPr>
          <w:rFonts w:cs="Arial"/>
          <w:szCs w:val="24"/>
          <w:shd w:val="clear" w:color="auto" w:fill="FFFFFF"/>
        </w:rPr>
      </w:pPr>
      <w:r>
        <w:rPr>
          <w:rFonts w:cs="Arial"/>
          <w:szCs w:val="24"/>
          <w:shd w:val="clear" w:color="auto" w:fill="FFFFFF"/>
        </w:rPr>
        <w:t xml:space="preserve">ACCA Global. (2025) </w:t>
      </w:r>
      <w:r w:rsidRPr="006A2454">
        <w:rPr>
          <w:rFonts w:cs="Arial"/>
          <w:szCs w:val="24"/>
          <w:shd w:val="clear" w:color="auto" w:fill="FFFFFF"/>
        </w:rPr>
        <w:t>The internal rate of return</w:t>
      </w:r>
      <w:r>
        <w:rPr>
          <w:rFonts w:cs="Arial"/>
          <w:szCs w:val="24"/>
          <w:shd w:val="clear" w:color="auto" w:fill="FFFFFF"/>
        </w:rPr>
        <w:t xml:space="preserve">. [Online]. Available at: </w:t>
      </w:r>
      <w:hyperlink r:id="rId28" w:history="1">
        <w:r w:rsidRPr="008416C7">
          <w:rPr>
            <w:rStyle w:val="Hyperlink"/>
            <w:rFonts w:cs="Arial"/>
            <w:szCs w:val="24"/>
            <w:shd w:val="clear" w:color="auto" w:fill="FFFFFF"/>
          </w:rPr>
          <w:t>https://www.accaglobal.com/in/en/student/exam-support-resources/foundation-level-study-resources/ffm/ffm-technical-articles/the-internal-rate-of-return.html</w:t>
        </w:r>
      </w:hyperlink>
      <w:r>
        <w:rPr>
          <w:rFonts w:cs="Arial"/>
          <w:szCs w:val="24"/>
          <w:shd w:val="clear" w:color="auto" w:fill="FFFFFF"/>
        </w:rPr>
        <w:t xml:space="preserve"> [Accessed on: 14.11.2025]. </w:t>
      </w:r>
    </w:p>
    <w:p w14:paraId="79CC65B7" w14:textId="77777777" w:rsidR="005D5210" w:rsidRDefault="005D5210" w:rsidP="008E5AAD">
      <w:pPr>
        <w:rPr>
          <w:rFonts w:cs="Arial"/>
          <w:szCs w:val="24"/>
          <w:shd w:val="clear" w:color="auto" w:fill="FFFFFF"/>
        </w:rPr>
      </w:pPr>
      <w:r w:rsidRPr="00682E89">
        <w:rPr>
          <w:rFonts w:cs="Arial"/>
          <w:szCs w:val="24"/>
          <w:shd w:val="clear" w:color="auto" w:fill="FFFFFF"/>
        </w:rPr>
        <w:t>Achieng, B.O., Muturi, W. and Wanjare, J. (2018) Effect of equity financing options on financial performance of non-financial firms listed at the Nairobi Securities Exchange, Kenya. </w:t>
      </w:r>
      <w:r w:rsidRPr="00682E89">
        <w:rPr>
          <w:rFonts w:cs="Arial"/>
          <w:i/>
          <w:iCs/>
          <w:szCs w:val="24"/>
          <w:shd w:val="clear" w:color="auto" w:fill="FFFFFF"/>
        </w:rPr>
        <w:t>Applied Economics and Finance</w:t>
      </w:r>
      <w:r w:rsidRPr="00682E89">
        <w:rPr>
          <w:rFonts w:cs="Arial"/>
          <w:szCs w:val="24"/>
          <w:shd w:val="clear" w:color="auto" w:fill="FFFFFF"/>
        </w:rPr>
        <w:t>, </w:t>
      </w:r>
      <w:r w:rsidRPr="00682E89">
        <w:rPr>
          <w:rFonts w:cs="Arial"/>
          <w:i/>
          <w:iCs/>
          <w:szCs w:val="24"/>
          <w:shd w:val="clear" w:color="auto" w:fill="FFFFFF"/>
        </w:rPr>
        <w:t>5</w:t>
      </w:r>
      <w:r w:rsidRPr="00682E89">
        <w:rPr>
          <w:rFonts w:cs="Arial"/>
          <w:szCs w:val="24"/>
          <w:shd w:val="clear" w:color="auto" w:fill="FFFFFF"/>
        </w:rPr>
        <w:t>(4), pp.160-173.</w:t>
      </w:r>
    </w:p>
    <w:p w14:paraId="3167131E" w14:textId="77777777" w:rsidR="005D5210" w:rsidRDefault="005D5210" w:rsidP="008E5AAD">
      <w:pPr>
        <w:rPr>
          <w:rFonts w:cs="Arial"/>
          <w:szCs w:val="24"/>
          <w:shd w:val="clear" w:color="auto" w:fill="FFFFFF"/>
        </w:rPr>
      </w:pPr>
      <w:r w:rsidRPr="00682E89">
        <w:rPr>
          <w:rFonts w:cs="Arial"/>
          <w:szCs w:val="24"/>
          <w:shd w:val="clear" w:color="auto" w:fill="FFFFFF"/>
        </w:rPr>
        <w:t xml:space="preserve">ACTE. (2025) What Is Corporate Restructuring? [Online]. Available at: </w:t>
      </w:r>
      <w:hyperlink r:id="rId29" w:history="1">
        <w:r w:rsidRPr="00682E89">
          <w:rPr>
            <w:rStyle w:val="Hyperlink"/>
            <w:rFonts w:cs="Arial"/>
            <w:color w:val="auto"/>
            <w:szCs w:val="24"/>
            <w:shd w:val="clear" w:color="auto" w:fill="FFFFFF"/>
          </w:rPr>
          <w:t>https://www.acte.in/definition-of-corporate-restructuring-explained</w:t>
        </w:r>
      </w:hyperlink>
      <w:r w:rsidRPr="00682E89">
        <w:rPr>
          <w:rFonts w:cs="Arial"/>
          <w:szCs w:val="24"/>
          <w:shd w:val="clear" w:color="auto" w:fill="FFFFFF"/>
        </w:rPr>
        <w:t xml:space="preserve"> [Accessed on: 13.11.2025]. </w:t>
      </w:r>
    </w:p>
    <w:p w14:paraId="5A5546A1" w14:textId="77777777" w:rsidR="005D5210" w:rsidRPr="00682E89" w:rsidRDefault="005D5210" w:rsidP="008E5AAD">
      <w:pPr>
        <w:rPr>
          <w:rFonts w:cs="Arial"/>
          <w:szCs w:val="24"/>
          <w:shd w:val="clear" w:color="auto" w:fill="FFFFFF"/>
        </w:rPr>
      </w:pPr>
      <w:r>
        <w:t xml:space="preserve">AFP. (2025) </w:t>
      </w:r>
      <w:r w:rsidRPr="007607F5">
        <w:t>Net Present Value vs. Internal Rate of Return</w:t>
      </w:r>
      <w:r>
        <w:t xml:space="preserve">. [Online]. Available at: </w:t>
      </w:r>
      <w:hyperlink r:id="rId30" w:history="1">
        <w:r w:rsidRPr="008416C7">
          <w:rPr>
            <w:rStyle w:val="Hyperlink"/>
          </w:rPr>
          <w:t>https://www.financialprofessionals.org/training-resources/resources/articles/details/net-present-value-vs.-internal-rate-of-return</w:t>
        </w:r>
      </w:hyperlink>
      <w:r>
        <w:t xml:space="preserve"> [Accessed on: 14.11.2025]. </w:t>
      </w:r>
    </w:p>
    <w:p w14:paraId="14837B70" w14:textId="77777777" w:rsidR="005D5210" w:rsidRPr="00682E89" w:rsidRDefault="005D5210" w:rsidP="008E5AAD">
      <w:pPr>
        <w:rPr>
          <w:rFonts w:cs="Arial"/>
          <w:szCs w:val="24"/>
          <w:shd w:val="clear" w:color="auto" w:fill="FFFFFF"/>
        </w:rPr>
      </w:pPr>
      <w:r w:rsidRPr="00682E89">
        <w:rPr>
          <w:rFonts w:cs="Arial"/>
          <w:szCs w:val="24"/>
          <w:shd w:val="clear" w:color="auto" w:fill="FFFFFF"/>
        </w:rPr>
        <w:t>AGUILAR, B., JAIN, A. and NEAVES, K. (2019) Short-Term Funding and Financing Alternatives. </w:t>
      </w:r>
      <w:r w:rsidRPr="00682E89">
        <w:rPr>
          <w:rFonts w:cs="Arial"/>
          <w:i/>
          <w:iCs/>
          <w:szCs w:val="24"/>
          <w:shd w:val="clear" w:color="auto" w:fill="FFFFFF"/>
        </w:rPr>
        <w:t>Debt Markets and Investments</w:t>
      </w:r>
      <w:r w:rsidRPr="00682E89">
        <w:rPr>
          <w:rFonts w:cs="Arial"/>
          <w:szCs w:val="24"/>
          <w:shd w:val="clear" w:color="auto" w:fill="FFFFFF"/>
        </w:rPr>
        <w:t>, p.167.</w:t>
      </w:r>
    </w:p>
    <w:p w14:paraId="13232F36" w14:textId="77777777" w:rsidR="005D5210" w:rsidRPr="00682E89" w:rsidRDefault="005D5210" w:rsidP="008E5AAD">
      <w:pPr>
        <w:rPr>
          <w:rFonts w:cs="Arial"/>
          <w:szCs w:val="24"/>
          <w:shd w:val="clear" w:color="auto" w:fill="FFFFFF"/>
        </w:rPr>
      </w:pPr>
      <w:r w:rsidRPr="00682E89">
        <w:rPr>
          <w:rFonts w:cs="Arial"/>
          <w:szCs w:val="24"/>
          <w:shd w:val="clear" w:color="auto" w:fill="FFFFFF"/>
        </w:rPr>
        <w:t>Akinsola, K. (2025) Legal Frameworks for Corporate Tax Compliance: Navigating Local and Global Regulations. </w:t>
      </w:r>
      <w:r w:rsidRPr="00682E89">
        <w:rPr>
          <w:rFonts w:cs="Arial"/>
          <w:i/>
          <w:iCs/>
          <w:szCs w:val="24"/>
          <w:shd w:val="clear" w:color="auto" w:fill="FFFFFF"/>
        </w:rPr>
        <w:t>Available at SSRN 5127003</w:t>
      </w:r>
      <w:r w:rsidRPr="00682E89">
        <w:rPr>
          <w:rFonts w:cs="Arial"/>
          <w:szCs w:val="24"/>
          <w:shd w:val="clear" w:color="auto" w:fill="FFFFFF"/>
        </w:rPr>
        <w:t>.</w:t>
      </w:r>
    </w:p>
    <w:p w14:paraId="47D6F4F2" w14:textId="77777777" w:rsidR="005D5210" w:rsidRPr="00682E89" w:rsidRDefault="005D5210" w:rsidP="008E5AAD">
      <w:pPr>
        <w:rPr>
          <w:rFonts w:cs="Arial"/>
          <w:szCs w:val="24"/>
          <w:shd w:val="clear" w:color="auto" w:fill="FFFFFF"/>
        </w:rPr>
      </w:pPr>
      <w:r w:rsidRPr="00682E89">
        <w:rPr>
          <w:rFonts w:cs="Arial"/>
          <w:szCs w:val="24"/>
          <w:shd w:val="clear" w:color="auto" w:fill="FFFFFF"/>
        </w:rPr>
        <w:t>Alcalde, R., Alonso de Armiño, C. and García, S. (2022) Analysis of the economic sustainability of the supply chain sector by applying the Altman Z-score predictor. </w:t>
      </w:r>
      <w:r w:rsidRPr="00682E89">
        <w:rPr>
          <w:rFonts w:cs="Arial"/>
          <w:i/>
          <w:iCs/>
          <w:szCs w:val="24"/>
          <w:shd w:val="clear" w:color="auto" w:fill="FFFFFF"/>
        </w:rPr>
        <w:t>Sustainability</w:t>
      </w:r>
      <w:r w:rsidRPr="00682E89">
        <w:rPr>
          <w:rFonts w:cs="Arial"/>
          <w:szCs w:val="24"/>
          <w:shd w:val="clear" w:color="auto" w:fill="FFFFFF"/>
        </w:rPr>
        <w:t>, </w:t>
      </w:r>
      <w:r w:rsidRPr="00682E89">
        <w:rPr>
          <w:rFonts w:cs="Arial"/>
          <w:i/>
          <w:iCs/>
          <w:szCs w:val="24"/>
          <w:shd w:val="clear" w:color="auto" w:fill="FFFFFF"/>
        </w:rPr>
        <w:t>14</w:t>
      </w:r>
      <w:r w:rsidRPr="00682E89">
        <w:rPr>
          <w:rFonts w:cs="Arial"/>
          <w:szCs w:val="24"/>
          <w:shd w:val="clear" w:color="auto" w:fill="FFFFFF"/>
        </w:rPr>
        <w:t>(2), p.851.</w:t>
      </w:r>
    </w:p>
    <w:p w14:paraId="1C7FC8F3" w14:textId="77777777" w:rsidR="005D5210" w:rsidRPr="00682E89" w:rsidRDefault="005D5210" w:rsidP="008E5AAD">
      <w:pPr>
        <w:rPr>
          <w:rFonts w:cs="Arial"/>
          <w:szCs w:val="24"/>
          <w:lang w:val="en-IN"/>
        </w:rPr>
      </w:pPr>
      <w:r w:rsidRPr="00682E89">
        <w:rPr>
          <w:rFonts w:cs="Arial"/>
          <w:szCs w:val="24"/>
          <w:lang w:val="en-IN"/>
        </w:rPr>
        <w:lastRenderedPageBreak/>
        <w:t xml:space="preserve">Allianz. (2024) What is gearing ratio, different types of gearing ratio, and how is it calculated? [Online]. Available at: </w:t>
      </w:r>
      <w:hyperlink r:id="rId31" w:history="1">
        <w:r w:rsidRPr="00682E89">
          <w:rPr>
            <w:rStyle w:val="Hyperlink"/>
            <w:rFonts w:cs="Arial"/>
            <w:color w:val="auto"/>
            <w:szCs w:val="24"/>
            <w:lang w:val="en-IN"/>
          </w:rPr>
          <w:t>https://www.allianz-trade.com/en_global/news-insights/business-tips-and-trade-advice/gearing-ratio-definition-types-calculation-method.html</w:t>
        </w:r>
      </w:hyperlink>
      <w:r w:rsidRPr="00682E89">
        <w:rPr>
          <w:rFonts w:cs="Arial"/>
          <w:szCs w:val="24"/>
          <w:lang w:val="en-IN"/>
        </w:rPr>
        <w:t xml:space="preserve"> [Accessed on: 13.11.2025]. </w:t>
      </w:r>
    </w:p>
    <w:p w14:paraId="6D4CCE5E" w14:textId="77777777" w:rsidR="005D5210" w:rsidRPr="00682E89" w:rsidRDefault="005D5210" w:rsidP="008E5AAD">
      <w:pPr>
        <w:rPr>
          <w:rFonts w:cs="Arial"/>
          <w:szCs w:val="24"/>
          <w:shd w:val="clear" w:color="auto" w:fill="FFFFFF"/>
        </w:rPr>
      </w:pPr>
      <w:r w:rsidRPr="00682E89">
        <w:rPr>
          <w:rFonts w:cs="Arial"/>
          <w:szCs w:val="24"/>
          <w:shd w:val="clear" w:color="auto" w:fill="FFFFFF"/>
        </w:rPr>
        <w:t>Alsoussi, A. and Tahboub, K. (2025) Inventory management practices and challenges: An exploratory study. </w:t>
      </w:r>
      <w:r w:rsidRPr="00682E89">
        <w:rPr>
          <w:rFonts w:cs="Arial"/>
          <w:i/>
          <w:iCs/>
          <w:szCs w:val="24"/>
          <w:shd w:val="clear" w:color="auto" w:fill="FFFFFF"/>
        </w:rPr>
        <w:t>An-Najah University Journal for Research-A (Natural Sciences)</w:t>
      </w:r>
      <w:r w:rsidRPr="00682E89">
        <w:rPr>
          <w:rFonts w:cs="Arial"/>
          <w:szCs w:val="24"/>
          <w:shd w:val="clear" w:color="auto" w:fill="FFFFFF"/>
        </w:rPr>
        <w:t>, </w:t>
      </w:r>
      <w:r w:rsidRPr="00682E89">
        <w:rPr>
          <w:rFonts w:cs="Arial"/>
          <w:i/>
          <w:iCs/>
          <w:szCs w:val="24"/>
          <w:shd w:val="clear" w:color="auto" w:fill="FFFFFF"/>
        </w:rPr>
        <w:t>9999</w:t>
      </w:r>
      <w:r w:rsidRPr="00682E89">
        <w:rPr>
          <w:rFonts w:cs="Arial"/>
          <w:szCs w:val="24"/>
          <w:shd w:val="clear" w:color="auto" w:fill="FFFFFF"/>
        </w:rPr>
        <w:t>(9999), pp.None-None.</w:t>
      </w:r>
    </w:p>
    <w:p w14:paraId="3695DFEA" w14:textId="77777777" w:rsidR="005D5210" w:rsidRPr="00682E89" w:rsidRDefault="005D5210" w:rsidP="008E5AAD">
      <w:pPr>
        <w:rPr>
          <w:rFonts w:cs="Arial"/>
          <w:szCs w:val="24"/>
          <w:shd w:val="clear" w:color="auto" w:fill="FFFFFF"/>
        </w:rPr>
      </w:pPr>
      <w:r w:rsidRPr="00682E89">
        <w:rPr>
          <w:rFonts w:cs="Arial"/>
          <w:szCs w:val="24"/>
          <w:shd w:val="clear" w:color="auto" w:fill="FFFFFF"/>
        </w:rPr>
        <w:t>Attah, R.U., Garba, B.M.P., Gil-Ozoudeh, I. and Iwuanyanwu, O. (2024) Evaluating strategic technology partnerships: Providing conceptual insights into their role in corporate strategy and technological innovation. </w:t>
      </w:r>
      <w:r w:rsidRPr="00682E89">
        <w:rPr>
          <w:rFonts w:cs="Arial"/>
          <w:i/>
          <w:iCs/>
          <w:szCs w:val="24"/>
          <w:shd w:val="clear" w:color="auto" w:fill="FFFFFF"/>
        </w:rPr>
        <w:t>Int J Front Sci Technol Res</w:t>
      </w:r>
      <w:r w:rsidRPr="00682E89">
        <w:rPr>
          <w:rFonts w:cs="Arial"/>
          <w:szCs w:val="24"/>
          <w:shd w:val="clear" w:color="auto" w:fill="FFFFFF"/>
        </w:rPr>
        <w:t>, </w:t>
      </w:r>
      <w:r w:rsidRPr="00682E89">
        <w:rPr>
          <w:rFonts w:cs="Arial"/>
          <w:i/>
          <w:iCs/>
          <w:szCs w:val="24"/>
          <w:shd w:val="clear" w:color="auto" w:fill="FFFFFF"/>
        </w:rPr>
        <w:t>7</w:t>
      </w:r>
      <w:r w:rsidRPr="00682E89">
        <w:rPr>
          <w:rFonts w:cs="Arial"/>
          <w:szCs w:val="24"/>
          <w:shd w:val="clear" w:color="auto" w:fill="FFFFFF"/>
        </w:rPr>
        <w:t>(2), pp.77-89.</w:t>
      </w:r>
    </w:p>
    <w:p w14:paraId="2EBBDFE9" w14:textId="77777777" w:rsidR="005D5210" w:rsidRDefault="005D5210" w:rsidP="008E5AAD">
      <w:pPr>
        <w:rPr>
          <w:rFonts w:cs="Arial"/>
          <w:szCs w:val="24"/>
          <w:shd w:val="clear" w:color="auto" w:fill="FFFFFF"/>
        </w:rPr>
      </w:pPr>
      <w:bookmarkStart w:id="39" w:name="_Hlk213940186"/>
      <w:r w:rsidRPr="00682E89">
        <w:rPr>
          <w:rFonts w:cs="Arial"/>
          <w:szCs w:val="24"/>
          <w:shd w:val="clear" w:color="auto" w:fill="FFFFFF"/>
        </w:rPr>
        <w:t xml:space="preserve">Bahaj, </w:t>
      </w:r>
      <w:bookmarkEnd w:id="39"/>
      <w:r w:rsidRPr="00682E89">
        <w:rPr>
          <w:rFonts w:cs="Arial"/>
          <w:szCs w:val="24"/>
          <w:shd w:val="clear" w:color="auto" w:fill="FFFFFF"/>
        </w:rPr>
        <w:t>S., Czech, R., Ding, S. and Reis, R. (2023) </w:t>
      </w:r>
      <w:r w:rsidRPr="00682E89">
        <w:rPr>
          <w:rFonts w:cs="Arial"/>
          <w:i/>
          <w:iCs/>
          <w:szCs w:val="24"/>
          <w:shd w:val="clear" w:color="auto" w:fill="FFFFFF"/>
        </w:rPr>
        <w:t>The market for inflation risk</w:t>
      </w:r>
      <w:r w:rsidRPr="00682E89">
        <w:rPr>
          <w:rFonts w:cs="Arial"/>
          <w:szCs w:val="24"/>
          <w:shd w:val="clear" w:color="auto" w:fill="FFFFFF"/>
        </w:rPr>
        <w:t> (No. 1028). Bank of England.</w:t>
      </w:r>
    </w:p>
    <w:p w14:paraId="7889C78E" w14:textId="77777777" w:rsidR="005D5210" w:rsidRDefault="005D5210" w:rsidP="008E5AAD">
      <w:pPr>
        <w:rPr>
          <w:rFonts w:cs="Arial"/>
          <w:szCs w:val="24"/>
          <w:shd w:val="clear" w:color="auto" w:fill="FFFFFF"/>
        </w:rPr>
      </w:pPr>
      <w:r>
        <w:t xml:space="preserve">Bajaj Finserv. (2025) Profitability Index. [Online]. Available at: </w:t>
      </w:r>
      <w:hyperlink r:id="rId32" w:history="1">
        <w:r w:rsidRPr="008416C7">
          <w:rPr>
            <w:rStyle w:val="Hyperlink"/>
          </w:rPr>
          <w:t>https://www.bajajfinserv.in/investments/profitability-index</w:t>
        </w:r>
      </w:hyperlink>
      <w:r>
        <w:t xml:space="preserve"> [Accessed on: 14.11.2025]. </w:t>
      </w:r>
    </w:p>
    <w:p w14:paraId="58B99197" w14:textId="77777777" w:rsidR="005D5210" w:rsidRPr="00682E89" w:rsidRDefault="005D5210" w:rsidP="008E5AAD">
      <w:pPr>
        <w:rPr>
          <w:rFonts w:cs="Arial"/>
          <w:szCs w:val="24"/>
          <w:shd w:val="clear" w:color="auto" w:fill="FFFFFF"/>
        </w:rPr>
      </w:pPr>
      <w:bookmarkStart w:id="40" w:name="_Hlk213939292"/>
      <w:r w:rsidRPr="00682E89">
        <w:rPr>
          <w:rFonts w:cs="Arial"/>
          <w:szCs w:val="24"/>
          <w:shd w:val="clear" w:color="auto" w:fill="FFFFFF"/>
        </w:rPr>
        <w:t xml:space="preserve">Bavoso, </w:t>
      </w:r>
      <w:bookmarkEnd w:id="40"/>
      <w:r w:rsidRPr="00682E89">
        <w:rPr>
          <w:rFonts w:cs="Arial"/>
          <w:szCs w:val="24"/>
          <w:shd w:val="clear" w:color="auto" w:fill="FFFFFF"/>
        </w:rPr>
        <w:t>V. (2020) Hail the new private debt machine: Private equity, leveraged loans, and collateralised loan obligations. </w:t>
      </w:r>
      <w:r w:rsidRPr="00682E89">
        <w:rPr>
          <w:rFonts w:cs="Arial"/>
          <w:i/>
          <w:iCs/>
          <w:szCs w:val="24"/>
          <w:shd w:val="clear" w:color="auto" w:fill="FFFFFF"/>
        </w:rPr>
        <w:t>Law and Financial Markets Review</w:t>
      </w:r>
      <w:r w:rsidRPr="00682E89">
        <w:rPr>
          <w:rFonts w:cs="Arial"/>
          <w:szCs w:val="24"/>
          <w:shd w:val="clear" w:color="auto" w:fill="FFFFFF"/>
        </w:rPr>
        <w:t>, </w:t>
      </w:r>
      <w:r w:rsidRPr="00682E89">
        <w:rPr>
          <w:rFonts w:cs="Arial"/>
          <w:i/>
          <w:iCs/>
          <w:szCs w:val="24"/>
          <w:shd w:val="clear" w:color="auto" w:fill="FFFFFF"/>
        </w:rPr>
        <w:t>14</w:t>
      </w:r>
      <w:r w:rsidRPr="00682E89">
        <w:rPr>
          <w:rFonts w:cs="Arial"/>
          <w:szCs w:val="24"/>
          <w:shd w:val="clear" w:color="auto" w:fill="FFFFFF"/>
        </w:rPr>
        <w:t>(3), pp.141-150.</w:t>
      </w:r>
    </w:p>
    <w:p w14:paraId="62132332" w14:textId="77777777" w:rsidR="005D5210" w:rsidRPr="00682E89" w:rsidRDefault="005D5210" w:rsidP="008E5AAD">
      <w:pPr>
        <w:rPr>
          <w:rFonts w:cs="Arial"/>
          <w:szCs w:val="24"/>
          <w:lang w:val="en-IN"/>
        </w:rPr>
      </w:pPr>
      <w:r w:rsidRPr="00682E89">
        <w:rPr>
          <w:rFonts w:cs="Arial"/>
          <w:szCs w:val="24"/>
          <w:lang w:val="en-IN"/>
        </w:rPr>
        <w:t xml:space="preserve">BBC. (2025) Ratios. [Online]. Liquidity Ratios. [Online]. Available at: </w:t>
      </w:r>
      <w:hyperlink r:id="rId33" w:history="1">
        <w:r w:rsidRPr="00682E89">
          <w:rPr>
            <w:rStyle w:val="Hyperlink"/>
            <w:rFonts w:cs="Arial"/>
            <w:color w:val="auto"/>
            <w:szCs w:val="24"/>
            <w:lang w:val="en-IN"/>
          </w:rPr>
          <w:t>https://www.bbc.co.uk/bitesize/guides/zrxn47h/revision/3</w:t>
        </w:r>
      </w:hyperlink>
      <w:r w:rsidRPr="00682E89">
        <w:rPr>
          <w:rFonts w:cs="Arial"/>
          <w:szCs w:val="24"/>
          <w:lang w:val="en-IN"/>
        </w:rPr>
        <w:t xml:space="preserve"> [Accessed on: 13.11.2025]. </w:t>
      </w:r>
    </w:p>
    <w:p w14:paraId="133A3119" w14:textId="77777777" w:rsidR="005D5210" w:rsidRPr="00682E89" w:rsidRDefault="005D5210" w:rsidP="008E5AAD">
      <w:pPr>
        <w:rPr>
          <w:rFonts w:cs="Arial"/>
          <w:szCs w:val="24"/>
          <w:shd w:val="clear" w:color="auto" w:fill="FFFFFF"/>
        </w:rPr>
      </w:pPr>
      <w:r w:rsidRPr="00682E89">
        <w:rPr>
          <w:rFonts w:cs="Arial"/>
          <w:szCs w:val="24"/>
          <w:shd w:val="clear" w:color="auto" w:fill="FFFFFF"/>
        </w:rPr>
        <w:t>Beyer, H.M. and Herzog, B. (2021) Supply chain finance: cost–benefit differentials under reverse factoring with extended payment terms. </w:t>
      </w:r>
      <w:r w:rsidRPr="00682E89">
        <w:rPr>
          <w:rFonts w:cs="Arial"/>
          <w:i/>
          <w:iCs/>
          <w:szCs w:val="24"/>
          <w:shd w:val="clear" w:color="auto" w:fill="FFFFFF"/>
        </w:rPr>
        <w:t>International journal of financial studies</w:t>
      </w:r>
      <w:r w:rsidRPr="00682E89">
        <w:rPr>
          <w:rFonts w:cs="Arial"/>
          <w:szCs w:val="24"/>
          <w:shd w:val="clear" w:color="auto" w:fill="FFFFFF"/>
        </w:rPr>
        <w:t>, </w:t>
      </w:r>
      <w:r w:rsidRPr="00682E89">
        <w:rPr>
          <w:rFonts w:cs="Arial"/>
          <w:i/>
          <w:iCs/>
          <w:szCs w:val="24"/>
          <w:shd w:val="clear" w:color="auto" w:fill="FFFFFF"/>
        </w:rPr>
        <w:t>9</w:t>
      </w:r>
      <w:r w:rsidRPr="00682E89">
        <w:rPr>
          <w:rFonts w:cs="Arial"/>
          <w:szCs w:val="24"/>
          <w:shd w:val="clear" w:color="auto" w:fill="FFFFFF"/>
        </w:rPr>
        <w:t>(4), p.59.</w:t>
      </w:r>
    </w:p>
    <w:p w14:paraId="3A7A5031" w14:textId="77777777" w:rsidR="005D5210" w:rsidRPr="00682E89" w:rsidRDefault="005D5210" w:rsidP="008E5AAD">
      <w:pPr>
        <w:rPr>
          <w:rFonts w:cs="Arial"/>
          <w:szCs w:val="24"/>
          <w:lang w:val="en-IN"/>
        </w:rPr>
      </w:pPr>
      <w:r w:rsidRPr="00682E89">
        <w:rPr>
          <w:rFonts w:cs="Arial"/>
          <w:szCs w:val="24"/>
          <w:lang w:val="en-IN"/>
        </w:rPr>
        <w:t xml:space="preserve">Bichachi, R. (2022) Top Efficiency Ratios: Operational, Asset, Inventory and More. [Online]. Available at: </w:t>
      </w:r>
      <w:hyperlink r:id="rId34" w:anchor=":~:text=Track%20cost%20of%20goods%20sold,supplies%20a%20company%20uses%20internally" w:history="1">
        <w:r w:rsidRPr="00682E89">
          <w:rPr>
            <w:rStyle w:val="Hyperlink"/>
            <w:rFonts w:cs="Arial"/>
            <w:color w:val="auto"/>
            <w:szCs w:val="24"/>
            <w:lang w:val="en-IN"/>
          </w:rPr>
          <w:t>https://www.netsuite.com/portal/resource/articles/accounting/efficiency-ratios.shtml#:~:text=Track%20cost%20of%20goods%20sold,supplies%20a%20company%20uses%20internally</w:t>
        </w:r>
      </w:hyperlink>
      <w:r w:rsidRPr="00682E89">
        <w:rPr>
          <w:rFonts w:cs="Arial"/>
          <w:szCs w:val="24"/>
          <w:lang w:val="en-IN"/>
        </w:rPr>
        <w:t xml:space="preserve">. [Accessed on: 13.11.2025]. </w:t>
      </w:r>
    </w:p>
    <w:p w14:paraId="016345EA" w14:textId="77777777" w:rsidR="005D5210" w:rsidRPr="00682E89" w:rsidRDefault="005D5210" w:rsidP="008E5AAD">
      <w:pPr>
        <w:rPr>
          <w:rFonts w:cs="Arial"/>
          <w:szCs w:val="24"/>
          <w:shd w:val="clear" w:color="auto" w:fill="FFFFFF"/>
        </w:rPr>
      </w:pPr>
      <w:r w:rsidRPr="00682E89">
        <w:rPr>
          <w:rFonts w:cs="Arial"/>
          <w:szCs w:val="24"/>
          <w:shd w:val="clear" w:color="auto" w:fill="FFFFFF"/>
        </w:rPr>
        <w:lastRenderedPageBreak/>
        <w:t xml:space="preserve">CFI. (2025) Altman’s Z-Score Model. [Online]. Available at: </w:t>
      </w:r>
      <w:hyperlink r:id="rId35" w:history="1">
        <w:r w:rsidRPr="00682E89">
          <w:rPr>
            <w:rStyle w:val="Hyperlink"/>
            <w:rFonts w:cs="Arial"/>
            <w:color w:val="auto"/>
            <w:szCs w:val="24"/>
            <w:shd w:val="clear" w:color="auto" w:fill="FFFFFF"/>
          </w:rPr>
          <w:t>https://corporatefinanceinstitute.com/resources/commercial-lending/altmans-z-score-model/</w:t>
        </w:r>
      </w:hyperlink>
      <w:r w:rsidRPr="00682E89">
        <w:rPr>
          <w:rFonts w:cs="Arial"/>
          <w:szCs w:val="24"/>
          <w:shd w:val="clear" w:color="auto" w:fill="FFFFFF"/>
        </w:rPr>
        <w:t xml:space="preserve"> [Accessed on: 13.11.2025]. </w:t>
      </w:r>
    </w:p>
    <w:p w14:paraId="587DDAE1" w14:textId="77777777" w:rsidR="005D5210" w:rsidRPr="00682E89" w:rsidRDefault="005D5210" w:rsidP="008E5AAD">
      <w:pPr>
        <w:rPr>
          <w:rFonts w:cs="Arial"/>
          <w:szCs w:val="24"/>
          <w:shd w:val="clear" w:color="auto" w:fill="FFFFFF"/>
        </w:rPr>
      </w:pPr>
      <w:r w:rsidRPr="00682E89">
        <w:rPr>
          <w:rFonts w:cs="Arial"/>
          <w:szCs w:val="24"/>
          <w:shd w:val="clear" w:color="auto" w:fill="FFFFFF"/>
        </w:rPr>
        <w:t xml:space="preserve">CFI. (2025) Cash Conversion Cycle. [Online]. Available at: </w:t>
      </w:r>
      <w:hyperlink r:id="rId36" w:history="1">
        <w:r w:rsidRPr="00682E89">
          <w:rPr>
            <w:rStyle w:val="Hyperlink"/>
            <w:rFonts w:cs="Arial"/>
            <w:color w:val="auto"/>
            <w:szCs w:val="24"/>
            <w:shd w:val="clear" w:color="auto" w:fill="FFFFFF"/>
          </w:rPr>
          <w:t>https://corporatefinanceinstitute.com/resources/accounting/cash-conversion-cycle/</w:t>
        </w:r>
      </w:hyperlink>
      <w:r w:rsidRPr="00682E89">
        <w:rPr>
          <w:rFonts w:cs="Arial"/>
          <w:szCs w:val="24"/>
          <w:shd w:val="clear" w:color="auto" w:fill="FFFFFF"/>
        </w:rPr>
        <w:t xml:space="preserve"> [Accessed on: 13.11.2025]. </w:t>
      </w:r>
    </w:p>
    <w:p w14:paraId="6F42BE68" w14:textId="77777777" w:rsidR="005D5210" w:rsidRDefault="005D5210" w:rsidP="008E5AAD">
      <w:pPr>
        <w:rPr>
          <w:rFonts w:cs="Arial"/>
          <w:szCs w:val="24"/>
          <w:shd w:val="clear" w:color="auto" w:fill="FFFFFF"/>
        </w:rPr>
      </w:pPr>
      <w:r>
        <w:rPr>
          <w:rFonts w:cs="Arial"/>
          <w:szCs w:val="24"/>
          <w:shd w:val="clear" w:color="auto" w:fill="FFFFFF"/>
        </w:rPr>
        <w:t xml:space="preserve">CFI. (2025) </w:t>
      </w:r>
      <w:r w:rsidRPr="004F109E">
        <w:rPr>
          <w:rFonts w:cs="Arial"/>
          <w:szCs w:val="24"/>
          <w:shd w:val="clear" w:color="auto" w:fill="FFFFFF"/>
        </w:rPr>
        <w:t>Payback Period</w:t>
      </w:r>
      <w:r>
        <w:rPr>
          <w:rFonts w:cs="Arial"/>
          <w:szCs w:val="24"/>
          <w:shd w:val="clear" w:color="auto" w:fill="FFFFFF"/>
        </w:rPr>
        <w:t xml:space="preserve">. [Online]. Available at: </w:t>
      </w:r>
      <w:hyperlink r:id="rId37" w:history="1">
        <w:r w:rsidRPr="008416C7">
          <w:rPr>
            <w:rStyle w:val="Hyperlink"/>
            <w:rFonts w:cs="Arial"/>
            <w:szCs w:val="24"/>
            <w:shd w:val="clear" w:color="auto" w:fill="FFFFFF"/>
          </w:rPr>
          <w:t>https://corporatefinanceinstitute.com/resources/financial-modeling/payback-period/</w:t>
        </w:r>
      </w:hyperlink>
      <w:r>
        <w:rPr>
          <w:rFonts w:cs="Arial"/>
          <w:szCs w:val="24"/>
          <w:shd w:val="clear" w:color="auto" w:fill="FFFFFF"/>
        </w:rPr>
        <w:t xml:space="preserve"> [Accessed on: 14.11.2025]. </w:t>
      </w:r>
    </w:p>
    <w:p w14:paraId="6E8F8AD3" w14:textId="77777777" w:rsidR="005D5210" w:rsidRPr="00682E89" w:rsidRDefault="005D5210" w:rsidP="008E5AAD">
      <w:pPr>
        <w:rPr>
          <w:rFonts w:cs="Arial"/>
          <w:szCs w:val="24"/>
          <w:shd w:val="clear" w:color="auto" w:fill="FFFFFF"/>
        </w:rPr>
      </w:pPr>
      <w:r w:rsidRPr="00682E89">
        <w:rPr>
          <w:rFonts w:cs="Arial"/>
          <w:szCs w:val="24"/>
          <w:shd w:val="clear" w:color="auto" w:fill="FFFFFF"/>
        </w:rPr>
        <w:t>Chen, S. and Feldman, E.R. (2018) Activist</w:t>
      </w:r>
      <w:r w:rsidRPr="00682E89">
        <w:rPr>
          <w:rFonts w:ascii="Cambria Math" w:hAnsi="Cambria Math" w:cs="Cambria Math"/>
          <w:szCs w:val="24"/>
          <w:shd w:val="clear" w:color="auto" w:fill="FFFFFF"/>
        </w:rPr>
        <w:t>‐</w:t>
      </w:r>
      <w:r w:rsidRPr="00682E89">
        <w:rPr>
          <w:rFonts w:cs="Arial"/>
          <w:szCs w:val="24"/>
          <w:shd w:val="clear" w:color="auto" w:fill="FFFFFF"/>
        </w:rPr>
        <w:t>impelled divestitures and shareholder value. </w:t>
      </w:r>
      <w:r w:rsidRPr="00682E89">
        <w:rPr>
          <w:rFonts w:cs="Arial"/>
          <w:i/>
          <w:iCs/>
          <w:szCs w:val="24"/>
          <w:shd w:val="clear" w:color="auto" w:fill="FFFFFF"/>
        </w:rPr>
        <w:t>Strategic Management Journal</w:t>
      </w:r>
      <w:r w:rsidRPr="00682E89">
        <w:rPr>
          <w:rFonts w:cs="Arial"/>
          <w:szCs w:val="24"/>
          <w:shd w:val="clear" w:color="auto" w:fill="FFFFFF"/>
        </w:rPr>
        <w:t>, </w:t>
      </w:r>
      <w:r w:rsidRPr="00682E89">
        <w:rPr>
          <w:rFonts w:cs="Arial"/>
          <w:i/>
          <w:iCs/>
          <w:szCs w:val="24"/>
          <w:shd w:val="clear" w:color="auto" w:fill="FFFFFF"/>
        </w:rPr>
        <w:t>39</w:t>
      </w:r>
      <w:r w:rsidRPr="00682E89">
        <w:rPr>
          <w:rFonts w:cs="Arial"/>
          <w:szCs w:val="24"/>
          <w:shd w:val="clear" w:color="auto" w:fill="FFFFFF"/>
        </w:rPr>
        <w:t>(10), pp.2726-2744.</w:t>
      </w:r>
    </w:p>
    <w:p w14:paraId="13CDA1FD" w14:textId="77777777" w:rsidR="005D5210" w:rsidRPr="00682E89" w:rsidRDefault="005D5210" w:rsidP="008E5AAD">
      <w:pPr>
        <w:rPr>
          <w:rFonts w:cs="Arial"/>
          <w:szCs w:val="24"/>
          <w:shd w:val="clear" w:color="auto" w:fill="FFFFFF"/>
        </w:rPr>
      </w:pPr>
      <w:bookmarkStart w:id="41" w:name="_Hlk213939331"/>
      <w:r w:rsidRPr="00682E89">
        <w:rPr>
          <w:rFonts w:cs="Arial"/>
          <w:szCs w:val="24"/>
          <w:shd w:val="clear" w:color="auto" w:fill="FFFFFF"/>
        </w:rPr>
        <w:t xml:space="preserve">Francisca, </w:t>
      </w:r>
      <w:bookmarkEnd w:id="41"/>
      <w:r w:rsidRPr="00682E89">
        <w:rPr>
          <w:rFonts w:cs="Arial"/>
          <w:szCs w:val="24"/>
          <w:shd w:val="clear" w:color="auto" w:fill="FFFFFF"/>
        </w:rPr>
        <w:t>A.Y. (2025) Optimizing debt capital markets through quantitative risk models: enhancing financial stability and SME growth in the US. </w:t>
      </w:r>
      <w:r w:rsidRPr="00682E89">
        <w:rPr>
          <w:rFonts w:cs="Arial"/>
          <w:i/>
          <w:iCs/>
          <w:szCs w:val="24"/>
          <w:shd w:val="clear" w:color="auto" w:fill="FFFFFF"/>
        </w:rPr>
        <w:t>International Journal of Research Publication and Reviews</w:t>
      </w:r>
      <w:r w:rsidRPr="00682E89">
        <w:rPr>
          <w:rFonts w:cs="Arial"/>
          <w:szCs w:val="24"/>
          <w:shd w:val="clear" w:color="auto" w:fill="FFFFFF"/>
        </w:rPr>
        <w:t>, </w:t>
      </w:r>
      <w:r w:rsidRPr="00682E89">
        <w:rPr>
          <w:rFonts w:cs="Arial"/>
          <w:i/>
          <w:iCs/>
          <w:szCs w:val="24"/>
          <w:shd w:val="clear" w:color="auto" w:fill="FFFFFF"/>
        </w:rPr>
        <w:t>6</w:t>
      </w:r>
      <w:r w:rsidRPr="00682E89">
        <w:rPr>
          <w:rFonts w:cs="Arial"/>
          <w:szCs w:val="24"/>
          <w:shd w:val="clear" w:color="auto" w:fill="FFFFFF"/>
        </w:rPr>
        <w:t>(4), pp.4858-74.</w:t>
      </w:r>
    </w:p>
    <w:p w14:paraId="52CC1896" w14:textId="77777777" w:rsidR="005D5210" w:rsidRPr="00682E89" w:rsidRDefault="005D5210" w:rsidP="008E5AAD">
      <w:pPr>
        <w:rPr>
          <w:rFonts w:cs="Arial"/>
          <w:szCs w:val="24"/>
          <w:shd w:val="clear" w:color="auto" w:fill="FFFFFF"/>
        </w:rPr>
      </w:pPr>
      <w:r w:rsidRPr="00682E89">
        <w:rPr>
          <w:rFonts w:cs="Arial"/>
          <w:szCs w:val="24"/>
          <w:shd w:val="clear" w:color="auto" w:fill="FFFFFF"/>
        </w:rPr>
        <w:t>Gill, A., Amiraslany, A., Obradovich, J. and Mathur, N. (2019) Efficient working capital management, bond quality rating, and debt refinancing risk. </w:t>
      </w:r>
      <w:r w:rsidRPr="00682E89">
        <w:rPr>
          <w:rFonts w:cs="Arial"/>
          <w:i/>
          <w:iCs/>
          <w:szCs w:val="24"/>
          <w:shd w:val="clear" w:color="auto" w:fill="FFFFFF"/>
        </w:rPr>
        <w:t>Managerial Finance</w:t>
      </w:r>
      <w:r w:rsidRPr="00682E89">
        <w:rPr>
          <w:rFonts w:cs="Arial"/>
          <w:szCs w:val="24"/>
          <w:shd w:val="clear" w:color="auto" w:fill="FFFFFF"/>
        </w:rPr>
        <w:t>, </w:t>
      </w:r>
      <w:r w:rsidRPr="00682E89">
        <w:rPr>
          <w:rFonts w:cs="Arial"/>
          <w:i/>
          <w:iCs/>
          <w:szCs w:val="24"/>
          <w:shd w:val="clear" w:color="auto" w:fill="FFFFFF"/>
        </w:rPr>
        <w:t>45</w:t>
      </w:r>
      <w:r w:rsidRPr="00682E89">
        <w:rPr>
          <w:rFonts w:cs="Arial"/>
          <w:szCs w:val="24"/>
          <w:shd w:val="clear" w:color="auto" w:fill="FFFFFF"/>
        </w:rPr>
        <w:t>(7), pp.869-885.</w:t>
      </w:r>
    </w:p>
    <w:p w14:paraId="7AD81CBD" w14:textId="77777777" w:rsidR="005D5210" w:rsidRPr="00682E89" w:rsidRDefault="005D5210" w:rsidP="008E5AAD">
      <w:pPr>
        <w:rPr>
          <w:rFonts w:cs="Arial"/>
          <w:szCs w:val="24"/>
          <w:shd w:val="clear" w:color="auto" w:fill="FFFFFF"/>
        </w:rPr>
      </w:pPr>
      <w:r w:rsidRPr="00682E89">
        <w:rPr>
          <w:rFonts w:cs="Arial"/>
          <w:szCs w:val="24"/>
          <w:shd w:val="clear" w:color="auto" w:fill="FFFFFF"/>
        </w:rPr>
        <w:t>Hoang, H.C., Xiao, Q. and Akbar, S. (2019) Trade credit, firm profitability, and financial constraints: Evidence from listed SMEs in East Asia and the Pacific. </w:t>
      </w:r>
      <w:r w:rsidRPr="00682E89">
        <w:rPr>
          <w:rFonts w:cs="Arial"/>
          <w:i/>
          <w:iCs/>
          <w:szCs w:val="24"/>
          <w:shd w:val="clear" w:color="auto" w:fill="FFFFFF"/>
        </w:rPr>
        <w:t>International journal of managerial finance</w:t>
      </w:r>
      <w:r w:rsidRPr="00682E89">
        <w:rPr>
          <w:rFonts w:cs="Arial"/>
          <w:szCs w:val="24"/>
          <w:shd w:val="clear" w:color="auto" w:fill="FFFFFF"/>
        </w:rPr>
        <w:t>, </w:t>
      </w:r>
      <w:r w:rsidRPr="00682E89">
        <w:rPr>
          <w:rFonts w:cs="Arial"/>
          <w:i/>
          <w:iCs/>
          <w:szCs w:val="24"/>
          <w:shd w:val="clear" w:color="auto" w:fill="FFFFFF"/>
        </w:rPr>
        <w:t>15</w:t>
      </w:r>
      <w:r w:rsidRPr="00682E89">
        <w:rPr>
          <w:rFonts w:cs="Arial"/>
          <w:szCs w:val="24"/>
          <w:shd w:val="clear" w:color="auto" w:fill="FFFFFF"/>
        </w:rPr>
        <w:t>(5), pp.744-770.</w:t>
      </w:r>
    </w:p>
    <w:p w14:paraId="4FD36E3A" w14:textId="77777777" w:rsidR="005D5210" w:rsidRPr="00682E89" w:rsidRDefault="005D5210" w:rsidP="008E5AAD">
      <w:pPr>
        <w:rPr>
          <w:rFonts w:cs="Arial"/>
          <w:szCs w:val="24"/>
          <w:shd w:val="clear" w:color="auto" w:fill="FFFFFF"/>
        </w:rPr>
      </w:pPr>
      <w:r w:rsidRPr="00682E89">
        <w:rPr>
          <w:rFonts w:cs="Arial"/>
          <w:szCs w:val="24"/>
          <w:shd w:val="clear" w:color="auto" w:fill="FFFFFF"/>
        </w:rPr>
        <w:t>Hodula, M. and Melecký, A. (2020) Debt management when monetary and fiscal policies clash: some empirical evidence. </w:t>
      </w:r>
      <w:r w:rsidRPr="00682E89">
        <w:rPr>
          <w:rFonts w:cs="Arial"/>
          <w:i/>
          <w:iCs/>
          <w:szCs w:val="24"/>
          <w:shd w:val="clear" w:color="auto" w:fill="FFFFFF"/>
        </w:rPr>
        <w:t>Journal of applied economics</w:t>
      </w:r>
      <w:r w:rsidRPr="00682E89">
        <w:rPr>
          <w:rFonts w:cs="Arial"/>
          <w:szCs w:val="24"/>
          <w:shd w:val="clear" w:color="auto" w:fill="FFFFFF"/>
        </w:rPr>
        <w:t>, </w:t>
      </w:r>
      <w:r w:rsidRPr="00682E89">
        <w:rPr>
          <w:rFonts w:cs="Arial"/>
          <w:i/>
          <w:iCs/>
          <w:szCs w:val="24"/>
          <w:shd w:val="clear" w:color="auto" w:fill="FFFFFF"/>
        </w:rPr>
        <w:t>23</w:t>
      </w:r>
      <w:r w:rsidRPr="00682E89">
        <w:rPr>
          <w:rFonts w:cs="Arial"/>
          <w:szCs w:val="24"/>
          <w:shd w:val="clear" w:color="auto" w:fill="FFFFFF"/>
        </w:rPr>
        <w:t>(1), pp.253-280.</w:t>
      </w:r>
    </w:p>
    <w:p w14:paraId="7D3892BD" w14:textId="77777777" w:rsidR="005D5210" w:rsidRPr="00682E89" w:rsidRDefault="005D5210" w:rsidP="008E5AAD">
      <w:pPr>
        <w:rPr>
          <w:rFonts w:cs="Arial"/>
          <w:szCs w:val="24"/>
          <w:shd w:val="clear" w:color="auto" w:fill="FFFFFF"/>
        </w:rPr>
      </w:pPr>
      <w:r w:rsidRPr="00682E89">
        <w:rPr>
          <w:rFonts w:cs="Arial"/>
          <w:szCs w:val="24"/>
          <w:shd w:val="clear" w:color="auto" w:fill="FFFFFF"/>
        </w:rPr>
        <w:t>Ismail, R. (2017) Working capital–An effective business management tool. </w:t>
      </w:r>
      <w:r w:rsidRPr="00682E89">
        <w:rPr>
          <w:rFonts w:cs="Arial"/>
          <w:i/>
          <w:iCs/>
          <w:szCs w:val="24"/>
          <w:shd w:val="clear" w:color="auto" w:fill="FFFFFF"/>
        </w:rPr>
        <w:t>International Journal of Humanities and Social science invention</w:t>
      </w:r>
      <w:r w:rsidRPr="00682E89">
        <w:rPr>
          <w:rFonts w:cs="Arial"/>
          <w:szCs w:val="24"/>
          <w:shd w:val="clear" w:color="auto" w:fill="FFFFFF"/>
        </w:rPr>
        <w:t>, </w:t>
      </w:r>
      <w:r w:rsidRPr="00682E89">
        <w:rPr>
          <w:rFonts w:cs="Arial"/>
          <w:i/>
          <w:iCs/>
          <w:szCs w:val="24"/>
          <w:shd w:val="clear" w:color="auto" w:fill="FFFFFF"/>
        </w:rPr>
        <w:t>6</w:t>
      </w:r>
      <w:r w:rsidRPr="00682E89">
        <w:rPr>
          <w:rFonts w:cs="Arial"/>
          <w:szCs w:val="24"/>
          <w:shd w:val="clear" w:color="auto" w:fill="FFFFFF"/>
        </w:rPr>
        <w:t>(3), pp.12-23.</w:t>
      </w:r>
    </w:p>
    <w:p w14:paraId="7E625D89" w14:textId="77777777" w:rsidR="005D5210" w:rsidRPr="00682E89" w:rsidRDefault="005D5210" w:rsidP="008E5AAD">
      <w:pPr>
        <w:rPr>
          <w:rFonts w:cs="Arial"/>
          <w:szCs w:val="24"/>
          <w:lang w:val="en-IN"/>
        </w:rPr>
      </w:pPr>
      <w:r w:rsidRPr="00682E89">
        <w:rPr>
          <w:rFonts w:cs="Arial"/>
          <w:szCs w:val="24"/>
          <w:shd w:val="clear" w:color="auto" w:fill="FFFFFF"/>
        </w:rPr>
        <w:t>Lalithchandra, B.N. and Rajendhiran, N. (2021) Liquidity ratio: an important financial metrics. </w:t>
      </w:r>
      <w:r w:rsidRPr="00682E89">
        <w:rPr>
          <w:rFonts w:cs="Arial"/>
          <w:i/>
          <w:iCs/>
          <w:szCs w:val="24"/>
          <w:shd w:val="clear" w:color="auto" w:fill="FFFFFF"/>
        </w:rPr>
        <w:t>Turkish Journal of Computer and Mathematics Education (TURCOMAT)</w:t>
      </w:r>
      <w:r w:rsidRPr="00682E89">
        <w:rPr>
          <w:rFonts w:cs="Arial"/>
          <w:szCs w:val="24"/>
          <w:shd w:val="clear" w:color="auto" w:fill="FFFFFF"/>
        </w:rPr>
        <w:t>, </w:t>
      </w:r>
      <w:r w:rsidRPr="00682E89">
        <w:rPr>
          <w:rFonts w:cs="Arial"/>
          <w:i/>
          <w:iCs/>
          <w:szCs w:val="24"/>
          <w:shd w:val="clear" w:color="auto" w:fill="FFFFFF"/>
        </w:rPr>
        <w:t>12</w:t>
      </w:r>
      <w:r w:rsidRPr="00682E89">
        <w:rPr>
          <w:rFonts w:cs="Arial"/>
          <w:szCs w:val="24"/>
          <w:shd w:val="clear" w:color="auto" w:fill="FFFFFF"/>
        </w:rPr>
        <w:t>(2), pp.1113-1114.</w:t>
      </w:r>
    </w:p>
    <w:p w14:paraId="1EAB3ACC" w14:textId="77777777" w:rsidR="005D5210" w:rsidRPr="00682E89" w:rsidRDefault="005D5210" w:rsidP="008E5AAD">
      <w:pPr>
        <w:rPr>
          <w:rFonts w:cs="Arial"/>
          <w:szCs w:val="24"/>
          <w:shd w:val="clear" w:color="auto" w:fill="FFFFFF"/>
        </w:rPr>
      </w:pPr>
      <w:r w:rsidRPr="00682E89">
        <w:rPr>
          <w:rFonts w:cs="Arial"/>
          <w:szCs w:val="24"/>
          <w:shd w:val="clear" w:color="auto" w:fill="FFFFFF"/>
        </w:rPr>
        <w:lastRenderedPageBreak/>
        <w:t xml:space="preserve">Malapur, S.K.S. (2024) Corporate Social Responsibility Integration In Corporate Restructuring: A Pathway To Sustainable Growth. </w:t>
      </w:r>
      <w:r w:rsidRPr="00682E89">
        <w:rPr>
          <w:rFonts w:cs="Arial"/>
          <w:i/>
          <w:iCs/>
          <w:szCs w:val="24"/>
          <w:shd w:val="clear" w:color="auto" w:fill="FFFFFF"/>
        </w:rPr>
        <w:t>IOSR Journal of Business and Management, 26</w:t>
      </w:r>
      <w:r w:rsidRPr="00682E89">
        <w:rPr>
          <w:rFonts w:cs="Arial"/>
          <w:szCs w:val="24"/>
          <w:shd w:val="clear" w:color="auto" w:fill="FFFFFF"/>
        </w:rPr>
        <w:t xml:space="preserve">(03), pp. 33-42. </w:t>
      </w:r>
    </w:p>
    <w:p w14:paraId="29FB587C" w14:textId="77777777" w:rsidR="005D5210" w:rsidRPr="00682E89" w:rsidRDefault="005D5210" w:rsidP="008E5AAD">
      <w:pPr>
        <w:rPr>
          <w:rFonts w:cs="Arial"/>
          <w:szCs w:val="24"/>
          <w:shd w:val="clear" w:color="auto" w:fill="FFFFFF"/>
        </w:rPr>
      </w:pPr>
      <w:bookmarkStart w:id="42" w:name="_Hlk213939236"/>
      <w:r w:rsidRPr="00682E89">
        <w:rPr>
          <w:rFonts w:cs="Arial"/>
          <w:szCs w:val="24"/>
          <w:shd w:val="clear" w:color="auto" w:fill="FFFFFF"/>
        </w:rPr>
        <w:t xml:space="preserve">Mavlutova, </w:t>
      </w:r>
      <w:bookmarkEnd w:id="42"/>
      <w:r w:rsidRPr="00682E89">
        <w:rPr>
          <w:rFonts w:cs="Arial"/>
          <w:szCs w:val="24"/>
          <w:shd w:val="clear" w:color="auto" w:fill="FFFFFF"/>
        </w:rPr>
        <w:t>I., Babenko, V., Dykan, V., Prokopenko, N., Kalinichenko, S. and Tokmakova, I. (2021) Business restructuring as a method of strengtening company’s financial position. </w:t>
      </w:r>
      <w:r w:rsidRPr="00682E89">
        <w:rPr>
          <w:rFonts w:cs="Arial"/>
          <w:i/>
          <w:iCs/>
          <w:szCs w:val="24"/>
          <w:shd w:val="clear" w:color="auto" w:fill="FFFFFF"/>
        </w:rPr>
        <w:t>Journal of Optimization in Industrial Engineering</w:t>
      </w:r>
      <w:r w:rsidRPr="00682E89">
        <w:rPr>
          <w:rFonts w:cs="Arial"/>
          <w:szCs w:val="24"/>
          <w:shd w:val="clear" w:color="auto" w:fill="FFFFFF"/>
        </w:rPr>
        <w:t>, </w:t>
      </w:r>
      <w:r w:rsidRPr="00682E89">
        <w:rPr>
          <w:rFonts w:cs="Arial"/>
          <w:i/>
          <w:iCs/>
          <w:szCs w:val="24"/>
          <w:shd w:val="clear" w:color="auto" w:fill="FFFFFF"/>
        </w:rPr>
        <w:t>14</w:t>
      </w:r>
      <w:r w:rsidRPr="00682E89">
        <w:rPr>
          <w:rFonts w:cs="Arial"/>
          <w:szCs w:val="24"/>
          <w:shd w:val="clear" w:color="auto" w:fill="FFFFFF"/>
        </w:rPr>
        <w:t>(1), pp.129-139.</w:t>
      </w:r>
    </w:p>
    <w:p w14:paraId="2A7E659D" w14:textId="77777777" w:rsidR="005D5210" w:rsidRPr="00682E89" w:rsidRDefault="005D5210" w:rsidP="008E5AAD">
      <w:pPr>
        <w:rPr>
          <w:rFonts w:cs="Arial"/>
          <w:szCs w:val="24"/>
          <w:lang w:val="en-IN"/>
        </w:rPr>
      </w:pPr>
      <w:r w:rsidRPr="00682E89">
        <w:rPr>
          <w:rFonts w:cs="Arial"/>
          <w:szCs w:val="24"/>
          <w:lang w:val="en-IN"/>
        </w:rPr>
        <w:t xml:space="preserve">Novuna. (2025) What is a Cash Flow Ratio? [Online], Available at: </w:t>
      </w:r>
      <w:hyperlink r:id="rId38" w:history="1">
        <w:r w:rsidRPr="00682E89">
          <w:rPr>
            <w:rStyle w:val="Hyperlink"/>
            <w:rFonts w:cs="Arial"/>
            <w:color w:val="auto"/>
            <w:szCs w:val="24"/>
            <w:lang w:val="en-IN"/>
          </w:rPr>
          <w:t>https://www.novuna.co.uk/business-cash-flow/glossary/cash-flow-ratios/</w:t>
        </w:r>
      </w:hyperlink>
      <w:r w:rsidRPr="00682E89">
        <w:rPr>
          <w:rFonts w:cs="Arial"/>
          <w:szCs w:val="24"/>
          <w:lang w:val="en-IN"/>
        </w:rPr>
        <w:t xml:space="preserve"> [Accessed on: 13.11.2025]. </w:t>
      </w:r>
    </w:p>
    <w:p w14:paraId="4E0D0656" w14:textId="77777777" w:rsidR="005D5210" w:rsidRPr="00682E89" w:rsidRDefault="005D5210" w:rsidP="008E5AAD">
      <w:pPr>
        <w:rPr>
          <w:rFonts w:cs="Arial"/>
          <w:szCs w:val="24"/>
          <w:shd w:val="clear" w:color="auto" w:fill="FFFFFF"/>
        </w:rPr>
      </w:pPr>
      <w:r w:rsidRPr="00682E89">
        <w:rPr>
          <w:rFonts w:cs="Arial"/>
          <w:szCs w:val="24"/>
          <w:shd w:val="clear" w:color="auto" w:fill="FFFFFF"/>
        </w:rPr>
        <w:t xml:space="preserve">Ogundu, P.G. (2025) The strategic implications of financial derivatives in hedging corporate exposure to global economic volatility. </w:t>
      </w:r>
      <w:r w:rsidRPr="00682E89">
        <w:rPr>
          <w:rFonts w:cs="Arial"/>
          <w:i/>
          <w:iCs/>
          <w:szCs w:val="24"/>
          <w:shd w:val="clear" w:color="auto" w:fill="FFFFFF"/>
        </w:rPr>
        <w:t>World Journal of Advanced Research and Reviews, 25</w:t>
      </w:r>
      <w:r w:rsidRPr="00682E89">
        <w:rPr>
          <w:rFonts w:cs="Arial"/>
          <w:szCs w:val="24"/>
          <w:shd w:val="clear" w:color="auto" w:fill="FFFFFF"/>
        </w:rPr>
        <w:t xml:space="preserve">(02), pp. 1218-1234. </w:t>
      </w:r>
    </w:p>
    <w:p w14:paraId="64B8E3F6" w14:textId="77777777" w:rsidR="005D5210" w:rsidRPr="00682E89" w:rsidRDefault="005D5210" w:rsidP="008E5AAD">
      <w:pPr>
        <w:rPr>
          <w:rFonts w:cs="Arial"/>
          <w:szCs w:val="24"/>
          <w:shd w:val="clear" w:color="auto" w:fill="FFFFFF"/>
        </w:rPr>
      </w:pPr>
      <w:bookmarkStart w:id="43" w:name="_Hlk213930087"/>
      <w:r w:rsidRPr="00682E89">
        <w:rPr>
          <w:rFonts w:cs="Arial"/>
          <w:szCs w:val="24"/>
          <w:shd w:val="clear" w:color="auto" w:fill="FFFFFF"/>
        </w:rPr>
        <w:t xml:space="preserve">Pamisetty, </w:t>
      </w:r>
      <w:bookmarkEnd w:id="43"/>
      <w:r w:rsidRPr="00682E89">
        <w:rPr>
          <w:rFonts w:cs="Arial"/>
          <w:szCs w:val="24"/>
          <w:shd w:val="clear" w:color="auto" w:fill="FFFFFF"/>
        </w:rPr>
        <w:t>A., Adusupalli, B. and Mashetty, S. (2024) Redefining Financial Risk Strategies: The Integration of Smart Automation, Secure Access Systems, and Predictive Intelligence in Insurance, Lending, and Asset Management. </w:t>
      </w:r>
      <w:r w:rsidRPr="00682E89">
        <w:rPr>
          <w:rFonts w:cs="Arial"/>
          <w:i/>
          <w:iCs/>
          <w:szCs w:val="24"/>
          <w:shd w:val="clear" w:color="auto" w:fill="FFFFFF"/>
        </w:rPr>
        <w:t>Sneha, Redefining Financial Risk Strategies: The Integration of Smart Automation, Secure Access Systems, and Predictive Intelligence in Insurance, Lending, and Asset Management (December 05, 2024)</w:t>
      </w:r>
      <w:r w:rsidRPr="00682E89">
        <w:rPr>
          <w:rFonts w:cs="Arial"/>
          <w:szCs w:val="24"/>
          <w:shd w:val="clear" w:color="auto" w:fill="FFFFFF"/>
        </w:rPr>
        <w:t>.</w:t>
      </w:r>
    </w:p>
    <w:p w14:paraId="240E4297" w14:textId="77777777" w:rsidR="005D5210" w:rsidRPr="00682E89" w:rsidRDefault="005D5210" w:rsidP="008E5AAD">
      <w:pPr>
        <w:rPr>
          <w:rFonts w:cs="Arial"/>
          <w:szCs w:val="24"/>
          <w:shd w:val="clear" w:color="auto" w:fill="FFFFFF"/>
        </w:rPr>
      </w:pPr>
      <w:r w:rsidRPr="00682E89">
        <w:rPr>
          <w:rFonts w:cs="Arial"/>
          <w:szCs w:val="24"/>
          <w:shd w:val="clear" w:color="auto" w:fill="FFFFFF"/>
        </w:rPr>
        <w:t xml:space="preserve">Shepherd, E., Anderson, L., Hargrove, R. and Shaktivel, A. (2025) LEGAL FRAMEWORKS FOR BANKRUPTCY AND THEIR EFFECTS ON FINANCIAL REORGANIZATION AND BUSINESS SUSTAINABILITY. </w:t>
      </w:r>
      <w:r w:rsidRPr="00682E89">
        <w:rPr>
          <w:rFonts w:cs="Arial"/>
          <w:i/>
          <w:iCs/>
          <w:szCs w:val="24"/>
          <w:shd w:val="clear" w:color="auto" w:fill="FFFFFF"/>
        </w:rPr>
        <w:t>Brainae Journal of Business, Sciences and Technology, 08</w:t>
      </w:r>
      <w:r w:rsidRPr="00682E89">
        <w:rPr>
          <w:rFonts w:cs="Arial"/>
          <w:szCs w:val="24"/>
          <w:shd w:val="clear" w:color="auto" w:fill="FFFFFF"/>
        </w:rPr>
        <w:t xml:space="preserve">(10), pp. 547-565. </w:t>
      </w:r>
    </w:p>
    <w:p w14:paraId="521D55C0" w14:textId="77777777" w:rsidR="005D5210" w:rsidRPr="00682E89" w:rsidRDefault="005D5210" w:rsidP="008E5AAD">
      <w:pPr>
        <w:rPr>
          <w:rFonts w:cs="Arial"/>
          <w:szCs w:val="24"/>
          <w:shd w:val="clear" w:color="auto" w:fill="FFFFFF"/>
        </w:rPr>
      </w:pPr>
      <w:r w:rsidRPr="00682E89">
        <w:rPr>
          <w:rFonts w:cs="Arial"/>
          <w:szCs w:val="24"/>
          <w:shd w:val="clear" w:color="auto" w:fill="FFFFFF"/>
        </w:rPr>
        <w:t>Sundoro, F.M., Anggraini, Y. and Pradiptya, A.  (2023) The Analysis Of The Effects Of Earning Per Share, Price Earning Ratio And Dividend Per Share On The Share Prices Of Manufacturing Companies. </w:t>
      </w:r>
      <w:r w:rsidRPr="00682E89">
        <w:rPr>
          <w:rFonts w:cs="Arial"/>
          <w:i/>
          <w:iCs/>
          <w:szCs w:val="24"/>
          <w:shd w:val="clear" w:color="auto" w:fill="FFFFFF"/>
        </w:rPr>
        <w:t>Economics and Business Solutions Journal</w:t>
      </w:r>
      <w:r w:rsidRPr="00682E89">
        <w:rPr>
          <w:rFonts w:cs="Arial"/>
          <w:szCs w:val="24"/>
          <w:shd w:val="clear" w:color="auto" w:fill="FFFFFF"/>
        </w:rPr>
        <w:t>, </w:t>
      </w:r>
      <w:r w:rsidRPr="00682E89">
        <w:rPr>
          <w:rFonts w:cs="Arial"/>
          <w:i/>
          <w:iCs/>
          <w:szCs w:val="24"/>
          <w:shd w:val="clear" w:color="auto" w:fill="FFFFFF"/>
        </w:rPr>
        <w:t>7</w:t>
      </w:r>
      <w:r w:rsidRPr="00682E89">
        <w:rPr>
          <w:rFonts w:cs="Arial"/>
          <w:szCs w:val="24"/>
          <w:shd w:val="clear" w:color="auto" w:fill="FFFFFF"/>
        </w:rPr>
        <w:t>(1), pp.57-72.</w:t>
      </w:r>
    </w:p>
    <w:p w14:paraId="4A6F77BF" w14:textId="77777777" w:rsidR="005D5210" w:rsidRPr="00682E89" w:rsidRDefault="005D5210" w:rsidP="008E5AAD">
      <w:pPr>
        <w:rPr>
          <w:rFonts w:cs="Arial"/>
          <w:szCs w:val="24"/>
          <w:shd w:val="clear" w:color="auto" w:fill="FFFFFF"/>
        </w:rPr>
      </w:pPr>
      <w:r w:rsidRPr="00682E89">
        <w:rPr>
          <w:rFonts w:cs="Arial"/>
          <w:szCs w:val="24"/>
          <w:shd w:val="clear" w:color="auto" w:fill="FFFFFF"/>
        </w:rPr>
        <w:t>Tago, G. and Ponsian, N. (2024) Relationship between Working Capital Management and Profitability. </w:t>
      </w:r>
      <w:r w:rsidRPr="00682E89">
        <w:rPr>
          <w:rFonts w:cs="Arial"/>
          <w:i/>
          <w:iCs/>
          <w:szCs w:val="24"/>
          <w:shd w:val="clear" w:color="auto" w:fill="FFFFFF"/>
        </w:rPr>
        <w:t>Business, Management and Economics: Research Progress</w:t>
      </w:r>
      <w:r w:rsidRPr="00682E89">
        <w:rPr>
          <w:rFonts w:cs="Arial"/>
          <w:szCs w:val="24"/>
          <w:shd w:val="clear" w:color="auto" w:fill="FFFFFF"/>
        </w:rPr>
        <w:t>, </w:t>
      </w:r>
      <w:r w:rsidRPr="00682E89">
        <w:rPr>
          <w:rFonts w:cs="Arial"/>
          <w:i/>
          <w:iCs/>
          <w:szCs w:val="24"/>
          <w:shd w:val="clear" w:color="auto" w:fill="FFFFFF"/>
        </w:rPr>
        <w:t>3</w:t>
      </w:r>
      <w:r w:rsidRPr="00682E89">
        <w:rPr>
          <w:rFonts w:cs="Arial"/>
          <w:szCs w:val="24"/>
          <w:shd w:val="clear" w:color="auto" w:fill="FFFFFF"/>
        </w:rPr>
        <w:t>, pp.1-22.</w:t>
      </w:r>
    </w:p>
    <w:p w14:paraId="3151C1CA" w14:textId="77777777" w:rsidR="005D5210" w:rsidRPr="00682E89" w:rsidRDefault="005D5210" w:rsidP="008E5AAD">
      <w:pPr>
        <w:rPr>
          <w:rFonts w:cs="Arial"/>
          <w:szCs w:val="24"/>
          <w:shd w:val="clear" w:color="auto" w:fill="FFFFFF"/>
        </w:rPr>
      </w:pPr>
      <w:bookmarkStart w:id="44" w:name="_Hlk213930714"/>
      <w:r w:rsidRPr="00682E89">
        <w:rPr>
          <w:rFonts w:cs="Arial"/>
          <w:szCs w:val="24"/>
          <w:shd w:val="clear" w:color="auto" w:fill="FFFFFF"/>
        </w:rPr>
        <w:lastRenderedPageBreak/>
        <w:t xml:space="preserve">Tarullo, </w:t>
      </w:r>
      <w:bookmarkEnd w:id="44"/>
      <w:r w:rsidRPr="00682E89">
        <w:rPr>
          <w:rFonts w:cs="Arial"/>
          <w:szCs w:val="24"/>
          <w:shd w:val="clear" w:color="auto" w:fill="FFFFFF"/>
        </w:rPr>
        <w:t>D.K. (2019) Financial regulation: Still unsettled a decade after the crisis. </w:t>
      </w:r>
      <w:r w:rsidRPr="00682E89">
        <w:rPr>
          <w:rFonts w:cs="Arial"/>
          <w:i/>
          <w:iCs/>
          <w:szCs w:val="24"/>
          <w:shd w:val="clear" w:color="auto" w:fill="FFFFFF"/>
        </w:rPr>
        <w:t>Journal of Economic Perspectives</w:t>
      </w:r>
      <w:r w:rsidRPr="00682E89">
        <w:rPr>
          <w:rFonts w:cs="Arial"/>
          <w:szCs w:val="24"/>
          <w:shd w:val="clear" w:color="auto" w:fill="FFFFFF"/>
        </w:rPr>
        <w:t>, </w:t>
      </w:r>
      <w:r w:rsidRPr="00682E89">
        <w:rPr>
          <w:rFonts w:cs="Arial"/>
          <w:i/>
          <w:iCs/>
          <w:szCs w:val="24"/>
          <w:shd w:val="clear" w:color="auto" w:fill="FFFFFF"/>
        </w:rPr>
        <w:t>33</w:t>
      </w:r>
      <w:r w:rsidRPr="00682E89">
        <w:rPr>
          <w:rFonts w:cs="Arial"/>
          <w:szCs w:val="24"/>
          <w:shd w:val="clear" w:color="auto" w:fill="FFFFFF"/>
        </w:rPr>
        <w:t>(1), pp.61-80.</w:t>
      </w:r>
    </w:p>
    <w:p w14:paraId="28842F56" w14:textId="77777777" w:rsidR="005D5210" w:rsidRPr="00682E89" w:rsidRDefault="005D5210" w:rsidP="008E5AAD">
      <w:pPr>
        <w:rPr>
          <w:rFonts w:cs="Arial"/>
          <w:szCs w:val="24"/>
          <w:shd w:val="clear" w:color="auto" w:fill="FFFFFF"/>
        </w:rPr>
      </w:pPr>
      <w:r w:rsidRPr="00682E89">
        <w:rPr>
          <w:rFonts w:cs="Arial"/>
          <w:szCs w:val="24"/>
          <w:shd w:val="clear" w:color="auto" w:fill="FFFFFF"/>
        </w:rPr>
        <w:t>Teng, M., Zhang, W. and Kohana, J. (2021) A Rising Private Asset Class: Core+ Real Estate Debt. </w:t>
      </w:r>
      <w:r w:rsidRPr="00682E89">
        <w:rPr>
          <w:rFonts w:cs="Arial"/>
          <w:i/>
          <w:iCs/>
          <w:szCs w:val="24"/>
          <w:shd w:val="clear" w:color="auto" w:fill="FFFFFF"/>
        </w:rPr>
        <w:t>PGIM IAS-July</w:t>
      </w:r>
      <w:r w:rsidRPr="00682E89">
        <w:rPr>
          <w:rFonts w:cs="Arial"/>
          <w:szCs w:val="24"/>
          <w:shd w:val="clear" w:color="auto" w:fill="FFFFFF"/>
        </w:rPr>
        <w:t>.</w:t>
      </w:r>
    </w:p>
    <w:p w14:paraId="7218BE9F" w14:textId="77777777" w:rsidR="005D5210" w:rsidRPr="00682E89" w:rsidRDefault="005D5210" w:rsidP="008E5AAD">
      <w:pPr>
        <w:rPr>
          <w:rFonts w:cs="Arial"/>
          <w:szCs w:val="24"/>
          <w:shd w:val="clear" w:color="auto" w:fill="FFFFFF"/>
        </w:rPr>
      </w:pPr>
      <w:r w:rsidRPr="00682E89">
        <w:rPr>
          <w:rFonts w:cs="Arial"/>
          <w:szCs w:val="24"/>
          <w:shd w:val="clear" w:color="auto" w:fill="FFFFFF"/>
        </w:rPr>
        <w:t>Van den Bogaert, J. and Van Jaarsveld, W. (2022) Vendor-managed inventory in practice: understanding and mitigating the impact of supplier heterogeneity. </w:t>
      </w:r>
      <w:r w:rsidRPr="00682E89">
        <w:rPr>
          <w:rFonts w:cs="Arial"/>
          <w:i/>
          <w:iCs/>
          <w:szCs w:val="24"/>
          <w:shd w:val="clear" w:color="auto" w:fill="FFFFFF"/>
        </w:rPr>
        <w:t>International journal of production research</w:t>
      </w:r>
      <w:r w:rsidRPr="00682E89">
        <w:rPr>
          <w:rFonts w:cs="Arial"/>
          <w:szCs w:val="24"/>
          <w:shd w:val="clear" w:color="auto" w:fill="FFFFFF"/>
        </w:rPr>
        <w:t>, </w:t>
      </w:r>
      <w:r w:rsidRPr="00682E89">
        <w:rPr>
          <w:rFonts w:cs="Arial"/>
          <w:i/>
          <w:iCs/>
          <w:szCs w:val="24"/>
          <w:shd w:val="clear" w:color="auto" w:fill="FFFFFF"/>
        </w:rPr>
        <w:t>60</w:t>
      </w:r>
      <w:r w:rsidRPr="00682E89">
        <w:rPr>
          <w:rFonts w:cs="Arial"/>
          <w:szCs w:val="24"/>
          <w:shd w:val="clear" w:color="auto" w:fill="FFFFFF"/>
        </w:rPr>
        <w:t>(20), pp.6087-6103.</w:t>
      </w:r>
    </w:p>
    <w:p w14:paraId="3A55C56F" w14:textId="77777777" w:rsidR="005D5210" w:rsidRPr="00682E89" w:rsidRDefault="005D5210" w:rsidP="008E5AAD">
      <w:pPr>
        <w:rPr>
          <w:rFonts w:cs="Arial"/>
          <w:szCs w:val="24"/>
          <w:shd w:val="clear" w:color="auto" w:fill="FFFFFF"/>
        </w:rPr>
      </w:pPr>
      <w:r>
        <w:t xml:space="preserve">Vipond, T. (2025) </w:t>
      </w:r>
      <w:r w:rsidRPr="00816A55">
        <w:t>Accounting Rate of Return</w:t>
      </w:r>
      <w:r>
        <w:t xml:space="preserve">. [Online]. Available at: </w:t>
      </w:r>
      <w:hyperlink r:id="rId39" w:history="1">
        <w:r w:rsidRPr="008416C7">
          <w:rPr>
            <w:rStyle w:val="Hyperlink"/>
          </w:rPr>
          <w:t>https://corporatefinanceinstitute.com/resources/accounting/arr-accounting-rate-of-return/</w:t>
        </w:r>
      </w:hyperlink>
      <w:r>
        <w:t xml:space="preserve"> [Accessed on: 14.11.2025]. </w:t>
      </w:r>
    </w:p>
    <w:p w14:paraId="07840DEB" w14:textId="77777777" w:rsidR="005D5210" w:rsidRPr="00682E89" w:rsidRDefault="005D5210" w:rsidP="008E5AAD">
      <w:pPr>
        <w:rPr>
          <w:rFonts w:cs="Arial"/>
          <w:szCs w:val="24"/>
          <w:lang w:val="en-IN"/>
        </w:rPr>
      </w:pPr>
      <w:r w:rsidRPr="00682E89">
        <w:rPr>
          <w:rFonts w:cs="Arial"/>
          <w:szCs w:val="24"/>
          <w:lang w:val="en-IN"/>
        </w:rPr>
        <w:t xml:space="preserve">Vipond, T. (2025) Profitability Ratios. [Online]. Available at: </w:t>
      </w:r>
      <w:hyperlink r:id="rId40" w:history="1">
        <w:r w:rsidRPr="00682E89">
          <w:rPr>
            <w:rStyle w:val="Hyperlink"/>
            <w:rFonts w:cs="Arial"/>
            <w:color w:val="auto"/>
            <w:szCs w:val="24"/>
            <w:lang w:val="en-IN"/>
          </w:rPr>
          <w:t>https://corporatefinanceinstitute.com/resources/accounting/profitability-ratios/</w:t>
        </w:r>
      </w:hyperlink>
      <w:r w:rsidRPr="00682E89">
        <w:rPr>
          <w:rFonts w:cs="Arial"/>
          <w:szCs w:val="24"/>
          <w:lang w:val="en-IN"/>
        </w:rPr>
        <w:t xml:space="preserve"> [Accessed on: 13.11.2025]. </w:t>
      </w:r>
    </w:p>
    <w:p w14:paraId="701694A2" w14:textId="77777777" w:rsidR="005D5210" w:rsidRPr="00682E89" w:rsidRDefault="005D5210" w:rsidP="008E5AAD">
      <w:pPr>
        <w:rPr>
          <w:rFonts w:cs="Arial"/>
          <w:szCs w:val="24"/>
          <w:shd w:val="clear" w:color="auto" w:fill="FFFFFF"/>
        </w:rPr>
      </w:pPr>
      <w:r w:rsidRPr="00682E89">
        <w:rPr>
          <w:rFonts w:cs="Arial"/>
          <w:szCs w:val="24"/>
          <w:shd w:val="clear" w:color="auto" w:fill="FFFFFF"/>
        </w:rPr>
        <w:t xml:space="preserve">Yanney, A.S. (2023) Optimizing Working Capital Through Dynamic Cash Flow Analysis and Inventory Management in Manufacturing Firms. </w:t>
      </w:r>
      <w:r w:rsidRPr="00682E89">
        <w:rPr>
          <w:rFonts w:cs="Arial"/>
          <w:i/>
          <w:iCs/>
          <w:szCs w:val="24"/>
          <w:shd w:val="clear" w:color="auto" w:fill="FFFFFF"/>
        </w:rPr>
        <w:t>International Journal of Computer Applications Technology and Research, 12</w:t>
      </w:r>
      <w:r w:rsidRPr="00682E89">
        <w:rPr>
          <w:rFonts w:cs="Arial"/>
          <w:szCs w:val="24"/>
          <w:shd w:val="clear" w:color="auto" w:fill="FFFFFF"/>
        </w:rPr>
        <w:t xml:space="preserve">(12), pp. 136-151. </w:t>
      </w:r>
    </w:p>
    <w:p w14:paraId="2D5107C2" w14:textId="77777777" w:rsidR="005D5210" w:rsidRPr="00682E89" w:rsidRDefault="005D5210" w:rsidP="008E5AAD">
      <w:pPr>
        <w:rPr>
          <w:rFonts w:cs="Arial"/>
          <w:szCs w:val="24"/>
          <w:shd w:val="clear" w:color="auto" w:fill="FFFFFF"/>
        </w:rPr>
      </w:pPr>
      <w:bookmarkStart w:id="45" w:name="_Hlk213930659"/>
      <w:r w:rsidRPr="00682E89">
        <w:rPr>
          <w:rFonts w:cs="Arial"/>
          <w:szCs w:val="24"/>
          <w:shd w:val="clear" w:color="auto" w:fill="FFFFFF"/>
        </w:rPr>
        <w:t xml:space="preserve">Zheng, </w:t>
      </w:r>
      <w:bookmarkEnd w:id="45"/>
      <w:r w:rsidRPr="00682E89">
        <w:rPr>
          <w:rFonts w:cs="Arial"/>
          <w:szCs w:val="24"/>
          <w:shd w:val="clear" w:color="auto" w:fill="FFFFFF"/>
        </w:rPr>
        <w:t>M., Wang, R., Ye, J. and Li, T. (2025) How does supply chain finance enhance firms' supply chain resilience?. </w:t>
      </w:r>
      <w:r w:rsidRPr="00682E89">
        <w:rPr>
          <w:rFonts w:cs="Arial"/>
          <w:i/>
          <w:iCs/>
          <w:szCs w:val="24"/>
          <w:shd w:val="clear" w:color="auto" w:fill="FFFFFF"/>
        </w:rPr>
        <w:t>International Review of Economics &amp; Finance</w:t>
      </w:r>
      <w:r w:rsidRPr="00682E89">
        <w:rPr>
          <w:rFonts w:cs="Arial"/>
          <w:szCs w:val="24"/>
          <w:shd w:val="clear" w:color="auto" w:fill="FFFFFF"/>
        </w:rPr>
        <w:t>, p.104231.</w:t>
      </w:r>
    </w:p>
    <w:p w14:paraId="3249433B" w14:textId="3FA50533" w:rsidR="00E669D8" w:rsidRPr="00682E89" w:rsidRDefault="00E669D8" w:rsidP="008E5AAD">
      <w:pPr>
        <w:rPr>
          <w:rFonts w:cs="Arial"/>
          <w:szCs w:val="24"/>
          <w:shd w:val="clear" w:color="auto" w:fill="FFFFFF"/>
        </w:rPr>
      </w:pPr>
      <w:r w:rsidRPr="00682E89">
        <w:rPr>
          <w:rFonts w:cs="Arial"/>
          <w:szCs w:val="24"/>
          <w:shd w:val="clear" w:color="auto" w:fill="FFFFFF"/>
        </w:rPr>
        <w:br w:type="page"/>
      </w:r>
    </w:p>
    <w:p w14:paraId="38C55C68" w14:textId="5CB4838B" w:rsidR="00E669D8" w:rsidRDefault="00E669D8" w:rsidP="008E5AAD">
      <w:pPr>
        <w:pStyle w:val="Heading1"/>
        <w:spacing w:after="240"/>
        <w:rPr>
          <w:rFonts w:cs="Arial"/>
          <w:color w:val="auto"/>
          <w:szCs w:val="24"/>
          <w:shd w:val="clear" w:color="auto" w:fill="FFFFFF"/>
        </w:rPr>
      </w:pPr>
      <w:bookmarkStart w:id="46" w:name="_Toc214014924"/>
      <w:r w:rsidRPr="00682E89">
        <w:rPr>
          <w:rFonts w:cs="Arial"/>
          <w:color w:val="auto"/>
          <w:szCs w:val="24"/>
          <w:shd w:val="clear" w:color="auto" w:fill="FFFFFF"/>
        </w:rPr>
        <w:lastRenderedPageBreak/>
        <w:t>Appendices</w:t>
      </w:r>
      <w:bookmarkEnd w:id="46"/>
    </w:p>
    <w:p w14:paraId="2E2FD800" w14:textId="03900162" w:rsidR="00B03394" w:rsidRDefault="00B03394" w:rsidP="008E5AAD">
      <w:pPr>
        <w:pStyle w:val="Heading2"/>
        <w:spacing w:before="240" w:after="240"/>
      </w:pPr>
      <w:bookmarkStart w:id="47" w:name="_Toc214014925"/>
      <w:r>
        <w:t>Appendix 1: Financial Ratios</w:t>
      </w:r>
      <w:bookmarkEnd w:id="47"/>
      <w:r>
        <w:t xml:space="preserve"> </w:t>
      </w:r>
    </w:p>
    <w:p w14:paraId="6FFA76FF" w14:textId="634118BA" w:rsidR="00F1531F" w:rsidRDefault="00202DA7" w:rsidP="008E5AAD">
      <w:r w:rsidRPr="00682E89">
        <w:rPr>
          <w:rFonts w:cs="Arial"/>
          <w:b/>
          <w:bCs/>
          <w:i/>
          <w:iCs/>
          <w:noProof/>
          <w:szCs w:val="24"/>
        </w:rPr>
        <w:drawing>
          <wp:inline distT="0" distB="0" distL="0" distR="0" wp14:anchorId="535E8EC8" wp14:editId="704EEC6D">
            <wp:extent cx="5731510" cy="1677035"/>
            <wp:effectExtent l="0" t="0" r="2540" b="0"/>
            <wp:docPr id="393429007" name="Picture 1" descr="A table with numbers and a number of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29007" name="Picture 1" descr="A table with numbers and a number of numbers&#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1677035"/>
                    </a:xfrm>
                    <a:prstGeom prst="rect">
                      <a:avLst/>
                    </a:prstGeom>
                    <a:noFill/>
                    <a:ln>
                      <a:noFill/>
                    </a:ln>
                  </pic:spPr>
                </pic:pic>
              </a:graphicData>
            </a:graphic>
          </wp:inline>
        </w:drawing>
      </w:r>
    </w:p>
    <w:p w14:paraId="51D08365" w14:textId="7DDFB206" w:rsidR="00202DA7" w:rsidRDefault="00202DA7" w:rsidP="008E5AAD">
      <w:r w:rsidRPr="00682E89">
        <w:rPr>
          <w:rFonts w:cs="Arial"/>
          <w:b/>
          <w:bCs/>
          <w:i/>
          <w:iCs/>
          <w:noProof/>
          <w:szCs w:val="24"/>
        </w:rPr>
        <w:drawing>
          <wp:inline distT="0" distB="0" distL="0" distR="0" wp14:anchorId="09BD82AD" wp14:editId="582652AD">
            <wp:extent cx="5731510" cy="1877695"/>
            <wp:effectExtent l="0" t="0" r="2540" b="8255"/>
            <wp:docPr id="1696998513" name="Picture 2"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998513" name="Picture 2" descr="A table with numbers and text&#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1877695"/>
                    </a:xfrm>
                    <a:prstGeom prst="rect">
                      <a:avLst/>
                    </a:prstGeom>
                    <a:noFill/>
                    <a:ln>
                      <a:noFill/>
                    </a:ln>
                  </pic:spPr>
                </pic:pic>
              </a:graphicData>
            </a:graphic>
          </wp:inline>
        </w:drawing>
      </w:r>
    </w:p>
    <w:p w14:paraId="0716F484" w14:textId="47D6AB6D" w:rsidR="00202DA7" w:rsidRDefault="00202DA7" w:rsidP="008E5AAD">
      <w:r w:rsidRPr="00202DA7">
        <w:rPr>
          <w:noProof/>
        </w:rPr>
        <w:drawing>
          <wp:inline distT="0" distB="0" distL="0" distR="0" wp14:anchorId="117B5243" wp14:editId="469D26EC">
            <wp:extent cx="5731510" cy="1410970"/>
            <wp:effectExtent l="0" t="0" r="2540" b="0"/>
            <wp:docPr id="405261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261470" name=""/>
                    <pic:cNvPicPr/>
                  </pic:nvPicPr>
                  <pic:blipFill>
                    <a:blip r:embed="rId43"/>
                    <a:stretch>
                      <a:fillRect/>
                    </a:stretch>
                  </pic:blipFill>
                  <pic:spPr>
                    <a:xfrm>
                      <a:off x="0" y="0"/>
                      <a:ext cx="5731510" cy="1410970"/>
                    </a:xfrm>
                    <a:prstGeom prst="rect">
                      <a:avLst/>
                    </a:prstGeom>
                  </pic:spPr>
                </pic:pic>
              </a:graphicData>
            </a:graphic>
          </wp:inline>
        </w:drawing>
      </w:r>
    </w:p>
    <w:p w14:paraId="676434D7" w14:textId="0A4BF8DF" w:rsidR="00202DA7" w:rsidRDefault="00202DA7" w:rsidP="008E5AAD">
      <w:r w:rsidRPr="00682E89">
        <w:rPr>
          <w:rFonts w:cs="Arial"/>
          <w:b/>
          <w:bCs/>
          <w:i/>
          <w:iCs/>
          <w:noProof/>
          <w:szCs w:val="24"/>
        </w:rPr>
        <w:drawing>
          <wp:inline distT="0" distB="0" distL="0" distR="0" wp14:anchorId="1F97318B" wp14:editId="43FBB2A5">
            <wp:extent cx="5731510" cy="1667510"/>
            <wp:effectExtent l="0" t="0" r="2540" b="8890"/>
            <wp:docPr id="1208836849" name="Picture 6" descr="A yellow and black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836849" name="Picture 6" descr="A yellow and black table with numbers and text&#10;&#10;AI-generated content may be incorrec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1667510"/>
                    </a:xfrm>
                    <a:prstGeom prst="rect">
                      <a:avLst/>
                    </a:prstGeom>
                    <a:noFill/>
                    <a:ln>
                      <a:noFill/>
                    </a:ln>
                  </pic:spPr>
                </pic:pic>
              </a:graphicData>
            </a:graphic>
          </wp:inline>
        </w:drawing>
      </w:r>
    </w:p>
    <w:p w14:paraId="6A152679" w14:textId="229E2A73" w:rsidR="00202DA7" w:rsidRDefault="00202DA7" w:rsidP="008E5AAD">
      <w:r w:rsidRPr="00682E89">
        <w:rPr>
          <w:rFonts w:cs="Arial"/>
          <w:b/>
          <w:bCs/>
          <w:i/>
          <w:iCs/>
          <w:noProof/>
          <w:szCs w:val="24"/>
        </w:rPr>
        <w:lastRenderedPageBreak/>
        <w:drawing>
          <wp:inline distT="0" distB="0" distL="0" distR="0" wp14:anchorId="36B18A47" wp14:editId="1BEAB210">
            <wp:extent cx="5731510" cy="1355725"/>
            <wp:effectExtent l="0" t="0" r="2540" b="0"/>
            <wp:docPr id="1853130893" name="Picture 4" descr="A blue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30893" name="Picture 4" descr="A blue and black text on a white background&#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1355725"/>
                    </a:xfrm>
                    <a:prstGeom prst="rect">
                      <a:avLst/>
                    </a:prstGeom>
                    <a:noFill/>
                    <a:ln>
                      <a:noFill/>
                    </a:ln>
                  </pic:spPr>
                </pic:pic>
              </a:graphicData>
            </a:graphic>
          </wp:inline>
        </w:drawing>
      </w:r>
    </w:p>
    <w:p w14:paraId="6B523E4D" w14:textId="1FD50B51" w:rsidR="00202DA7" w:rsidRPr="00F1531F" w:rsidRDefault="00202DA7" w:rsidP="008E5AAD">
      <w:r w:rsidRPr="00682E89">
        <w:rPr>
          <w:rFonts w:cs="Arial"/>
          <w:b/>
          <w:bCs/>
          <w:i/>
          <w:iCs/>
          <w:noProof/>
          <w:szCs w:val="24"/>
        </w:rPr>
        <w:drawing>
          <wp:inline distT="0" distB="0" distL="0" distR="0" wp14:anchorId="73A69CF2" wp14:editId="544B1A6D">
            <wp:extent cx="5731510" cy="1487805"/>
            <wp:effectExtent l="0" t="0" r="2540" b="0"/>
            <wp:docPr id="958891956" name="Picture 5"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891956" name="Picture 5" descr="A screenshot of a calculator&#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1487805"/>
                    </a:xfrm>
                    <a:prstGeom prst="rect">
                      <a:avLst/>
                    </a:prstGeom>
                    <a:noFill/>
                    <a:ln>
                      <a:noFill/>
                    </a:ln>
                  </pic:spPr>
                </pic:pic>
              </a:graphicData>
            </a:graphic>
          </wp:inline>
        </w:drawing>
      </w:r>
    </w:p>
    <w:p w14:paraId="44EBBFC3" w14:textId="3A6CCED3" w:rsidR="00E669D8" w:rsidRPr="00682E89" w:rsidRDefault="00E669D8" w:rsidP="008E5AAD">
      <w:pPr>
        <w:pStyle w:val="Heading2"/>
        <w:spacing w:before="240" w:after="240"/>
        <w:rPr>
          <w:rFonts w:cs="Arial"/>
          <w:szCs w:val="24"/>
          <w:shd w:val="clear" w:color="auto" w:fill="FFFFFF"/>
        </w:rPr>
      </w:pPr>
      <w:bookmarkStart w:id="48" w:name="_Toc214014926"/>
      <w:r w:rsidRPr="00682E89">
        <w:rPr>
          <w:rFonts w:cs="Arial"/>
          <w:szCs w:val="24"/>
          <w:shd w:val="clear" w:color="auto" w:fill="FFFFFF"/>
        </w:rPr>
        <w:t xml:space="preserve">Appendix 2: </w:t>
      </w:r>
      <w:r w:rsidR="00EB081C" w:rsidRPr="00682E89">
        <w:rPr>
          <w:rFonts w:cs="Arial"/>
          <w:szCs w:val="24"/>
          <w:shd w:val="clear" w:color="auto" w:fill="FFFFFF"/>
        </w:rPr>
        <w:t>Cash Operating Cycle</w:t>
      </w:r>
      <w:bookmarkEnd w:id="48"/>
      <w:r w:rsidR="00EB081C" w:rsidRPr="00682E89">
        <w:rPr>
          <w:rFonts w:cs="Arial"/>
          <w:szCs w:val="24"/>
          <w:shd w:val="clear" w:color="auto" w:fill="FFFFFF"/>
        </w:rPr>
        <w:t xml:space="preserve"> </w:t>
      </w:r>
    </w:p>
    <w:p w14:paraId="7A6FBFDF" w14:textId="6BBF0A90" w:rsidR="00EB081C" w:rsidRPr="00682E89" w:rsidRDefault="007516C3" w:rsidP="008E5AAD">
      <w:pPr>
        <w:rPr>
          <w:rFonts w:cs="Arial"/>
          <w:b/>
          <w:bCs/>
          <w:i/>
          <w:iCs/>
          <w:szCs w:val="24"/>
          <w:shd w:val="clear" w:color="auto" w:fill="FFFFFF"/>
        </w:rPr>
      </w:pPr>
      <w:r w:rsidRPr="00682E89">
        <w:rPr>
          <w:rFonts w:cs="Arial"/>
          <w:b/>
          <w:bCs/>
          <w:i/>
          <w:iCs/>
          <w:noProof/>
          <w:szCs w:val="24"/>
          <w:shd w:val="clear" w:color="auto" w:fill="FFFFFF"/>
        </w:rPr>
        <w:drawing>
          <wp:inline distT="0" distB="0" distL="0" distR="0" wp14:anchorId="1B053941" wp14:editId="1CD55321">
            <wp:extent cx="5731510" cy="1191260"/>
            <wp:effectExtent l="0" t="0" r="2540" b="8890"/>
            <wp:docPr id="428527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27823" name=""/>
                    <pic:cNvPicPr/>
                  </pic:nvPicPr>
                  <pic:blipFill>
                    <a:blip r:embed="rId47"/>
                    <a:stretch>
                      <a:fillRect/>
                    </a:stretch>
                  </pic:blipFill>
                  <pic:spPr>
                    <a:xfrm>
                      <a:off x="0" y="0"/>
                      <a:ext cx="5731510" cy="1191260"/>
                    </a:xfrm>
                    <a:prstGeom prst="rect">
                      <a:avLst/>
                    </a:prstGeom>
                  </pic:spPr>
                </pic:pic>
              </a:graphicData>
            </a:graphic>
          </wp:inline>
        </w:drawing>
      </w:r>
    </w:p>
    <w:p w14:paraId="3092BDEB" w14:textId="22700602" w:rsidR="0014308D" w:rsidRPr="00682E89" w:rsidRDefault="007E7FEE" w:rsidP="008E5AAD">
      <w:pPr>
        <w:rPr>
          <w:rFonts w:cs="Arial"/>
          <w:b/>
          <w:bCs/>
          <w:i/>
          <w:iCs/>
          <w:szCs w:val="24"/>
          <w:shd w:val="clear" w:color="auto" w:fill="FFFFFF"/>
        </w:rPr>
      </w:pPr>
      <w:r w:rsidRPr="00682E89">
        <w:rPr>
          <w:rFonts w:cs="Arial"/>
          <w:b/>
          <w:bCs/>
          <w:i/>
          <w:iCs/>
          <w:noProof/>
          <w:szCs w:val="24"/>
          <w:shd w:val="clear" w:color="auto" w:fill="FFFFFF"/>
        </w:rPr>
        <w:drawing>
          <wp:inline distT="0" distB="0" distL="0" distR="0" wp14:anchorId="3EA349C7" wp14:editId="5EB418B7">
            <wp:extent cx="5731510" cy="594360"/>
            <wp:effectExtent l="0" t="0" r="2540" b="0"/>
            <wp:docPr id="980366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366865" name=""/>
                    <pic:cNvPicPr/>
                  </pic:nvPicPr>
                  <pic:blipFill>
                    <a:blip r:embed="rId48"/>
                    <a:stretch>
                      <a:fillRect/>
                    </a:stretch>
                  </pic:blipFill>
                  <pic:spPr>
                    <a:xfrm>
                      <a:off x="0" y="0"/>
                      <a:ext cx="5731510" cy="594360"/>
                    </a:xfrm>
                    <a:prstGeom prst="rect">
                      <a:avLst/>
                    </a:prstGeom>
                  </pic:spPr>
                </pic:pic>
              </a:graphicData>
            </a:graphic>
          </wp:inline>
        </w:drawing>
      </w:r>
    </w:p>
    <w:sectPr w:rsidR="0014308D" w:rsidRPr="00682E89" w:rsidSect="00EB74E2">
      <w:footerReference w:type="default" r:id="rId49"/>
      <w:pgSz w:w="11906" w:h="16838" w:code="9"/>
      <w:pgMar w:top="1440" w:right="1440" w:bottom="1440" w:left="1440" w:header="709" w:footer="709" w:gutter="0"/>
      <w:pgBorders w:offsetFrom="page">
        <w:top w:val="thinThickSmallGap" w:sz="18" w:space="24" w:color="auto"/>
        <w:left w:val="thinThickSmallGap" w:sz="18" w:space="24" w:color="auto"/>
        <w:bottom w:val="thickThinSmallGap" w:sz="18" w:space="24" w:color="auto"/>
        <w:right w:val="thickThinSmallGap"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972854" w14:textId="77777777" w:rsidR="00C904F6" w:rsidRDefault="00C904F6" w:rsidP="000A12EA">
      <w:pPr>
        <w:spacing w:before="0" w:after="0" w:line="240" w:lineRule="auto"/>
      </w:pPr>
      <w:r>
        <w:separator/>
      </w:r>
    </w:p>
  </w:endnote>
  <w:endnote w:type="continuationSeparator" w:id="0">
    <w:p w14:paraId="18FB5197" w14:textId="77777777" w:rsidR="00C904F6" w:rsidRDefault="00C904F6" w:rsidP="000A12E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0439403"/>
      <w:docPartObj>
        <w:docPartGallery w:val="Page Numbers (Bottom of Page)"/>
        <w:docPartUnique/>
      </w:docPartObj>
    </w:sdtPr>
    <w:sdtEndPr>
      <w:rPr>
        <w:noProof/>
      </w:rPr>
    </w:sdtEndPr>
    <w:sdtContent>
      <w:p w14:paraId="6A2FE553" w14:textId="77777777" w:rsidR="000A12EA" w:rsidRDefault="000A12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7D7F43" w14:textId="77777777" w:rsidR="000A12EA" w:rsidRDefault="000A12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7F2F6" w14:textId="77777777" w:rsidR="00C904F6" w:rsidRDefault="00C904F6" w:rsidP="000A12EA">
      <w:pPr>
        <w:spacing w:before="0" w:after="0" w:line="240" w:lineRule="auto"/>
      </w:pPr>
      <w:r>
        <w:separator/>
      </w:r>
    </w:p>
  </w:footnote>
  <w:footnote w:type="continuationSeparator" w:id="0">
    <w:p w14:paraId="3B8493C9" w14:textId="77777777" w:rsidR="00C904F6" w:rsidRDefault="00C904F6" w:rsidP="000A12E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645A0"/>
    <w:multiLevelType w:val="hybridMultilevel"/>
    <w:tmpl w:val="A6C0A86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79B37B9"/>
    <w:multiLevelType w:val="hybridMultilevel"/>
    <w:tmpl w:val="E7228E1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392D3C63"/>
    <w:multiLevelType w:val="hybridMultilevel"/>
    <w:tmpl w:val="E82A4F0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4CF92192"/>
    <w:multiLevelType w:val="hybridMultilevel"/>
    <w:tmpl w:val="171E5F1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769232363">
    <w:abstractNumId w:val="0"/>
  </w:num>
  <w:num w:numId="2" w16cid:durableId="2035032296">
    <w:abstractNumId w:val="1"/>
  </w:num>
  <w:num w:numId="3" w16cid:durableId="1212497818">
    <w:abstractNumId w:val="2"/>
  </w:num>
  <w:num w:numId="4" w16cid:durableId="6755456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Y1MjUxMTeytLA0sjBX0lEKTi0uzszPAymwqAUANkN3giwAAAA="/>
  </w:docVars>
  <w:rsids>
    <w:rsidRoot w:val="00EB74E2"/>
    <w:rsid w:val="000052E9"/>
    <w:rsid w:val="00011649"/>
    <w:rsid w:val="00016D76"/>
    <w:rsid w:val="00040B37"/>
    <w:rsid w:val="00046701"/>
    <w:rsid w:val="00053DED"/>
    <w:rsid w:val="000551FD"/>
    <w:rsid w:val="00061350"/>
    <w:rsid w:val="000659AF"/>
    <w:rsid w:val="00070BA1"/>
    <w:rsid w:val="00080B94"/>
    <w:rsid w:val="0008183B"/>
    <w:rsid w:val="00082D19"/>
    <w:rsid w:val="000866F1"/>
    <w:rsid w:val="000A12EA"/>
    <w:rsid w:val="000B0709"/>
    <w:rsid w:val="000B072A"/>
    <w:rsid w:val="000B1DF2"/>
    <w:rsid w:val="000B342A"/>
    <w:rsid w:val="000B3509"/>
    <w:rsid w:val="000C3566"/>
    <w:rsid w:val="000D183F"/>
    <w:rsid w:val="000D3880"/>
    <w:rsid w:val="000D3FF3"/>
    <w:rsid w:val="000D620A"/>
    <w:rsid w:val="000D7FCC"/>
    <w:rsid w:val="000E2C96"/>
    <w:rsid w:val="00102A57"/>
    <w:rsid w:val="00115B15"/>
    <w:rsid w:val="00123ADD"/>
    <w:rsid w:val="001412FA"/>
    <w:rsid w:val="0014193F"/>
    <w:rsid w:val="0014308D"/>
    <w:rsid w:val="00146778"/>
    <w:rsid w:val="00155C2C"/>
    <w:rsid w:val="00164E4C"/>
    <w:rsid w:val="00165D95"/>
    <w:rsid w:val="001718EF"/>
    <w:rsid w:val="00176ABE"/>
    <w:rsid w:val="00180154"/>
    <w:rsid w:val="0019021C"/>
    <w:rsid w:val="00190AB5"/>
    <w:rsid w:val="00195016"/>
    <w:rsid w:val="0019763D"/>
    <w:rsid w:val="001A231E"/>
    <w:rsid w:val="001A57CC"/>
    <w:rsid w:val="001C0F10"/>
    <w:rsid w:val="001C6744"/>
    <w:rsid w:val="001D2348"/>
    <w:rsid w:val="001D2D70"/>
    <w:rsid w:val="001D5793"/>
    <w:rsid w:val="001D7DD0"/>
    <w:rsid w:val="001E40D8"/>
    <w:rsid w:val="001E4984"/>
    <w:rsid w:val="001F22C1"/>
    <w:rsid w:val="001F39F1"/>
    <w:rsid w:val="00202165"/>
    <w:rsid w:val="00202DA7"/>
    <w:rsid w:val="002036AF"/>
    <w:rsid w:val="00207019"/>
    <w:rsid w:val="002454A3"/>
    <w:rsid w:val="00247364"/>
    <w:rsid w:val="002503AD"/>
    <w:rsid w:val="002534DD"/>
    <w:rsid w:val="00256E88"/>
    <w:rsid w:val="00272F08"/>
    <w:rsid w:val="00274A2D"/>
    <w:rsid w:val="00283A93"/>
    <w:rsid w:val="00284F8B"/>
    <w:rsid w:val="0028638A"/>
    <w:rsid w:val="002B19A0"/>
    <w:rsid w:val="002B4561"/>
    <w:rsid w:val="002B4B9C"/>
    <w:rsid w:val="002D2652"/>
    <w:rsid w:val="002D4BD5"/>
    <w:rsid w:val="002D5BC5"/>
    <w:rsid w:val="002D7380"/>
    <w:rsid w:val="002D748A"/>
    <w:rsid w:val="002F148D"/>
    <w:rsid w:val="002F492A"/>
    <w:rsid w:val="003171B0"/>
    <w:rsid w:val="0032275C"/>
    <w:rsid w:val="003340C2"/>
    <w:rsid w:val="00347155"/>
    <w:rsid w:val="00352BF4"/>
    <w:rsid w:val="00355CF0"/>
    <w:rsid w:val="00363C85"/>
    <w:rsid w:val="003707AC"/>
    <w:rsid w:val="00377FD2"/>
    <w:rsid w:val="00382D2D"/>
    <w:rsid w:val="003946E8"/>
    <w:rsid w:val="003A5BC9"/>
    <w:rsid w:val="003A5E6D"/>
    <w:rsid w:val="003A7FED"/>
    <w:rsid w:val="003B0ECC"/>
    <w:rsid w:val="003B25BF"/>
    <w:rsid w:val="003C00CB"/>
    <w:rsid w:val="003C225A"/>
    <w:rsid w:val="003C2BFF"/>
    <w:rsid w:val="003C3794"/>
    <w:rsid w:val="003C409A"/>
    <w:rsid w:val="003D4DF3"/>
    <w:rsid w:val="003D5025"/>
    <w:rsid w:val="003D6006"/>
    <w:rsid w:val="004021FC"/>
    <w:rsid w:val="0042598D"/>
    <w:rsid w:val="00436FF2"/>
    <w:rsid w:val="004564A4"/>
    <w:rsid w:val="00464D45"/>
    <w:rsid w:val="004668F3"/>
    <w:rsid w:val="0046795B"/>
    <w:rsid w:val="0047628C"/>
    <w:rsid w:val="00476F9C"/>
    <w:rsid w:val="0048112C"/>
    <w:rsid w:val="00485EFD"/>
    <w:rsid w:val="004964CD"/>
    <w:rsid w:val="004A0391"/>
    <w:rsid w:val="004A2325"/>
    <w:rsid w:val="004C24E9"/>
    <w:rsid w:val="004C2611"/>
    <w:rsid w:val="004C4586"/>
    <w:rsid w:val="004E37DB"/>
    <w:rsid w:val="004E5295"/>
    <w:rsid w:val="004F109E"/>
    <w:rsid w:val="004F11E9"/>
    <w:rsid w:val="004F76C2"/>
    <w:rsid w:val="00503BD4"/>
    <w:rsid w:val="0050668E"/>
    <w:rsid w:val="0052378B"/>
    <w:rsid w:val="00530A79"/>
    <w:rsid w:val="00534934"/>
    <w:rsid w:val="00536A5E"/>
    <w:rsid w:val="00542804"/>
    <w:rsid w:val="005568C4"/>
    <w:rsid w:val="005622DE"/>
    <w:rsid w:val="005644D4"/>
    <w:rsid w:val="00572BD5"/>
    <w:rsid w:val="00573861"/>
    <w:rsid w:val="005A3302"/>
    <w:rsid w:val="005B2BBF"/>
    <w:rsid w:val="005B5510"/>
    <w:rsid w:val="005C4688"/>
    <w:rsid w:val="005C4DA4"/>
    <w:rsid w:val="005D4CD4"/>
    <w:rsid w:val="005D5134"/>
    <w:rsid w:val="005D5210"/>
    <w:rsid w:val="005E0CD1"/>
    <w:rsid w:val="005F77AF"/>
    <w:rsid w:val="006023B1"/>
    <w:rsid w:val="00603A27"/>
    <w:rsid w:val="00605DDB"/>
    <w:rsid w:val="0060635B"/>
    <w:rsid w:val="00607C2E"/>
    <w:rsid w:val="00610FD4"/>
    <w:rsid w:val="00611613"/>
    <w:rsid w:val="006124BB"/>
    <w:rsid w:val="00617313"/>
    <w:rsid w:val="00621EF1"/>
    <w:rsid w:val="00627FA6"/>
    <w:rsid w:val="00643187"/>
    <w:rsid w:val="006432A3"/>
    <w:rsid w:val="006527C1"/>
    <w:rsid w:val="006549C6"/>
    <w:rsid w:val="00655D2C"/>
    <w:rsid w:val="006575B7"/>
    <w:rsid w:val="006605E9"/>
    <w:rsid w:val="00661E4E"/>
    <w:rsid w:val="00663F12"/>
    <w:rsid w:val="00664F0A"/>
    <w:rsid w:val="00670913"/>
    <w:rsid w:val="00677689"/>
    <w:rsid w:val="00682537"/>
    <w:rsid w:val="00682E89"/>
    <w:rsid w:val="006907B7"/>
    <w:rsid w:val="006968A0"/>
    <w:rsid w:val="006979EF"/>
    <w:rsid w:val="006A1D83"/>
    <w:rsid w:val="006A2454"/>
    <w:rsid w:val="006C37AE"/>
    <w:rsid w:val="006D74F1"/>
    <w:rsid w:val="006E1FC7"/>
    <w:rsid w:val="006E2929"/>
    <w:rsid w:val="00717AF0"/>
    <w:rsid w:val="00731281"/>
    <w:rsid w:val="00731D3E"/>
    <w:rsid w:val="0073413F"/>
    <w:rsid w:val="007516C3"/>
    <w:rsid w:val="00751755"/>
    <w:rsid w:val="00752805"/>
    <w:rsid w:val="00757C14"/>
    <w:rsid w:val="007607F5"/>
    <w:rsid w:val="007630EA"/>
    <w:rsid w:val="00765736"/>
    <w:rsid w:val="00774D86"/>
    <w:rsid w:val="00775CAC"/>
    <w:rsid w:val="00780FBF"/>
    <w:rsid w:val="00784507"/>
    <w:rsid w:val="0078788A"/>
    <w:rsid w:val="007928B9"/>
    <w:rsid w:val="00792C27"/>
    <w:rsid w:val="007B3D32"/>
    <w:rsid w:val="007B6E26"/>
    <w:rsid w:val="007C09A0"/>
    <w:rsid w:val="007C24D5"/>
    <w:rsid w:val="007C3750"/>
    <w:rsid w:val="007D3065"/>
    <w:rsid w:val="007D7CD1"/>
    <w:rsid w:val="007E74E2"/>
    <w:rsid w:val="007E7968"/>
    <w:rsid w:val="007E7FEE"/>
    <w:rsid w:val="00801FB0"/>
    <w:rsid w:val="00804454"/>
    <w:rsid w:val="0081284E"/>
    <w:rsid w:val="00816A55"/>
    <w:rsid w:val="00820666"/>
    <w:rsid w:val="00824917"/>
    <w:rsid w:val="008370E9"/>
    <w:rsid w:val="00867FB5"/>
    <w:rsid w:val="00875317"/>
    <w:rsid w:val="00893B9C"/>
    <w:rsid w:val="008A547B"/>
    <w:rsid w:val="008C3D24"/>
    <w:rsid w:val="008C7E57"/>
    <w:rsid w:val="008E5AAD"/>
    <w:rsid w:val="00904427"/>
    <w:rsid w:val="00904C3F"/>
    <w:rsid w:val="00907CB9"/>
    <w:rsid w:val="0091130D"/>
    <w:rsid w:val="00917EA9"/>
    <w:rsid w:val="00920103"/>
    <w:rsid w:val="00932571"/>
    <w:rsid w:val="00940C31"/>
    <w:rsid w:val="00946E09"/>
    <w:rsid w:val="00957AE0"/>
    <w:rsid w:val="009608BF"/>
    <w:rsid w:val="00963857"/>
    <w:rsid w:val="00972FBB"/>
    <w:rsid w:val="009840BB"/>
    <w:rsid w:val="0099259B"/>
    <w:rsid w:val="009B0C90"/>
    <w:rsid w:val="009C6EFD"/>
    <w:rsid w:val="009D458D"/>
    <w:rsid w:val="009E0F6D"/>
    <w:rsid w:val="009E492A"/>
    <w:rsid w:val="009E68B2"/>
    <w:rsid w:val="009F009F"/>
    <w:rsid w:val="00A22369"/>
    <w:rsid w:val="00A37335"/>
    <w:rsid w:val="00A37C52"/>
    <w:rsid w:val="00A4768A"/>
    <w:rsid w:val="00A521F8"/>
    <w:rsid w:val="00A53779"/>
    <w:rsid w:val="00A61548"/>
    <w:rsid w:val="00A708DD"/>
    <w:rsid w:val="00A71AF5"/>
    <w:rsid w:val="00A73EE8"/>
    <w:rsid w:val="00A833F4"/>
    <w:rsid w:val="00A857BF"/>
    <w:rsid w:val="00A87F64"/>
    <w:rsid w:val="00A938A6"/>
    <w:rsid w:val="00AA252A"/>
    <w:rsid w:val="00AB7D55"/>
    <w:rsid w:val="00AD56CE"/>
    <w:rsid w:val="00AE437D"/>
    <w:rsid w:val="00AF3B9F"/>
    <w:rsid w:val="00B018B0"/>
    <w:rsid w:val="00B03394"/>
    <w:rsid w:val="00B2462B"/>
    <w:rsid w:val="00B347FE"/>
    <w:rsid w:val="00B37D7C"/>
    <w:rsid w:val="00B70653"/>
    <w:rsid w:val="00B72D23"/>
    <w:rsid w:val="00B8323E"/>
    <w:rsid w:val="00B86647"/>
    <w:rsid w:val="00BA0047"/>
    <w:rsid w:val="00BA5C5B"/>
    <w:rsid w:val="00BA77A9"/>
    <w:rsid w:val="00BB535C"/>
    <w:rsid w:val="00BC2A6A"/>
    <w:rsid w:val="00BE0813"/>
    <w:rsid w:val="00BE7C01"/>
    <w:rsid w:val="00BF1DCE"/>
    <w:rsid w:val="00BF5DDC"/>
    <w:rsid w:val="00C171DC"/>
    <w:rsid w:val="00C24B91"/>
    <w:rsid w:val="00C37ED8"/>
    <w:rsid w:val="00C42275"/>
    <w:rsid w:val="00C433E5"/>
    <w:rsid w:val="00C440C5"/>
    <w:rsid w:val="00C51F8F"/>
    <w:rsid w:val="00C611A8"/>
    <w:rsid w:val="00C645EB"/>
    <w:rsid w:val="00C657BB"/>
    <w:rsid w:val="00C7108E"/>
    <w:rsid w:val="00C7417A"/>
    <w:rsid w:val="00C768B9"/>
    <w:rsid w:val="00C76AB3"/>
    <w:rsid w:val="00C904F6"/>
    <w:rsid w:val="00C974BB"/>
    <w:rsid w:val="00CB1CC7"/>
    <w:rsid w:val="00CC7DFF"/>
    <w:rsid w:val="00CD780A"/>
    <w:rsid w:val="00CE4345"/>
    <w:rsid w:val="00CE610A"/>
    <w:rsid w:val="00CF450D"/>
    <w:rsid w:val="00D02625"/>
    <w:rsid w:val="00D075FE"/>
    <w:rsid w:val="00D11F37"/>
    <w:rsid w:val="00D12243"/>
    <w:rsid w:val="00D20911"/>
    <w:rsid w:val="00D23891"/>
    <w:rsid w:val="00D258C8"/>
    <w:rsid w:val="00D45BB3"/>
    <w:rsid w:val="00D6481F"/>
    <w:rsid w:val="00D66A9C"/>
    <w:rsid w:val="00D839C2"/>
    <w:rsid w:val="00D85E8B"/>
    <w:rsid w:val="00D87B4E"/>
    <w:rsid w:val="00D9203A"/>
    <w:rsid w:val="00DC4794"/>
    <w:rsid w:val="00DD2515"/>
    <w:rsid w:val="00DE5330"/>
    <w:rsid w:val="00DF07A3"/>
    <w:rsid w:val="00E0490B"/>
    <w:rsid w:val="00E07622"/>
    <w:rsid w:val="00E07EE9"/>
    <w:rsid w:val="00E131EC"/>
    <w:rsid w:val="00E14D14"/>
    <w:rsid w:val="00E40E6F"/>
    <w:rsid w:val="00E4342D"/>
    <w:rsid w:val="00E46EDA"/>
    <w:rsid w:val="00E534DD"/>
    <w:rsid w:val="00E551F7"/>
    <w:rsid w:val="00E55928"/>
    <w:rsid w:val="00E63930"/>
    <w:rsid w:val="00E669D8"/>
    <w:rsid w:val="00E671FF"/>
    <w:rsid w:val="00E726A8"/>
    <w:rsid w:val="00E80ECA"/>
    <w:rsid w:val="00E91B1B"/>
    <w:rsid w:val="00E97428"/>
    <w:rsid w:val="00EB081C"/>
    <w:rsid w:val="00EB08FC"/>
    <w:rsid w:val="00EB56F0"/>
    <w:rsid w:val="00EB74E2"/>
    <w:rsid w:val="00EC05FB"/>
    <w:rsid w:val="00EC5380"/>
    <w:rsid w:val="00ED2631"/>
    <w:rsid w:val="00F00037"/>
    <w:rsid w:val="00F00659"/>
    <w:rsid w:val="00F10420"/>
    <w:rsid w:val="00F1531F"/>
    <w:rsid w:val="00F326FA"/>
    <w:rsid w:val="00F473C8"/>
    <w:rsid w:val="00F4745D"/>
    <w:rsid w:val="00F56FC4"/>
    <w:rsid w:val="00F65A31"/>
    <w:rsid w:val="00F72CE1"/>
    <w:rsid w:val="00F868EF"/>
    <w:rsid w:val="00F94407"/>
    <w:rsid w:val="00FB4A05"/>
    <w:rsid w:val="00FB612F"/>
    <w:rsid w:val="00FC657E"/>
    <w:rsid w:val="00FD2431"/>
    <w:rsid w:val="00FD29AE"/>
    <w:rsid w:val="00FF1A3B"/>
    <w:rsid w:val="00FF74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D1DE1A"/>
  <w15:chartTrackingRefBased/>
  <w15:docId w15:val="{F9AA7A18-49E3-4F11-BEF8-FECA5BEBA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134"/>
    <w:rPr>
      <w:rFonts w:ascii="Arial" w:hAnsi="Arial"/>
      <w:sz w:val="24"/>
      <w:lang w:val="en-GB"/>
    </w:rPr>
  </w:style>
  <w:style w:type="paragraph" w:styleId="Heading1">
    <w:name w:val="heading 1"/>
    <w:basedOn w:val="Normal"/>
    <w:next w:val="Normal"/>
    <w:link w:val="Heading1Char"/>
    <w:uiPriority w:val="9"/>
    <w:qFormat/>
    <w:rsid w:val="006979EF"/>
    <w:pPr>
      <w:keepNext/>
      <w:keepLines/>
      <w:spacing w:after="0"/>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EB74E2"/>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EB74E2"/>
    <w:pPr>
      <w:keepNext/>
      <w:keepLines/>
      <w:spacing w:before="40" w:after="0"/>
      <w:outlineLvl w:val="2"/>
    </w:pPr>
    <w:rPr>
      <w:rFonts w:eastAsiaTheme="majorEastAsia" w:cstheme="majorBidi"/>
      <w:b/>
      <w:i/>
      <w:szCs w:val="24"/>
      <w:u w:val="single"/>
    </w:rPr>
  </w:style>
  <w:style w:type="paragraph" w:styleId="Heading4">
    <w:name w:val="heading 4"/>
    <w:basedOn w:val="Normal"/>
    <w:next w:val="Normal"/>
    <w:link w:val="Heading4Char"/>
    <w:uiPriority w:val="9"/>
    <w:semiHidden/>
    <w:unhideWhenUsed/>
    <w:qFormat/>
    <w:rsid w:val="00EB74E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B74E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B74E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B74E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74E2"/>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B74E2"/>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9EF"/>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EB74E2"/>
    <w:rPr>
      <w:rFonts w:ascii="Times New Roman" w:eastAsiaTheme="majorEastAsia" w:hAnsi="Times New Roman" w:cstheme="majorBidi"/>
      <w:b/>
      <w:i/>
      <w:sz w:val="24"/>
      <w:szCs w:val="26"/>
      <w:lang w:val="en-GB"/>
    </w:rPr>
  </w:style>
  <w:style w:type="paragraph" w:styleId="Title">
    <w:name w:val="Title"/>
    <w:basedOn w:val="Normal"/>
    <w:next w:val="Normal"/>
    <w:link w:val="TitleChar"/>
    <w:uiPriority w:val="10"/>
    <w:qFormat/>
    <w:rsid w:val="006979EF"/>
    <w:pPr>
      <w:spacing w:before="0" w:after="0"/>
      <w:contextualSpacing/>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6979EF"/>
    <w:rPr>
      <w:rFonts w:ascii="Times New Roman" w:eastAsiaTheme="majorEastAsia" w:hAnsi="Times New Roman" w:cstheme="majorBidi"/>
      <w:b/>
      <w:color w:val="000000" w:themeColor="text1"/>
      <w:spacing w:val="-10"/>
      <w:kern w:val="28"/>
      <w:sz w:val="56"/>
      <w:szCs w:val="56"/>
      <w:lang w:val="en-GB"/>
    </w:rPr>
  </w:style>
  <w:style w:type="character" w:customStyle="1" w:styleId="Heading3Char">
    <w:name w:val="Heading 3 Char"/>
    <w:basedOn w:val="DefaultParagraphFont"/>
    <w:link w:val="Heading3"/>
    <w:uiPriority w:val="9"/>
    <w:rsid w:val="00EB74E2"/>
    <w:rPr>
      <w:rFonts w:ascii="Times New Roman" w:eastAsiaTheme="majorEastAsia" w:hAnsi="Times New Roman" w:cstheme="majorBidi"/>
      <w:b/>
      <w:i/>
      <w:sz w:val="24"/>
      <w:szCs w:val="24"/>
      <w:u w:val="single"/>
      <w:lang w:val="en-GB"/>
    </w:rPr>
  </w:style>
  <w:style w:type="character" w:customStyle="1" w:styleId="Heading4Char">
    <w:name w:val="Heading 4 Char"/>
    <w:basedOn w:val="DefaultParagraphFont"/>
    <w:link w:val="Heading4"/>
    <w:uiPriority w:val="9"/>
    <w:semiHidden/>
    <w:rsid w:val="00EB74E2"/>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EB74E2"/>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EB74E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B74E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B74E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B74E2"/>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EB74E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4E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B74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74E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EB74E2"/>
    <w:pPr>
      <w:ind w:left="720"/>
      <w:contextualSpacing/>
    </w:pPr>
  </w:style>
  <w:style w:type="character" w:styleId="IntenseEmphasis">
    <w:name w:val="Intense Emphasis"/>
    <w:basedOn w:val="DefaultParagraphFont"/>
    <w:uiPriority w:val="21"/>
    <w:qFormat/>
    <w:rsid w:val="00EB74E2"/>
    <w:rPr>
      <w:i/>
      <w:iCs/>
      <w:color w:val="0F4761" w:themeColor="accent1" w:themeShade="BF"/>
    </w:rPr>
  </w:style>
  <w:style w:type="paragraph" w:styleId="IntenseQuote">
    <w:name w:val="Intense Quote"/>
    <w:basedOn w:val="Normal"/>
    <w:next w:val="Normal"/>
    <w:link w:val="IntenseQuoteChar"/>
    <w:uiPriority w:val="30"/>
    <w:qFormat/>
    <w:rsid w:val="00EB7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4E2"/>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EB74E2"/>
    <w:rPr>
      <w:b/>
      <w:bCs/>
      <w:smallCaps/>
      <w:color w:val="0F4761" w:themeColor="accent1" w:themeShade="BF"/>
      <w:spacing w:val="5"/>
    </w:rPr>
  </w:style>
  <w:style w:type="paragraph" w:styleId="TOCHeading">
    <w:name w:val="TOC Heading"/>
    <w:basedOn w:val="Heading1"/>
    <w:next w:val="Normal"/>
    <w:uiPriority w:val="39"/>
    <w:unhideWhenUsed/>
    <w:qFormat/>
    <w:rsid w:val="00EB74E2"/>
    <w:pPr>
      <w:spacing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EB74E2"/>
    <w:pPr>
      <w:spacing w:after="100"/>
    </w:pPr>
  </w:style>
  <w:style w:type="character" w:styleId="Hyperlink">
    <w:name w:val="Hyperlink"/>
    <w:basedOn w:val="DefaultParagraphFont"/>
    <w:uiPriority w:val="99"/>
    <w:unhideWhenUsed/>
    <w:rsid w:val="00EB74E2"/>
    <w:rPr>
      <w:color w:val="467886" w:themeColor="hyperlink"/>
      <w:u w:val="single"/>
    </w:rPr>
  </w:style>
  <w:style w:type="paragraph" w:styleId="Header">
    <w:name w:val="header"/>
    <w:basedOn w:val="Normal"/>
    <w:link w:val="HeaderChar"/>
    <w:uiPriority w:val="99"/>
    <w:unhideWhenUsed/>
    <w:rsid w:val="000A12E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A12EA"/>
    <w:rPr>
      <w:rFonts w:ascii="Times New Roman" w:hAnsi="Times New Roman"/>
      <w:sz w:val="24"/>
      <w:lang w:val="en-GB"/>
    </w:rPr>
  </w:style>
  <w:style w:type="paragraph" w:styleId="Footer">
    <w:name w:val="footer"/>
    <w:basedOn w:val="Normal"/>
    <w:link w:val="FooterChar"/>
    <w:uiPriority w:val="99"/>
    <w:unhideWhenUsed/>
    <w:rsid w:val="000A12E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A12EA"/>
    <w:rPr>
      <w:rFonts w:ascii="Times New Roman" w:hAnsi="Times New Roman"/>
      <w:sz w:val="24"/>
      <w:lang w:val="en-GB"/>
    </w:rPr>
  </w:style>
  <w:style w:type="character" w:styleId="UnresolvedMention">
    <w:name w:val="Unresolved Mention"/>
    <w:basedOn w:val="DefaultParagraphFont"/>
    <w:uiPriority w:val="99"/>
    <w:semiHidden/>
    <w:unhideWhenUsed/>
    <w:rsid w:val="003B25BF"/>
    <w:rPr>
      <w:color w:val="605E5C"/>
      <w:shd w:val="clear" w:color="auto" w:fill="E1DFDD"/>
    </w:rPr>
  </w:style>
  <w:style w:type="paragraph" w:styleId="Caption">
    <w:name w:val="caption"/>
    <w:basedOn w:val="Normal"/>
    <w:next w:val="Normal"/>
    <w:uiPriority w:val="35"/>
    <w:unhideWhenUsed/>
    <w:qFormat/>
    <w:rsid w:val="00E80ECA"/>
    <w:pPr>
      <w:spacing w:before="0" w:after="200" w:line="240" w:lineRule="auto"/>
    </w:pPr>
    <w:rPr>
      <w:i/>
      <w:iCs/>
      <w:color w:val="0E2841" w:themeColor="text2"/>
      <w:sz w:val="18"/>
      <w:szCs w:val="18"/>
    </w:rPr>
  </w:style>
  <w:style w:type="paragraph" w:styleId="TOC2">
    <w:name w:val="toc 2"/>
    <w:basedOn w:val="Normal"/>
    <w:next w:val="Normal"/>
    <w:autoRedefine/>
    <w:uiPriority w:val="39"/>
    <w:unhideWhenUsed/>
    <w:rsid w:val="006023B1"/>
    <w:pPr>
      <w:spacing w:after="100"/>
      <w:ind w:left="240"/>
    </w:pPr>
  </w:style>
  <w:style w:type="paragraph" w:styleId="TOC3">
    <w:name w:val="toc 3"/>
    <w:basedOn w:val="Normal"/>
    <w:next w:val="Normal"/>
    <w:autoRedefine/>
    <w:uiPriority w:val="39"/>
    <w:unhideWhenUsed/>
    <w:rsid w:val="006023B1"/>
    <w:pPr>
      <w:spacing w:after="100"/>
      <w:ind w:left="480"/>
    </w:pPr>
  </w:style>
  <w:style w:type="character" w:styleId="Strong">
    <w:name w:val="Strong"/>
    <w:basedOn w:val="DefaultParagraphFont"/>
    <w:uiPriority w:val="22"/>
    <w:qFormat/>
    <w:rsid w:val="00382D2D"/>
    <w:rPr>
      <w:b/>
      <w:bCs/>
    </w:rPr>
  </w:style>
  <w:style w:type="table" w:styleId="TableGrid">
    <w:name w:val="Table Grid"/>
    <w:basedOn w:val="TableNormal"/>
    <w:uiPriority w:val="39"/>
    <w:rsid w:val="00382D2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2454A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diagramLayout" Target="diagrams/layout1.xml"/><Relationship Id="rId26" Type="http://schemas.openxmlformats.org/officeDocument/2006/relationships/hyperlink" Target="https://www.accaglobal.com/in/en/business-finance/types-finance/loans.html" TargetMode="External"/><Relationship Id="rId39" Type="http://schemas.openxmlformats.org/officeDocument/2006/relationships/hyperlink" Target="https://corporatefinanceinstitute.com/resources/accounting/arr-accounting-rate-of-return/" TargetMode="External"/><Relationship Id="rId21" Type="http://schemas.microsoft.com/office/2007/relationships/diagramDrawing" Target="diagrams/drawing1.xml"/><Relationship Id="rId34" Type="http://schemas.openxmlformats.org/officeDocument/2006/relationships/hyperlink" Target="https://www.netsuite.com/portal/resource/articles/accounting/efficiency-ratios.shtml" TargetMode="External"/><Relationship Id="rId42" Type="http://schemas.openxmlformats.org/officeDocument/2006/relationships/image" Target="media/image9.jpeg"/><Relationship Id="rId47" Type="http://schemas.openxmlformats.org/officeDocument/2006/relationships/image" Target="media/image14.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www.acte.in/definition-of-corporate-restructuring-explained" TargetMode="External"/><Relationship Id="rId11" Type="http://schemas.openxmlformats.org/officeDocument/2006/relationships/chart" Target="charts/chart4.xml"/><Relationship Id="rId24" Type="http://schemas.openxmlformats.org/officeDocument/2006/relationships/image" Target="media/image6.png"/><Relationship Id="rId32" Type="http://schemas.openxmlformats.org/officeDocument/2006/relationships/hyperlink" Target="https://www.bajajfinserv.in/investments/profitability-index" TargetMode="External"/><Relationship Id="rId37" Type="http://schemas.openxmlformats.org/officeDocument/2006/relationships/hyperlink" Target="https://corporatefinanceinstitute.com/resources/financial-modeling/payback-period/" TargetMode="External"/><Relationship Id="rId40" Type="http://schemas.openxmlformats.org/officeDocument/2006/relationships/hyperlink" Target="https://corporatefinanceinstitute.com/resources/accounting/profitability-ratios/" TargetMode="External"/><Relationship Id="rId45" Type="http://schemas.openxmlformats.org/officeDocument/2006/relationships/image" Target="media/image12.jpe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5.png"/><Relationship Id="rId28" Type="http://schemas.openxmlformats.org/officeDocument/2006/relationships/hyperlink" Target="https://www.accaglobal.com/in/en/student/exam-support-resources/foundation-level-study-resources/ffm/ffm-technical-articles/the-internal-rate-of-return.html" TargetMode="External"/><Relationship Id="rId36" Type="http://schemas.openxmlformats.org/officeDocument/2006/relationships/hyperlink" Target="https://corporatefinanceinstitute.com/resources/accounting/cash-conversion-cycle/" TargetMode="External"/><Relationship Id="rId49"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diagramQuickStyle" Target="diagrams/quickStyle1.xml"/><Relationship Id="rId31" Type="http://schemas.openxmlformats.org/officeDocument/2006/relationships/hyperlink" Target="https://www.allianz-trade.com/en_global/news-insights/business-tips-and-trade-advice/gearing-ratio-definition-types-calculation-method.html" TargetMode="External"/><Relationship Id="rId44"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png"/><Relationship Id="rId22" Type="http://schemas.openxmlformats.org/officeDocument/2006/relationships/image" Target="media/image4.png"/><Relationship Id="rId27" Type="http://schemas.openxmlformats.org/officeDocument/2006/relationships/hyperlink" Target="https://www.accaglobal.com/in/en/student/exam-support-resources/prodipsust-study-resources/technical-articles/investment-appraisal.html" TargetMode="External"/><Relationship Id="rId30" Type="http://schemas.openxmlformats.org/officeDocument/2006/relationships/hyperlink" Target="https://www.financialprofessionals.org/training-resources/resources/articles/details/net-present-value-vs.-internal-rate-of-return" TargetMode="External"/><Relationship Id="rId35" Type="http://schemas.openxmlformats.org/officeDocument/2006/relationships/hyperlink" Target="https://corporatefinanceinstitute.com/resources/commercial-lending/altmans-z-score-model/" TargetMode="External"/><Relationship Id="rId43" Type="http://schemas.openxmlformats.org/officeDocument/2006/relationships/image" Target="media/image10.png"/><Relationship Id="rId48" Type="http://schemas.openxmlformats.org/officeDocument/2006/relationships/image" Target="media/image15.png"/><Relationship Id="rId8" Type="http://schemas.openxmlformats.org/officeDocument/2006/relationships/chart" Target="charts/chart1.xm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chart" Target="charts/chart5.xml"/><Relationship Id="rId17" Type="http://schemas.openxmlformats.org/officeDocument/2006/relationships/diagramData" Target="diagrams/data1.xml"/><Relationship Id="rId25" Type="http://schemas.openxmlformats.org/officeDocument/2006/relationships/image" Target="media/image7.png"/><Relationship Id="rId33" Type="http://schemas.openxmlformats.org/officeDocument/2006/relationships/hyperlink" Target="https://www.bbc.co.uk/bitesize/guides/zrxn47h/revision/3" TargetMode="External"/><Relationship Id="rId38" Type="http://schemas.openxmlformats.org/officeDocument/2006/relationships/hyperlink" Target="https://www.novuna.co.uk/business-cash-flow/glossary/cash-flow-ratios/" TargetMode="External"/><Relationship Id="rId46" Type="http://schemas.openxmlformats.org/officeDocument/2006/relationships/image" Target="media/image13.jpeg"/><Relationship Id="rId20" Type="http://schemas.openxmlformats.org/officeDocument/2006/relationships/diagramColors" Target="diagrams/colors1.xml"/><Relationship Id="rId41"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AppData\Local\Microsoft\Windows\INetCache\IE\68683PNW\A11976%5b1%5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AppData\Local\Microsoft\Windows\INetCache\IE\68683PNW\A11976%5b1%5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AppData\Local\Microsoft\Windows\INetCache\IE\68683PNW\A11976%5b1%5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AppData\Local\Microsoft\Windows\INetCache\IE\68683PNW\A11976%5b1%5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AppData\Local\Microsoft\Windows\INetCache\IE\68683PNW\A11976%5b1%5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AppData\Local\Microsoft\Windows\INetCache\IE\68683PNW\A11976%5b1%5d.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r>
              <a:rPr lang="en-IN"/>
              <a:t>Profitability Ratios</a:t>
            </a:r>
          </a:p>
        </c:rich>
      </c:tx>
      <c:overlay val="0"/>
      <c:spPr>
        <a:noFill/>
        <a:ln>
          <a:noFill/>
        </a:ln>
        <a:effectLst/>
      </c:spPr>
      <c:txPr>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profitability!$J$5</c:f>
              <c:strCache>
                <c:ptCount val="1"/>
                <c:pt idx="0">
                  <c:v>Gross profit ratio</c:v>
                </c:pt>
              </c:strCache>
            </c:strRef>
          </c:tx>
          <c:spPr>
            <a:solidFill>
              <a:schemeClr val="accent6"/>
            </a:solidFill>
            <a:ln>
              <a:solidFill>
                <a:schemeClr val="accent6">
                  <a:lumMod val="75000"/>
                </a:schemeClr>
              </a:solidFill>
            </a:ln>
            <a:effectLst/>
            <a:scene3d>
              <a:camera prst="orthographicFront"/>
              <a:lightRig rig="threePt" dir="t"/>
            </a:scene3d>
            <a:sp3d prstMaterial="translucentPowder">
              <a:contourClr>
                <a:schemeClr val="accent6">
                  <a:lumMod val="75000"/>
                </a:schemeClr>
              </a:contourClr>
            </a:sp3d>
          </c:spPr>
          <c:invertIfNegative val="0"/>
          <c:cat>
            <c:numRef>
              <c:f>profitability!$K$4:$O$4</c:f>
              <c:numCache>
                <c:formatCode>General</c:formatCode>
                <c:ptCount val="5"/>
                <c:pt idx="0">
                  <c:v>2024</c:v>
                </c:pt>
                <c:pt idx="1">
                  <c:v>2023</c:v>
                </c:pt>
                <c:pt idx="2">
                  <c:v>2022</c:v>
                </c:pt>
                <c:pt idx="3">
                  <c:v>2021</c:v>
                </c:pt>
                <c:pt idx="4">
                  <c:v>2020</c:v>
                </c:pt>
              </c:numCache>
            </c:numRef>
          </c:cat>
          <c:val>
            <c:numRef>
              <c:f>profitability!$K$5:$O$5</c:f>
              <c:numCache>
                <c:formatCode>0.0%</c:formatCode>
                <c:ptCount val="5"/>
                <c:pt idx="0">
                  <c:v>0.28868083640811487</c:v>
                </c:pt>
                <c:pt idx="1">
                  <c:v>0.23203324002216635</c:v>
                </c:pt>
                <c:pt idx="2">
                  <c:v>0.28059275800505207</c:v>
                </c:pt>
                <c:pt idx="3">
                  <c:v>0.28759212901552855</c:v>
                </c:pt>
                <c:pt idx="4">
                  <c:v>0.28674432224897506</c:v>
                </c:pt>
              </c:numCache>
            </c:numRef>
          </c:val>
          <c:extLst>
            <c:ext xmlns:c16="http://schemas.microsoft.com/office/drawing/2014/chart" uri="{C3380CC4-5D6E-409C-BE32-E72D297353CC}">
              <c16:uniqueId val="{00000000-1A3A-4908-ACAA-8C117E3F4376}"/>
            </c:ext>
          </c:extLst>
        </c:ser>
        <c:ser>
          <c:idx val="2"/>
          <c:order val="2"/>
          <c:tx>
            <c:strRef>
              <c:f>profitability!$J$6</c:f>
              <c:strCache>
                <c:ptCount val="1"/>
                <c:pt idx="0">
                  <c:v>Net profit ratio</c:v>
                </c:pt>
              </c:strCache>
            </c:strRef>
          </c:tx>
          <c:spPr>
            <a:solidFill>
              <a:schemeClr val="accent4"/>
            </a:solidFill>
            <a:ln>
              <a:solidFill>
                <a:schemeClr val="accent4">
                  <a:lumMod val="75000"/>
                </a:schemeClr>
              </a:solidFill>
            </a:ln>
            <a:effectLst/>
            <a:scene3d>
              <a:camera prst="orthographicFront"/>
              <a:lightRig rig="threePt" dir="t"/>
            </a:scene3d>
            <a:sp3d prstMaterial="translucentPowder">
              <a:contourClr>
                <a:schemeClr val="accent4">
                  <a:lumMod val="75000"/>
                </a:schemeClr>
              </a:contourClr>
            </a:sp3d>
          </c:spPr>
          <c:invertIfNegative val="0"/>
          <c:cat>
            <c:numRef>
              <c:f>profitability!$K$4:$O$4</c:f>
              <c:numCache>
                <c:formatCode>General</c:formatCode>
                <c:ptCount val="5"/>
                <c:pt idx="0">
                  <c:v>2024</c:v>
                </c:pt>
                <c:pt idx="1">
                  <c:v>2023</c:v>
                </c:pt>
                <c:pt idx="2">
                  <c:v>2022</c:v>
                </c:pt>
                <c:pt idx="3">
                  <c:v>2021</c:v>
                </c:pt>
                <c:pt idx="4">
                  <c:v>2020</c:v>
                </c:pt>
              </c:numCache>
            </c:numRef>
          </c:cat>
          <c:val>
            <c:numRef>
              <c:f>profitability!$K$6:$O$6</c:f>
              <c:numCache>
                <c:formatCode>0.00%</c:formatCode>
                <c:ptCount val="5"/>
                <c:pt idx="0">
                  <c:v>-6.0851551994408414E-2</c:v>
                </c:pt>
                <c:pt idx="1">
                  <c:v>-0.23364577114901167</c:v>
                </c:pt>
                <c:pt idx="2">
                  <c:v>7.4988346405626153E-4</c:v>
                </c:pt>
                <c:pt idx="3">
                  <c:v>8.8114733661124791E-3</c:v>
                </c:pt>
                <c:pt idx="4">
                  <c:v>6.2751350296089026E-2</c:v>
                </c:pt>
              </c:numCache>
            </c:numRef>
          </c:val>
          <c:extLst>
            <c:ext xmlns:c16="http://schemas.microsoft.com/office/drawing/2014/chart" uri="{C3380CC4-5D6E-409C-BE32-E72D297353CC}">
              <c16:uniqueId val="{00000001-1A3A-4908-ACAA-8C117E3F4376}"/>
            </c:ext>
          </c:extLst>
        </c:ser>
        <c:dLbls>
          <c:showLegendKey val="0"/>
          <c:showVal val="0"/>
          <c:showCatName val="0"/>
          <c:showSerName val="0"/>
          <c:showPercent val="0"/>
          <c:showBubbleSize val="0"/>
        </c:dLbls>
        <c:gapWidth val="150"/>
        <c:shape val="box"/>
        <c:axId val="1305642911"/>
        <c:axId val="1305643871"/>
        <c:axId val="0"/>
        <c:extLst>
          <c:ext xmlns:c15="http://schemas.microsoft.com/office/drawing/2012/chart" uri="{02D57815-91ED-43cb-92C2-25804820EDAC}">
            <c15:filteredBarSeries>
              <c15:ser>
                <c:idx val="1"/>
                <c:order val="1"/>
                <c:tx>
                  <c:strRef>
                    <c:extLst>
                      <c:ext uri="{02D57815-91ED-43cb-92C2-25804820EDAC}">
                        <c15:formulaRef>
                          <c15:sqref>profitability!#REF!</c15:sqref>
                        </c15:formulaRef>
                      </c:ext>
                    </c:extLst>
                    <c:strCache>
                      <c:ptCount val="1"/>
                      <c:pt idx="0">
                        <c:v>#REF!</c:v>
                      </c:pt>
                    </c:strCache>
                  </c:strRef>
                </c:tx>
                <c:spPr>
                  <a:solidFill>
                    <a:schemeClr val="accent5"/>
                  </a:solidFill>
                  <a:ln>
                    <a:solidFill>
                      <a:schemeClr val="accent5">
                        <a:lumMod val="75000"/>
                      </a:schemeClr>
                    </a:solidFill>
                  </a:ln>
                  <a:effectLst/>
                  <a:scene3d>
                    <a:camera prst="orthographicFront"/>
                    <a:lightRig rig="threePt" dir="t"/>
                  </a:scene3d>
                  <a:sp3d prstMaterial="translucentPowder">
                    <a:contourClr>
                      <a:schemeClr val="accent5">
                        <a:lumMod val="75000"/>
                      </a:schemeClr>
                    </a:contourClr>
                  </a:sp3d>
                </c:spPr>
                <c:invertIfNegative val="0"/>
                <c:cat>
                  <c:numRef>
                    <c:extLst>
                      <c:ext uri="{02D57815-91ED-43cb-92C2-25804820EDAC}">
                        <c15:formulaRef>
                          <c15:sqref>profitability!$K$4:$O$4</c15:sqref>
                        </c15:formulaRef>
                      </c:ext>
                    </c:extLst>
                    <c:numCache>
                      <c:formatCode>General</c:formatCode>
                      <c:ptCount val="5"/>
                      <c:pt idx="0">
                        <c:v>2024</c:v>
                      </c:pt>
                      <c:pt idx="1">
                        <c:v>2023</c:v>
                      </c:pt>
                      <c:pt idx="2">
                        <c:v>2022</c:v>
                      </c:pt>
                      <c:pt idx="3">
                        <c:v>2021</c:v>
                      </c:pt>
                      <c:pt idx="4">
                        <c:v>2020</c:v>
                      </c:pt>
                    </c:numCache>
                  </c:numRef>
                </c:cat>
                <c:val>
                  <c:numRef>
                    <c:extLst>
                      <c:ext uri="{02D57815-91ED-43cb-92C2-25804820EDAC}">
                        <c15:formulaRef>
                          <c15:sqref>profitability!#REF!</c15:sqref>
                        </c15:formulaRef>
                      </c:ext>
                    </c:extLst>
                    <c:numCache>
                      <c:formatCode>General</c:formatCode>
                      <c:ptCount val="1"/>
                      <c:pt idx="0">
                        <c:v>1</c:v>
                      </c:pt>
                    </c:numCache>
                  </c:numRef>
                </c:val>
                <c:extLst>
                  <c:ext xmlns:c16="http://schemas.microsoft.com/office/drawing/2014/chart" uri="{C3380CC4-5D6E-409C-BE32-E72D297353CC}">
                    <c16:uniqueId val="{00000002-1A3A-4908-ACAA-8C117E3F4376}"/>
                  </c:ext>
                </c:extLst>
              </c15:ser>
            </c15:filteredBarSeries>
          </c:ext>
        </c:extLst>
      </c:bar3DChart>
      <c:catAx>
        <c:axId val="130564291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305643871"/>
        <c:crosses val="autoZero"/>
        <c:auto val="1"/>
        <c:lblAlgn val="ctr"/>
        <c:lblOffset val="100"/>
        <c:noMultiLvlLbl val="0"/>
      </c:catAx>
      <c:valAx>
        <c:axId val="1305643871"/>
        <c:scaling>
          <c:orientation val="minMax"/>
        </c:scaling>
        <c:delete val="0"/>
        <c:axPos val="l"/>
        <c:majorGridlines>
          <c:spPr>
            <a:ln w="9525" cap="flat" cmpd="sng" algn="ctr">
              <a:solidFill>
                <a:schemeClr val="tx1">
                  <a:lumMod val="5000"/>
                  <a:lumOff val="9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305642911"/>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50000"/>
                    <a:lumOff val="50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r>
              <a:rPr lang="en-IN"/>
              <a:t>Liquidity Ratios</a:t>
            </a:r>
          </a:p>
        </c:rich>
      </c:tx>
      <c:overlay val="0"/>
      <c:spPr>
        <a:noFill/>
        <a:ln>
          <a:noFill/>
        </a:ln>
        <a:effectLst/>
      </c:spPr>
      <c:txPr>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liquidity!$J$5</c:f>
              <c:strCache>
                <c:ptCount val="1"/>
                <c:pt idx="0">
                  <c:v>Current Ratio</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liquidity!$K$4:$O$4</c:f>
              <c:numCache>
                <c:formatCode>General</c:formatCode>
                <c:ptCount val="5"/>
                <c:pt idx="0">
                  <c:v>2024</c:v>
                </c:pt>
                <c:pt idx="1">
                  <c:v>2023</c:v>
                </c:pt>
                <c:pt idx="2">
                  <c:v>2022</c:v>
                </c:pt>
                <c:pt idx="3">
                  <c:v>2021</c:v>
                </c:pt>
                <c:pt idx="4">
                  <c:v>2020</c:v>
                </c:pt>
              </c:numCache>
            </c:numRef>
          </c:cat>
          <c:val>
            <c:numRef>
              <c:f>liquidity!$K$5:$O$5</c:f>
              <c:numCache>
                <c:formatCode>0.000</c:formatCode>
                <c:ptCount val="5"/>
                <c:pt idx="0">
                  <c:v>1.5319506478574272</c:v>
                </c:pt>
                <c:pt idx="1">
                  <c:v>1.6062935934668752</c:v>
                </c:pt>
                <c:pt idx="2">
                  <c:v>1.5615804280441441</c:v>
                </c:pt>
                <c:pt idx="3">
                  <c:v>1.5551947303113194</c:v>
                </c:pt>
                <c:pt idx="4">
                  <c:v>1.8207509330956493</c:v>
                </c:pt>
              </c:numCache>
            </c:numRef>
          </c:val>
          <c:extLst>
            <c:ext xmlns:c16="http://schemas.microsoft.com/office/drawing/2014/chart" uri="{C3380CC4-5D6E-409C-BE32-E72D297353CC}">
              <c16:uniqueId val="{00000000-E2D6-48E7-A2A0-A6888A5BA425}"/>
            </c:ext>
          </c:extLst>
        </c:ser>
        <c:ser>
          <c:idx val="1"/>
          <c:order val="1"/>
          <c:tx>
            <c:strRef>
              <c:f>liquidity!$J$6</c:f>
              <c:strCache>
                <c:ptCount val="1"/>
                <c:pt idx="0">
                  <c:v>Acid test ratio</c:v>
                </c:pt>
              </c:strCache>
            </c:strRef>
          </c:tx>
          <c:spPr>
            <a:solidFill>
              <a:schemeClr val="accent3"/>
            </a:solidFill>
            <a:ln>
              <a:solidFill>
                <a:schemeClr val="accent3">
                  <a:lumMod val="75000"/>
                </a:schemeClr>
              </a:solidFill>
            </a:ln>
            <a:effectLst/>
            <a:scene3d>
              <a:camera prst="orthographicFront"/>
              <a:lightRig rig="threePt" dir="t"/>
            </a:scene3d>
            <a:sp3d prstMaterial="translucentPowder">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liquidity!$K$4:$O$4</c:f>
              <c:numCache>
                <c:formatCode>General</c:formatCode>
                <c:ptCount val="5"/>
                <c:pt idx="0">
                  <c:v>2024</c:v>
                </c:pt>
                <c:pt idx="1">
                  <c:v>2023</c:v>
                </c:pt>
                <c:pt idx="2">
                  <c:v>2022</c:v>
                </c:pt>
                <c:pt idx="3">
                  <c:v>2021</c:v>
                </c:pt>
                <c:pt idx="4">
                  <c:v>2020</c:v>
                </c:pt>
              </c:numCache>
            </c:numRef>
          </c:cat>
          <c:val>
            <c:numRef>
              <c:f>liquidity!$K$6:$O$6</c:f>
              <c:numCache>
                <c:formatCode>0.000</c:formatCode>
                <c:ptCount val="5"/>
                <c:pt idx="0">
                  <c:v>1.0306271360974408</c:v>
                </c:pt>
                <c:pt idx="1">
                  <c:v>1.0585176359619728</c:v>
                </c:pt>
                <c:pt idx="2">
                  <c:v>0.9140123710578224</c:v>
                </c:pt>
                <c:pt idx="3">
                  <c:v>0.93491307135575474</c:v>
                </c:pt>
                <c:pt idx="4">
                  <c:v>1.1498690880730877</c:v>
                </c:pt>
              </c:numCache>
            </c:numRef>
          </c:val>
          <c:extLst>
            <c:ext xmlns:c16="http://schemas.microsoft.com/office/drawing/2014/chart" uri="{C3380CC4-5D6E-409C-BE32-E72D297353CC}">
              <c16:uniqueId val="{00000001-E2D6-48E7-A2A0-A6888A5BA425}"/>
            </c:ext>
          </c:extLst>
        </c:ser>
        <c:dLbls>
          <c:showLegendKey val="0"/>
          <c:showVal val="1"/>
          <c:showCatName val="0"/>
          <c:showSerName val="0"/>
          <c:showPercent val="0"/>
          <c:showBubbleSize val="0"/>
        </c:dLbls>
        <c:gapWidth val="150"/>
        <c:shape val="box"/>
        <c:axId val="2038851071"/>
        <c:axId val="2038842911"/>
        <c:axId val="0"/>
      </c:bar3DChart>
      <c:catAx>
        <c:axId val="203885107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38842911"/>
        <c:crosses val="autoZero"/>
        <c:auto val="1"/>
        <c:lblAlgn val="ctr"/>
        <c:lblOffset val="100"/>
        <c:noMultiLvlLbl val="0"/>
      </c:catAx>
      <c:valAx>
        <c:axId val="2038842911"/>
        <c:scaling>
          <c:orientation val="minMax"/>
        </c:scaling>
        <c:delete val="0"/>
        <c:axPos val="l"/>
        <c:majorGridlines>
          <c:spPr>
            <a:ln w="9525" cap="flat" cmpd="sng" algn="ctr">
              <a:solidFill>
                <a:schemeClr val="tx1">
                  <a:lumMod val="5000"/>
                  <a:lumOff val="9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388510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Efficiency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efficiency!$J$5</c:f>
              <c:strCache>
                <c:ptCount val="1"/>
                <c:pt idx="0">
                  <c:v>Receivables turnover days</c:v>
                </c:pt>
              </c:strCache>
            </c:strRef>
          </c:tx>
          <c:spPr>
            <a:solidFill>
              <a:schemeClr val="accent1"/>
            </a:solidFill>
            <a:ln>
              <a:noFill/>
            </a:ln>
            <a:effectLst/>
            <a:sp3d/>
          </c:spPr>
          <c:invertIfNegative val="0"/>
          <c:cat>
            <c:numRef>
              <c:f>efficiency!$K$4:$O$4</c:f>
              <c:numCache>
                <c:formatCode>General</c:formatCode>
                <c:ptCount val="5"/>
                <c:pt idx="0">
                  <c:v>2024</c:v>
                </c:pt>
                <c:pt idx="1">
                  <c:v>2023</c:v>
                </c:pt>
                <c:pt idx="2">
                  <c:v>2022</c:v>
                </c:pt>
                <c:pt idx="3">
                  <c:v>2021</c:v>
                </c:pt>
                <c:pt idx="4">
                  <c:v>2020</c:v>
                </c:pt>
              </c:numCache>
            </c:numRef>
          </c:cat>
          <c:val>
            <c:numRef>
              <c:f>efficiency!$K$5:$O$5</c:f>
              <c:numCache>
                <c:formatCode>0</c:formatCode>
                <c:ptCount val="5"/>
                <c:pt idx="0">
                  <c:v>105.54228004021485</c:v>
                </c:pt>
                <c:pt idx="1">
                  <c:v>97.744929921490183</c:v>
                </c:pt>
                <c:pt idx="2">
                  <c:v>75.552675167802548</c:v>
                </c:pt>
                <c:pt idx="3">
                  <c:v>78.396473083533635</c:v>
                </c:pt>
                <c:pt idx="4">
                  <c:v>76.857950478297653</c:v>
                </c:pt>
              </c:numCache>
            </c:numRef>
          </c:val>
          <c:extLst>
            <c:ext xmlns:c16="http://schemas.microsoft.com/office/drawing/2014/chart" uri="{C3380CC4-5D6E-409C-BE32-E72D297353CC}">
              <c16:uniqueId val="{00000000-3B7D-4A21-BCE9-FB9431A1AF9C}"/>
            </c:ext>
          </c:extLst>
        </c:ser>
        <c:ser>
          <c:idx val="1"/>
          <c:order val="1"/>
          <c:tx>
            <c:strRef>
              <c:f>efficiency!$J$6</c:f>
              <c:strCache>
                <c:ptCount val="1"/>
                <c:pt idx="0">
                  <c:v>Inventory turnover days</c:v>
                </c:pt>
              </c:strCache>
            </c:strRef>
          </c:tx>
          <c:spPr>
            <a:solidFill>
              <a:schemeClr val="accent2"/>
            </a:solidFill>
            <a:ln>
              <a:noFill/>
            </a:ln>
            <a:effectLst/>
            <a:sp3d/>
          </c:spPr>
          <c:invertIfNegative val="0"/>
          <c:cat>
            <c:numRef>
              <c:f>efficiency!$K$4:$O$4</c:f>
              <c:numCache>
                <c:formatCode>General</c:formatCode>
                <c:ptCount val="5"/>
                <c:pt idx="0">
                  <c:v>2024</c:v>
                </c:pt>
                <c:pt idx="1">
                  <c:v>2023</c:v>
                </c:pt>
                <c:pt idx="2">
                  <c:v>2022</c:v>
                </c:pt>
                <c:pt idx="3">
                  <c:v>2021</c:v>
                </c:pt>
                <c:pt idx="4">
                  <c:v>2020</c:v>
                </c:pt>
              </c:numCache>
            </c:numRef>
          </c:cat>
          <c:val>
            <c:numRef>
              <c:f>efficiency!$K$6:$O$6</c:f>
              <c:numCache>
                <c:formatCode>0</c:formatCode>
                <c:ptCount val="5"/>
                <c:pt idx="0">
                  <c:v>103.11898107766524</c:v>
                </c:pt>
                <c:pt idx="1">
                  <c:v>99.783042270445378</c:v>
                </c:pt>
                <c:pt idx="2">
                  <c:v>131.04081350410669</c:v>
                </c:pt>
                <c:pt idx="3">
                  <c:v>114.51887135837381</c:v>
                </c:pt>
                <c:pt idx="4">
                  <c:v>100.26127675492218</c:v>
                </c:pt>
              </c:numCache>
            </c:numRef>
          </c:val>
          <c:extLst>
            <c:ext xmlns:c16="http://schemas.microsoft.com/office/drawing/2014/chart" uri="{C3380CC4-5D6E-409C-BE32-E72D297353CC}">
              <c16:uniqueId val="{00000001-3B7D-4A21-BCE9-FB9431A1AF9C}"/>
            </c:ext>
          </c:extLst>
        </c:ser>
        <c:dLbls>
          <c:showLegendKey val="0"/>
          <c:showVal val="0"/>
          <c:showCatName val="0"/>
          <c:showSerName val="0"/>
          <c:showPercent val="0"/>
          <c:showBubbleSize val="0"/>
        </c:dLbls>
        <c:gapWidth val="150"/>
        <c:shape val="box"/>
        <c:axId val="163470223"/>
        <c:axId val="163472623"/>
        <c:axId val="0"/>
      </c:bar3DChart>
      <c:catAx>
        <c:axId val="1634702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472623"/>
        <c:crosses val="autoZero"/>
        <c:auto val="1"/>
        <c:lblAlgn val="ctr"/>
        <c:lblOffset val="100"/>
        <c:noMultiLvlLbl val="0"/>
      </c:catAx>
      <c:valAx>
        <c:axId val="16347262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470223"/>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IN"/>
              <a:t>Gearing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IN"/>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gearing!$J$5</c:f>
              <c:strCache>
                <c:ptCount val="1"/>
                <c:pt idx="0">
                  <c:v>Debt-equity ratio</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invertIfNegative val="0"/>
          <c:cat>
            <c:numRef>
              <c:f>gearing!$K$4:$O$4</c:f>
              <c:numCache>
                <c:formatCode>General</c:formatCode>
                <c:ptCount val="5"/>
                <c:pt idx="0">
                  <c:v>2024</c:v>
                </c:pt>
                <c:pt idx="1">
                  <c:v>2023</c:v>
                </c:pt>
                <c:pt idx="2">
                  <c:v>2022</c:v>
                </c:pt>
                <c:pt idx="3">
                  <c:v>2021</c:v>
                </c:pt>
                <c:pt idx="4">
                  <c:v>2020</c:v>
                </c:pt>
              </c:numCache>
            </c:numRef>
          </c:cat>
          <c:val>
            <c:numRef>
              <c:f>gearing!$K$5:$O$5</c:f>
              <c:numCache>
                <c:formatCode>0.000</c:formatCode>
                <c:ptCount val="5"/>
                <c:pt idx="0">
                  <c:v>7.8103262466934456E-2</c:v>
                </c:pt>
                <c:pt idx="1">
                  <c:v>8.8329979879275655E-2</c:v>
                </c:pt>
                <c:pt idx="2">
                  <c:v>7.1846381973577345E-2</c:v>
                </c:pt>
                <c:pt idx="3">
                  <c:v>6.382338765496523E-2</c:v>
                </c:pt>
                <c:pt idx="4">
                  <c:v>5.5789799585701925E-2</c:v>
                </c:pt>
              </c:numCache>
            </c:numRef>
          </c:val>
          <c:extLst>
            <c:ext xmlns:c16="http://schemas.microsoft.com/office/drawing/2014/chart" uri="{C3380CC4-5D6E-409C-BE32-E72D297353CC}">
              <c16:uniqueId val="{00000000-C0A2-418F-BB59-B45A84B789FC}"/>
            </c:ext>
          </c:extLst>
        </c:ser>
        <c:ser>
          <c:idx val="1"/>
          <c:order val="1"/>
          <c:tx>
            <c:strRef>
              <c:f>gearing!$J$6</c:f>
              <c:strCache>
                <c:ptCount val="1"/>
                <c:pt idx="0">
                  <c:v>Interest Coverage Ratio</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invertIfNegative val="0"/>
          <c:cat>
            <c:numRef>
              <c:f>gearing!$K$4:$O$4</c:f>
              <c:numCache>
                <c:formatCode>General</c:formatCode>
                <c:ptCount val="5"/>
                <c:pt idx="0">
                  <c:v>2024</c:v>
                </c:pt>
                <c:pt idx="1">
                  <c:v>2023</c:v>
                </c:pt>
                <c:pt idx="2">
                  <c:v>2022</c:v>
                </c:pt>
                <c:pt idx="3">
                  <c:v>2021</c:v>
                </c:pt>
                <c:pt idx="4">
                  <c:v>2020</c:v>
                </c:pt>
              </c:numCache>
            </c:numRef>
          </c:cat>
          <c:val>
            <c:numRef>
              <c:f>gearing!$K$6:$O$6</c:f>
              <c:numCache>
                <c:formatCode>0.000</c:formatCode>
                <c:ptCount val="5"/>
                <c:pt idx="0">
                  <c:v>-4.5513240107110979</c:v>
                </c:pt>
                <c:pt idx="1">
                  <c:v>-19.690904893813482</c:v>
                </c:pt>
                <c:pt idx="2">
                  <c:v>6.6127272727272723</c:v>
                </c:pt>
                <c:pt idx="3">
                  <c:v>41.083038869257948</c:v>
                </c:pt>
                <c:pt idx="4">
                  <c:v>26.20745428973277</c:v>
                </c:pt>
              </c:numCache>
            </c:numRef>
          </c:val>
          <c:extLst>
            <c:ext xmlns:c16="http://schemas.microsoft.com/office/drawing/2014/chart" uri="{C3380CC4-5D6E-409C-BE32-E72D297353CC}">
              <c16:uniqueId val="{00000001-C0A2-418F-BB59-B45A84B789FC}"/>
            </c:ext>
          </c:extLst>
        </c:ser>
        <c:dLbls>
          <c:showLegendKey val="0"/>
          <c:showVal val="0"/>
          <c:showCatName val="0"/>
          <c:showSerName val="0"/>
          <c:showPercent val="0"/>
          <c:showBubbleSize val="0"/>
        </c:dLbls>
        <c:gapWidth val="150"/>
        <c:shape val="box"/>
        <c:axId val="1460246383"/>
        <c:axId val="1460251663"/>
        <c:axId val="0"/>
      </c:bar3DChart>
      <c:catAx>
        <c:axId val="1460246383"/>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60251663"/>
        <c:crosses val="autoZero"/>
        <c:auto val="1"/>
        <c:lblAlgn val="ctr"/>
        <c:lblOffset val="100"/>
        <c:noMultiLvlLbl val="0"/>
      </c:catAx>
      <c:valAx>
        <c:axId val="1460251663"/>
        <c:scaling>
          <c:orientation val="minMax"/>
        </c:scaling>
        <c:delete val="0"/>
        <c:axPos val="l"/>
        <c:majorGridlines>
          <c:spPr>
            <a:ln w="9525" cap="flat" cmpd="sng" algn="ctr">
              <a:solidFill>
                <a:schemeClr val="tx2">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60246383"/>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IN"/>
              <a:t>Investment Ratios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investment!$J$5</c:f>
              <c:strCache>
                <c:ptCount val="1"/>
                <c:pt idx="0">
                  <c:v>Return on equity</c:v>
                </c:pt>
              </c:strCache>
            </c:strRef>
          </c:tx>
          <c:spPr>
            <a:gradFill rotWithShape="1">
              <a:gsLst>
                <a:gs pos="0">
                  <a:schemeClr val="accent2">
                    <a:shade val="76000"/>
                    <a:lumMod val="110000"/>
                    <a:satMod val="105000"/>
                    <a:tint val="67000"/>
                  </a:schemeClr>
                </a:gs>
                <a:gs pos="50000">
                  <a:schemeClr val="accent2">
                    <a:shade val="76000"/>
                    <a:lumMod val="105000"/>
                    <a:satMod val="103000"/>
                    <a:tint val="73000"/>
                  </a:schemeClr>
                </a:gs>
                <a:gs pos="100000">
                  <a:schemeClr val="accent2">
                    <a:shade val="76000"/>
                    <a:lumMod val="105000"/>
                    <a:satMod val="109000"/>
                    <a:tint val="81000"/>
                  </a:schemeClr>
                </a:gs>
              </a:gsLst>
              <a:lin ang="5400000" scaled="0"/>
            </a:gradFill>
            <a:ln w="9525" cap="flat" cmpd="sng" algn="ctr">
              <a:solidFill>
                <a:schemeClr val="accent2">
                  <a:shade val="76000"/>
                  <a:shade val="95000"/>
                </a:schemeClr>
              </a:solidFill>
              <a:round/>
            </a:ln>
            <a:effectLst/>
            <a:sp3d contourW="9525">
              <a:contourClr>
                <a:schemeClr val="accent2">
                  <a:shade val="76000"/>
                  <a:shade val="95000"/>
                </a:schemeClr>
              </a:contourClr>
            </a:sp3d>
          </c:spPr>
          <c:invertIfNegative val="0"/>
          <c:cat>
            <c:numRef>
              <c:f>investment!$K$4:$O$4</c:f>
              <c:numCache>
                <c:formatCode>General</c:formatCode>
                <c:ptCount val="5"/>
                <c:pt idx="0">
                  <c:v>2024</c:v>
                </c:pt>
                <c:pt idx="1">
                  <c:v>2023</c:v>
                </c:pt>
                <c:pt idx="2">
                  <c:v>2022</c:v>
                </c:pt>
                <c:pt idx="3">
                  <c:v>2021</c:v>
                </c:pt>
                <c:pt idx="4">
                  <c:v>2020</c:v>
                </c:pt>
              </c:numCache>
            </c:numRef>
          </c:cat>
          <c:val>
            <c:numRef>
              <c:f>investment!$K$5:$O$5</c:f>
              <c:numCache>
                <c:formatCode>0.00%</c:formatCode>
                <c:ptCount val="5"/>
                <c:pt idx="0">
                  <c:v>-0.1569445805166389</c:v>
                </c:pt>
                <c:pt idx="1">
                  <c:v>-0.54906103286384977</c:v>
                </c:pt>
                <c:pt idx="2">
                  <c:v>1.5163595448685946E-3</c:v>
                </c:pt>
                <c:pt idx="3">
                  <c:v>1.9210071426241804E-2</c:v>
                </c:pt>
                <c:pt idx="4">
                  <c:v>0.1231148320624575</c:v>
                </c:pt>
              </c:numCache>
            </c:numRef>
          </c:val>
          <c:extLst>
            <c:ext xmlns:c16="http://schemas.microsoft.com/office/drawing/2014/chart" uri="{C3380CC4-5D6E-409C-BE32-E72D297353CC}">
              <c16:uniqueId val="{00000000-9A9E-482F-892F-215E59F5A783}"/>
            </c:ext>
          </c:extLst>
        </c:ser>
        <c:ser>
          <c:idx val="1"/>
          <c:order val="1"/>
          <c:tx>
            <c:strRef>
              <c:f>investment!$J$6</c:f>
              <c:strCache>
                <c:ptCount val="1"/>
                <c:pt idx="0">
                  <c:v>Earnings per share</c:v>
                </c:pt>
              </c:strCache>
            </c:strRef>
          </c:tx>
          <c:spPr>
            <a:gradFill rotWithShape="1">
              <a:gsLst>
                <a:gs pos="0">
                  <a:schemeClr val="accent2">
                    <a:tint val="77000"/>
                    <a:lumMod val="110000"/>
                    <a:satMod val="105000"/>
                    <a:tint val="67000"/>
                  </a:schemeClr>
                </a:gs>
                <a:gs pos="50000">
                  <a:schemeClr val="accent2">
                    <a:tint val="77000"/>
                    <a:lumMod val="105000"/>
                    <a:satMod val="103000"/>
                    <a:tint val="73000"/>
                  </a:schemeClr>
                </a:gs>
                <a:gs pos="100000">
                  <a:schemeClr val="accent2">
                    <a:tint val="77000"/>
                    <a:lumMod val="105000"/>
                    <a:satMod val="109000"/>
                    <a:tint val="81000"/>
                  </a:schemeClr>
                </a:gs>
              </a:gsLst>
              <a:lin ang="5400000" scaled="0"/>
            </a:gradFill>
            <a:ln w="9525" cap="flat" cmpd="sng" algn="ctr">
              <a:solidFill>
                <a:schemeClr val="accent2">
                  <a:tint val="77000"/>
                  <a:shade val="95000"/>
                </a:schemeClr>
              </a:solidFill>
              <a:round/>
            </a:ln>
            <a:effectLst/>
            <a:sp3d contourW="9525">
              <a:contourClr>
                <a:schemeClr val="accent2">
                  <a:tint val="77000"/>
                  <a:shade val="95000"/>
                </a:schemeClr>
              </a:contourClr>
            </a:sp3d>
          </c:spPr>
          <c:invertIfNegative val="0"/>
          <c:cat>
            <c:numRef>
              <c:f>investment!$K$4:$O$4</c:f>
              <c:numCache>
                <c:formatCode>General</c:formatCode>
                <c:ptCount val="5"/>
                <c:pt idx="0">
                  <c:v>2024</c:v>
                </c:pt>
                <c:pt idx="1">
                  <c:v>2023</c:v>
                </c:pt>
                <c:pt idx="2">
                  <c:v>2022</c:v>
                </c:pt>
                <c:pt idx="3">
                  <c:v>2021</c:v>
                </c:pt>
                <c:pt idx="4">
                  <c:v>2020</c:v>
                </c:pt>
              </c:numCache>
            </c:numRef>
          </c:cat>
          <c:val>
            <c:numRef>
              <c:f>investment!$K$6:$O$6</c:f>
              <c:numCache>
                <c:formatCode>0.00</c:formatCode>
                <c:ptCount val="5"/>
                <c:pt idx="0">
                  <c:v>-1.8542325796743575</c:v>
                </c:pt>
                <c:pt idx="1">
                  <c:v>-7.6420070011668608</c:v>
                </c:pt>
                <c:pt idx="2">
                  <c:v>3.2039675667165236E-2</c:v>
                </c:pt>
                <c:pt idx="3">
                  <c:v>0.39368733754177498</c:v>
                </c:pt>
                <c:pt idx="4">
                  <c:v>2.77636219678975</c:v>
                </c:pt>
              </c:numCache>
            </c:numRef>
          </c:val>
          <c:extLst>
            <c:ext xmlns:c16="http://schemas.microsoft.com/office/drawing/2014/chart" uri="{C3380CC4-5D6E-409C-BE32-E72D297353CC}">
              <c16:uniqueId val="{00000001-9A9E-482F-892F-215E59F5A783}"/>
            </c:ext>
          </c:extLst>
        </c:ser>
        <c:dLbls>
          <c:showLegendKey val="0"/>
          <c:showVal val="0"/>
          <c:showCatName val="0"/>
          <c:showSerName val="0"/>
          <c:showPercent val="0"/>
          <c:showBubbleSize val="0"/>
        </c:dLbls>
        <c:gapWidth val="150"/>
        <c:shape val="box"/>
        <c:axId val="1460247823"/>
        <c:axId val="1460255503"/>
        <c:axId val="0"/>
      </c:bar3DChart>
      <c:catAx>
        <c:axId val="14602478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60255503"/>
        <c:crosses val="autoZero"/>
        <c:auto val="1"/>
        <c:lblAlgn val="ctr"/>
        <c:lblOffset val="100"/>
        <c:noMultiLvlLbl val="0"/>
      </c:catAx>
      <c:valAx>
        <c:axId val="146025550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60247823"/>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50000"/>
                    <a:lumOff val="50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r>
              <a:rPr lang="en-IN"/>
              <a:t>Cash flows</a:t>
            </a:r>
          </a:p>
        </c:rich>
      </c:tx>
      <c:overlay val="0"/>
      <c:spPr>
        <a:noFill/>
        <a:ln>
          <a:noFill/>
        </a:ln>
        <a:effectLst/>
      </c:spPr>
      <c:txPr>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'cash flows'!$J$5</c:f>
              <c:strCache>
                <c:ptCount val="1"/>
                <c:pt idx="0">
                  <c:v>Operating cash flow ratio</c:v>
                </c:pt>
              </c:strCache>
            </c:strRef>
          </c:tx>
          <c:spPr>
            <a:solidFill>
              <a:schemeClr val="accent2"/>
            </a:solidFill>
            <a:ln>
              <a:solidFill>
                <a:schemeClr val="accent2">
                  <a:lumMod val="75000"/>
                </a:schemeClr>
              </a:solidFill>
            </a:ln>
            <a:effectLst/>
            <a:scene3d>
              <a:camera prst="orthographicFront"/>
              <a:lightRig rig="threePt" dir="t"/>
            </a:scene3d>
            <a:sp3d prstMaterial="translucentPowder">
              <a:contourClr>
                <a:schemeClr val="accent2">
                  <a:lumMod val="75000"/>
                </a:schemeClr>
              </a:contourClr>
            </a:sp3d>
          </c:spPr>
          <c:invertIfNegative val="0"/>
          <c:cat>
            <c:numRef>
              <c:f>'cash flows'!$K$4:$O$4</c:f>
              <c:numCache>
                <c:formatCode>General</c:formatCode>
                <c:ptCount val="5"/>
                <c:pt idx="0">
                  <c:v>2024</c:v>
                </c:pt>
                <c:pt idx="1">
                  <c:v>2023</c:v>
                </c:pt>
                <c:pt idx="2">
                  <c:v>2022</c:v>
                </c:pt>
                <c:pt idx="3">
                  <c:v>2021</c:v>
                </c:pt>
                <c:pt idx="4">
                  <c:v>2020</c:v>
                </c:pt>
              </c:numCache>
            </c:numRef>
          </c:cat>
          <c:val>
            <c:numRef>
              <c:f>'cash flows'!$K$5:$O$5</c:f>
              <c:numCache>
                <c:formatCode>0.000</c:formatCode>
                <c:ptCount val="5"/>
                <c:pt idx="0">
                  <c:v>9.3637667334213567E-2</c:v>
                </c:pt>
                <c:pt idx="1">
                  <c:v>0.15631593317943754</c:v>
                </c:pt>
                <c:pt idx="2">
                  <c:v>5.0472807232310728E-2</c:v>
                </c:pt>
                <c:pt idx="3">
                  <c:v>0.18581833781545942</c:v>
                </c:pt>
                <c:pt idx="4">
                  <c:v>0.40884630382708487</c:v>
                </c:pt>
              </c:numCache>
            </c:numRef>
          </c:val>
          <c:extLst>
            <c:ext xmlns:c16="http://schemas.microsoft.com/office/drawing/2014/chart" uri="{C3380CC4-5D6E-409C-BE32-E72D297353CC}">
              <c16:uniqueId val="{00000000-F3D9-4950-B063-610E38EE02FF}"/>
            </c:ext>
          </c:extLst>
        </c:ser>
        <c:ser>
          <c:idx val="1"/>
          <c:order val="1"/>
          <c:tx>
            <c:strRef>
              <c:f>'cash flows'!$J$6</c:f>
              <c:strCache>
                <c:ptCount val="1"/>
                <c:pt idx="0">
                  <c:v>Cash flow margin</c:v>
                </c:pt>
              </c:strCache>
            </c:strRef>
          </c:tx>
          <c:spPr>
            <a:solidFill>
              <a:schemeClr val="accent4"/>
            </a:solidFill>
            <a:ln>
              <a:solidFill>
                <a:schemeClr val="accent4">
                  <a:lumMod val="75000"/>
                </a:schemeClr>
              </a:solidFill>
            </a:ln>
            <a:effectLst/>
            <a:scene3d>
              <a:camera prst="orthographicFront"/>
              <a:lightRig rig="threePt" dir="t"/>
            </a:scene3d>
            <a:sp3d prstMaterial="translucentPowder">
              <a:contourClr>
                <a:schemeClr val="accent4">
                  <a:lumMod val="75000"/>
                </a:schemeClr>
              </a:contourClr>
            </a:sp3d>
          </c:spPr>
          <c:invertIfNegative val="0"/>
          <c:cat>
            <c:numRef>
              <c:f>'cash flows'!$K$4:$O$4</c:f>
              <c:numCache>
                <c:formatCode>General</c:formatCode>
                <c:ptCount val="5"/>
                <c:pt idx="0">
                  <c:v>2024</c:v>
                </c:pt>
                <c:pt idx="1">
                  <c:v>2023</c:v>
                </c:pt>
                <c:pt idx="2">
                  <c:v>2022</c:v>
                </c:pt>
                <c:pt idx="3">
                  <c:v>2021</c:v>
                </c:pt>
                <c:pt idx="4">
                  <c:v>2020</c:v>
                </c:pt>
              </c:numCache>
            </c:numRef>
          </c:cat>
          <c:val>
            <c:numRef>
              <c:f>'cash flows'!$K$6:$O$6</c:f>
              <c:numCache>
                <c:formatCode>0.00%</c:formatCode>
                <c:ptCount val="5"/>
                <c:pt idx="0">
                  <c:v>3.7535548864335661E-2</c:v>
                </c:pt>
                <c:pt idx="1">
                  <c:v>5.9911001600639308E-2</c:v>
                </c:pt>
                <c:pt idx="2">
                  <c:v>2.0130778202159E-2</c:v>
                </c:pt>
                <c:pt idx="3">
                  <c:v>6.6959551331278816E-2</c:v>
                </c:pt>
                <c:pt idx="4">
                  <c:v>0.11939871152469578</c:v>
                </c:pt>
              </c:numCache>
            </c:numRef>
          </c:val>
          <c:extLst>
            <c:ext xmlns:c16="http://schemas.microsoft.com/office/drawing/2014/chart" uri="{C3380CC4-5D6E-409C-BE32-E72D297353CC}">
              <c16:uniqueId val="{00000001-F3D9-4950-B063-610E38EE02FF}"/>
            </c:ext>
          </c:extLst>
        </c:ser>
        <c:dLbls>
          <c:showLegendKey val="0"/>
          <c:showVal val="0"/>
          <c:showCatName val="0"/>
          <c:showSerName val="0"/>
          <c:showPercent val="0"/>
          <c:showBubbleSize val="0"/>
        </c:dLbls>
        <c:gapWidth val="150"/>
        <c:shape val="box"/>
        <c:axId val="1460260783"/>
        <c:axId val="1460266063"/>
        <c:axId val="0"/>
      </c:bar3DChart>
      <c:catAx>
        <c:axId val="146026078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60266063"/>
        <c:crosses val="autoZero"/>
        <c:auto val="1"/>
        <c:lblAlgn val="ctr"/>
        <c:lblOffset val="100"/>
        <c:noMultiLvlLbl val="0"/>
      </c:catAx>
      <c:valAx>
        <c:axId val="1460266063"/>
        <c:scaling>
          <c:orientation val="minMax"/>
        </c:scaling>
        <c:delete val="0"/>
        <c:axPos val="l"/>
        <c:majorGridlines>
          <c:spPr>
            <a:ln w="9525" cap="flat" cmpd="sng" algn="ctr">
              <a:solidFill>
                <a:schemeClr val="tx1">
                  <a:lumMod val="5000"/>
                  <a:lumOff val="9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60260783"/>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50000"/>
                    <a:lumOff val="50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5">
  <a:schemeClr val="accent2"/>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8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B07FF5-F9EF-46B5-BDF1-687CE2D6C351}" type="doc">
      <dgm:prSet loTypeId="urn:microsoft.com/office/officeart/2005/8/layout/orgChart1" loCatId="hierarchy" qsTypeId="urn:microsoft.com/office/officeart/2005/8/quickstyle/simple1" qsCatId="simple" csTypeId="urn:microsoft.com/office/officeart/2005/8/colors/colorful5" csCatId="colorful" phldr="1"/>
      <dgm:spPr/>
      <dgm:t>
        <a:bodyPr/>
        <a:lstStyle/>
        <a:p>
          <a:endParaRPr lang="en-IN"/>
        </a:p>
      </dgm:t>
    </dgm:pt>
    <dgm:pt modelId="{D0682E2D-CB0E-4D86-A8A3-5A5DE8BC02F9}">
      <dgm:prSet phldrT="[Text]" custT="1"/>
      <dgm:spPr/>
      <dgm:t>
        <a:bodyPr/>
        <a:lstStyle/>
        <a:p>
          <a:pPr algn="ctr"/>
          <a:r>
            <a:rPr lang="en-IN" sz="1200">
              <a:solidFill>
                <a:sysClr val="windowText" lastClr="000000"/>
              </a:solidFill>
              <a:latin typeface="Arial" panose="020B0604020202020204" pitchFamily="34" charset="0"/>
              <a:cs typeface="Arial" panose="020B0604020202020204" pitchFamily="34" charset="0"/>
            </a:rPr>
            <a:t>Financing options</a:t>
          </a:r>
        </a:p>
      </dgm:t>
    </dgm:pt>
    <dgm:pt modelId="{663DA00F-4AC8-4BC2-B9A2-3AF26BC14BF7}" type="parTrans" cxnId="{2C8CE6C9-05E2-4D13-B291-9AC1014AF28B}">
      <dgm:prSet/>
      <dgm:spPr/>
      <dgm:t>
        <a:bodyPr/>
        <a:lstStyle/>
        <a:p>
          <a:pPr algn="ctr"/>
          <a:endParaRPr lang="en-IN"/>
        </a:p>
      </dgm:t>
    </dgm:pt>
    <dgm:pt modelId="{1BAACE8D-66F9-4EC2-9099-DCBE3B0B0A32}" type="sibTrans" cxnId="{2C8CE6C9-05E2-4D13-B291-9AC1014AF28B}">
      <dgm:prSet/>
      <dgm:spPr/>
      <dgm:t>
        <a:bodyPr/>
        <a:lstStyle/>
        <a:p>
          <a:pPr algn="ctr"/>
          <a:endParaRPr lang="en-IN"/>
        </a:p>
      </dgm:t>
    </dgm:pt>
    <dgm:pt modelId="{59F30473-77BC-4AC2-ADDD-912573B77442}">
      <dgm:prSet phldrT="[Text]" custT="1"/>
      <dgm:spPr/>
      <dgm:t>
        <a:bodyPr/>
        <a:lstStyle/>
        <a:p>
          <a:pPr algn="ctr"/>
          <a:r>
            <a:rPr lang="en-IN" sz="1200">
              <a:solidFill>
                <a:sysClr val="windowText" lastClr="000000"/>
              </a:solidFill>
              <a:latin typeface="Arial" panose="020B0604020202020204" pitchFamily="34" charset="0"/>
              <a:cs typeface="Arial" panose="020B0604020202020204" pitchFamily="34" charset="0"/>
            </a:rPr>
            <a:t>Short-term financing</a:t>
          </a:r>
        </a:p>
      </dgm:t>
    </dgm:pt>
    <dgm:pt modelId="{6D36009C-02F5-4EE3-A022-3BB12849DE18}" type="parTrans" cxnId="{40B49FAC-9474-49E8-AA07-8D90FA56B0C7}">
      <dgm:prSet/>
      <dgm:spPr/>
      <dgm:t>
        <a:bodyPr/>
        <a:lstStyle/>
        <a:p>
          <a:pPr algn="ctr"/>
          <a:endParaRPr lang="en-IN" sz="1050">
            <a:solidFill>
              <a:sysClr val="windowText" lastClr="000000"/>
            </a:solidFill>
            <a:latin typeface="Arial" panose="020B0604020202020204" pitchFamily="34" charset="0"/>
            <a:cs typeface="Arial" panose="020B0604020202020204" pitchFamily="34" charset="0"/>
          </a:endParaRPr>
        </a:p>
      </dgm:t>
    </dgm:pt>
    <dgm:pt modelId="{78428F1B-27E8-4673-9E1E-4B8F886B08B4}" type="sibTrans" cxnId="{40B49FAC-9474-49E8-AA07-8D90FA56B0C7}">
      <dgm:prSet/>
      <dgm:spPr/>
      <dgm:t>
        <a:bodyPr/>
        <a:lstStyle/>
        <a:p>
          <a:pPr algn="ctr"/>
          <a:endParaRPr lang="en-IN"/>
        </a:p>
      </dgm:t>
    </dgm:pt>
    <dgm:pt modelId="{3C614479-136F-4966-8858-71195F659D3E}">
      <dgm:prSet phldrT="[Text]" custT="1"/>
      <dgm:spPr/>
      <dgm:t>
        <a:bodyPr/>
        <a:lstStyle/>
        <a:p>
          <a:pPr algn="ctr"/>
          <a:r>
            <a:rPr lang="en-IN" sz="1200">
              <a:solidFill>
                <a:sysClr val="windowText" lastClr="000000"/>
              </a:solidFill>
              <a:latin typeface="Arial" panose="020B0604020202020204" pitchFamily="34" charset="0"/>
              <a:cs typeface="Arial" panose="020B0604020202020204" pitchFamily="34" charset="0"/>
            </a:rPr>
            <a:t>Long-term financing</a:t>
          </a:r>
        </a:p>
      </dgm:t>
    </dgm:pt>
    <dgm:pt modelId="{C3F706BD-24DF-484D-AAFF-530FC1E95CD8}" type="parTrans" cxnId="{0C0137CD-9734-48A8-8D73-7197D572FAAF}">
      <dgm:prSet/>
      <dgm:spPr/>
      <dgm:t>
        <a:bodyPr/>
        <a:lstStyle/>
        <a:p>
          <a:pPr algn="ctr"/>
          <a:endParaRPr lang="en-IN" sz="1050">
            <a:solidFill>
              <a:sysClr val="windowText" lastClr="000000"/>
            </a:solidFill>
            <a:latin typeface="Arial" panose="020B0604020202020204" pitchFamily="34" charset="0"/>
            <a:cs typeface="Arial" panose="020B0604020202020204" pitchFamily="34" charset="0"/>
          </a:endParaRPr>
        </a:p>
      </dgm:t>
    </dgm:pt>
    <dgm:pt modelId="{8F6A2831-E62F-4CEE-9198-84387FB8A824}" type="sibTrans" cxnId="{0C0137CD-9734-48A8-8D73-7197D572FAAF}">
      <dgm:prSet/>
      <dgm:spPr/>
      <dgm:t>
        <a:bodyPr/>
        <a:lstStyle/>
        <a:p>
          <a:pPr algn="ctr"/>
          <a:endParaRPr lang="en-IN"/>
        </a:p>
      </dgm:t>
    </dgm:pt>
    <dgm:pt modelId="{DDF3F215-F52C-494B-BF8E-4C7B07D488DF}" type="pres">
      <dgm:prSet presAssocID="{E7B07FF5-F9EF-46B5-BDF1-687CE2D6C351}" presName="hierChild1" presStyleCnt="0">
        <dgm:presLayoutVars>
          <dgm:orgChart val="1"/>
          <dgm:chPref val="1"/>
          <dgm:dir/>
          <dgm:animOne val="branch"/>
          <dgm:animLvl val="lvl"/>
          <dgm:resizeHandles/>
        </dgm:presLayoutVars>
      </dgm:prSet>
      <dgm:spPr/>
    </dgm:pt>
    <dgm:pt modelId="{5D4418FD-215A-477F-8F96-C91D4C9E3C3E}" type="pres">
      <dgm:prSet presAssocID="{D0682E2D-CB0E-4D86-A8A3-5A5DE8BC02F9}" presName="hierRoot1" presStyleCnt="0">
        <dgm:presLayoutVars>
          <dgm:hierBranch val="init"/>
        </dgm:presLayoutVars>
      </dgm:prSet>
      <dgm:spPr/>
    </dgm:pt>
    <dgm:pt modelId="{4F6C15EB-F173-4845-B288-CAD23245E40B}" type="pres">
      <dgm:prSet presAssocID="{D0682E2D-CB0E-4D86-A8A3-5A5DE8BC02F9}" presName="rootComposite1" presStyleCnt="0"/>
      <dgm:spPr/>
    </dgm:pt>
    <dgm:pt modelId="{C4D9045F-C8D3-4885-BE35-51060729BF68}" type="pres">
      <dgm:prSet presAssocID="{D0682E2D-CB0E-4D86-A8A3-5A5DE8BC02F9}" presName="rootText1" presStyleLbl="node0" presStyleIdx="0" presStyleCnt="1">
        <dgm:presLayoutVars>
          <dgm:chPref val="3"/>
        </dgm:presLayoutVars>
      </dgm:prSet>
      <dgm:spPr/>
    </dgm:pt>
    <dgm:pt modelId="{766E8304-614F-4687-A8FE-A6A93F74B45D}" type="pres">
      <dgm:prSet presAssocID="{D0682E2D-CB0E-4D86-A8A3-5A5DE8BC02F9}" presName="rootConnector1" presStyleLbl="node1" presStyleIdx="0" presStyleCnt="0"/>
      <dgm:spPr/>
    </dgm:pt>
    <dgm:pt modelId="{E571C051-5620-4C47-AB28-4CD175C56A5D}" type="pres">
      <dgm:prSet presAssocID="{D0682E2D-CB0E-4D86-A8A3-5A5DE8BC02F9}" presName="hierChild2" presStyleCnt="0"/>
      <dgm:spPr/>
    </dgm:pt>
    <dgm:pt modelId="{5E7A08BC-B133-45CF-BC06-18DD2BBB4D49}" type="pres">
      <dgm:prSet presAssocID="{6D36009C-02F5-4EE3-A022-3BB12849DE18}" presName="Name37" presStyleLbl="parChTrans1D2" presStyleIdx="0" presStyleCnt="2"/>
      <dgm:spPr/>
    </dgm:pt>
    <dgm:pt modelId="{0605DF14-09E3-4C56-A69C-DC433164782F}" type="pres">
      <dgm:prSet presAssocID="{59F30473-77BC-4AC2-ADDD-912573B77442}" presName="hierRoot2" presStyleCnt="0">
        <dgm:presLayoutVars>
          <dgm:hierBranch val="init"/>
        </dgm:presLayoutVars>
      </dgm:prSet>
      <dgm:spPr/>
    </dgm:pt>
    <dgm:pt modelId="{DF2442D6-7B9A-4275-983E-9CE2B21BF4C3}" type="pres">
      <dgm:prSet presAssocID="{59F30473-77BC-4AC2-ADDD-912573B77442}" presName="rootComposite" presStyleCnt="0"/>
      <dgm:spPr/>
    </dgm:pt>
    <dgm:pt modelId="{436BE210-CE92-4314-94AA-903FAC40743D}" type="pres">
      <dgm:prSet presAssocID="{59F30473-77BC-4AC2-ADDD-912573B77442}" presName="rootText" presStyleLbl="node2" presStyleIdx="0" presStyleCnt="2">
        <dgm:presLayoutVars>
          <dgm:chPref val="3"/>
        </dgm:presLayoutVars>
      </dgm:prSet>
      <dgm:spPr/>
    </dgm:pt>
    <dgm:pt modelId="{B0E210D1-F022-49F9-992B-B37C3F31E0C9}" type="pres">
      <dgm:prSet presAssocID="{59F30473-77BC-4AC2-ADDD-912573B77442}" presName="rootConnector" presStyleLbl="node2" presStyleIdx="0" presStyleCnt="2"/>
      <dgm:spPr/>
    </dgm:pt>
    <dgm:pt modelId="{00CCB92C-6A04-4C64-A518-D7ECEA44FDE1}" type="pres">
      <dgm:prSet presAssocID="{59F30473-77BC-4AC2-ADDD-912573B77442}" presName="hierChild4" presStyleCnt="0"/>
      <dgm:spPr/>
    </dgm:pt>
    <dgm:pt modelId="{4C8A151B-5951-48BB-96B8-D9F00A71CCB0}" type="pres">
      <dgm:prSet presAssocID="{59F30473-77BC-4AC2-ADDD-912573B77442}" presName="hierChild5" presStyleCnt="0"/>
      <dgm:spPr/>
    </dgm:pt>
    <dgm:pt modelId="{DE833F9C-03E1-4527-8A9A-197FE816CCC0}" type="pres">
      <dgm:prSet presAssocID="{C3F706BD-24DF-484D-AAFF-530FC1E95CD8}" presName="Name37" presStyleLbl="parChTrans1D2" presStyleIdx="1" presStyleCnt="2"/>
      <dgm:spPr/>
    </dgm:pt>
    <dgm:pt modelId="{D42F0872-82B2-48E3-896A-3310E839BC83}" type="pres">
      <dgm:prSet presAssocID="{3C614479-136F-4966-8858-71195F659D3E}" presName="hierRoot2" presStyleCnt="0">
        <dgm:presLayoutVars>
          <dgm:hierBranch val="init"/>
        </dgm:presLayoutVars>
      </dgm:prSet>
      <dgm:spPr/>
    </dgm:pt>
    <dgm:pt modelId="{8793A492-C6C5-44A5-AD06-279DAB656D0F}" type="pres">
      <dgm:prSet presAssocID="{3C614479-136F-4966-8858-71195F659D3E}" presName="rootComposite" presStyleCnt="0"/>
      <dgm:spPr/>
    </dgm:pt>
    <dgm:pt modelId="{7A42D732-4C3A-411B-8900-607FB3F24E1F}" type="pres">
      <dgm:prSet presAssocID="{3C614479-136F-4966-8858-71195F659D3E}" presName="rootText" presStyleLbl="node2" presStyleIdx="1" presStyleCnt="2">
        <dgm:presLayoutVars>
          <dgm:chPref val="3"/>
        </dgm:presLayoutVars>
      </dgm:prSet>
      <dgm:spPr/>
    </dgm:pt>
    <dgm:pt modelId="{2F5BC7AE-7D27-4786-B7C9-561A656B808F}" type="pres">
      <dgm:prSet presAssocID="{3C614479-136F-4966-8858-71195F659D3E}" presName="rootConnector" presStyleLbl="node2" presStyleIdx="1" presStyleCnt="2"/>
      <dgm:spPr/>
    </dgm:pt>
    <dgm:pt modelId="{625E092B-DC78-4E45-AE8D-D4F2151B72A9}" type="pres">
      <dgm:prSet presAssocID="{3C614479-136F-4966-8858-71195F659D3E}" presName="hierChild4" presStyleCnt="0"/>
      <dgm:spPr/>
    </dgm:pt>
    <dgm:pt modelId="{A61CEE0E-0D24-4ECF-8CB7-D8EA72262202}" type="pres">
      <dgm:prSet presAssocID="{3C614479-136F-4966-8858-71195F659D3E}" presName="hierChild5" presStyleCnt="0"/>
      <dgm:spPr/>
    </dgm:pt>
    <dgm:pt modelId="{70E85401-CC64-4239-9200-EF6A1C3881B2}" type="pres">
      <dgm:prSet presAssocID="{D0682E2D-CB0E-4D86-A8A3-5A5DE8BC02F9}" presName="hierChild3" presStyleCnt="0"/>
      <dgm:spPr/>
    </dgm:pt>
  </dgm:ptLst>
  <dgm:cxnLst>
    <dgm:cxn modelId="{0276660D-E3A1-4130-B3E4-AFB1B1DE7BA4}" type="presOf" srcId="{D0682E2D-CB0E-4D86-A8A3-5A5DE8BC02F9}" destId="{766E8304-614F-4687-A8FE-A6A93F74B45D}" srcOrd="1" destOrd="0" presId="urn:microsoft.com/office/officeart/2005/8/layout/orgChart1"/>
    <dgm:cxn modelId="{CA8CE775-0A90-4811-B96F-33C2B21719E5}" type="presOf" srcId="{E7B07FF5-F9EF-46B5-BDF1-687CE2D6C351}" destId="{DDF3F215-F52C-494B-BF8E-4C7B07D488DF}" srcOrd="0" destOrd="0" presId="urn:microsoft.com/office/officeart/2005/8/layout/orgChart1"/>
    <dgm:cxn modelId="{A130AB86-A346-4806-991C-7304AC60DF7D}" type="presOf" srcId="{59F30473-77BC-4AC2-ADDD-912573B77442}" destId="{436BE210-CE92-4314-94AA-903FAC40743D}" srcOrd="0" destOrd="0" presId="urn:microsoft.com/office/officeart/2005/8/layout/orgChart1"/>
    <dgm:cxn modelId="{40B49FAC-9474-49E8-AA07-8D90FA56B0C7}" srcId="{D0682E2D-CB0E-4D86-A8A3-5A5DE8BC02F9}" destId="{59F30473-77BC-4AC2-ADDD-912573B77442}" srcOrd="0" destOrd="0" parTransId="{6D36009C-02F5-4EE3-A022-3BB12849DE18}" sibTransId="{78428F1B-27E8-4673-9E1E-4B8F886B08B4}"/>
    <dgm:cxn modelId="{24235DB3-E787-4961-99E3-6E155C035D8C}" type="presOf" srcId="{6D36009C-02F5-4EE3-A022-3BB12849DE18}" destId="{5E7A08BC-B133-45CF-BC06-18DD2BBB4D49}" srcOrd="0" destOrd="0" presId="urn:microsoft.com/office/officeart/2005/8/layout/orgChart1"/>
    <dgm:cxn modelId="{2C8CE6C9-05E2-4D13-B291-9AC1014AF28B}" srcId="{E7B07FF5-F9EF-46B5-BDF1-687CE2D6C351}" destId="{D0682E2D-CB0E-4D86-A8A3-5A5DE8BC02F9}" srcOrd="0" destOrd="0" parTransId="{663DA00F-4AC8-4BC2-B9A2-3AF26BC14BF7}" sibTransId="{1BAACE8D-66F9-4EC2-9099-DCBE3B0B0A32}"/>
    <dgm:cxn modelId="{0C0137CD-9734-48A8-8D73-7197D572FAAF}" srcId="{D0682E2D-CB0E-4D86-A8A3-5A5DE8BC02F9}" destId="{3C614479-136F-4966-8858-71195F659D3E}" srcOrd="1" destOrd="0" parTransId="{C3F706BD-24DF-484D-AAFF-530FC1E95CD8}" sibTransId="{8F6A2831-E62F-4CEE-9198-84387FB8A824}"/>
    <dgm:cxn modelId="{D97C8AD1-D621-4C5C-BCE4-8913FF310A0C}" type="presOf" srcId="{C3F706BD-24DF-484D-AAFF-530FC1E95CD8}" destId="{DE833F9C-03E1-4527-8A9A-197FE816CCC0}" srcOrd="0" destOrd="0" presId="urn:microsoft.com/office/officeart/2005/8/layout/orgChart1"/>
    <dgm:cxn modelId="{237B8DD5-49DC-4C5D-AED4-9C4A930D2488}" type="presOf" srcId="{59F30473-77BC-4AC2-ADDD-912573B77442}" destId="{B0E210D1-F022-49F9-992B-B37C3F31E0C9}" srcOrd="1" destOrd="0" presId="urn:microsoft.com/office/officeart/2005/8/layout/orgChart1"/>
    <dgm:cxn modelId="{34300BD8-F2F7-458F-BA39-5B99402D6BA3}" type="presOf" srcId="{3C614479-136F-4966-8858-71195F659D3E}" destId="{2F5BC7AE-7D27-4786-B7C9-561A656B808F}" srcOrd="1" destOrd="0" presId="urn:microsoft.com/office/officeart/2005/8/layout/orgChart1"/>
    <dgm:cxn modelId="{B7672CF2-D710-4BC1-A325-050A62EA9AA3}" type="presOf" srcId="{D0682E2D-CB0E-4D86-A8A3-5A5DE8BC02F9}" destId="{C4D9045F-C8D3-4885-BE35-51060729BF68}" srcOrd="0" destOrd="0" presId="urn:microsoft.com/office/officeart/2005/8/layout/orgChart1"/>
    <dgm:cxn modelId="{1B48FAF3-9EC5-4F2D-A632-42834AFD2CFF}" type="presOf" srcId="{3C614479-136F-4966-8858-71195F659D3E}" destId="{7A42D732-4C3A-411B-8900-607FB3F24E1F}" srcOrd="0" destOrd="0" presId="urn:microsoft.com/office/officeart/2005/8/layout/orgChart1"/>
    <dgm:cxn modelId="{5FF91DEA-9B26-43A0-9E05-3C84BC2D9018}" type="presParOf" srcId="{DDF3F215-F52C-494B-BF8E-4C7B07D488DF}" destId="{5D4418FD-215A-477F-8F96-C91D4C9E3C3E}" srcOrd="0" destOrd="0" presId="urn:microsoft.com/office/officeart/2005/8/layout/orgChart1"/>
    <dgm:cxn modelId="{3EED4AA0-D8FA-4643-BD59-CE23195C4021}" type="presParOf" srcId="{5D4418FD-215A-477F-8F96-C91D4C9E3C3E}" destId="{4F6C15EB-F173-4845-B288-CAD23245E40B}" srcOrd="0" destOrd="0" presId="urn:microsoft.com/office/officeart/2005/8/layout/orgChart1"/>
    <dgm:cxn modelId="{9298C943-B812-4473-8DB3-4BED6AA0D2E2}" type="presParOf" srcId="{4F6C15EB-F173-4845-B288-CAD23245E40B}" destId="{C4D9045F-C8D3-4885-BE35-51060729BF68}" srcOrd="0" destOrd="0" presId="urn:microsoft.com/office/officeart/2005/8/layout/orgChart1"/>
    <dgm:cxn modelId="{0E20E903-4B52-4B3D-AABF-DBDCEAC1CF88}" type="presParOf" srcId="{4F6C15EB-F173-4845-B288-CAD23245E40B}" destId="{766E8304-614F-4687-A8FE-A6A93F74B45D}" srcOrd="1" destOrd="0" presId="urn:microsoft.com/office/officeart/2005/8/layout/orgChart1"/>
    <dgm:cxn modelId="{D54EA91A-85A7-4958-AD5A-5340C7A790A1}" type="presParOf" srcId="{5D4418FD-215A-477F-8F96-C91D4C9E3C3E}" destId="{E571C051-5620-4C47-AB28-4CD175C56A5D}" srcOrd="1" destOrd="0" presId="urn:microsoft.com/office/officeart/2005/8/layout/orgChart1"/>
    <dgm:cxn modelId="{36D89056-09E5-4D32-9289-1EAEE9CE5133}" type="presParOf" srcId="{E571C051-5620-4C47-AB28-4CD175C56A5D}" destId="{5E7A08BC-B133-45CF-BC06-18DD2BBB4D49}" srcOrd="0" destOrd="0" presId="urn:microsoft.com/office/officeart/2005/8/layout/orgChart1"/>
    <dgm:cxn modelId="{C6E02C17-9D34-480F-905F-D9829E2437C6}" type="presParOf" srcId="{E571C051-5620-4C47-AB28-4CD175C56A5D}" destId="{0605DF14-09E3-4C56-A69C-DC433164782F}" srcOrd="1" destOrd="0" presId="urn:microsoft.com/office/officeart/2005/8/layout/orgChart1"/>
    <dgm:cxn modelId="{CDE51E99-ED4B-4F6B-AA14-6C16DA1CCF88}" type="presParOf" srcId="{0605DF14-09E3-4C56-A69C-DC433164782F}" destId="{DF2442D6-7B9A-4275-983E-9CE2B21BF4C3}" srcOrd="0" destOrd="0" presId="urn:microsoft.com/office/officeart/2005/8/layout/orgChart1"/>
    <dgm:cxn modelId="{F08CCE7F-6B0A-4243-8126-3BA03F4C77EF}" type="presParOf" srcId="{DF2442D6-7B9A-4275-983E-9CE2B21BF4C3}" destId="{436BE210-CE92-4314-94AA-903FAC40743D}" srcOrd="0" destOrd="0" presId="urn:microsoft.com/office/officeart/2005/8/layout/orgChart1"/>
    <dgm:cxn modelId="{B444FA18-7C38-458E-987E-38BC64957378}" type="presParOf" srcId="{DF2442D6-7B9A-4275-983E-9CE2B21BF4C3}" destId="{B0E210D1-F022-49F9-992B-B37C3F31E0C9}" srcOrd="1" destOrd="0" presId="urn:microsoft.com/office/officeart/2005/8/layout/orgChart1"/>
    <dgm:cxn modelId="{41EA6284-5D6A-4A17-994C-D0C4418007A5}" type="presParOf" srcId="{0605DF14-09E3-4C56-A69C-DC433164782F}" destId="{00CCB92C-6A04-4C64-A518-D7ECEA44FDE1}" srcOrd="1" destOrd="0" presId="urn:microsoft.com/office/officeart/2005/8/layout/orgChart1"/>
    <dgm:cxn modelId="{35452DF0-BC3E-4B5D-92F6-8A6BFFDEB545}" type="presParOf" srcId="{0605DF14-09E3-4C56-A69C-DC433164782F}" destId="{4C8A151B-5951-48BB-96B8-D9F00A71CCB0}" srcOrd="2" destOrd="0" presId="urn:microsoft.com/office/officeart/2005/8/layout/orgChart1"/>
    <dgm:cxn modelId="{AA705D2D-1CB4-47C5-B097-C9FF8F3D735A}" type="presParOf" srcId="{E571C051-5620-4C47-AB28-4CD175C56A5D}" destId="{DE833F9C-03E1-4527-8A9A-197FE816CCC0}" srcOrd="2" destOrd="0" presId="urn:microsoft.com/office/officeart/2005/8/layout/orgChart1"/>
    <dgm:cxn modelId="{435E163F-74AA-4C17-BE62-189910434DFC}" type="presParOf" srcId="{E571C051-5620-4C47-AB28-4CD175C56A5D}" destId="{D42F0872-82B2-48E3-896A-3310E839BC83}" srcOrd="3" destOrd="0" presId="urn:microsoft.com/office/officeart/2005/8/layout/orgChart1"/>
    <dgm:cxn modelId="{48358D4A-D87A-4EE3-828D-442B0937AEDA}" type="presParOf" srcId="{D42F0872-82B2-48E3-896A-3310E839BC83}" destId="{8793A492-C6C5-44A5-AD06-279DAB656D0F}" srcOrd="0" destOrd="0" presId="urn:microsoft.com/office/officeart/2005/8/layout/orgChart1"/>
    <dgm:cxn modelId="{4167F5E3-7296-4B1F-961F-85FAF83717FA}" type="presParOf" srcId="{8793A492-C6C5-44A5-AD06-279DAB656D0F}" destId="{7A42D732-4C3A-411B-8900-607FB3F24E1F}" srcOrd="0" destOrd="0" presId="urn:microsoft.com/office/officeart/2005/8/layout/orgChart1"/>
    <dgm:cxn modelId="{72EB70D1-905B-4E76-863F-8CD7178E4BEC}" type="presParOf" srcId="{8793A492-C6C5-44A5-AD06-279DAB656D0F}" destId="{2F5BC7AE-7D27-4786-B7C9-561A656B808F}" srcOrd="1" destOrd="0" presId="urn:microsoft.com/office/officeart/2005/8/layout/orgChart1"/>
    <dgm:cxn modelId="{53432BE4-51FD-45EF-9D6E-1CCC0D5F0A99}" type="presParOf" srcId="{D42F0872-82B2-48E3-896A-3310E839BC83}" destId="{625E092B-DC78-4E45-AE8D-D4F2151B72A9}" srcOrd="1" destOrd="0" presId="urn:microsoft.com/office/officeart/2005/8/layout/orgChart1"/>
    <dgm:cxn modelId="{A2A03B08-0456-4767-9C86-365C85987062}" type="presParOf" srcId="{D42F0872-82B2-48E3-896A-3310E839BC83}" destId="{A61CEE0E-0D24-4ECF-8CB7-D8EA72262202}" srcOrd="2" destOrd="0" presId="urn:microsoft.com/office/officeart/2005/8/layout/orgChart1"/>
    <dgm:cxn modelId="{743B5595-3072-4E1D-90FE-FEDE3C642335}" type="presParOf" srcId="{5D4418FD-215A-477F-8F96-C91D4C9E3C3E}" destId="{70E85401-CC64-4239-9200-EF6A1C3881B2}" srcOrd="2" destOrd="0" presId="urn:microsoft.com/office/officeart/2005/8/layout/orgChar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833F9C-03E1-4527-8A9A-197FE816CCC0}">
      <dsp:nvSpPr>
        <dsp:cNvPr id="0" name=""/>
        <dsp:cNvSpPr/>
      </dsp:nvSpPr>
      <dsp:spPr>
        <a:xfrm>
          <a:off x="1813560" y="661326"/>
          <a:ext cx="799597" cy="277546"/>
        </a:xfrm>
        <a:custGeom>
          <a:avLst/>
          <a:gdLst/>
          <a:ahLst/>
          <a:cxnLst/>
          <a:rect l="0" t="0" r="0" b="0"/>
          <a:pathLst>
            <a:path>
              <a:moveTo>
                <a:pt x="0" y="0"/>
              </a:moveTo>
              <a:lnTo>
                <a:pt x="0" y="138773"/>
              </a:lnTo>
              <a:lnTo>
                <a:pt x="799597" y="138773"/>
              </a:lnTo>
              <a:lnTo>
                <a:pt x="799597" y="27754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7A08BC-B133-45CF-BC06-18DD2BBB4D49}">
      <dsp:nvSpPr>
        <dsp:cNvPr id="0" name=""/>
        <dsp:cNvSpPr/>
      </dsp:nvSpPr>
      <dsp:spPr>
        <a:xfrm>
          <a:off x="1013962" y="661326"/>
          <a:ext cx="799597" cy="277546"/>
        </a:xfrm>
        <a:custGeom>
          <a:avLst/>
          <a:gdLst/>
          <a:ahLst/>
          <a:cxnLst/>
          <a:rect l="0" t="0" r="0" b="0"/>
          <a:pathLst>
            <a:path>
              <a:moveTo>
                <a:pt x="799597" y="0"/>
              </a:moveTo>
              <a:lnTo>
                <a:pt x="799597" y="138773"/>
              </a:lnTo>
              <a:lnTo>
                <a:pt x="0" y="138773"/>
              </a:lnTo>
              <a:lnTo>
                <a:pt x="0" y="27754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D9045F-C8D3-4885-BE35-51060729BF68}">
      <dsp:nvSpPr>
        <dsp:cNvPr id="0" name=""/>
        <dsp:cNvSpPr/>
      </dsp:nvSpPr>
      <dsp:spPr>
        <a:xfrm>
          <a:off x="1152735" y="502"/>
          <a:ext cx="1321649" cy="660824"/>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Arial" panose="020B0604020202020204" pitchFamily="34" charset="0"/>
              <a:cs typeface="Arial" panose="020B0604020202020204" pitchFamily="34" charset="0"/>
            </a:rPr>
            <a:t>Financing options</a:t>
          </a:r>
        </a:p>
      </dsp:txBody>
      <dsp:txXfrm>
        <a:off x="1152735" y="502"/>
        <a:ext cx="1321649" cy="660824"/>
      </dsp:txXfrm>
    </dsp:sp>
    <dsp:sp modelId="{436BE210-CE92-4314-94AA-903FAC40743D}">
      <dsp:nvSpPr>
        <dsp:cNvPr id="0" name=""/>
        <dsp:cNvSpPr/>
      </dsp:nvSpPr>
      <dsp:spPr>
        <a:xfrm>
          <a:off x="353137" y="938873"/>
          <a:ext cx="1321649" cy="66082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Arial" panose="020B0604020202020204" pitchFamily="34" charset="0"/>
              <a:cs typeface="Arial" panose="020B0604020202020204" pitchFamily="34" charset="0"/>
            </a:rPr>
            <a:t>Short-term financing</a:t>
          </a:r>
        </a:p>
      </dsp:txBody>
      <dsp:txXfrm>
        <a:off x="353137" y="938873"/>
        <a:ext cx="1321649" cy="660824"/>
      </dsp:txXfrm>
    </dsp:sp>
    <dsp:sp modelId="{7A42D732-4C3A-411B-8900-607FB3F24E1F}">
      <dsp:nvSpPr>
        <dsp:cNvPr id="0" name=""/>
        <dsp:cNvSpPr/>
      </dsp:nvSpPr>
      <dsp:spPr>
        <a:xfrm>
          <a:off x="1952333" y="938873"/>
          <a:ext cx="1321649" cy="66082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Arial" panose="020B0604020202020204" pitchFamily="34" charset="0"/>
              <a:cs typeface="Arial" panose="020B0604020202020204" pitchFamily="34" charset="0"/>
            </a:rPr>
            <a:t>Long-term financing</a:t>
          </a:r>
        </a:p>
      </dsp:txBody>
      <dsp:txXfrm>
        <a:off x="1952333" y="938873"/>
        <a:ext cx="1321649" cy="66082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451DFD-00B6-40F5-9E91-557CFCE2F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35</Pages>
  <Words>7122</Words>
  <Characters>40601</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Sakshi Kalani</cp:lastModifiedBy>
  <cp:revision>11</cp:revision>
  <dcterms:created xsi:type="dcterms:W3CDTF">2025-11-23T20:13:00Z</dcterms:created>
  <dcterms:modified xsi:type="dcterms:W3CDTF">2025-12-21T19:10:00Z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8b4910b9-9d5e-4022-91f8-0da426cb88e0</vt:lpwstr>
  </property>
</Properties>
</file>