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A723F34" w14:paraId="706BF7E7" wp14:textId="789ECFCF">
      <w:pPr>
        <w:rPr>
          <w:rFonts w:ascii="Arial" w:hAnsi="Arial" w:eastAsia="Arial" w:cs="Arial"/>
          <w:color w:val="auto"/>
          <w:sz w:val="22"/>
          <w:szCs w:val="22"/>
        </w:rPr>
      </w:pPr>
      <w:bookmarkStart w:name="_GoBack" w:id="0"/>
      <w:bookmarkEnd w:id="0"/>
      <w:r>
        <w:br/>
      </w:r>
    </w:p>
    <w:p xmlns:wp14="http://schemas.microsoft.com/office/word/2010/wordml" w:rsidP="624F64F4" w14:paraId="6819DF56" wp14:textId="2EC4FFA1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624F64F4" w:rsidR="1195F872">
        <w:rPr>
          <w:rFonts w:ascii="Arial" w:hAnsi="Arial" w:eastAsia="Arial" w:cs="Arial"/>
          <w:color w:val="auto"/>
          <w:sz w:val="22"/>
          <w:szCs w:val="22"/>
        </w:rPr>
        <w:t>The English Legal System is based upon common law principles.</w:t>
      </w:r>
      <w:r w:rsidRPr="624F64F4" w:rsidR="1195F872">
        <w:rPr>
          <w:rFonts w:ascii="Arial" w:hAnsi="Arial" w:eastAsia="Arial" w:cs="Arial"/>
          <w:color w:val="auto"/>
          <w:sz w:val="22"/>
          <w:szCs w:val="22"/>
        </w:rPr>
        <w:t xml:space="preserve"> Explain what this means.</w:t>
      </w:r>
    </w:p>
    <w:p xmlns:wp14="http://schemas.microsoft.com/office/word/2010/wordml" w:rsidP="624F64F4" w14:paraId="665F10DB" wp14:textId="7E50E1FF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</w:p>
    <w:p xmlns:wp14="http://schemas.microsoft.com/office/word/2010/wordml" w:rsidP="624F64F4" w14:paraId="23849E6C" wp14:textId="17A34B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624F64F4" w:rsidR="1195F872">
        <w:rPr>
          <w:rFonts w:ascii="Arial" w:hAnsi="Arial" w:eastAsia="Arial" w:cs="Arial"/>
          <w:color w:val="auto"/>
          <w:sz w:val="22"/>
          <w:szCs w:val="22"/>
        </w:rPr>
        <w:t xml:space="preserve">In England and Wales, we have </w:t>
      </w:r>
      <w:r w:rsidRPr="624F64F4" w:rsidR="03332D24">
        <w:rPr>
          <w:rFonts w:ascii="Arial" w:hAnsi="Arial" w:eastAsia="Arial" w:cs="Arial"/>
          <w:color w:val="auto"/>
          <w:sz w:val="22"/>
          <w:szCs w:val="22"/>
        </w:rPr>
        <w:t>several types</w:t>
      </w:r>
      <w:r w:rsidRPr="624F64F4" w:rsidR="1195F872">
        <w:rPr>
          <w:rFonts w:ascii="Arial" w:hAnsi="Arial" w:eastAsia="Arial" w:cs="Arial"/>
          <w:color w:val="auto"/>
          <w:sz w:val="22"/>
          <w:szCs w:val="22"/>
        </w:rPr>
        <w:t xml:space="preserve"> of law. One of these is called common law. </w:t>
      </w:r>
      <w:r w:rsidRPr="624F64F4" w:rsidR="73CDF88D">
        <w:rPr>
          <w:rFonts w:ascii="Arial" w:hAnsi="Arial" w:eastAsia="Arial" w:cs="Arial"/>
          <w:color w:val="auto"/>
          <w:sz w:val="22"/>
          <w:szCs w:val="22"/>
        </w:rPr>
        <w:t>Common law was developed in the 11</w:t>
      </w:r>
      <w:r w:rsidRPr="624F64F4" w:rsidR="73CDF88D">
        <w:rPr>
          <w:rFonts w:ascii="Arial" w:hAnsi="Arial" w:eastAsia="Arial" w:cs="Arial"/>
          <w:color w:val="auto"/>
          <w:sz w:val="22"/>
          <w:szCs w:val="22"/>
          <w:vertAlign w:val="superscript"/>
        </w:rPr>
        <w:t>th</w:t>
      </w:r>
      <w:r w:rsidRPr="624F64F4" w:rsidR="73CDF88D">
        <w:rPr>
          <w:rFonts w:ascii="Arial" w:hAnsi="Arial" w:eastAsia="Arial" w:cs="Arial"/>
          <w:color w:val="auto"/>
          <w:sz w:val="22"/>
          <w:szCs w:val="22"/>
        </w:rPr>
        <w:t xml:space="preserve"> century in the kings' courts. It first started to become common law in England and later passed onto Wales. </w:t>
      </w:r>
      <w:r w:rsidRPr="624F64F4" w:rsidR="73CDF88D">
        <w:rPr>
          <w:rFonts w:ascii="Arial" w:hAnsi="Arial" w:eastAsia="Arial" w:cs="Arial"/>
          <w:color w:val="auto"/>
          <w:sz w:val="22"/>
          <w:szCs w:val="22"/>
        </w:rPr>
        <w:t xml:space="preserve">The purpose of this </w:t>
      </w:r>
      <w:r w:rsidRPr="624F64F4" w:rsidR="3272DDBF">
        <w:rPr>
          <w:rFonts w:ascii="Arial" w:hAnsi="Arial" w:eastAsia="Arial" w:cs="Arial"/>
          <w:color w:val="auto"/>
          <w:sz w:val="22"/>
          <w:szCs w:val="22"/>
        </w:rPr>
        <w:t>was to replace localised law and make all law “common</w:t>
      </w:r>
      <w:r w:rsidRPr="624F64F4" w:rsidR="3272DDBF">
        <w:rPr>
          <w:rFonts w:ascii="Arial" w:hAnsi="Arial" w:eastAsia="Arial" w:cs="Arial"/>
          <w:color w:val="auto"/>
          <w:sz w:val="22"/>
          <w:szCs w:val="22"/>
        </w:rPr>
        <w:t>”.</w:t>
      </w:r>
      <w:r w:rsidRPr="624F64F4" w:rsidR="3272DDBF">
        <w:rPr>
          <w:rFonts w:ascii="Arial" w:hAnsi="Arial" w:eastAsia="Arial" w:cs="Arial"/>
          <w:color w:val="auto"/>
          <w:sz w:val="22"/>
          <w:szCs w:val="22"/>
        </w:rPr>
        <w:t xml:space="preserve"> In theory it was to make all law in England and Wales</w:t>
      </w:r>
      <w:r w:rsidRPr="624F64F4" w:rsidR="3FC894D7">
        <w:rPr>
          <w:rFonts w:ascii="Arial" w:hAnsi="Arial" w:eastAsia="Arial" w:cs="Arial"/>
          <w:color w:val="auto"/>
          <w:sz w:val="22"/>
          <w:szCs w:val="22"/>
        </w:rPr>
        <w:t xml:space="preserve"> the same to prevent any confliction of laws between d</w:t>
      </w:r>
      <w:r w:rsidRPr="624F64F4" w:rsidR="1F1B0770">
        <w:rPr>
          <w:rFonts w:ascii="Arial" w:hAnsi="Arial" w:eastAsia="Arial" w:cs="Arial"/>
          <w:color w:val="auto"/>
          <w:sz w:val="22"/>
          <w:szCs w:val="22"/>
        </w:rPr>
        <w:t>ifferent counites who made their own law.</w:t>
      </w:r>
      <w:r w:rsidRPr="624F64F4" w:rsidR="72709A6D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624F64F4" w:rsidR="72709A6D">
        <w:rPr>
          <w:rFonts w:ascii="Arial" w:hAnsi="Arial" w:eastAsia="Arial" w:cs="Arial"/>
          <w:color w:val="auto"/>
          <w:sz w:val="22"/>
          <w:szCs w:val="22"/>
        </w:rPr>
        <w:t>Pejovic</w:t>
      </w:r>
      <w:r w:rsidRPr="624F64F4" w:rsidR="72709A6D">
        <w:rPr>
          <w:rFonts w:ascii="Arial" w:hAnsi="Arial" w:eastAsia="Arial" w:cs="Arial"/>
          <w:color w:val="auto"/>
          <w:sz w:val="22"/>
          <w:szCs w:val="22"/>
        </w:rPr>
        <w:t xml:space="preserve">, C., 2001.). </w:t>
      </w:r>
    </w:p>
    <w:p xmlns:wp14="http://schemas.microsoft.com/office/word/2010/wordml" w:rsidP="624F64F4" w14:paraId="730F72B1" wp14:textId="6B74D6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24F64F4" w:rsidR="72709A6D">
        <w:rPr>
          <w:rFonts w:ascii="Arial" w:hAnsi="Arial" w:eastAsia="Arial" w:cs="Arial"/>
          <w:color w:val="auto"/>
          <w:sz w:val="22"/>
          <w:szCs w:val="22"/>
        </w:rPr>
        <w:t>One main part of common law is that it</w:t>
      </w:r>
      <w:r w:rsidRPr="624F64F4" w:rsidR="72709A6D">
        <w:rPr>
          <w:rFonts w:ascii="Arial" w:hAnsi="Arial" w:eastAsia="Arial" w:cs="Arial"/>
          <w:color w:val="auto"/>
          <w:sz w:val="22"/>
          <w:szCs w:val="22"/>
        </w:rPr>
        <w:t xml:space="preserve"> is derived from custom and judicial precedent rather than statutes</w:t>
      </w:r>
      <w:r w:rsidRPr="624F64F4" w:rsidR="448E47F2">
        <w:rPr>
          <w:rFonts w:ascii="Arial" w:hAnsi="Arial" w:eastAsia="Arial" w:cs="Arial"/>
          <w:color w:val="auto"/>
          <w:sz w:val="22"/>
          <w:szCs w:val="22"/>
        </w:rPr>
        <w:t xml:space="preserve">. This means the law is declared by judges. The </w:t>
      </w:r>
      <w:r w:rsidRPr="624F64F4" w:rsidR="1367554A">
        <w:rPr>
          <w:rFonts w:ascii="Arial" w:hAnsi="Arial" w:eastAsia="Arial" w:cs="Arial"/>
          <w:color w:val="auto"/>
          <w:sz w:val="22"/>
          <w:szCs w:val="22"/>
        </w:rPr>
        <w:t>doctrine</w:t>
      </w:r>
      <w:r w:rsidRPr="624F64F4" w:rsidR="448E47F2">
        <w:rPr>
          <w:rFonts w:ascii="Arial" w:hAnsi="Arial" w:eastAsia="Arial" w:cs="Arial"/>
          <w:color w:val="auto"/>
          <w:sz w:val="22"/>
          <w:szCs w:val="22"/>
        </w:rPr>
        <w:t xml:space="preserve"> of the binding precedent is where </w:t>
      </w:r>
      <w:r w:rsidRPr="624F64F4" w:rsidR="23E0BA8B">
        <w:rPr>
          <w:rFonts w:ascii="Arial" w:hAnsi="Arial" w:eastAsia="Arial" w:cs="Arial"/>
          <w:color w:val="auto"/>
          <w:sz w:val="22"/>
          <w:szCs w:val="22"/>
        </w:rPr>
        <w:t xml:space="preserve">the courts apply and follow the same principles declared in cases that had happened previously </w:t>
      </w:r>
      <w:r w:rsidRPr="624F64F4" w:rsidR="06617AA3">
        <w:rPr>
          <w:rFonts w:ascii="Arial" w:hAnsi="Arial" w:eastAsia="Arial" w:cs="Arial"/>
          <w:color w:val="auto"/>
          <w:sz w:val="22"/>
          <w:szCs w:val="22"/>
        </w:rPr>
        <w:t xml:space="preserve">which were in turn decided by more superior courts. </w:t>
      </w:r>
      <w:r w:rsidRPr="624F64F4" w:rsidR="3F2DA0E1">
        <w:rPr>
          <w:rFonts w:ascii="Arial" w:hAnsi="Arial" w:eastAsia="Arial" w:cs="Arial"/>
          <w:color w:val="auto"/>
          <w:sz w:val="22"/>
          <w:szCs w:val="22"/>
        </w:rPr>
        <w:t xml:space="preserve">Common law includes procedural and substantive rules. Substantive rules </w:t>
      </w:r>
      <w:r w:rsidRPr="624F64F4" w:rsidR="3BF33922">
        <w:rPr>
          <w:rFonts w:ascii="Arial" w:hAnsi="Arial" w:eastAsia="Arial" w:cs="Arial"/>
          <w:color w:val="auto"/>
          <w:sz w:val="22"/>
          <w:szCs w:val="22"/>
        </w:rPr>
        <w:t xml:space="preserve">cover offences such as murder and procedural covers offences such as court procedure rules which are derived from the inherent </w:t>
      </w:r>
      <w:r w:rsidRPr="624F64F4" w:rsidR="3BF33922">
        <w:rPr>
          <w:rFonts w:ascii="Arial" w:hAnsi="Arial" w:eastAsia="Arial" w:cs="Arial"/>
          <w:color w:val="auto"/>
          <w:sz w:val="22"/>
          <w:szCs w:val="22"/>
        </w:rPr>
        <w:t>jurisdic</w:t>
      </w:r>
      <w:r w:rsidRPr="624F64F4" w:rsidR="15634779">
        <w:rPr>
          <w:rFonts w:ascii="Arial" w:hAnsi="Arial" w:eastAsia="Arial" w:cs="Arial"/>
          <w:color w:val="auto"/>
          <w:sz w:val="22"/>
          <w:szCs w:val="22"/>
        </w:rPr>
        <w:t>tion</w:t>
      </w:r>
      <w:r w:rsidRPr="624F64F4" w:rsidR="15634779">
        <w:rPr>
          <w:rFonts w:ascii="Arial" w:hAnsi="Arial" w:eastAsia="Arial" w:cs="Arial"/>
          <w:color w:val="auto"/>
          <w:sz w:val="22"/>
          <w:szCs w:val="22"/>
        </w:rPr>
        <w:t xml:space="preserve"> of the court. </w:t>
      </w:r>
      <w:r w:rsidRPr="624F64F4" w:rsidR="74B5BA11">
        <w:rPr>
          <w:rFonts w:ascii="Arial" w:hAnsi="Arial" w:eastAsia="Arial" w:cs="Arial"/>
          <w:color w:val="auto"/>
          <w:sz w:val="22"/>
          <w:szCs w:val="22"/>
        </w:rPr>
        <w:t>(</w:t>
      </w:r>
      <w:r w:rsidRPr="624F64F4" w:rsidR="74B5BA11">
        <w:rPr>
          <w:rFonts w:ascii="Arial" w:hAnsi="Arial" w:eastAsia="Arial" w:cs="Arial"/>
          <w:color w:val="auto"/>
          <w:sz w:val="22"/>
          <w:szCs w:val="22"/>
        </w:rPr>
        <w:t>Asimow</w:t>
      </w:r>
      <w:r w:rsidRPr="624F64F4" w:rsidR="74B5BA11">
        <w:rPr>
          <w:rFonts w:ascii="Arial" w:hAnsi="Arial" w:eastAsia="Arial" w:cs="Arial"/>
          <w:color w:val="auto"/>
          <w:sz w:val="22"/>
          <w:szCs w:val="22"/>
        </w:rPr>
        <w:t>, M., 1983.).</w:t>
      </w:r>
      <w:r w:rsidRPr="624F64F4" w:rsidR="0C929683">
        <w:rPr>
          <w:rFonts w:ascii="Arial" w:hAnsi="Arial" w:eastAsia="Arial" w:cs="Arial"/>
          <w:color w:val="auto"/>
          <w:sz w:val="22"/>
          <w:szCs w:val="22"/>
        </w:rPr>
        <w:t xml:space="preserve"> However common law rules may be replace</w:t>
      </w:r>
      <w:r w:rsidRPr="624F64F4" w:rsidR="44D0E550">
        <w:rPr>
          <w:rFonts w:ascii="Arial" w:hAnsi="Arial" w:eastAsia="Arial" w:cs="Arial"/>
          <w:color w:val="auto"/>
          <w:sz w:val="22"/>
          <w:szCs w:val="22"/>
        </w:rPr>
        <w:t>d</w:t>
      </w:r>
      <w:r w:rsidRPr="624F64F4" w:rsidR="0C929683">
        <w:rPr>
          <w:rFonts w:ascii="Arial" w:hAnsi="Arial" w:eastAsia="Arial" w:cs="Arial"/>
          <w:color w:val="auto"/>
          <w:sz w:val="22"/>
          <w:szCs w:val="22"/>
        </w:rPr>
        <w:t xml:space="preserve"> by legislation. Meaning that legislation</w:t>
      </w:r>
      <w:r w:rsidRPr="624F64F4" w:rsidR="62440AF8">
        <w:rPr>
          <w:rFonts w:ascii="Arial" w:hAnsi="Arial" w:eastAsia="Arial" w:cs="Arial"/>
          <w:color w:val="auto"/>
          <w:sz w:val="22"/>
          <w:szCs w:val="22"/>
        </w:rPr>
        <w:t xml:space="preserve"> takes precedence over common law in England and Wales. For </w:t>
      </w:r>
      <w:r w:rsidRPr="624F64F4" w:rsidR="421AAFB3">
        <w:rPr>
          <w:rFonts w:ascii="Arial" w:hAnsi="Arial" w:eastAsia="Arial" w:cs="Arial"/>
          <w:color w:val="auto"/>
          <w:sz w:val="22"/>
          <w:szCs w:val="22"/>
        </w:rPr>
        <w:t>example,</w:t>
      </w:r>
      <w:r w:rsidRPr="624F64F4" w:rsidR="62440AF8">
        <w:rPr>
          <w:rFonts w:ascii="Arial" w:hAnsi="Arial" w:eastAsia="Arial" w:cs="Arial"/>
          <w:color w:val="auto"/>
          <w:sz w:val="22"/>
          <w:szCs w:val="22"/>
        </w:rPr>
        <w:t xml:space="preserve"> for the </w:t>
      </w:r>
      <w:r w:rsidRPr="624F64F4" w:rsidR="35F63CF0">
        <w:rPr>
          <w:rFonts w:ascii="Arial" w:hAnsi="Arial" w:eastAsia="Arial" w:cs="Arial"/>
          <w:color w:val="auto"/>
          <w:sz w:val="22"/>
          <w:szCs w:val="22"/>
        </w:rPr>
        <w:t>offence</w:t>
      </w:r>
      <w:r w:rsidRPr="624F64F4" w:rsidR="62440AF8">
        <w:rPr>
          <w:rFonts w:ascii="Arial" w:hAnsi="Arial" w:eastAsia="Arial" w:cs="Arial"/>
          <w:color w:val="auto"/>
          <w:sz w:val="22"/>
          <w:szCs w:val="22"/>
        </w:rPr>
        <w:t xml:space="preserve"> of theft</w:t>
      </w:r>
      <w:r w:rsidRPr="624F64F4" w:rsidR="47FD13F5">
        <w:rPr>
          <w:rFonts w:ascii="Arial" w:hAnsi="Arial" w:eastAsia="Arial" w:cs="Arial"/>
          <w:color w:val="auto"/>
          <w:sz w:val="22"/>
          <w:szCs w:val="22"/>
        </w:rPr>
        <w:t xml:space="preserve"> which are currently governed by the Thefts Act 1978</w:t>
      </w:r>
      <w:r w:rsidRPr="624F64F4" w:rsidR="7E095F47">
        <w:rPr>
          <w:rFonts w:ascii="Arial" w:hAnsi="Arial" w:eastAsia="Arial" w:cs="Arial"/>
          <w:color w:val="auto"/>
          <w:sz w:val="22"/>
          <w:szCs w:val="22"/>
        </w:rPr>
        <w:t xml:space="preserve"> (Syrota, G., 1979.</w:t>
      </w:r>
      <w:r w:rsidRPr="624F64F4" w:rsidR="47FD13F5">
        <w:rPr>
          <w:rFonts w:ascii="Arial" w:hAnsi="Arial" w:eastAsia="Arial" w:cs="Arial"/>
          <w:color w:val="auto"/>
          <w:sz w:val="22"/>
          <w:szCs w:val="22"/>
        </w:rPr>
        <w:t xml:space="preserve"> and Theft Act </w:t>
      </w:r>
      <w:r w:rsidRPr="624F64F4" w:rsidR="1EB6ECAF">
        <w:rPr>
          <w:rFonts w:ascii="Arial" w:hAnsi="Arial" w:eastAsia="Arial" w:cs="Arial"/>
          <w:color w:val="auto"/>
          <w:sz w:val="22"/>
          <w:szCs w:val="22"/>
        </w:rPr>
        <w:t xml:space="preserve">1968. </w:t>
      </w:r>
      <w:r w:rsidRPr="624F64F4" w:rsidR="2C666638">
        <w:rPr>
          <w:rFonts w:ascii="Arial" w:hAnsi="Arial" w:eastAsia="Arial" w:cs="Arial"/>
          <w:color w:val="auto"/>
          <w:sz w:val="22"/>
          <w:szCs w:val="22"/>
        </w:rPr>
        <w:t>(Wood</w:t>
      </w:r>
      <w:r w:rsidRPr="624F64F4" w:rsidR="7D852D25">
        <w:rPr>
          <w:rFonts w:ascii="Arial" w:hAnsi="Arial" w:eastAsia="Arial" w:cs="Arial"/>
          <w:color w:val="auto"/>
          <w:sz w:val="22"/>
          <w:szCs w:val="22"/>
        </w:rPr>
        <w:t>, J.C., 1968</w:t>
      </w:r>
      <w:r w:rsidRPr="624F64F4" w:rsidR="0284A1C6">
        <w:rPr>
          <w:rFonts w:ascii="Arial" w:hAnsi="Arial" w:eastAsia="Arial" w:cs="Arial"/>
          <w:color w:val="auto"/>
          <w:sz w:val="22"/>
          <w:szCs w:val="22"/>
        </w:rPr>
        <w:t>.)</w:t>
      </w:r>
      <w:r w:rsidRPr="624F64F4" w:rsidR="4855DB82">
        <w:rPr>
          <w:rFonts w:ascii="Arial" w:hAnsi="Arial" w:eastAsia="Arial" w:cs="Arial"/>
          <w:color w:val="auto"/>
          <w:sz w:val="22"/>
          <w:szCs w:val="22"/>
        </w:rPr>
        <w:t xml:space="preserve"> They</w:t>
      </w:r>
      <w:r w:rsidRPr="624F64F4" w:rsidR="7D4FF901">
        <w:rPr>
          <w:rFonts w:ascii="Arial" w:hAnsi="Arial" w:eastAsia="Arial" w:cs="Arial"/>
          <w:color w:val="auto"/>
          <w:sz w:val="22"/>
          <w:szCs w:val="22"/>
        </w:rPr>
        <w:t xml:space="preserve"> used to be </w:t>
      </w:r>
      <w:r w:rsidRPr="624F64F4" w:rsidR="7A02FC76">
        <w:rPr>
          <w:rFonts w:ascii="Arial" w:hAnsi="Arial" w:eastAsia="Arial" w:cs="Arial"/>
          <w:color w:val="auto"/>
          <w:sz w:val="22"/>
          <w:szCs w:val="22"/>
        </w:rPr>
        <w:t>governed</w:t>
      </w:r>
      <w:r w:rsidRPr="624F64F4" w:rsidR="7D4FF901">
        <w:rPr>
          <w:rFonts w:ascii="Arial" w:hAnsi="Arial" w:eastAsia="Arial" w:cs="Arial"/>
          <w:color w:val="auto"/>
          <w:sz w:val="22"/>
          <w:szCs w:val="22"/>
        </w:rPr>
        <w:t xml:space="preserve"> by the common law principles under the common law offence of larceny. This goes to show ho</w:t>
      </w:r>
      <w:r w:rsidRPr="624F64F4" w:rsidR="5A2BC8C6">
        <w:rPr>
          <w:rFonts w:ascii="Arial" w:hAnsi="Arial" w:eastAsia="Arial" w:cs="Arial"/>
          <w:color w:val="auto"/>
          <w:sz w:val="22"/>
          <w:szCs w:val="22"/>
        </w:rPr>
        <w:t xml:space="preserve">w </w:t>
      </w:r>
      <w:r w:rsidRPr="624F64F4" w:rsidR="7D4FF901">
        <w:rPr>
          <w:rFonts w:ascii="Arial" w:hAnsi="Arial" w:eastAsia="Arial" w:cs="Arial"/>
          <w:color w:val="auto"/>
          <w:sz w:val="22"/>
          <w:szCs w:val="22"/>
        </w:rPr>
        <w:t>legislation takes precedent over common law.</w:t>
      </w:r>
      <w:r w:rsidRPr="624F64F4" w:rsidR="794A8FB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4F64F4" w:rsidR="794A8FB3">
        <w:rPr>
          <w:rFonts w:ascii="Arial" w:hAnsi="Arial" w:eastAsia="Arial" w:cs="Arial"/>
          <w:color w:val="auto"/>
          <w:sz w:val="22"/>
          <w:szCs w:val="22"/>
        </w:rPr>
        <w:t xml:space="preserve">If the common law judges want to reform an out-of-date law </w:t>
      </w:r>
      <w:r w:rsidRPr="624F64F4" w:rsidR="4D13F39F">
        <w:rPr>
          <w:rFonts w:ascii="Arial" w:hAnsi="Arial" w:eastAsia="Arial" w:cs="Arial"/>
          <w:color w:val="auto"/>
          <w:sz w:val="22"/>
          <w:szCs w:val="22"/>
        </w:rPr>
        <w:t>however, they cannot especially if it is derived from a statute</w:t>
      </w:r>
      <w:r w:rsidRPr="624F64F4" w:rsidR="2685B6BE">
        <w:rPr>
          <w:rFonts w:ascii="Arial" w:hAnsi="Arial" w:eastAsia="Arial" w:cs="Arial"/>
          <w:color w:val="auto"/>
          <w:sz w:val="22"/>
          <w:szCs w:val="22"/>
        </w:rPr>
        <w:t>.</w:t>
      </w:r>
      <w:r w:rsidRPr="624F64F4" w:rsidR="2685B6BE">
        <w:rPr>
          <w:rFonts w:ascii="Arial" w:hAnsi="Arial" w:eastAsia="Arial" w:cs="Arial"/>
          <w:color w:val="auto"/>
          <w:sz w:val="22"/>
          <w:szCs w:val="22"/>
        </w:rPr>
        <w:t xml:space="preserve"> In these circumstances only parliament can change the law and interpret it differently through statutory interpretation. </w:t>
      </w:r>
      <w:r w:rsidRPr="624F64F4" w:rsidR="5C8AD1B2">
        <w:rPr>
          <w:rFonts w:ascii="Arial" w:hAnsi="Arial" w:eastAsia="Arial" w:cs="Arial"/>
          <w:color w:val="auto"/>
          <w:sz w:val="22"/>
          <w:szCs w:val="22"/>
        </w:rPr>
        <w:t xml:space="preserve">If this needs to happen the common course afterwards is that the law commission will tend to review and propose a reform to the old and unsuitable laws. </w:t>
      </w:r>
      <w:r w:rsidRPr="624F64F4" w:rsidR="23CF8121">
        <w:rPr>
          <w:rFonts w:ascii="Arial" w:hAnsi="Arial" w:eastAsia="Arial" w:cs="Arial"/>
          <w:color w:val="auto"/>
          <w:sz w:val="22"/>
          <w:szCs w:val="22"/>
        </w:rPr>
        <w:t>(Lovenduski, J., 2007.)</w:t>
      </w:r>
      <w:r w:rsidRPr="624F64F4" w:rsidR="0BEE1E0D">
        <w:rPr>
          <w:rFonts w:ascii="Arial" w:hAnsi="Arial" w:eastAsia="Arial" w:cs="Arial"/>
          <w:color w:val="auto"/>
          <w:sz w:val="22"/>
          <w:szCs w:val="22"/>
        </w:rPr>
        <w:t xml:space="preserve">. Prerogative powers also originate from common law. </w:t>
      </w:r>
      <w:r w:rsidRPr="624F64F4" w:rsidR="3334B5B7">
        <w:rPr>
          <w:rFonts w:ascii="Arial" w:hAnsi="Arial" w:eastAsia="Arial" w:cs="Arial"/>
          <w:color w:val="auto"/>
          <w:sz w:val="22"/>
          <w:szCs w:val="22"/>
        </w:rPr>
        <w:t xml:space="preserve">It requires no legislation </w:t>
      </w:r>
      <w:r w:rsidRPr="624F64F4" w:rsidR="71D99AE8">
        <w:rPr>
          <w:rFonts w:ascii="Arial" w:hAnsi="Arial" w:eastAsia="Arial" w:cs="Arial"/>
          <w:color w:val="auto"/>
          <w:sz w:val="22"/>
          <w:szCs w:val="22"/>
        </w:rPr>
        <w:t xml:space="preserve">and falls into two </w:t>
      </w:r>
      <w:r w:rsidRPr="624F64F4" w:rsidR="71D99AE8">
        <w:rPr>
          <w:rFonts w:ascii="Arial" w:hAnsi="Arial" w:eastAsia="Arial" w:cs="Arial"/>
          <w:color w:val="auto"/>
          <w:sz w:val="22"/>
          <w:szCs w:val="22"/>
        </w:rPr>
        <w:t>different categories</w:t>
      </w:r>
      <w:r w:rsidRPr="624F64F4" w:rsidR="2259986A">
        <w:rPr>
          <w:rFonts w:ascii="Arial" w:hAnsi="Arial" w:eastAsia="Arial" w:cs="Arial"/>
          <w:color w:val="auto"/>
          <w:sz w:val="22"/>
          <w:szCs w:val="22"/>
        </w:rPr>
        <w:t xml:space="preserve">: Those </w:t>
      </w:r>
      <w:r w:rsidRPr="624F64F4" w:rsidR="4E4EEC91">
        <w:rPr>
          <w:rFonts w:ascii="Arial" w:hAnsi="Arial" w:eastAsia="Arial" w:cs="Arial"/>
          <w:color w:val="auto"/>
          <w:sz w:val="22"/>
          <w:szCs w:val="22"/>
        </w:rPr>
        <w:t>which</w:t>
      </w:r>
      <w:r w:rsidRPr="624F64F4" w:rsidR="2259986A">
        <w:rPr>
          <w:rFonts w:ascii="Arial" w:hAnsi="Arial" w:eastAsia="Arial" w:cs="Arial"/>
          <w:color w:val="auto"/>
          <w:sz w:val="22"/>
          <w:szCs w:val="22"/>
        </w:rPr>
        <w:t xml:space="preserve"> are directly </w:t>
      </w:r>
      <w:r w:rsidRPr="624F64F4" w:rsidR="73EFC966">
        <w:rPr>
          <w:rFonts w:ascii="Arial" w:hAnsi="Arial" w:eastAsia="Arial" w:cs="Arial"/>
          <w:color w:val="auto"/>
          <w:sz w:val="22"/>
          <w:szCs w:val="22"/>
        </w:rPr>
        <w:t>exercised</w:t>
      </w:r>
      <w:r w:rsidRPr="624F64F4" w:rsidR="2259986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4F64F4" w:rsidR="3CF95995">
        <w:rPr>
          <w:rFonts w:ascii="Arial" w:hAnsi="Arial" w:eastAsia="Arial" w:cs="Arial"/>
          <w:color w:val="auto"/>
          <w:sz w:val="22"/>
          <w:szCs w:val="22"/>
        </w:rPr>
        <w:t>by</w:t>
      </w:r>
      <w:r w:rsidRPr="624F64F4" w:rsidR="2259986A">
        <w:rPr>
          <w:rFonts w:ascii="Arial" w:hAnsi="Arial" w:eastAsia="Arial" w:cs="Arial"/>
          <w:color w:val="auto"/>
          <w:sz w:val="22"/>
          <w:szCs w:val="22"/>
        </w:rPr>
        <w:t xml:space="preserve"> ministers who do not need the approval of parliament. They can </w:t>
      </w:r>
      <w:r w:rsidRPr="624F64F4" w:rsidR="544312F1">
        <w:rPr>
          <w:rFonts w:ascii="Arial" w:hAnsi="Arial" w:eastAsia="Arial" w:cs="Arial"/>
          <w:color w:val="auto"/>
          <w:sz w:val="22"/>
          <w:szCs w:val="22"/>
        </w:rPr>
        <w:t>regulate</w:t>
      </w:r>
      <w:r w:rsidRPr="624F64F4" w:rsidR="2259986A">
        <w:rPr>
          <w:rFonts w:ascii="Arial" w:hAnsi="Arial" w:eastAsia="Arial" w:cs="Arial"/>
          <w:color w:val="auto"/>
          <w:sz w:val="22"/>
          <w:szCs w:val="22"/>
        </w:rPr>
        <w:t xml:space="preserve"> the </w:t>
      </w:r>
      <w:r w:rsidRPr="624F64F4" w:rsidR="1BA211B3">
        <w:rPr>
          <w:rFonts w:ascii="Arial" w:hAnsi="Arial" w:eastAsia="Arial" w:cs="Arial"/>
          <w:color w:val="auto"/>
          <w:sz w:val="22"/>
          <w:szCs w:val="22"/>
        </w:rPr>
        <w:t>civil service</w:t>
      </w:r>
      <w:r w:rsidRPr="624F64F4" w:rsidR="2259986A">
        <w:rPr>
          <w:rFonts w:ascii="Arial" w:hAnsi="Arial" w:eastAsia="Arial" w:cs="Arial"/>
          <w:color w:val="auto"/>
          <w:sz w:val="22"/>
          <w:szCs w:val="22"/>
        </w:rPr>
        <w:t xml:space="preserve"> such as issuing pass</w:t>
      </w:r>
      <w:r w:rsidRPr="624F64F4" w:rsidR="559E0BDE">
        <w:rPr>
          <w:rFonts w:ascii="Arial" w:hAnsi="Arial" w:eastAsia="Arial" w:cs="Arial"/>
          <w:color w:val="auto"/>
          <w:sz w:val="22"/>
          <w:szCs w:val="22"/>
        </w:rPr>
        <w:t>ports.</w:t>
      </w:r>
      <w:r w:rsidRPr="624F64F4" w:rsidR="60FE7D9B">
        <w:rPr>
          <w:rFonts w:ascii="Arial" w:hAnsi="Arial" w:eastAsia="Arial" w:cs="Arial"/>
          <w:color w:val="auto"/>
          <w:sz w:val="22"/>
          <w:szCs w:val="22"/>
        </w:rPr>
        <w:t xml:space="preserve"> Then you also have the powers exercised by the monarch usually on the advice of the cabinet and the prime minister these powers include declarations of war. </w:t>
      </w:r>
      <w:r w:rsidRPr="624F64F4" w:rsidR="04D839A8">
        <w:rPr>
          <w:rFonts w:ascii="Arial" w:hAnsi="Arial" w:eastAsia="Arial" w:cs="Arial"/>
          <w:color w:val="auto"/>
          <w:sz w:val="22"/>
          <w:szCs w:val="22"/>
        </w:rPr>
        <w:t>(Poole, T., 2010.)</w:t>
      </w:r>
      <w:r w:rsidRPr="624F64F4" w:rsidR="33FBDB4E">
        <w:rPr>
          <w:rFonts w:ascii="Arial" w:hAnsi="Arial" w:eastAsia="Arial" w:cs="Arial"/>
          <w:color w:val="auto"/>
          <w:sz w:val="22"/>
          <w:szCs w:val="22"/>
        </w:rPr>
        <w:t>. The royal prerogative however was questioned during King James 1</w:t>
      </w:r>
      <w:r w:rsidRPr="624F64F4" w:rsidR="33FBDB4E">
        <w:rPr>
          <w:rFonts w:ascii="Arial" w:hAnsi="Arial" w:eastAsia="Arial" w:cs="Arial"/>
          <w:color w:val="auto"/>
          <w:sz w:val="22"/>
          <w:szCs w:val="22"/>
          <w:vertAlign w:val="superscript"/>
        </w:rPr>
        <w:t>st</w:t>
      </w:r>
      <w:r w:rsidRPr="624F64F4" w:rsidR="33FBDB4E">
        <w:rPr>
          <w:rFonts w:ascii="Arial" w:hAnsi="Arial" w:eastAsia="Arial" w:cs="Arial"/>
          <w:color w:val="auto"/>
          <w:sz w:val="22"/>
          <w:szCs w:val="22"/>
        </w:rPr>
        <w:t xml:space="preserve"> reign as monarch of the United Kingdom</w:t>
      </w:r>
      <w:r w:rsidRPr="624F64F4" w:rsidR="27DBBC60">
        <w:rPr>
          <w:rFonts w:ascii="Arial" w:hAnsi="Arial" w:eastAsia="Arial" w:cs="Arial"/>
          <w:color w:val="auto"/>
          <w:sz w:val="22"/>
          <w:szCs w:val="22"/>
        </w:rPr>
        <w:t xml:space="preserve">. They questioned whether the prerogative had been limited by statute and if so </w:t>
      </w:r>
      <w:r w:rsidRPr="624F64F4" w:rsidR="0E67A1F5">
        <w:rPr>
          <w:rFonts w:ascii="Arial" w:hAnsi="Arial" w:eastAsia="Arial" w:cs="Arial"/>
          <w:color w:val="auto"/>
          <w:sz w:val="22"/>
          <w:szCs w:val="22"/>
        </w:rPr>
        <w:t>in</w:t>
      </w:r>
      <w:r w:rsidRPr="624F64F4" w:rsidR="27DBBC60">
        <w:rPr>
          <w:rFonts w:ascii="Arial" w:hAnsi="Arial" w:eastAsia="Arial" w:cs="Arial"/>
          <w:color w:val="auto"/>
          <w:sz w:val="22"/>
          <w:szCs w:val="22"/>
        </w:rPr>
        <w:t xml:space="preserve"> what way?</w:t>
      </w:r>
      <w:r w:rsidRPr="624F64F4" w:rsidR="41194B20">
        <w:rPr>
          <w:rFonts w:ascii="Arial" w:hAnsi="Arial" w:eastAsia="Arial" w:cs="Arial"/>
          <w:color w:val="auto"/>
          <w:sz w:val="22"/>
          <w:szCs w:val="22"/>
        </w:rPr>
        <w:t xml:space="preserve"> This paved the way for the way the royal prerogative is today and how it works.</w:t>
      </w:r>
      <w:r w:rsidRPr="624F64F4" w:rsidR="43D81859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624F64F4" w:rsidR="43D81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Heinze, R.W., 1976</w:t>
      </w:r>
      <w:r w:rsidRPr="624F64F4" w:rsidR="7C471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The judiciary of the </w:t>
      </w:r>
      <w:r w:rsidRPr="624F64F4" w:rsidR="050D7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United Kingdom</w:t>
      </w:r>
      <w:r w:rsidRPr="624F64F4" w:rsidR="7C471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also bound through common law. As they are the ones who set the </w:t>
      </w:r>
      <w:r w:rsidRPr="624F64F4" w:rsidR="7F2B1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precedent</w:t>
      </w:r>
      <w:r w:rsidRPr="624F64F4" w:rsidR="7C471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apply the law through courts. For </w:t>
      </w:r>
      <w:r w:rsidRPr="624F64F4" w:rsidR="4BC72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example,</w:t>
      </w:r>
      <w:r w:rsidRPr="624F64F4" w:rsidR="5B998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murder is a common law offence its </w:t>
      </w:r>
      <w:r w:rsidRPr="624F64F4" w:rsidR="212D7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definition</w:t>
      </w:r>
      <w:r w:rsidRPr="624F64F4" w:rsidR="5B998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covered by case law.</w:t>
      </w:r>
      <w:r w:rsidRPr="624F64F4" w:rsidR="5DF83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can be seen in </w:t>
      </w:r>
      <w:r w:rsidRPr="624F64F4" w:rsidR="5DF83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Anderton</w:t>
      </w:r>
      <w:r w:rsidRPr="624F64F4" w:rsidR="5DF83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v Ryan (Ryan, A.V., HOUSE OF LORDS. 1985).</w:t>
      </w:r>
    </w:p>
    <w:p xmlns:wp14="http://schemas.microsoft.com/office/word/2010/wordml" w:rsidP="624F64F4" w14:paraId="1E7F49A0" wp14:textId="6749BF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24F64F4" w:rsidR="11D74EEF">
        <w:rPr>
          <w:rFonts w:ascii="Arial" w:hAnsi="Arial" w:eastAsia="Arial" w:cs="Arial"/>
          <w:color w:val="auto"/>
          <w:sz w:val="22"/>
          <w:szCs w:val="22"/>
        </w:rPr>
        <w:t xml:space="preserve">Civil law differs from common law in that the system of law concerned with private matters between members of a community and </w:t>
      </w:r>
      <w:r w:rsidRPr="624F64F4" w:rsidR="7129C187">
        <w:rPr>
          <w:rFonts w:ascii="Arial" w:hAnsi="Arial" w:eastAsia="Arial" w:cs="Arial"/>
          <w:color w:val="auto"/>
          <w:sz w:val="22"/>
          <w:szCs w:val="22"/>
        </w:rPr>
        <w:t>is more a person v person matter rather than in common law where someone can be prosecuted against the state for committing a crime. This is k</w:t>
      </w:r>
      <w:r w:rsidRPr="624F64F4" w:rsidR="632BC52A">
        <w:rPr>
          <w:rFonts w:ascii="Arial" w:hAnsi="Arial" w:eastAsia="Arial" w:cs="Arial"/>
          <w:color w:val="auto"/>
          <w:sz w:val="22"/>
          <w:szCs w:val="22"/>
        </w:rPr>
        <w:t xml:space="preserve">nown as civil law. Civil laws main aim is to settle disputes between </w:t>
      </w:r>
      <w:r w:rsidRPr="624F64F4" w:rsidR="6657F3CF">
        <w:rPr>
          <w:rFonts w:ascii="Arial" w:hAnsi="Arial" w:eastAsia="Arial" w:cs="Arial"/>
          <w:color w:val="auto"/>
          <w:sz w:val="22"/>
          <w:szCs w:val="22"/>
        </w:rPr>
        <w:t>individuals</w:t>
      </w:r>
      <w:r w:rsidRPr="624F64F4" w:rsidR="632BC52A">
        <w:rPr>
          <w:rFonts w:ascii="Arial" w:hAnsi="Arial" w:eastAsia="Arial" w:cs="Arial"/>
          <w:color w:val="auto"/>
          <w:sz w:val="22"/>
          <w:szCs w:val="22"/>
        </w:rPr>
        <w:t xml:space="preserve"> and organisations. Usua</w:t>
      </w:r>
      <w:r w:rsidRPr="624F64F4" w:rsidR="427E37C3">
        <w:rPr>
          <w:rFonts w:ascii="Arial" w:hAnsi="Arial" w:eastAsia="Arial" w:cs="Arial"/>
          <w:color w:val="auto"/>
          <w:sz w:val="22"/>
          <w:szCs w:val="22"/>
        </w:rPr>
        <w:t xml:space="preserve">lly but not </w:t>
      </w:r>
      <w:r w:rsidRPr="624F64F4" w:rsidR="42F430CB">
        <w:rPr>
          <w:rFonts w:ascii="Arial" w:hAnsi="Arial" w:eastAsia="Arial" w:cs="Arial"/>
          <w:color w:val="auto"/>
          <w:sz w:val="22"/>
          <w:szCs w:val="22"/>
        </w:rPr>
        <w:t>all the</w:t>
      </w:r>
      <w:r w:rsidRPr="624F64F4" w:rsidR="427E37C3">
        <w:rPr>
          <w:rFonts w:ascii="Arial" w:hAnsi="Arial" w:eastAsia="Arial" w:cs="Arial"/>
          <w:color w:val="auto"/>
          <w:sz w:val="22"/>
          <w:szCs w:val="22"/>
        </w:rPr>
        <w:t xml:space="preserve"> time</w:t>
      </w:r>
      <w:r w:rsidRPr="624F64F4" w:rsidR="235E5775">
        <w:rPr>
          <w:rFonts w:ascii="Arial" w:hAnsi="Arial" w:eastAsia="Arial" w:cs="Arial"/>
          <w:color w:val="auto"/>
          <w:sz w:val="22"/>
          <w:szCs w:val="22"/>
        </w:rPr>
        <w:t xml:space="preserve"> is</w:t>
      </w:r>
      <w:r w:rsidRPr="624F64F4" w:rsidR="427E37C3">
        <w:rPr>
          <w:rFonts w:ascii="Arial" w:hAnsi="Arial" w:eastAsia="Arial" w:cs="Arial"/>
          <w:color w:val="auto"/>
          <w:sz w:val="22"/>
          <w:szCs w:val="22"/>
        </w:rPr>
        <w:t xml:space="preserve"> the result of a civil case is compensation for one party or an </w:t>
      </w:r>
      <w:r w:rsidRPr="624F64F4" w:rsidR="56CFF299">
        <w:rPr>
          <w:rFonts w:ascii="Arial" w:hAnsi="Arial" w:eastAsia="Arial" w:cs="Arial"/>
          <w:color w:val="auto"/>
          <w:sz w:val="22"/>
          <w:szCs w:val="22"/>
        </w:rPr>
        <w:t>agreement relating</w:t>
      </w:r>
      <w:r w:rsidRPr="624F64F4" w:rsidR="427E37C3">
        <w:rPr>
          <w:rFonts w:ascii="Arial" w:hAnsi="Arial" w:eastAsia="Arial" w:cs="Arial"/>
          <w:color w:val="auto"/>
          <w:sz w:val="22"/>
          <w:szCs w:val="22"/>
        </w:rPr>
        <w:t xml:space="preserve"> to </w:t>
      </w:r>
      <w:r w:rsidRPr="624F64F4" w:rsidR="39EA731A">
        <w:rPr>
          <w:rFonts w:ascii="Arial" w:hAnsi="Arial" w:eastAsia="Arial" w:cs="Arial"/>
          <w:color w:val="auto"/>
          <w:sz w:val="22"/>
          <w:szCs w:val="22"/>
        </w:rPr>
        <w:t>finances</w:t>
      </w:r>
      <w:r w:rsidRPr="624F64F4" w:rsidR="427E37C3">
        <w:rPr>
          <w:rFonts w:ascii="Arial" w:hAnsi="Arial" w:eastAsia="Arial" w:cs="Arial"/>
          <w:color w:val="auto"/>
          <w:sz w:val="22"/>
          <w:szCs w:val="22"/>
        </w:rPr>
        <w:t xml:space="preserve">. Civil law cases tend to be filed by the </w:t>
      </w:r>
      <w:r w:rsidRPr="624F64F4" w:rsidR="12FAE6B3">
        <w:rPr>
          <w:rFonts w:ascii="Arial" w:hAnsi="Arial" w:eastAsia="Arial" w:cs="Arial"/>
          <w:color w:val="auto"/>
          <w:sz w:val="22"/>
          <w:szCs w:val="22"/>
        </w:rPr>
        <w:t>person</w:t>
      </w:r>
      <w:r w:rsidRPr="624F64F4" w:rsidR="427E37C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4F64F4" w:rsidR="2FA8411A">
        <w:rPr>
          <w:rFonts w:ascii="Arial" w:hAnsi="Arial" w:eastAsia="Arial" w:cs="Arial"/>
          <w:color w:val="auto"/>
          <w:sz w:val="22"/>
          <w:szCs w:val="22"/>
        </w:rPr>
        <w:t xml:space="preserve">exclusively instead of being filed by the </w:t>
      </w:r>
      <w:r w:rsidRPr="624F64F4" w:rsidR="0623A550">
        <w:rPr>
          <w:rFonts w:ascii="Arial" w:hAnsi="Arial" w:eastAsia="Arial" w:cs="Arial"/>
          <w:color w:val="auto"/>
          <w:sz w:val="22"/>
          <w:szCs w:val="22"/>
        </w:rPr>
        <w:t>government</w:t>
      </w:r>
      <w:r w:rsidRPr="624F64F4" w:rsidR="2FA8411A">
        <w:rPr>
          <w:rFonts w:ascii="Arial" w:hAnsi="Arial" w:eastAsia="Arial" w:cs="Arial"/>
          <w:color w:val="auto"/>
          <w:sz w:val="22"/>
          <w:szCs w:val="22"/>
        </w:rPr>
        <w:t xml:space="preserve"> in criminal and common law cases.</w:t>
      </w:r>
      <w:r w:rsidRPr="624F64F4" w:rsidR="2D18711C">
        <w:rPr>
          <w:rFonts w:ascii="Arial" w:hAnsi="Arial" w:eastAsia="Arial" w:cs="Arial"/>
          <w:color w:val="auto"/>
          <w:sz w:val="22"/>
          <w:szCs w:val="22"/>
        </w:rPr>
        <w:t xml:space="preserve"> Some examples of civil cases would be defamation of character or legal disputes to ownership of an item or property.</w:t>
      </w:r>
      <w:r w:rsidRPr="624F64F4" w:rsidR="6BBD564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4F64F4" w:rsidR="6CB5629D">
        <w:rPr>
          <w:rFonts w:ascii="Arial" w:hAnsi="Arial" w:eastAsia="Arial" w:cs="Arial"/>
          <w:color w:val="auto"/>
          <w:sz w:val="22"/>
          <w:szCs w:val="22"/>
        </w:rPr>
        <w:t xml:space="preserve">There is also a separate set of courts which </w:t>
      </w:r>
      <w:r w:rsidRPr="624F64F4" w:rsidR="7F64F3A7">
        <w:rPr>
          <w:rFonts w:ascii="Arial" w:hAnsi="Arial" w:eastAsia="Arial" w:cs="Arial"/>
          <w:color w:val="auto"/>
          <w:sz w:val="22"/>
          <w:szCs w:val="22"/>
        </w:rPr>
        <w:t>oversee</w:t>
      </w:r>
      <w:r w:rsidRPr="624F64F4" w:rsidR="6CB5629D">
        <w:rPr>
          <w:rFonts w:ascii="Arial" w:hAnsi="Arial" w:eastAsia="Arial" w:cs="Arial"/>
          <w:color w:val="auto"/>
          <w:sz w:val="22"/>
          <w:szCs w:val="22"/>
        </w:rPr>
        <w:t xml:space="preserve"> civil matters. For minor cases it starts in the county court </w:t>
      </w:r>
      <w:r w:rsidRPr="624F64F4" w:rsidR="64311FF1">
        <w:rPr>
          <w:rFonts w:ascii="Arial" w:hAnsi="Arial" w:eastAsia="Arial" w:cs="Arial"/>
          <w:color w:val="auto"/>
          <w:sz w:val="22"/>
          <w:szCs w:val="22"/>
        </w:rPr>
        <w:t xml:space="preserve">which can deal with most smaller cases. This is then taken to the high court of justice if the county court </w:t>
      </w:r>
      <w:r w:rsidRPr="624F64F4" w:rsidR="263B443D">
        <w:rPr>
          <w:rFonts w:ascii="Arial" w:hAnsi="Arial" w:eastAsia="Arial" w:cs="Arial"/>
          <w:color w:val="auto"/>
          <w:sz w:val="22"/>
          <w:szCs w:val="22"/>
        </w:rPr>
        <w:t>cannot</w:t>
      </w:r>
      <w:r w:rsidRPr="624F64F4" w:rsidR="64311FF1">
        <w:rPr>
          <w:rFonts w:ascii="Arial" w:hAnsi="Arial" w:eastAsia="Arial" w:cs="Arial"/>
          <w:color w:val="auto"/>
          <w:sz w:val="22"/>
          <w:szCs w:val="22"/>
        </w:rPr>
        <w:t xml:space="preserve"> deal with the mater. Then it is sent </w:t>
      </w:r>
      <w:r w:rsidRPr="624F64F4" w:rsidR="1A54EBFF">
        <w:rPr>
          <w:rFonts w:ascii="Arial" w:hAnsi="Arial" w:eastAsia="Arial" w:cs="Arial"/>
          <w:color w:val="auto"/>
          <w:sz w:val="22"/>
          <w:szCs w:val="22"/>
        </w:rPr>
        <w:t>through</w:t>
      </w:r>
      <w:r w:rsidRPr="624F64F4" w:rsidR="64311FF1">
        <w:rPr>
          <w:rFonts w:ascii="Arial" w:hAnsi="Arial" w:eastAsia="Arial" w:cs="Arial"/>
          <w:color w:val="auto"/>
          <w:sz w:val="22"/>
          <w:szCs w:val="22"/>
        </w:rPr>
        <w:t xml:space="preserve"> to the </w:t>
      </w:r>
      <w:r w:rsidRPr="624F64F4" w:rsidR="31C0DE33">
        <w:rPr>
          <w:rFonts w:ascii="Arial" w:hAnsi="Arial" w:eastAsia="Arial" w:cs="Arial"/>
          <w:color w:val="auto"/>
          <w:sz w:val="22"/>
          <w:szCs w:val="22"/>
        </w:rPr>
        <w:t>court of appeal and lastly sent to the supreme court of the United Kingdom. Which is the most superior court in England and Wales.</w:t>
      </w:r>
      <w:r w:rsidRPr="624F64F4" w:rsidR="49519F99">
        <w:rPr>
          <w:rFonts w:ascii="Arial" w:hAnsi="Arial" w:eastAsia="Arial" w:cs="Arial"/>
          <w:color w:val="auto"/>
          <w:sz w:val="22"/>
          <w:szCs w:val="22"/>
        </w:rPr>
        <w:t xml:space="preserve"> In civil cases the government or parliament </w:t>
      </w:r>
      <w:r w:rsidRPr="624F64F4" w:rsidR="14A57764">
        <w:rPr>
          <w:rFonts w:ascii="Arial" w:hAnsi="Arial" w:eastAsia="Arial" w:cs="Arial"/>
          <w:color w:val="auto"/>
          <w:sz w:val="22"/>
          <w:szCs w:val="22"/>
        </w:rPr>
        <w:t>cannot</w:t>
      </w:r>
      <w:r w:rsidRPr="624F64F4" w:rsidR="49519F99">
        <w:rPr>
          <w:rFonts w:ascii="Arial" w:hAnsi="Arial" w:eastAsia="Arial" w:cs="Arial"/>
          <w:color w:val="auto"/>
          <w:sz w:val="22"/>
          <w:szCs w:val="22"/>
        </w:rPr>
        <w:t xml:space="preserve"> be involved as it is decided </w:t>
      </w:r>
      <w:r w:rsidRPr="624F64F4" w:rsidR="7A0DD6BD">
        <w:rPr>
          <w:rFonts w:ascii="Arial" w:hAnsi="Arial" w:eastAsia="Arial" w:cs="Arial"/>
          <w:color w:val="auto"/>
          <w:sz w:val="22"/>
          <w:szCs w:val="22"/>
        </w:rPr>
        <w:t>directly by</w:t>
      </w:r>
      <w:r w:rsidRPr="624F64F4" w:rsidR="49519F99">
        <w:rPr>
          <w:rFonts w:ascii="Arial" w:hAnsi="Arial" w:eastAsia="Arial" w:cs="Arial"/>
          <w:color w:val="auto"/>
          <w:sz w:val="22"/>
          <w:szCs w:val="22"/>
        </w:rPr>
        <w:t xml:space="preserve"> the judges. When looking at the judges they need to be fair and impartial and not to favour either side of the party as this would be </w:t>
      </w:r>
      <w:r w:rsidRPr="624F64F4" w:rsidR="49519F99">
        <w:rPr>
          <w:rFonts w:ascii="Arial" w:hAnsi="Arial" w:eastAsia="Arial" w:cs="Arial"/>
          <w:color w:val="auto"/>
          <w:sz w:val="22"/>
          <w:szCs w:val="22"/>
        </w:rPr>
        <w:t>deemed</w:t>
      </w:r>
      <w:r w:rsidRPr="624F64F4" w:rsidR="49519F99">
        <w:rPr>
          <w:rFonts w:ascii="Arial" w:hAnsi="Arial" w:eastAsia="Arial" w:cs="Arial"/>
          <w:color w:val="auto"/>
          <w:sz w:val="22"/>
          <w:szCs w:val="22"/>
        </w:rPr>
        <w:t xml:space="preserve"> to be an unfair </w:t>
      </w:r>
      <w:r w:rsidRPr="624F64F4" w:rsidR="1011D05B">
        <w:rPr>
          <w:rFonts w:ascii="Arial" w:hAnsi="Arial" w:eastAsia="Arial" w:cs="Arial"/>
          <w:color w:val="auto"/>
          <w:sz w:val="22"/>
          <w:szCs w:val="22"/>
        </w:rPr>
        <w:t>trial</w:t>
      </w:r>
      <w:r w:rsidRPr="624F64F4" w:rsidR="28A41232">
        <w:rPr>
          <w:rFonts w:ascii="Arial" w:hAnsi="Arial" w:eastAsia="Arial" w:cs="Arial"/>
          <w:color w:val="auto"/>
          <w:sz w:val="22"/>
          <w:szCs w:val="22"/>
        </w:rPr>
        <w:t xml:space="preserve"> and dismissed or otherwise known as “thrown out” of court. The judges are ruled under the </w:t>
      </w:r>
      <w:r w:rsidRPr="624F64F4" w:rsidR="1AA615D5">
        <w:rPr>
          <w:rFonts w:ascii="Arial" w:hAnsi="Arial" w:eastAsia="Arial" w:cs="Arial"/>
          <w:color w:val="auto"/>
          <w:sz w:val="22"/>
          <w:szCs w:val="22"/>
        </w:rPr>
        <w:t>con</w:t>
      </w:r>
      <w:r w:rsidRPr="624F64F4" w:rsidR="3188E35F">
        <w:rPr>
          <w:rFonts w:ascii="Arial" w:hAnsi="Arial" w:eastAsia="Arial" w:cs="Arial"/>
          <w:color w:val="auto"/>
          <w:sz w:val="22"/>
          <w:szCs w:val="22"/>
        </w:rPr>
        <w:t>stit</w:t>
      </w:r>
      <w:r w:rsidRPr="624F64F4" w:rsidR="4658B53B">
        <w:rPr>
          <w:rFonts w:ascii="Arial" w:hAnsi="Arial" w:eastAsia="Arial" w:cs="Arial"/>
          <w:color w:val="auto"/>
          <w:sz w:val="22"/>
          <w:szCs w:val="22"/>
        </w:rPr>
        <w:t xml:space="preserve">utional </w:t>
      </w:r>
      <w:r w:rsidRPr="624F64F4" w:rsidR="28A41232">
        <w:rPr>
          <w:rFonts w:ascii="Arial" w:hAnsi="Arial" w:eastAsia="Arial" w:cs="Arial"/>
          <w:color w:val="auto"/>
          <w:sz w:val="22"/>
          <w:szCs w:val="22"/>
        </w:rPr>
        <w:t>reform act 200</w:t>
      </w:r>
      <w:r w:rsidRPr="624F64F4" w:rsidR="35C546B6">
        <w:rPr>
          <w:rFonts w:ascii="Arial" w:hAnsi="Arial" w:eastAsia="Arial" w:cs="Arial"/>
          <w:color w:val="auto"/>
          <w:sz w:val="22"/>
          <w:szCs w:val="22"/>
        </w:rPr>
        <w:t>5</w:t>
      </w:r>
      <w:r w:rsidRPr="624F64F4" w:rsidR="06844B19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624F64F4" w:rsidR="076FB8CF">
        <w:rPr>
          <w:rFonts w:ascii="Arial" w:hAnsi="Arial" w:eastAsia="Arial" w:cs="Arial"/>
          <w:color w:val="auto"/>
          <w:sz w:val="22"/>
          <w:szCs w:val="22"/>
        </w:rPr>
        <w:t>(Woodhouse, D., 2007.).</w:t>
      </w:r>
      <w:r w:rsidRPr="624F64F4" w:rsidR="59B64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act brought key changes to the judiciary. It stopped the government ministers from beig able to </w:t>
      </w:r>
      <w:r w:rsidRPr="624F64F4" w:rsidR="452A9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influence</w:t>
      </w:r>
      <w:r w:rsidRPr="624F64F4" w:rsidR="59B64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judicia</w:t>
      </w:r>
      <w:r w:rsidRPr="624F64F4" w:rsidR="42564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 decisions through any </w:t>
      </w:r>
      <w:bookmarkStart w:name="_Int_UZubcwIy" w:id="327521238"/>
      <w:r w:rsidRPr="624F64F4" w:rsidR="42564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special access</w:t>
      </w:r>
      <w:bookmarkEnd w:id="327521238"/>
      <w:r w:rsidRPr="624F64F4" w:rsidR="42564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judges.</w:t>
      </w:r>
      <w:r w:rsidRPr="624F64F4" w:rsidR="5203A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means it removed the judicial function of the Lord chancellor. H</w:t>
      </w:r>
      <w:r w:rsidRPr="624F64F4" w:rsidR="7F7E5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</w:t>
      </w:r>
      <w:r w:rsidRPr="624F64F4" w:rsidR="7F7E5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previous</w:t>
      </w:r>
      <w:r w:rsidRPr="624F64F4" w:rsidR="7F7E5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role as head of the judicary was now filled by the lord </w:t>
      </w:r>
      <w:r w:rsidRPr="624F64F4" w:rsidR="4CA56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chief justice of the supreme court for England and Wales. The role of Lord Chancellor is now combined with t</w:t>
      </w:r>
      <w:r w:rsidRPr="624F64F4" w:rsidR="2BF7E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role of the secretary of state.</w:t>
      </w:r>
      <w:r w:rsidRPr="624F64F4" w:rsidR="13632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Some main parts to civil law </w:t>
      </w:r>
      <w:r w:rsidRPr="624F64F4" w:rsidR="666C9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are</w:t>
      </w:r>
      <w:r w:rsidRPr="624F64F4" w:rsidR="13632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the charges need to be brought on </w:t>
      </w:r>
      <w:r w:rsidRPr="624F64F4" w:rsidR="7FF3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by the claimant</w:t>
      </w:r>
      <w:r w:rsidRPr="624F64F4" w:rsidR="1681E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24F64F4" w:rsidR="1FA89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it is the responsibility of the claimant to </w:t>
      </w:r>
      <w:r w:rsidRPr="624F64F4" w:rsidR="1FA89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</w:t>
      </w:r>
      <w:r w:rsidRPr="624F64F4" w:rsidR="1FA89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proof at the trial. In other </w:t>
      </w:r>
      <w:r w:rsidRPr="624F64F4" w:rsidR="1C6E2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words,</w:t>
      </w:r>
      <w:r w:rsidRPr="624F64F4" w:rsidR="1FA89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</w:t>
      </w:r>
      <w:r w:rsidRPr="624F64F4" w:rsidR="4B9DE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burden of proof is on the claimant. When looking at the proof provided by both parties in a civil law case there needs to be a stand of proof.</w:t>
      </w:r>
      <w:r w:rsidRPr="624F64F4" w:rsidR="4A7EF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</w:t>
      </w:r>
      <w:r w:rsidRPr="624F64F4" w:rsidR="44732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means</w:t>
      </w:r>
      <w:r w:rsidRPr="624F64F4" w:rsidR="4A7EF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24F64F4" w:rsidR="7CB17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that</w:t>
      </w:r>
      <w:r w:rsidRPr="624F64F4" w:rsidR="3E0C9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judiciary needs to find one parties evidence more conv</w:t>
      </w:r>
      <w:r w:rsidRPr="624F64F4" w:rsidR="0B4E3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inc</w:t>
      </w:r>
      <w:r w:rsidRPr="624F64F4" w:rsidR="3E0C9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 than the other to conclude the trial.</w:t>
      </w:r>
      <w:r w:rsidRPr="624F64F4" w:rsidR="7EDDE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624F64F4" w:rsidR="7EDDE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Fon</w:t>
      </w:r>
      <w:r w:rsidRPr="624F64F4" w:rsidR="7EDDE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V. and Parisi, F., 2006.) </w:t>
      </w:r>
    </w:p>
    <w:p w:rsidR="29E71F33" w:rsidP="624F64F4" w:rsidRDefault="29E71F33" w14:paraId="5E3C6347" w14:textId="7C9644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24F64F4" w:rsidR="29E71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When contrasting both common and civil laws there is number of differences. These differences include that civil law </w:t>
      </w:r>
      <w:bookmarkStart w:name="_Int_jgOllK55" w:id="2048039157"/>
      <w:r w:rsidRPr="624F64F4" w:rsidR="6EF29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jurisdictions</w:t>
      </w:r>
      <w:bookmarkEnd w:id="2048039157"/>
      <w:r w:rsidRPr="624F64F4" w:rsidR="6EF29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rely</w:t>
      </w:r>
      <w:r w:rsidRPr="624F64F4" w:rsidR="29E71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a codifie</w:t>
      </w:r>
      <w:r w:rsidRPr="624F64F4" w:rsidR="3C96B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 system. Whereas common law </w:t>
      </w:r>
      <w:bookmarkStart w:name="_Int_PvBWjWu8" w:id="896308512"/>
      <w:r w:rsidRPr="624F64F4" w:rsidR="3C96B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jurisdictions</w:t>
      </w:r>
      <w:bookmarkEnd w:id="896308512"/>
      <w:r w:rsidRPr="624F64F4" w:rsidR="3C96B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rely solely on case law. Which is the development of precedent set by judges in earlier and closed cases.</w:t>
      </w:r>
      <w:r w:rsidRPr="624F64F4" w:rsidR="4425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When looking at the</w:t>
      </w:r>
      <w:r w:rsidRPr="624F64F4" w:rsidR="0C65C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lawyers involved in civil </w:t>
      </w:r>
      <w:r w:rsidRPr="624F64F4" w:rsidR="45284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cases,</w:t>
      </w:r>
      <w:r w:rsidRPr="624F64F4" w:rsidR="0C65C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they tend to take on a more inquisitorial role. They give arguments based on evidence the court finds. So are </w:t>
      </w:r>
      <w:bookmarkStart w:name="_Int_ZeR5QPWz" w:id="1766611040"/>
      <w:r w:rsidRPr="624F64F4" w:rsidR="0C65C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essentially just</w:t>
      </w:r>
      <w:bookmarkEnd w:id="1766611040"/>
      <w:r w:rsidRPr="624F64F4" w:rsidR="0C65C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24F64F4" w:rsidR="65D5C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assisting</w:t>
      </w:r>
      <w:r w:rsidRPr="624F64F4" w:rsidR="0C65C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court </w:t>
      </w:r>
      <w:r w:rsidRPr="624F64F4" w:rsidR="23359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with building the case. In which they do the opposite in common law.</w:t>
      </w:r>
      <w:r w:rsidRPr="624F64F4" w:rsidR="4425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24F64F4" w:rsidR="65B87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judges in civil law try to </w:t>
      </w:r>
      <w:r w:rsidRPr="624F64F4" w:rsidR="65B87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establish</w:t>
      </w:r>
      <w:r w:rsidRPr="624F64F4" w:rsidR="65B87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facts of the case and apply the relevant code. This means </w:t>
      </w:r>
      <w:r w:rsidRPr="624F64F4" w:rsidR="56822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 is</w:t>
      </w:r>
      <w:r w:rsidRPr="624F64F4" w:rsidR="65B87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not just up to </w:t>
      </w:r>
      <w:r w:rsidRPr="624F64F4" w:rsidR="0116F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624F64F4" w:rsidR="65B87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lawyer to discover these facts. Looking at common la cases this again is different a</w:t>
      </w:r>
      <w:r w:rsidRPr="624F64F4" w:rsidR="247AB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 in common law the judge makes a ruling based on the arguments and findings from each party. When looking at the facts they need to act as an impartial third party rather than the top </w:t>
      </w:r>
      <w:r w:rsidRPr="624F64F4" w:rsidR="15BA1C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investigator.</w:t>
      </w:r>
      <w:r w:rsidRPr="624F64F4" w:rsidR="5A7EC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conclude on the </w:t>
      </w:r>
      <w:r w:rsidRPr="624F64F4" w:rsidR="48D8A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differences</w:t>
      </w:r>
      <w:r w:rsidRPr="624F64F4" w:rsidR="5A7EC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between common law and civil law you will </w:t>
      </w:r>
      <w:r w:rsidRPr="624F64F4" w:rsidR="1ABFD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conclude</w:t>
      </w:r>
      <w:r w:rsidRPr="624F64F4" w:rsidR="5A7EC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</w:t>
      </w:r>
      <w:r w:rsidRPr="624F64F4" w:rsidR="74C9C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civil</w:t>
      </w:r>
      <w:r w:rsidRPr="624F64F4" w:rsidR="5A7EC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law is much more inquisitorial </w:t>
      </w:r>
      <w:r w:rsidRPr="624F64F4" w:rsidR="5A7EC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whereas</w:t>
      </w:r>
      <w:r w:rsidRPr="624F64F4" w:rsidR="5A7EC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common law is much more adv</w:t>
      </w:r>
      <w:r w:rsidRPr="624F64F4" w:rsidR="121AB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ersarial. </w:t>
      </w:r>
      <w:r w:rsidRPr="624F64F4" w:rsidR="60696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624F64F4" w:rsidR="60696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Dainow</w:t>
      </w:r>
      <w:r w:rsidRPr="624F64F4" w:rsidR="60696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J., 1966).</w:t>
      </w:r>
    </w:p>
    <w:p w:rsidR="6069638D" w:rsidP="624F64F4" w:rsidRDefault="6069638D" w14:paraId="08A8C48C" w14:textId="0BE30B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24F64F4" w:rsidR="60696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 important case in common law would be the </w:t>
      </w:r>
      <w:r w:rsidRPr="624F64F4" w:rsidR="5E292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Donoghue</w:t>
      </w:r>
      <w:r w:rsidRPr="624F64F4" w:rsidR="60696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v Stevenson [1932] UKHL 100. It was regarded as a landmark court </w:t>
      </w:r>
      <w:r w:rsidRPr="624F64F4" w:rsidR="30BCA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decision</w:t>
      </w:r>
      <w:r w:rsidRPr="624F64F4" w:rsidR="60696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the </w:t>
      </w:r>
      <w:r w:rsidRPr="624F64F4" w:rsidR="4FB53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Scots</w:t>
      </w:r>
      <w:r w:rsidRPr="624F64F4" w:rsidR="1F0E4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delict law and the English tort law. In the case Mrs May Donoghue was drinking a bottle of ginger beer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discovered a snail inside the bottle this caused </w:t>
      </w:r>
      <w:r w:rsidRPr="624F64F4" w:rsidR="0008E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Mrs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24F64F4" w:rsidR="74C49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Donoghue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fall ill </w:t>
      </w:r>
      <w:r w:rsidRPr="624F64F4" w:rsidR="51A67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subsequently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She then continued to sue the </w:t>
      </w:r>
      <w:r w:rsidRPr="624F64F4" w:rsidR="00E1E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manufacturer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Mr </w:t>
      </w:r>
      <w:r w:rsidRPr="624F64F4" w:rsidR="7387E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Stevenson,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this </w:t>
      </w:r>
      <w:r w:rsidRPr="624F64F4" w:rsidR="27035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caused</w:t>
      </w:r>
      <w:r w:rsidRPr="624F64F4" w:rsidR="046C7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chain of eve</w:t>
      </w:r>
      <w:r w:rsidRPr="624F64F4" w:rsidR="22BEA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nts in command all the way to </w:t>
      </w:r>
      <w:r w:rsidRPr="624F64F4" w:rsidR="60677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parliament</w:t>
      </w:r>
      <w:r w:rsidRPr="624F64F4" w:rsidR="22BEA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24F64F4" w:rsidR="5AFCF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result was a change in law regarded the </w:t>
      </w:r>
      <w:r w:rsidRPr="624F64F4" w:rsidR="59E2B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contract</w:t>
      </w:r>
      <w:r w:rsidRPr="624F64F4" w:rsidR="5AFCF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sale between a seller and consumer. </w:t>
      </w:r>
      <w:r w:rsidRPr="624F64F4" w:rsidR="7B7C5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Donoghue</w:t>
      </w:r>
      <w:r w:rsidRPr="624F64F4" w:rsidR="5AFCF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was able to collect damages </w:t>
      </w:r>
      <w:r w:rsidRPr="624F64F4" w:rsidR="61638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 negligence. It proved that </w:t>
      </w:r>
      <w:r w:rsidRPr="624F64F4" w:rsidR="4F21C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</w:t>
      </w:r>
      <w:r w:rsidRPr="624F64F4" w:rsidR="61638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earlier case of Ansell v Waterhouse needed to be interpreted to be used again in this case as the </w:t>
      </w:r>
      <w:r w:rsidRPr="624F64F4" w:rsidR="7F5AE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fact</w:t>
      </w:r>
      <w:r w:rsidRPr="624F64F4" w:rsidR="61638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24F64F4" w:rsidR="3DE82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differed,</w:t>
      </w:r>
      <w:r w:rsidRPr="624F64F4" w:rsidR="61638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but the charge of negligence did not.</w:t>
      </w:r>
      <w:r w:rsidRPr="624F64F4" w:rsidR="5EAD5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In that </w:t>
      </w:r>
      <w:r w:rsidRPr="624F64F4" w:rsidR="763E1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case</w:t>
      </w:r>
      <w:r w:rsidRPr="624F64F4" w:rsidR="5EAD5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was </w:t>
      </w:r>
      <w:r w:rsidRPr="624F64F4" w:rsidR="5EAD5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stated</w:t>
      </w:r>
      <w:r w:rsidRPr="624F64F4" w:rsidR="5EAD5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“</w:t>
      </w:r>
      <w:r w:rsidRPr="624F64F4" w:rsidR="6D69A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contrary</w:t>
      </w:r>
      <w:r w:rsidRPr="624F64F4" w:rsidR="5EAD5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the duty which the law casts on him in the </w:t>
      </w:r>
      <w:r w:rsidRPr="624F64F4" w:rsidR="16EBA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particular case (negligence)</w:t>
      </w:r>
      <w:r w:rsidRPr="624F64F4" w:rsidR="67AC4D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.”</w:t>
      </w:r>
      <w:r w:rsidRPr="624F64F4" w:rsidR="1CF7D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Donoghue went all the way and peti</w:t>
      </w:r>
      <w:r w:rsidRPr="624F64F4" w:rsidR="1DACD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</w:t>
      </w:r>
      <w:r w:rsidRPr="624F64F4" w:rsidR="1CF7D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oned to the house of lords who were given no choice but to issue a statement. Lord Atkin </w:t>
      </w:r>
      <w:r w:rsidRPr="624F64F4" w:rsidR="412BF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neighbour principle was that people must take reasonable care not to injure others who could be </w:t>
      </w:r>
      <w:r w:rsidRPr="624F64F4" w:rsidR="5609A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foreseeably</w:t>
      </w:r>
      <w:r w:rsidRPr="624F64F4" w:rsidR="412BF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affected by the action or inaction taken. The new</w:t>
      </w:r>
      <w:r w:rsidRPr="624F64F4" w:rsidR="3B499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rules were then set in precedent.</w:t>
      </w:r>
      <w:r w:rsidRPr="624F64F4" w:rsidR="6AE6B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(Heuston, R.F., 1957)</w:t>
      </w:r>
    </w:p>
    <w:p xmlns:wp14="http://schemas.microsoft.com/office/word/2010/wordml" w:rsidP="6A723F34" w14:paraId="4CC3521A" wp14:textId="136BF3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xmlns:wp14="http://schemas.microsoft.com/office/word/2010/wordml" w:rsidP="6A723F34" w14:paraId="205A9B64" wp14:textId="3E7FD1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xmlns:wp14="http://schemas.microsoft.com/office/word/2010/wordml" w:rsidP="624F64F4" w14:paraId="23CD1C5C" wp14:textId="55F37C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624F64F4" w:rsidP="624F64F4" w:rsidRDefault="624F64F4" w14:paraId="19AA089D" w14:textId="763980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624F64F4" w:rsidP="624F64F4" w:rsidRDefault="624F64F4" w14:paraId="084BD72F" w14:textId="41FA65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624F64F4" w:rsidP="624F64F4" w:rsidRDefault="624F64F4" w14:paraId="5F501D23" w14:textId="45F867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329A2D3B" w:rsidP="624F64F4" w:rsidRDefault="329A2D3B" w14:paraId="1211F380" w14:textId="7D52C0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u w:val="single"/>
        </w:rPr>
      </w:pPr>
      <w:r w:rsidRPr="624F64F4" w:rsidR="329A2D3B">
        <w:rPr>
          <w:rFonts w:ascii="Arial" w:hAnsi="Arial" w:eastAsia="Arial" w:cs="Arial"/>
          <w:color w:val="auto"/>
          <w:sz w:val="22"/>
          <w:szCs w:val="22"/>
          <w:u w:val="single"/>
        </w:rPr>
        <w:t>Reference list</w:t>
      </w:r>
      <w:r w:rsidRPr="624F64F4" w:rsidR="329A2D3B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6A723F34" w:rsidP="6A723F34" w:rsidRDefault="6A723F34" w14:paraId="20603467" w14:textId="6512B1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624F64F4" w14:paraId="052F5BFA" wp14:textId="1BAB57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9"/>
          <w:szCs w:val="19"/>
        </w:rPr>
      </w:pPr>
      <w:r w:rsidRPr="624F64F4" w:rsidR="74B5BA11">
        <w:rPr>
          <w:rFonts w:ascii="Arial" w:hAnsi="Arial" w:eastAsia="Arial" w:cs="Arial"/>
          <w:color w:val="auto"/>
          <w:sz w:val="19"/>
          <w:szCs w:val="19"/>
        </w:rPr>
        <w:t>Asimow</w:t>
      </w:r>
      <w:r w:rsidRPr="624F64F4" w:rsidR="74B5BA11">
        <w:rPr>
          <w:rFonts w:ascii="Arial" w:hAnsi="Arial" w:eastAsia="Arial" w:cs="Arial"/>
          <w:color w:val="auto"/>
          <w:sz w:val="19"/>
          <w:szCs w:val="19"/>
        </w:rPr>
        <w:t>, M., 1983. Delegated Legislation: United States and United Kingdom. Oxford J. Legal Stud., 3, p.253.</w:t>
      </w:r>
    </w:p>
    <w:p w:rsidR="374CA3DF" w:rsidP="624F64F4" w:rsidRDefault="374CA3DF" w14:paraId="6F04AA61" w14:textId="445FA5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374CA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Dainow</w:t>
      </w:r>
      <w:r w:rsidRPr="624F64F4" w:rsidR="374CA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J., 1966. The civil law and the common law: some points of comparison. </w:t>
      </w:r>
      <w:r w:rsidRPr="624F64F4" w:rsidR="374CA3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Am. J. Comp. L.</w:t>
      </w:r>
      <w:r w:rsidRPr="624F64F4" w:rsidR="374CA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624F64F4" w:rsidR="374CA3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15</w:t>
      </w:r>
      <w:r w:rsidRPr="624F64F4" w:rsidR="374CA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, p.419.</w:t>
      </w:r>
    </w:p>
    <w:p w:rsidR="53429A36" w:rsidP="624F64F4" w:rsidRDefault="53429A36" w14:paraId="05DFD19D" w14:textId="352F67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53429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Donoghue v Stevenson [1932] UKHL 100</w:t>
      </w:r>
    </w:p>
    <w:p w:rsidR="1C4C0ADA" w:rsidP="624F64F4" w:rsidRDefault="1C4C0ADA" w14:paraId="4D1D50C8" w14:textId="6D433A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1C4C0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Fon, V. and Parisi, F., 2006. Judicial precedents in civil law systems: A dynamic analysis. </w:t>
      </w:r>
      <w:r w:rsidRPr="624F64F4" w:rsidR="1C4C0A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International Review of Law and Economics</w:t>
      </w:r>
      <w:r w:rsidRPr="624F64F4" w:rsidR="1C4C0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624F64F4" w:rsidR="1C4C0A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26</w:t>
      </w:r>
      <w:r w:rsidRPr="624F64F4" w:rsidR="1C4C0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(4), pp.519-535.</w:t>
      </w:r>
    </w:p>
    <w:p xmlns:wp14="http://schemas.microsoft.com/office/word/2010/wordml" w:rsidP="624F64F4" w14:paraId="7C40FE7A" wp14:textId="4BDC87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11EE5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Heinze, R.W., 1976. </w:t>
      </w:r>
      <w:r w:rsidRPr="624F64F4" w:rsidR="11EE5A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The proclamations of the Tudor kings</w:t>
      </w:r>
      <w:r w:rsidRPr="624F64F4" w:rsidR="11EE5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. CUP Archive.</w:t>
      </w:r>
    </w:p>
    <w:p w:rsidR="3B2A218E" w:rsidP="624F64F4" w:rsidRDefault="3B2A218E" w14:paraId="3DD0E9CA" w14:textId="690463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3B2A2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Heuston, R.F., 1957. Donoghue v. Stevenson in retrospect. </w:t>
      </w:r>
      <w:r w:rsidRPr="624F64F4" w:rsidR="3B2A21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The modern law review</w:t>
      </w:r>
      <w:r w:rsidRPr="624F64F4" w:rsidR="3B2A2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624F64F4" w:rsidR="3B2A21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20</w:t>
      </w:r>
      <w:r w:rsidRPr="624F64F4" w:rsidR="3B2A2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(1), pp.1-24.</w:t>
      </w:r>
    </w:p>
    <w:p xmlns:wp14="http://schemas.microsoft.com/office/word/2010/wordml" w:rsidP="624F64F4" w14:paraId="17897403" wp14:textId="76AC5E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610E2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Lovenduski, J., 2007. The UK: Reforming the House of Lords. </w:t>
      </w: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Gendering the state in the age of globalization: Women’s movements and state feminism in </w:t>
      </w: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postindustrial</w:t>
      </w: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democracies. Lanham, </w:t>
      </w:r>
    </w:p>
    <w:p xmlns:wp14="http://schemas.microsoft.com/office/word/2010/wordml" w:rsidP="624F64F4" w14:paraId="735529D4" wp14:textId="17A98D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MD: Rowman and Littlefield</w:t>
      </w:r>
      <w:r w:rsidRPr="624F64F4" w:rsidR="610E2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pp.263-280. The UK: Reforming the House of Lords. </w:t>
      </w: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Gendering the state in the age of globalization: Women’s movements and state feminism in </w:t>
      </w: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postindustrial</w:t>
      </w:r>
      <w:r w:rsidRPr="624F64F4" w:rsidR="610E2B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democracies. Lanham, MD: Rowman and Littlefield</w:t>
      </w:r>
      <w:r w:rsidRPr="624F64F4" w:rsidR="610E2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, pp.263-280.</w:t>
      </w:r>
    </w:p>
    <w:p xmlns:wp14="http://schemas.microsoft.com/office/word/2010/wordml" w:rsidP="624F64F4" w14:paraId="4953AE25" wp14:textId="278D92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9"/>
          <w:szCs w:val="19"/>
        </w:rPr>
      </w:pP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>Pejovic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 xml:space="preserve">, C., 2001. Civil law and common law: Two different paths leading to the same goal. 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>Poredbeno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 xml:space="preserve"> 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>Pomorsko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 xml:space="preserve"> 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>Pravo</w:t>
      </w:r>
      <w:r w:rsidRPr="624F64F4" w:rsidR="72709A6D">
        <w:rPr>
          <w:rFonts w:ascii="Arial" w:hAnsi="Arial" w:eastAsia="Arial" w:cs="Arial"/>
          <w:color w:val="auto"/>
          <w:sz w:val="19"/>
          <w:szCs w:val="19"/>
        </w:rPr>
        <w:t>, 155, p.7.</w:t>
      </w:r>
    </w:p>
    <w:p w:rsidR="66A39BBA" w:rsidP="624F64F4" w:rsidRDefault="66A39BBA" w14:paraId="265B1CDE" w14:textId="1C06217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66A39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Poole, T., 2010. United Kingdom: the royal prerogative. </w:t>
      </w:r>
      <w:r w:rsidRPr="624F64F4" w:rsidR="66A39B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International journal of constitutional law</w:t>
      </w:r>
      <w:r w:rsidRPr="624F64F4" w:rsidR="66A39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624F64F4" w:rsidR="66A39B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8</w:t>
      </w:r>
      <w:r w:rsidRPr="624F64F4" w:rsidR="66A39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(1), pp.146-155.</w:t>
      </w:r>
    </w:p>
    <w:p w:rsidR="322CCA15" w:rsidP="624F64F4" w:rsidRDefault="322CCA15" w14:paraId="1C62EFDD" w14:textId="53393F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322CC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Ryan, A.V., HOUSE OF LORDS. 1985</w:t>
      </w:r>
    </w:p>
    <w:p xmlns:wp14="http://schemas.microsoft.com/office/word/2010/wordml" w:rsidP="624F64F4" w14:paraId="6BFACDBB" wp14:textId="0B846F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9"/>
          <w:szCs w:val="19"/>
        </w:rPr>
      </w:pPr>
      <w:r w:rsidRPr="624F64F4" w:rsidR="518FD8FE">
        <w:rPr>
          <w:rFonts w:ascii="Arial" w:hAnsi="Arial" w:eastAsia="Arial" w:cs="Arial"/>
          <w:color w:val="auto"/>
          <w:sz w:val="19"/>
          <w:szCs w:val="19"/>
        </w:rPr>
        <w:t>Wood, J.C., 1968. The Theft Act 1968. The Police Journal, 41(12), pp.551-557.</w:t>
      </w:r>
    </w:p>
    <w:p w:rsidR="7659BB47" w:rsidP="624F64F4" w:rsidRDefault="7659BB47" w14:paraId="35F48494" w14:textId="1A2CBF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624F64F4" w:rsidR="7659B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Woodhouse, D., 2007. United Kingdom-The Constitutional Reform Act 2005-Defending Judicial Independence the English Way. </w:t>
      </w:r>
      <w:r w:rsidRPr="624F64F4" w:rsidR="7659BB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Int'l J. Const. L.</w:t>
      </w:r>
      <w:r w:rsidRPr="624F64F4" w:rsidR="7659B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624F64F4" w:rsidR="7659BB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5</w:t>
      </w:r>
      <w:r w:rsidRPr="624F64F4" w:rsidR="7659B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, p.153.</w:t>
      </w:r>
    </w:p>
    <w:p xmlns:wp14="http://schemas.microsoft.com/office/word/2010/wordml" w:rsidP="624F64F4" w14:paraId="275EB3DA" wp14:textId="2FDDCF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9"/>
          <w:szCs w:val="19"/>
        </w:rPr>
      </w:pPr>
      <w:r w:rsidRPr="624F64F4" w:rsidR="450782BD">
        <w:rPr>
          <w:rFonts w:ascii="Arial" w:hAnsi="Arial" w:eastAsia="Arial" w:cs="Arial"/>
          <w:color w:val="auto"/>
          <w:sz w:val="19"/>
          <w:szCs w:val="19"/>
        </w:rPr>
        <w:t>Syrota, G., 1979. Theft Act 1978. The Modern Law Review, 42(3), pp.301-308.</w:t>
      </w:r>
    </w:p>
    <w:p xmlns:wp14="http://schemas.microsoft.com/office/word/2010/wordml" w:rsidP="624F64F4" w14:paraId="784DBDAE" wp14:textId="1900DE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9"/>
          <w:szCs w:val="19"/>
        </w:rPr>
      </w:pPr>
    </w:p>
    <w:p xmlns:wp14="http://schemas.microsoft.com/office/word/2010/wordml" w:rsidP="048F6B5A" w14:paraId="2C078E63" wp14:textId="7BF9A2C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i8jqt0e5BxWrN" int2:id="wXXTe4iM">
      <int2:state int2:type="AugLoop_Text_Critique" int2:value="Rejected"/>
    </int2:textHash>
    <int2:textHash int2:hashCode="osdR8P4nV6SvVh" int2:id="fHNqZWuV">
      <int2:state int2:type="AugLoop_Text_Critique" int2:value="Rejected"/>
    </int2:textHash>
    <int2:textHash int2:hashCode="XOFj1jv95fQ/QS" int2:id="GO5ugH3k">
      <int2:state int2:type="AugLoop_Text_Critique" int2:value="Rejected"/>
    </int2:textHash>
    <int2:bookmark int2:bookmarkName="_Int_UZubcwIy" int2:invalidationBookmarkName="" int2:hashCode="MMCnzSOxxKSsWu" int2:id="xpyYJvJG">
      <int2:state int2:type="AugLoop_Text_Critique" int2:value="Rejected"/>
    </int2:bookmark>
    <int2:bookmark int2:bookmarkName="_Int_ZeR5QPWz" int2:invalidationBookmarkName="" int2:hashCode="2ev6yCBjo5Pj07" int2:id="1eXO5CrR">
      <int2:state int2:type="AugLoop_Text_Critique" int2:value="Rejected"/>
    </int2:bookmark>
    <int2:bookmark int2:bookmarkName="_Int_jgOllK55" int2:invalidationBookmarkName="" int2:hashCode="af2yLWATS+riUZ" int2:id="aCXIulU1">
      <int2:state int2:type="AugLoop_Text_Critique" int2:value="Rejected"/>
    </int2:bookmark>
    <int2:bookmark int2:bookmarkName="_Int_PvBWjWu8" int2:invalidationBookmarkName="" int2:hashCode="af2yLWATS+riUZ" int2:id="Y4xiezV8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4EA94E"/>
    <w:rsid w:val="0008EA34"/>
    <w:rsid w:val="00E1EFD5"/>
    <w:rsid w:val="0116F0F5"/>
    <w:rsid w:val="01550235"/>
    <w:rsid w:val="01845DC1"/>
    <w:rsid w:val="0284A1C6"/>
    <w:rsid w:val="02FA8589"/>
    <w:rsid w:val="03030C70"/>
    <w:rsid w:val="03193C91"/>
    <w:rsid w:val="03332D24"/>
    <w:rsid w:val="046C7D68"/>
    <w:rsid w:val="048F6B5A"/>
    <w:rsid w:val="04BBFE83"/>
    <w:rsid w:val="04CE354F"/>
    <w:rsid w:val="04D839A8"/>
    <w:rsid w:val="050D7EE3"/>
    <w:rsid w:val="0623A550"/>
    <w:rsid w:val="063AAD32"/>
    <w:rsid w:val="0650DD53"/>
    <w:rsid w:val="06617AA3"/>
    <w:rsid w:val="06844B19"/>
    <w:rsid w:val="076FB8CF"/>
    <w:rsid w:val="0773BD44"/>
    <w:rsid w:val="09724DF4"/>
    <w:rsid w:val="09887E15"/>
    <w:rsid w:val="09ED9310"/>
    <w:rsid w:val="0A33BCF6"/>
    <w:rsid w:val="0AAB5E06"/>
    <w:rsid w:val="0B4E3C45"/>
    <w:rsid w:val="0B979915"/>
    <w:rsid w:val="0BEE1E0D"/>
    <w:rsid w:val="0C65C071"/>
    <w:rsid w:val="0C929683"/>
    <w:rsid w:val="0D088F8B"/>
    <w:rsid w:val="0E67A1F5"/>
    <w:rsid w:val="1011D05B"/>
    <w:rsid w:val="11938FFA"/>
    <w:rsid w:val="1195F872"/>
    <w:rsid w:val="11D74EEF"/>
    <w:rsid w:val="11EE5A03"/>
    <w:rsid w:val="121AB6CF"/>
    <w:rsid w:val="12FAE6B3"/>
    <w:rsid w:val="132F605B"/>
    <w:rsid w:val="13632112"/>
    <w:rsid w:val="1367554A"/>
    <w:rsid w:val="14A57764"/>
    <w:rsid w:val="15634779"/>
    <w:rsid w:val="15BA1C06"/>
    <w:rsid w:val="1604CA41"/>
    <w:rsid w:val="1681EB0A"/>
    <w:rsid w:val="16EBA7E8"/>
    <w:rsid w:val="17488D44"/>
    <w:rsid w:val="19C6E5C1"/>
    <w:rsid w:val="1A54EBFF"/>
    <w:rsid w:val="1AA615D5"/>
    <w:rsid w:val="1ABFDDF5"/>
    <w:rsid w:val="1BA211B3"/>
    <w:rsid w:val="1C1BFE67"/>
    <w:rsid w:val="1C4C0ADA"/>
    <w:rsid w:val="1C6E2F9B"/>
    <w:rsid w:val="1CF7D260"/>
    <w:rsid w:val="1D92262F"/>
    <w:rsid w:val="1DACD1FC"/>
    <w:rsid w:val="1E011018"/>
    <w:rsid w:val="1EB6ECAF"/>
    <w:rsid w:val="1ED022F6"/>
    <w:rsid w:val="1F0E48BF"/>
    <w:rsid w:val="1F17B7F8"/>
    <w:rsid w:val="1F1B0770"/>
    <w:rsid w:val="1FA8975A"/>
    <w:rsid w:val="1FBE5A08"/>
    <w:rsid w:val="212D74E1"/>
    <w:rsid w:val="2138B0DA"/>
    <w:rsid w:val="21A2A6DC"/>
    <w:rsid w:val="2259986A"/>
    <w:rsid w:val="22BEA986"/>
    <w:rsid w:val="23359C1D"/>
    <w:rsid w:val="23549FAA"/>
    <w:rsid w:val="235E5775"/>
    <w:rsid w:val="23CF4CAE"/>
    <w:rsid w:val="23CF8121"/>
    <w:rsid w:val="23E0BA8B"/>
    <w:rsid w:val="242F086A"/>
    <w:rsid w:val="247AB3F9"/>
    <w:rsid w:val="25840FB7"/>
    <w:rsid w:val="25BBEF1C"/>
    <w:rsid w:val="25E84A8E"/>
    <w:rsid w:val="263B443D"/>
    <w:rsid w:val="2685B6BE"/>
    <w:rsid w:val="2703563E"/>
    <w:rsid w:val="27841AEF"/>
    <w:rsid w:val="27DBBC60"/>
    <w:rsid w:val="2813D8C0"/>
    <w:rsid w:val="28182067"/>
    <w:rsid w:val="28A41232"/>
    <w:rsid w:val="28DD5FBD"/>
    <w:rsid w:val="29225B81"/>
    <w:rsid w:val="29E71F33"/>
    <w:rsid w:val="2B56EEFE"/>
    <w:rsid w:val="2BF7E166"/>
    <w:rsid w:val="2C20F1F2"/>
    <w:rsid w:val="2C666638"/>
    <w:rsid w:val="2CF2BF5F"/>
    <w:rsid w:val="2CFB81F0"/>
    <w:rsid w:val="2D18711C"/>
    <w:rsid w:val="2E9018BF"/>
    <w:rsid w:val="2E975251"/>
    <w:rsid w:val="2F2AF1FD"/>
    <w:rsid w:val="2FA8411A"/>
    <w:rsid w:val="302BE920"/>
    <w:rsid w:val="30BCA5E3"/>
    <w:rsid w:val="30E3B3F9"/>
    <w:rsid w:val="3188E35F"/>
    <w:rsid w:val="31C0DE33"/>
    <w:rsid w:val="31CEF313"/>
    <w:rsid w:val="322CCA15"/>
    <w:rsid w:val="324A18BC"/>
    <w:rsid w:val="3272DDBF"/>
    <w:rsid w:val="329A2D3B"/>
    <w:rsid w:val="3334B5B7"/>
    <w:rsid w:val="33FBDB4E"/>
    <w:rsid w:val="35A50ACC"/>
    <w:rsid w:val="35C546B6"/>
    <w:rsid w:val="35F63CF0"/>
    <w:rsid w:val="36967D5B"/>
    <w:rsid w:val="37444A5C"/>
    <w:rsid w:val="374CA3DF"/>
    <w:rsid w:val="37A22C3F"/>
    <w:rsid w:val="3918CF2D"/>
    <w:rsid w:val="39EA731A"/>
    <w:rsid w:val="3B2A218E"/>
    <w:rsid w:val="3B499616"/>
    <w:rsid w:val="3B8EFDB6"/>
    <w:rsid w:val="3B8FA9C0"/>
    <w:rsid w:val="3BF33922"/>
    <w:rsid w:val="3C96B03D"/>
    <w:rsid w:val="3CF95995"/>
    <w:rsid w:val="3D05BEDF"/>
    <w:rsid w:val="3DE82B78"/>
    <w:rsid w:val="3E0C98F4"/>
    <w:rsid w:val="3E116DC3"/>
    <w:rsid w:val="3EA18F40"/>
    <w:rsid w:val="3EC3FF1E"/>
    <w:rsid w:val="3F2DA0E1"/>
    <w:rsid w:val="3FB111FA"/>
    <w:rsid w:val="3FC894D7"/>
    <w:rsid w:val="4049467C"/>
    <w:rsid w:val="41194B20"/>
    <w:rsid w:val="411F1B8B"/>
    <w:rsid w:val="412BFA58"/>
    <w:rsid w:val="421AAFB3"/>
    <w:rsid w:val="42564C98"/>
    <w:rsid w:val="427E37C3"/>
    <w:rsid w:val="42AE44C6"/>
    <w:rsid w:val="42F430CB"/>
    <w:rsid w:val="4364FD55"/>
    <w:rsid w:val="4380E73E"/>
    <w:rsid w:val="43B78BF6"/>
    <w:rsid w:val="43D81859"/>
    <w:rsid w:val="4425F541"/>
    <w:rsid w:val="4456BC4D"/>
    <w:rsid w:val="44732F58"/>
    <w:rsid w:val="448E47F2"/>
    <w:rsid w:val="44A56081"/>
    <w:rsid w:val="44D0E550"/>
    <w:rsid w:val="44F5545B"/>
    <w:rsid w:val="450782BD"/>
    <w:rsid w:val="4524A525"/>
    <w:rsid w:val="45284160"/>
    <w:rsid w:val="452A9582"/>
    <w:rsid w:val="461BF3ED"/>
    <w:rsid w:val="4658B53B"/>
    <w:rsid w:val="469124BC"/>
    <w:rsid w:val="47FD13F5"/>
    <w:rsid w:val="482CF51D"/>
    <w:rsid w:val="48545861"/>
    <w:rsid w:val="4855DB82"/>
    <w:rsid w:val="48B05736"/>
    <w:rsid w:val="48D8A227"/>
    <w:rsid w:val="49519F99"/>
    <w:rsid w:val="496B5D0A"/>
    <w:rsid w:val="49F028C2"/>
    <w:rsid w:val="49FCDA80"/>
    <w:rsid w:val="4A0E31FD"/>
    <w:rsid w:val="4A7EF128"/>
    <w:rsid w:val="4B072D6B"/>
    <w:rsid w:val="4B36AB77"/>
    <w:rsid w:val="4B8A86E7"/>
    <w:rsid w:val="4B9DEB81"/>
    <w:rsid w:val="4BC72F95"/>
    <w:rsid w:val="4BE7F7F8"/>
    <w:rsid w:val="4C6E813F"/>
    <w:rsid w:val="4CA56ECD"/>
    <w:rsid w:val="4D13F39F"/>
    <w:rsid w:val="4E0DDD75"/>
    <w:rsid w:val="4E4EEC91"/>
    <w:rsid w:val="4EC399E5"/>
    <w:rsid w:val="4ED5D0B1"/>
    <w:rsid w:val="4F0992A5"/>
    <w:rsid w:val="4F21CC1E"/>
    <w:rsid w:val="4F2918DC"/>
    <w:rsid w:val="4F477D21"/>
    <w:rsid w:val="4FA62201"/>
    <w:rsid w:val="4FB53193"/>
    <w:rsid w:val="4FDA9E8E"/>
    <w:rsid w:val="506757CC"/>
    <w:rsid w:val="50A56306"/>
    <w:rsid w:val="516A334A"/>
    <w:rsid w:val="518FD8FE"/>
    <w:rsid w:val="51A67397"/>
    <w:rsid w:val="51FB3AA7"/>
    <w:rsid w:val="5203282D"/>
    <w:rsid w:val="5203A0ED"/>
    <w:rsid w:val="52E14E98"/>
    <w:rsid w:val="53429A36"/>
    <w:rsid w:val="53901977"/>
    <w:rsid w:val="544312F1"/>
    <w:rsid w:val="54799324"/>
    <w:rsid w:val="54CC21C5"/>
    <w:rsid w:val="55037FDD"/>
    <w:rsid w:val="552EE214"/>
    <w:rsid w:val="559E0BDE"/>
    <w:rsid w:val="55C986F8"/>
    <w:rsid w:val="5609A5A3"/>
    <w:rsid w:val="56156385"/>
    <w:rsid w:val="56822261"/>
    <w:rsid w:val="56CFF299"/>
    <w:rsid w:val="571111DE"/>
    <w:rsid w:val="57A94660"/>
    <w:rsid w:val="57B133E6"/>
    <w:rsid w:val="594D0447"/>
    <w:rsid w:val="59B64C7C"/>
    <w:rsid w:val="59E0A3F3"/>
    <w:rsid w:val="59E2B2E2"/>
    <w:rsid w:val="5A2BC8C6"/>
    <w:rsid w:val="5A48B2A0"/>
    <w:rsid w:val="5A7EC29B"/>
    <w:rsid w:val="5AFCF853"/>
    <w:rsid w:val="5B7C7454"/>
    <w:rsid w:val="5B998540"/>
    <w:rsid w:val="5C000843"/>
    <w:rsid w:val="5C8AD1B2"/>
    <w:rsid w:val="5D36FBBD"/>
    <w:rsid w:val="5D5D7451"/>
    <w:rsid w:val="5D9BD8A4"/>
    <w:rsid w:val="5DF83EE8"/>
    <w:rsid w:val="5E2926F8"/>
    <w:rsid w:val="5EAD591A"/>
    <w:rsid w:val="5F2F8C8D"/>
    <w:rsid w:val="600C12E0"/>
    <w:rsid w:val="604EA94E"/>
    <w:rsid w:val="6067719A"/>
    <w:rsid w:val="6069638D"/>
    <w:rsid w:val="60DB767D"/>
    <w:rsid w:val="60FE7D9B"/>
    <w:rsid w:val="610E2B71"/>
    <w:rsid w:val="6158162C"/>
    <w:rsid w:val="61638EB7"/>
    <w:rsid w:val="62440AF8"/>
    <w:rsid w:val="624F64F4"/>
    <w:rsid w:val="6269C5B4"/>
    <w:rsid w:val="62C68623"/>
    <w:rsid w:val="62F3E68D"/>
    <w:rsid w:val="632BC52A"/>
    <w:rsid w:val="6342930E"/>
    <w:rsid w:val="6347F7DC"/>
    <w:rsid w:val="63A1BE32"/>
    <w:rsid w:val="64311FF1"/>
    <w:rsid w:val="648FB6EE"/>
    <w:rsid w:val="65B87D14"/>
    <w:rsid w:val="65D5CEC7"/>
    <w:rsid w:val="662B874F"/>
    <w:rsid w:val="6657F3CF"/>
    <w:rsid w:val="666C9904"/>
    <w:rsid w:val="66A39BBA"/>
    <w:rsid w:val="67AC4D63"/>
    <w:rsid w:val="67C757B0"/>
    <w:rsid w:val="68A57E1B"/>
    <w:rsid w:val="68BD8E2D"/>
    <w:rsid w:val="6A723F34"/>
    <w:rsid w:val="6AD9E93A"/>
    <w:rsid w:val="6AE6B522"/>
    <w:rsid w:val="6BBA872B"/>
    <w:rsid w:val="6BBD564D"/>
    <w:rsid w:val="6C75B99B"/>
    <w:rsid w:val="6CB5629D"/>
    <w:rsid w:val="6D69AC30"/>
    <w:rsid w:val="6E40E27A"/>
    <w:rsid w:val="6EEE33E0"/>
    <w:rsid w:val="6EF29AC8"/>
    <w:rsid w:val="6F678111"/>
    <w:rsid w:val="6FB67FAC"/>
    <w:rsid w:val="6FD26995"/>
    <w:rsid w:val="70D60574"/>
    <w:rsid w:val="70FFF86E"/>
    <w:rsid w:val="7129C187"/>
    <w:rsid w:val="7140A3D7"/>
    <w:rsid w:val="7146D6B2"/>
    <w:rsid w:val="71D99AE8"/>
    <w:rsid w:val="72709A6D"/>
    <w:rsid w:val="7271D5D5"/>
    <w:rsid w:val="72853E9F"/>
    <w:rsid w:val="72E4FB1F"/>
    <w:rsid w:val="72EE206E"/>
    <w:rsid w:val="730A0A57"/>
    <w:rsid w:val="7387E4E3"/>
    <w:rsid w:val="73CDF88D"/>
    <w:rsid w:val="73EAC725"/>
    <w:rsid w:val="73EFC966"/>
    <w:rsid w:val="740DA636"/>
    <w:rsid w:val="74379930"/>
    <w:rsid w:val="74B5BA11"/>
    <w:rsid w:val="74C495D7"/>
    <w:rsid w:val="74C9C2E7"/>
    <w:rsid w:val="75BCDF61"/>
    <w:rsid w:val="763E1A80"/>
    <w:rsid w:val="7659BB47"/>
    <w:rsid w:val="794A8FB3"/>
    <w:rsid w:val="79794BDB"/>
    <w:rsid w:val="798B82A7"/>
    <w:rsid w:val="7A02FC76"/>
    <w:rsid w:val="7A0DD6BD"/>
    <w:rsid w:val="7A905084"/>
    <w:rsid w:val="7AF7FA8A"/>
    <w:rsid w:val="7B151C3C"/>
    <w:rsid w:val="7B7A9B33"/>
    <w:rsid w:val="7B7C5F31"/>
    <w:rsid w:val="7BAD3D99"/>
    <w:rsid w:val="7BE17BEB"/>
    <w:rsid w:val="7C2C20E5"/>
    <w:rsid w:val="7C4712A7"/>
    <w:rsid w:val="7C93CAEB"/>
    <w:rsid w:val="7CB17E25"/>
    <w:rsid w:val="7D4FF901"/>
    <w:rsid w:val="7D852D25"/>
    <w:rsid w:val="7E095F47"/>
    <w:rsid w:val="7E2F9B4C"/>
    <w:rsid w:val="7EDDEB90"/>
    <w:rsid w:val="7F2B1AA0"/>
    <w:rsid w:val="7F5AE681"/>
    <w:rsid w:val="7F64F3A7"/>
    <w:rsid w:val="7F7E5B1C"/>
    <w:rsid w:val="7FB931D3"/>
    <w:rsid w:val="7FF30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EA94E"/>
  <w15:chartTrackingRefBased/>
  <w15:docId w15:val="{2F0011E9-A35D-4805-9628-B1310BB351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48F6B5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48F6B5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48F6B5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48F6B5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48F6B5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48F6B5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48F6B5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48F6B5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48F6B5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48F6B5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48F6B5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48F6B5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48F6B5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48F6B5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48F6B5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48F6B5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48F6B5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48F6B5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48F6B5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48F6B5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48F6B5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48F6B5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48F6B5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48F6B5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48F6B5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48F6B5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48F6B5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48F6B5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48F6B5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48F6B5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48F6B5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48F6B5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48F6B5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48F6B5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48F6B5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48F6B5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48F6B5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48F6B5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48F6B5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48F6B5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48F6B5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48F6B5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48F6B5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48F6B5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48F6B5A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5fe61e4a27b40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2023-03-09T23:45:25.4827969Z</dcterms:created>
  <dcterms:modified xsi:type="dcterms:W3CDTF">2023-03-10T18:43:52.1832475Z</dcterms:modified>
  <dc:creator>Patrick Grey (2104767)</dc:creator>
  <lastModifiedBy>Patrick Grey (2104767)</lastModifiedBy>
</coreProperties>
</file>