
<file path=[Content_Types].xml><?xml version="1.0" encoding="utf-8"?>
<Types xmlns="http://schemas.openxmlformats.org/package/2006/content-types">
  <Default Extension="xml" ContentType="application/xml"/>
  <Default Extension="png" ContentType="image/png"/>
  <Default Extension="jpeg" ContentType="image/jpeg"/>
  <Default Extension="JPG" ContentType="image/.jp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notes.xml" ContentType="application/vnd.openxmlformats-officedocument.wordprocessingml.footnotes+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spacing w:line="360" w:lineRule="auto"/>
        <w:jc w:val="center"/>
        <w:rPr>
          <w:rFonts w:ascii="Times New Roman" w:hAnsi="Times New Roman" w:eastAsia="Times New Roman" w:cs="Times New Roman"/>
          <w:b/>
          <w:sz w:val="40"/>
          <w:szCs w:val="24"/>
        </w:rPr>
      </w:pPr>
    </w:p>
    <w:p>
      <w:pPr>
        <w:spacing w:line="360" w:lineRule="auto"/>
        <w:jc w:val="center"/>
        <w:rPr>
          <w:rFonts w:ascii="Times New Roman" w:hAnsi="Times New Roman" w:eastAsia="Times New Roman" w:cs="Times New Roman"/>
          <w:b/>
          <w:sz w:val="40"/>
          <w:szCs w:val="24"/>
        </w:rPr>
      </w:pPr>
    </w:p>
    <w:p>
      <w:pPr>
        <w:spacing w:line="360" w:lineRule="auto"/>
        <w:jc w:val="center"/>
        <w:rPr>
          <w:rFonts w:ascii="Times New Roman" w:hAnsi="Times New Roman" w:eastAsia="Times New Roman" w:cs="Times New Roman"/>
          <w:b/>
          <w:sz w:val="40"/>
          <w:szCs w:val="24"/>
        </w:rPr>
      </w:pPr>
    </w:p>
    <w:p>
      <w:pPr>
        <w:spacing w:line="360" w:lineRule="auto"/>
        <w:jc w:val="center"/>
        <w:rPr>
          <w:rFonts w:ascii="Times New Roman" w:hAnsi="Times New Roman" w:eastAsia="Times New Roman" w:cs="Times New Roman"/>
          <w:b/>
          <w:sz w:val="40"/>
          <w:szCs w:val="24"/>
        </w:rPr>
      </w:pPr>
    </w:p>
    <w:p>
      <w:pPr>
        <w:spacing w:line="360" w:lineRule="auto"/>
        <w:jc w:val="center"/>
        <w:rPr>
          <w:rFonts w:ascii="Times New Roman" w:hAnsi="Times New Roman" w:eastAsia="Times New Roman" w:cs="Times New Roman"/>
          <w:b/>
          <w:sz w:val="40"/>
          <w:szCs w:val="24"/>
        </w:rPr>
      </w:pPr>
      <w:r>
        <w:rPr>
          <w:rFonts w:ascii="Times New Roman" w:hAnsi="Times New Roman" w:eastAsia="Times New Roman" w:cs="Times New Roman"/>
          <w:b/>
          <w:sz w:val="40"/>
          <w:szCs w:val="24"/>
        </w:rPr>
        <w:t>BA International Hotel Management</w:t>
      </w:r>
    </w:p>
    <w:p>
      <w:pPr>
        <w:spacing w:line="360" w:lineRule="auto"/>
        <w:jc w:val="center"/>
        <w:rPr>
          <w:rFonts w:ascii="Times New Roman" w:hAnsi="Times New Roman" w:eastAsia="Times New Roman" w:cs="Times New Roman"/>
          <w:b/>
          <w:sz w:val="40"/>
          <w:szCs w:val="24"/>
        </w:rPr>
      </w:pPr>
      <w:r>
        <w:rPr>
          <w:rFonts w:ascii="Times New Roman" w:hAnsi="Times New Roman" w:eastAsia="Times New Roman" w:cs="Times New Roman"/>
          <w:b/>
          <w:sz w:val="40"/>
          <w:szCs w:val="24"/>
        </w:rPr>
        <w:t>Academic Discipline of Hospitality &amp; Tourism Management</w:t>
      </w:r>
    </w:p>
    <w:p>
      <w:pPr>
        <w:spacing w:line="360" w:lineRule="auto"/>
        <w:jc w:val="center"/>
        <w:rPr>
          <w:rFonts w:ascii="Times New Roman" w:hAnsi="Times New Roman" w:eastAsia="Times New Roman" w:cs="Times New Roman"/>
          <w:b/>
          <w:sz w:val="24"/>
          <w:szCs w:val="24"/>
        </w:rPr>
      </w:pPr>
      <w:r>
        <w:drawing>
          <wp:inline distT="0" distB="0" distL="114300" distR="114300">
            <wp:extent cx="3086100" cy="1181100"/>
            <wp:effectExtent l="0" t="0" r="0" b="0"/>
            <wp:docPr id="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1"/>
                    <pic:cNvPicPr>
                      <a:picLocks noChangeAspect="1"/>
                    </pic:cNvPicPr>
                  </pic:nvPicPr>
                  <pic:blipFill>
                    <a:blip r:embed="rId7"/>
                    <a:stretch>
                      <a:fillRect/>
                    </a:stretch>
                  </pic:blipFill>
                  <pic:spPr>
                    <a:xfrm>
                      <a:off x="0" y="0"/>
                      <a:ext cx="3086100" cy="1181100"/>
                    </a:xfrm>
                    <a:prstGeom prst="rect">
                      <a:avLst/>
                    </a:prstGeom>
                    <a:noFill/>
                    <a:ln>
                      <a:noFill/>
                    </a:ln>
                  </pic:spPr>
                </pic:pic>
              </a:graphicData>
            </a:graphic>
          </wp:inline>
        </w:drawing>
      </w:r>
      <w:r>
        <w:br w:type="page"/>
      </w:r>
    </w:p>
    <w:p>
      <w:pPr>
        <w:spacing w:line="360" w:lineRule="auto"/>
        <w:jc w:val="center"/>
        <w:rPr>
          <w:rFonts w:ascii="Times New Roman" w:hAnsi="Times New Roman" w:eastAsia="Times New Roman" w:cs="Times New Roman"/>
          <w:b/>
          <w:sz w:val="24"/>
          <w:szCs w:val="24"/>
        </w:rPr>
      </w:pPr>
      <w:r>
        <w:rPr>
          <w:rFonts w:ascii="Times New Roman" w:hAnsi="Times New Roman" w:eastAsia="Times New Roman" w:cs="Times New Roman"/>
          <w:b/>
          <w:sz w:val="24"/>
          <w:szCs w:val="24"/>
        </w:rPr>
        <w:t>Executive Summary</w:t>
      </w:r>
    </w:p>
    <w:p>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Cross-cultural competency is one of the effective cultural analyses that helps the operational unit develop cultural inclusiveness within the performing arena. The study predominantly focuses on one organisation named “The Eastern Sun Hotel” and explains the intercultural leadership challenges that the business entity witnessed in their functions. The study also provided the recommended strategy that the hotel unit can adopt to eradicate the cultural challenges. Additionally, the study also discussed the cultural comparison between UK and France in terms of cultural and leadership approaches. </w:t>
      </w:r>
    </w:p>
    <w:p>
      <w:pPr>
        <w:spacing w:line="360" w:lineRule="auto"/>
        <w:jc w:val="both"/>
        <w:rPr>
          <w:rFonts w:ascii="Times New Roman" w:hAnsi="Times New Roman" w:eastAsia="Times New Roman" w:cs="Times New Roman"/>
          <w:sz w:val="24"/>
          <w:szCs w:val="24"/>
        </w:rPr>
      </w:pPr>
    </w:p>
    <w:p>
      <w:pPr>
        <w:spacing w:line="360" w:lineRule="auto"/>
        <w:rPr>
          <w:rFonts w:ascii="Times New Roman" w:hAnsi="Times New Roman" w:eastAsia="Times New Roman" w:cs="Times New Roman"/>
          <w:b/>
          <w:sz w:val="24"/>
          <w:szCs w:val="24"/>
        </w:rPr>
      </w:pPr>
      <w:r>
        <w:br w:type="page"/>
      </w:r>
    </w:p>
    <w:p>
      <w:pPr>
        <w:spacing w:line="360" w:lineRule="auto"/>
        <w:rPr>
          <w:rFonts w:ascii="Times New Roman" w:hAnsi="Times New Roman" w:eastAsia="Times New Roman" w:cs="Times New Roman"/>
          <w:b/>
          <w:sz w:val="24"/>
          <w:szCs w:val="24"/>
        </w:rPr>
      </w:pPr>
    </w:p>
    <w:sdt>
      <w:sdtPr>
        <w:rPr>
          <w:rFonts w:ascii="Times New Roman" w:hAnsi="Times New Roman" w:eastAsia="Arial" w:cs="Times New Roman"/>
          <w:color w:val="auto"/>
          <w:sz w:val="24"/>
          <w:szCs w:val="24"/>
          <w:lang w:val="en-GB" w:eastAsia="en-GB"/>
        </w:rPr>
        <w:id w:val="-2082362197"/>
        <w:docPartObj>
          <w:docPartGallery w:val="Table of Contents"/>
          <w:docPartUnique/>
        </w:docPartObj>
      </w:sdtPr>
      <w:sdtEndPr>
        <w:rPr>
          <w:rFonts w:ascii="Arial" w:hAnsi="Arial" w:eastAsia="Arial" w:cs="Arial"/>
          <w:b/>
          <w:bCs/>
          <w:color w:val="auto"/>
          <w:sz w:val="22"/>
          <w:szCs w:val="22"/>
          <w:lang w:val="en-GB" w:eastAsia="en-GB"/>
        </w:rPr>
      </w:sdtEndPr>
      <w:sdtContent>
        <w:p>
          <w:pPr>
            <w:pStyle w:val="20"/>
            <w:spacing w:line="360" w:lineRule="auto"/>
            <w:jc w:val="center"/>
            <w:rPr>
              <w:rFonts w:ascii="Times New Roman" w:hAnsi="Times New Roman" w:cs="Times New Roman"/>
              <w:b/>
              <w:color w:val="000000" w:themeColor="text1"/>
              <w:sz w:val="24"/>
              <w:szCs w:val="24"/>
            </w:rPr>
          </w:pPr>
          <w:r>
            <w:rPr>
              <w:rFonts w:ascii="Times New Roman" w:hAnsi="Times New Roman" w:cs="Times New Roman"/>
              <w:b/>
              <w:color w:val="000000" w:themeColor="text1"/>
              <w:sz w:val="24"/>
              <w:szCs w:val="24"/>
            </w:rPr>
            <w:t>Table of Contents</w:t>
          </w:r>
        </w:p>
        <w:p>
          <w:pPr>
            <w:pStyle w:val="16"/>
            <w:tabs>
              <w:tab w:val="right" w:leader="dot" w:pos="9019"/>
            </w:tabs>
            <w:spacing w:line="360" w:lineRule="auto"/>
            <w:rPr>
              <w:rFonts w:ascii="Times New Roman" w:hAnsi="Times New Roman" w:cs="Times New Roman"/>
              <w:sz w:val="24"/>
              <w:szCs w:val="24"/>
            </w:rPr>
          </w:pPr>
          <w:r>
            <w:rPr>
              <w:rFonts w:ascii="Times New Roman" w:hAnsi="Times New Roman" w:cs="Times New Roman"/>
              <w:sz w:val="24"/>
              <w:szCs w:val="24"/>
            </w:rPr>
            <w:fldChar w:fldCharType="begin"/>
          </w:r>
          <w:r>
            <w:rPr>
              <w:rFonts w:ascii="Times New Roman" w:hAnsi="Times New Roman" w:cs="Times New Roman"/>
              <w:sz w:val="24"/>
              <w:szCs w:val="24"/>
            </w:rPr>
            <w:instrText xml:space="preserve"> TOC \o "1-3" \h \z \u </w:instrText>
          </w:r>
          <w:r>
            <w:rPr>
              <w:rFonts w:ascii="Times New Roman" w:hAnsi="Times New Roman" w:cs="Times New Roman"/>
              <w:sz w:val="24"/>
              <w:szCs w:val="24"/>
            </w:rPr>
            <w:fldChar w:fldCharType="separate"/>
          </w:r>
          <w:r>
            <w:fldChar w:fldCharType="begin"/>
          </w:r>
          <w:r>
            <w:instrText xml:space="preserve"> HYPERLINK \l "_Toc165481065" </w:instrText>
          </w:r>
          <w:r>
            <w:fldChar w:fldCharType="separate"/>
          </w:r>
          <w:r>
            <w:rPr>
              <w:rStyle w:val="13"/>
              <w:rFonts w:ascii="Times New Roman" w:hAnsi="Times New Roman" w:cs="Times New Roman"/>
              <w:sz w:val="24"/>
              <w:szCs w:val="24"/>
            </w:rPr>
            <w:t>Introduction</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_Toc165481065 \h </w:instrText>
          </w:r>
          <w:r>
            <w:rPr>
              <w:rFonts w:ascii="Times New Roman" w:hAnsi="Times New Roman" w:cs="Times New Roman"/>
              <w:sz w:val="24"/>
              <w:szCs w:val="24"/>
            </w:rPr>
            <w:fldChar w:fldCharType="separate"/>
          </w:r>
          <w:r>
            <w:rPr>
              <w:rFonts w:ascii="Times New Roman" w:hAnsi="Times New Roman" w:cs="Times New Roman"/>
              <w:sz w:val="24"/>
              <w:szCs w:val="24"/>
            </w:rPr>
            <w:t>4</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16"/>
            <w:tabs>
              <w:tab w:val="right" w:leader="dot" w:pos="9019"/>
            </w:tabs>
            <w:spacing w:line="360" w:lineRule="auto"/>
            <w:rPr>
              <w:rFonts w:ascii="Times New Roman" w:hAnsi="Times New Roman" w:cs="Times New Roman"/>
              <w:sz w:val="24"/>
              <w:szCs w:val="24"/>
            </w:rPr>
          </w:pPr>
          <w:r>
            <w:fldChar w:fldCharType="begin"/>
          </w:r>
          <w:r>
            <w:instrText xml:space="preserve"> HYPERLINK \l "_Toc165481066" </w:instrText>
          </w:r>
          <w:r>
            <w:fldChar w:fldCharType="separate"/>
          </w:r>
          <w:r>
            <w:rPr>
              <w:rStyle w:val="13"/>
              <w:rFonts w:ascii="Times New Roman" w:hAnsi="Times New Roman" w:cs="Times New Roman"/>
              <w:sz w:val="24"/>
              <w:szCs w:val="24"/>
            </w:rPr>
            <w:t>Main discussion</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_Toc165481066 \h </w:instrText>
          </w:r>
          <w:r>
            <w:rPr>
              <w:rFonts w:ascii="Times New Roman" w:hAnsi="Times New Roman" w:cs="Times New Roman"/>
              <w:sz w:val="24"/>
              <w:szCs w:val="24"/>
            </w:rPr>
            <w:fldChar w:fldCharType="separate"/>
          </w:r>
          <w:r>
            <w:rPr>
              <w:rFonts w:ascii="Times New Roman" w:hAnsi="Times New Roman" w:cs="Times New Roman"/>
              <w:sz w:val="24"/>
              <w:szCs w:val="24"/>
            </w:rPr>
            <w:t>4</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17"/>
            <w:tabs>
              <w:tab w:val="right" w:leader="dot" w:pos="9019"/>
            </w:tabs>
            <w:spacing w:line="360" w:lineRule="auto"/>
            <w:rPr>
              <w:rFonts w:ascii="Times New Roman" w:hAnsi="Times New Roman" w:cs="Times New Roman"/>
              <w:sz w:val="24"/>
              <w:szCs w:val="24"/>
            </w:rPr>
          </w:pPr>
          <w:r>
            <w:fldChar w:fldCharType="begin"/>
          </w:r>
          <w:r>
            <w:instrText xml:space="preserve"> HYPERLINK \l "_Toc165481067" </w:instrText>
          </w:r>
          <w:r>
            <w:fldChar w:fldCharType="separate"/>
          </w:r>
          <w:r>
            <w:rPr>
              <w:rStyle w:val="13"/>
              <w:rFonts w:ascii="Times New Roman" w:hAnsi="Times New Roman" w:cs="Times New Roman"/>
              <w:sz w:val="24"/>
              <w:szCs w:val="24"/>
            </w:rPr>
            <w:t>Outline the key differences between England and the chosen country</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_Toc165481067 \h </w:instrText>
          </w:r>
          <w:r>
            <w:rPr>
              <w:rFonts w:ascii="Times New Roman" w:hAnsi="Times New Roman" w:cs="Times New Roman"/>
              <w:sz w:val="24"/>
              <w:szCs w:val="24"/>
            </w:rPr>
            <w:fldChar w:fldCharType="separate"/>
          </w:r>
          <w:r>
            <w:rPr>
              <w:rFonts w:ascii="Times New Roman" w:hAnsi="Times New Roman" w:cs="Times New Roman"/>
              <w:sz w:val="24"/>
              <w:szCs w:val="24"/>
            </w:rPr>
            <w:t>4</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17"/>
            <w:tabs>
              <w:tab w:val="right" w:leader="dot" w:pos="9019"/>
            </w:tabs>
            <w:spacing w:line="360" w:lineRule="auto"/>
            <w:rPr>
              <w:rFonts w:ascii="Times New Roman" w:hAnsi="Times New Roman" w:cs="Times New Roman"/>
              <w:sz w:val="24"/>
              <w:szCs w:val="24"/>
            </w:rPr>
          </w:pPr>
          <w:r>
            <w:fldChar w:fldCharType="begin"/>
          </w:r>
          <w:r>
            <w:instrText xml:space="preserve"> HYPERLINK \l "_Toc165481068" </w:instrText>
          </w:r>
          <w:r>
            <w:fldChar w:fldCharType="separate"/>
          </w:r>
          <w:r>
            <w:rPr>
              <w:rStyle w:val="13"/>
              <w:rFonts w:ascii="Times New Roman" w:hAnsi="Times New Roman" w:cs="Times New Roman"/>
              <w:sz w:val="24"/>
              <w:szCs w:val="24"/>
            </w:rPr>
            <w:t>Analyse and compare the two countries using the GLOBE Project’s culture and leadership study</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_Toc165481068 \h </w:instrText>
          </w:r>
          <w:r>
            <w:rPr>
              <w:rFonts w:ascii="Times New Roman" w:hAnsi="Times New Roman" w:cs="Times New Roman"/>
              <w:sz w:val="24"/>
              <w:szCs w:val="24"/>
            </w:rPr>
            <w:fldChar w:fldCharType="separate"/>
          </w:r>
          <w:r>
            <w:rPr>
              <w:rFonts w:ascii="Times New Roman" w:hAnsi="Times New Roman" w:cs="Times New Roman"/>
              <w:sz w:val="24"/>
              <w:szCs w:val="24"/>
            </w:rPr>
            <w:t>5</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17"/>
            <w:tabs>
              <w:tab w:val="right" w:leader="dot" w:pos="9019"/>
            </w:tabs>
            <w:spacing w:line="360" w:lineRule="auto"/>
            <w:rPr>
              <w:rFonts w:ascii="Times New Roman" w:hAnsi="Times New Roman" w:cs="Times New Roman"/>
              <w:sz w:val="24"/>
              <w:szCs w:val="24"/>
            </w:rPr>
          </w:pPr>
          <w:r>
            <w:fldChar w:fldCharType="begin"/>
          </w:r>
          <w:r>
            <w:instrText xml:space="preserve"> HYPERLINK \l "_Toc165481069" </w:instrText>
          </w:r>
          <w:r>
            <w:fldChar w:fldCharType="separate"/>
          </w:r>
          <w:r>
            <w:rPr>
              <w:rStyle w:val="13"/>
              <w:rFonts w:ascii="Times New Roman" w:hAnsi="Times New Roman" w:cs="Times New Roman"/>
              <w:sz w:val="24"/>
              <w:szCs w:val="24"/>
            </w:rPr>
            <w:t>Leadership comparison between UK and France</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_Toc165481069 \h </w:instrText>
          </w:r>
          <w:r>
            <w:rPr>
              <w:rFonts w:ascii="Times New Roman" w:hAnsi="Times New Roman" w:cs="Times New Roman"/>
              <w:sz w:val="24"/>
              <w:szCs w:val="24"/>
            </w:rPr>
            <w:fldChar w:fldCharType="separate"/>
          </w:r>
          <w:r>
            <w:rPr>
              <w:rFonts w:ascii="Times New Roman" w:hAnsi="Times New Roman" w:cs="Times New Roman"/>
              <w:sz w:val="24"/>
              <w:szCs w:val="24"/>
            </w:rPr>
            <w:t>6</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17"/>
            <w:tabs>
              <w:tab w:val="right" w:leader="dot" w:pos="9019"/>
            </w:tabs>
            <w:spacing w:line="360" w:lineRule="auto"/>
            <w:rPr>
              <w:rFonts w:ascii="Times New Roman" w:hAnsi="Times New Roman" w:cs="Times New Roman"/>
              <w:sz w:val="24"/>
              <w:szCs w:val="24"/>
            </w:rPr>
          </w:pPr>
          <w:r>
            <w:fldChar w:fldCharType="begin"/>
          </w:r>
          <w:r>
            <w:instrText xml:space="preserve"> HYPERLINK \l "_Toc165481070" </w:instrText>
          </w:r>
          <w:r>
            <w:fldChar w:fldCharType="separate"/>
          </w:r>
          <w:r>
            <w:rPr>
              <w:rStyle w:val="13"/>
              <w:rFonts w:ascii="Times New Roman" w:hAnsi="Times New Roman" w:cs="Times New Roman"/>
              <w:sz w:val="24"/>
              <w:szCs w:val="24"/>
            </w:rPr>
            <w:t>Cultural comparison between UK and France</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_Toc165481070 \h </w:instrText>
          </w:r>
          <w:r>
            <w:rPr>
              <w:rFonts w:ascii="Times New Roman" w:hAnsi="Times New Roman" w:cs="Times New Roman"/>
              <w:sz w:val="24"/>
              <w:szCs w:val="24"/>
            </w:rPr>
            <w:fldChar w:fldCharType="separate"/>
          </w:r>
          <w:r>
            <w:rPr>
              <w:rFonts w:ascii="Times New Roman" w:hAnsi="Times New Roman" w:cs="Times New Roman"/>
              <w:sz w:val="24"/>
              <w:szCs w:val="24"/>
            </w:rPr>
            <w:t>6</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17"/>
            <w:tabs>
              <w:tab w:val="right" w:leader="dot" w:pos="9019"/>
            </w:tabs>
            <w:spacing w:line="360" w:lineRule="auto"/>
            <w:rPr>
              <w:rFonts w:ascii="Times New Roman" w:hAnsi="Times New Roman" w:cs="Times New Roman"/>
              <w:sz w:val="24"/>
              <w:szCs w:val="24"/>
            </w:rPr>
          </w:pPr>
          <w:r>
            <w:fldChar w:fldCharType="begin"/>
          </w:r>
          <w:r>
            <w:instrText xml:space="preserve"> HYPERLINK \l "_Toc165481071" </w:instrText>
          </w:r>
          <w:r>
            <w:fldChar w:fldCharType="separate"/>
          </w:r>
          <w:r>
            <w:rPr>
              <w:rStyle w:val="13"/>
              <w:rFonts w:ascii="Times New Roman" w:hAnsi="Times New Roman" w:cs="Times New Roman"/>
              <w:sz w:val="24"/>
              <w:szCs w:val="24"/>
            </w:rPr>
            <w:t>Critically discuss the challenges of intercultural leadership in the hospitality industry</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_Toc165481071 \h </w:instrText>
          </w:r>
          <w:r>
            <w:rPr>
              <w:rFonts w:ascii="Times New Roman" w:hAnsi="Times New Roman" w:cs="Times New Roman"/>
              <w:sz w:val="24"/>
              <w:szCs w:val="24"/>
            </w:rPr>
            <w:fldChar w:fldCharType="separate"/>
          </w:r>
          <w:r>
            <w:rPr>
              <w:rFonts w:ascii="Times New Roman" w:hAnsi="Times New Roman" w:cs="Times New Roman"/>
              <w:sz w:val="24"/>
              <w:szCs w:val="24"/>
            </w:rPr>
            <w:t>7</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16"/>
            <w:tabs>
              <w:tab w:val="right" w:leader="dot" w:pos="9019"/>
            </w:tabs>
            <w:spacing w:line="360" w:lineRule="auto"/>
            <w:rPr>
              <w:rFonts w:ascii="Times New Roman" w:hAnsi="Times New Roman" w:cs="Times New Roman"/>
              <w:sz w:val="24"/>
              <w:szCs w:val="24"/>
            </w:rPr>
          </w:pPr>
          <w:r>
            <w:fldChar w:fldCharType="begin"/>
          </w:r>
          <w:r>
            <w:instrText xml:space="preserve"> HYPERLINK \l "_Toc165481072" </w:instrText>
          </w:r>
          <w:r>
            <w:fldChar w:fldCharType="separate"/>
          </w:r>
          <w:r>
            <w:rPr>
              <w:rStyle w:val="13"/>
              <w:rFonts w:ascii="Times New Roman" w:hAnsi="Times New Roman" w:cs="Times New Roman"/>
              <w:sz w:val="24"/>
              <w:szCs w:val="24"/>
            </w:rPr>
            <w:t>Conclusion</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_Toc165481072 \h </w:instrText>
          </w:r>
          <w:r>
            <w:rPr>
              <w:rFonts w:ascii="Times New Roman" w:hAnsi="Times New Roman" w:cs="Times New Roman"/>
              <w:sz w:val="24"/>
              <w:szCs w:val="24"/>
            </w:rPr>
            <w:fldChar w:fldCharType="separate"/>
          </w:r>
          <w:r>
            <w:rPr>
              <w:rFonts w:ascii="Times New Roman" w:hAnsi="Times New Roman" w:cs="Times New Roman"/>
              <w:sz w:val="24"/>
              <w:szCs w:val="24"/>
            </w:rPr>
            <w:t>7</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16"/>
            <w:tabs>
              <w:tab w:val="right" w:leader="dot" w:pos="9019"/>
            </w:tabs>
            <w:spacing w:line="360" w:lineRule="auto"/>
            <w:rPr>
              <w:rFonts w:ascii="Times New Roman" w:hAnsi="Times New Roman" w:cs="Times New Roman"/>
              <w:sz w:val="24"/>
              <w:szCs w:val="24"/>
            </w:rPr>
          </w:pPr>
          <w:r>
            <w:fldChar w:fldCharType="begin"/>
          </w:r>
          <w:r>
            <w:instrText xml:space="preserve"> HYPERLINK \l "_Toc165481073" </w:instrText>
          </w:r>
          <w:r>
            <w:fldChar w:fldCharType="separate"/>
          </w:r>
          <w:r>
            <w:rPr>
              <w:rStyle w:val="13"/>
              <w:rFonts w:ascii="Times New Roman" w:hAnsi="Times New Roman" w:cs="Times New Roman"/>
              <w:sz w:val="24"/>
              <w:szCs w:val="24"/>
            </w:rPr>
            <w:t>Recommendations</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_Toc165481073 \h </w:instrText>
          </w:r>
          <w:r>
            <w:rPr>
              <w:rFonts w:ascii="Times New Roman" w:hAnsi="Times New Roman" w:cs="Times New Roman"/>
              <w:sz w:val="24"/>
              <w:szCs w:val="24"/>
            </w:rPr>
            <w:fldChar w:fldCharType="separate"/>
          </w:r>
          <w:r>
            <w:rPr>
              <w:rFonts w:ascii="Times New Roman" w:hAnsi="Times New Roman" w:cs="Times New Roman"/>
              <w:sz w:val="24"/>
              <w:szCs w:val="24"/>
            </w:rPr>
            <w:t>7</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16"/>
            <w:tabs>
              <w:tab w:val="right" w:leader="dot" w:pos="9019"/>
            </w:tabs>
            <w:spacing w:line="360" w:lineRule="auto"/>
            <w:rPr>
              <w:rFonts w:ascii="Times New Roman" w:hAnsi="Times New Roman" w:cs="Times New Roman"/>
              <w:sz w:val="24"/>
              <w:szCs w:val="24"/>
            </w:rPr>
          </w:pPr>
          <w:r>
            <w:fldChar w:fldCharType="begin"/>
          </w:r>
          <w:r>
            <w:instrText xml:space="preserve"> HYPERLINK \l "_Toc165481074" </w:instrText>
          </w:r>
          <w:r>
            <w:fldChar w:fldCharType="separate"/>
          </w:r>
          <w:r>
            <w:rPr>
              <w:rStyle w:val="13"/>
              <w:rFonts w:ascii="Times New Roman" w:hAnsi="Times New Roman" w:cs="Times New Roman"/>
              <w:sz w:val="24"/>
              <w:szCs w:val="24"/>
            </w:rPr>
            <w:t>References</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_Toc165481074 \h </w:instrText>
          </w:r>
          <w:r>
            <w:rPr>
              <w:rFonts w:ascii="Times New Roman" w:hAnsi="Times New Roman" w:cs="Times New Roman"/>
              <w:sz w:val="24"/>
              <w:szCs w:val="24"/>
            </w:rPr>
            <w:fldChar w:fldCharType="separate"/>
          </w:r>
          <w:r>
            <w:rPr>
              <w:rFonts w:ascii="Times New Roman" w:hAnsi="Times New Roman" w:cs="Times New Roman"/>
              <w:sz w:val="24"/>
              <w:szCs w:val="24"/>
            </w:rPr>
            <w:t>9</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spacing w:line="360" w:lineRule="auto"/>
          </w:pPr>
          <w:r>
            <w:rPr>
              <w:rFonts w:ascii="Times New Roman" w:hAnsi="Times New Roman" w:cs="Times New Roman"/>
              <w:b/>
              <w:bCs/>
              <w:sz w:val="24"/>
              <w:szCs w:val="24"/>
            </w:rPr>
            <w:fldChar w:fldCharType="end"/>
          </w:r>
        </w:p>
      </w:sdtContent>
    </w:sdt>
    <w:p>
      <w:pPr>
        <w:rPr>
          <w:rFonts w:ascii="Times New Roman" w:hAnsi="Times New Roman" w:eastAsia="Times New Roman" w:cs="Times New Roman"/>
          <w:b/>
          <w:sz w:val="24"/>
          <w:szCs w:val="24"/>
        </w:rPr>
      </w:pPr>
      <w:r>
        <w:rPr>
          <w:rFonts w:ascii="Times New Roman" w:hAnsi="Times New Roman" w:eastAsia="Times New Roman" w:cs="Times New Roman"/>
          <w:b/>
          <w:sz w:val="24"/>
          <w:szCs w:val="24"/>
        </w:rPr>
        <w:br w:type="page"/>
      </w:r>
    </w:p>
    <w:p>
      <w:pPr>
        <w:pStyle w:val="2"/>
      </w:pPr>
      <w:bookmarkStart w:id="0" w:name="_Toc165481065"/>
      <w:r>
        <w:t>Introduction</w:t>
      </w:r>
      <w:bookmarkEnd w:id="0"/>
    </w:p>
    <w:p>
      <w:pPr>
        <w:spacing w:line="360" w:lineRule="auto"/>
        <w:jc w:val="both"/>
        <w:rPr>
          <w:rFonts w:ascii="Times New Roman" w:hAnsi="Times New Roman" w:eastAsia="Times New Roman" w:cs="Times New Roman"/>
          <w:b/>
          <w:sz w:val="24"/>
          <w:szCs w:val="24"/>
        </w:rPr>
      </w:pPr>
      <w:r>
        <w:rPr>
          <w:rFonts w:ascii="Times New Roman" w:hAnsi="Times New Roman" w:eastAsia="Times New Roman" w:cs="Times New Roman"/>
          <w:sz w:val="24"/>
          <w:szCs w:val="24"/>
        </w:rPr>
        <w:t xml:space="preserve">Cross-cultural competency refers to the comparative study of various cultural fields that help the individual to review various nations, ethnicities, and backgrounds. Through the development of cross-cultural competency, the functional unit would develop the cultural resilience value; it also keeps the operational unit to develop the adaptability values (Ng and Sears, 2020, p. 445). The study would predominantly focus on an England-based hotel unit named “Eastern Sun Hotel.” By illustrating the cultural differences, the study would predominantly focus on the two countries such as France and England. </w:t>
      </w:r>
    </w:p>
    <w:p>
      <w:pPr>
        <w:pStyle w:val="2"/>
      </w:pPr>
      <w:bookmarkStart w:id="1" w:name="_Toc165481066"/>
      <w:r>
        <w:t>Main discussion</w:t>
      </w:r>
      <w:bookmarkEnd w:id="1"/>
    </w:p>
    <w:p>
      <w:pPr>
        <w:pStyle w:val="3"/>
      </w:pPr>
      <w:bookmarkStart w:id="2" w:name="_Toc165481067"/>
      <w:r>
        <w:t>Outline the key differences between England and the chosen country</w:t>
      </w:r>
      <w:bookmarkEnd w:id="2"/>
    </w:p>
    <w:tbl>
      <w:tblPr>
        <w:tblStyle w:val="18"/>
        <w:tblW w:w="0" w:type="auto"/>
        <w:tblInd w:w="0" w:type="dxa"/>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autofit"/>
        <w:tblCellMar>
          <w:top w:w="100" w:type="dxa"/>
          <w:left w:w="100" w:type="dxa"/>
          <w:bottom w:w="100" w:type="dxa"/>
          <w:right w:w="100" w:type="dxa"/>
        </w:tblCellMar>
      </w:tblPr>
      <w:tblGrid>
        <w:gridCol w:w="1928"/>
        <w:gridCol w:w="3714"/>
        <w:gridCol w:w="3587"/>
      </w:tblGrid>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100" w:type="dxa"/>
            <w:left w:w="100" w:type="dxa"/>
            <w:bottom w:w="100" w:type="dxa"/>
            <w:right w:w="100" w:type="dxa"/>
          </w:tblCellMar>
        </w:tblPrEx>
        <w:trPr>
          <w:trHeight w:val="791" w:hRule="atLeast"/>
        </w:trPr>
        <w:tc>
          <w:tcPr>
            <w:tcW w:w="0" w:type="auto"/>
            <w:shd w:val="clear" w:color="auto" w:fill="auto"/>
            <w:tcMar>
              <w:top w:w="100" w:type="dxa"/>
              <w:left w:w="100" w:type="dxa"/>
              <w:bottom w:w="100" w:type="dxa"/>
              <w:right w:w="100" w:type="dxa"/>
            </w:tcMar>
          </w:tcPr>
          <w:p>
            <w:pPr>
              <w:widowControl w:val="0"/>
              <w:pBdr>
                <w:top w:val="none" w:color="auto" w:sz="0" w:space="0"/>
                <w:left w:val="none" w:color="auto" w:sz="0" w:space="0"/>
                <w:bottom w:val="none" w:color="auto" w:sz="0" w:space="0"/>
                <w:right w:val="none" w:color="auto" w:sz="0" w:space="0"/>
                <w:between w:val="none" w:color="auto" w:sz="0" w:space="0"/>
              </w:pBdr>
              <w:spacing w:line="240" w:lineRule="auto"/>
              <w:rPr>
                <w:rFonts w:ascii="Times New Roman" w:hAnsi="Times New Roman" w:eastAsia="Times New Roman" w:cs="Times New Roman"/>
                <w:b/>
                <w:sz w:val="24"/>
                <w:szCs w:val="24"/>
              </w:rPr>
            </w:pPr>
            <w:r>
              <w:rPr>
                <w:rFonts w:ascii="Times New Roman" w:hAnsi="Times New Roman" w:eastAsia="Times New Roman" w:cs="Times New Roman"/>
                <w:b/>
                <w:sz w:val="24"/>
                <w:szCs w:val="24"/>
              </w:rPr>
              <w:t xml:space="preserve">Parameters </w:t>
            </w:r>
          </w:p>
        </w:tc>
        <w:tc>
          <w:tcPr>
            <w:tcW w:w="0" w:type="auto"/>
            <w:shd w:val="clear" w:color="auto" w:fill="auto"/>
            <w:tcMar>
              <w:top w:w="100" w:type="dxa"/>
              <w:left w:w="100" w:type="dxa"/>
              <w:bottom w:w="100" w:type="dxa"/>
              <w:right w:w="100" w:type="dxa"/>
            </w:tcMar>
          </w:tcPr>
          <w:p>
            <w:pPr>
              <w:widowControl w:val="0"/>
              <w:pBdr>
                <w:top w:val="none" w:color="auto" w:sz="0" w:space="0"/>
                <w:left w:val="none" w:color="auto" w:sz="0" w:space="0"/>
                <w:bottom w:val="none" w:color="auto" w:sz="0" w:space="0"/>
                <w:right w:val="none" w:color="auto" w:sz="0" w:space="0"/>
                <w:between w:val="none" w:color="auto" w:sz="0" w:space="0"/>
              </w:pBdr>
              <w:spacing w:line="240" w:lineRule="auto"/>
              <w:rPr>
                <w:rFonts w:ascii="Times New Roman" w:hAnsi="Times New Roman" w:eastAsia="Times New Roman" w:cs="Times New Roman"/>
                <w:b/>
                <w:sz w:val="24"/>
                <w:szCs w:val="24"/>
              </w:rPr>
            </w:pPr>
            <w:r>
              <w:rPr>
                <w:rFonts w:ascii="Times New Roman" w:hAnsi="Times New Roman" w:eastAsia="Times New Roman" w:cs="Times New Roman"/>
                <w:b/>
                <w:sz w:val="24"/>
                <w:szCs w:val="24"/>
              </w:rPr>
              <w:t xml:space="preserve">The business culture of England </w:t>
            </w:r>
          </w:p>
        </w:tc>
        <w:tc>
          <w:tcPr>
            <w:tcW w:w="0" w:type="auto"/>
            <w:shd w:val="clear" w:color="auto" w:fill="auto"/>
            <w:tcMar>
              <w:top w:w="100" w:type="dxa"/>
              <w:left w:w="100" w:type="dxa"/>
              <w:bottom w:w="100" w:type="dxa"/>
              <w:right w:w="100" w:type="dxa"/>
            </w:tcMar>
          </w:tcPr>
          <w:p>
            <w:pPr>
              <w:widowControl w:val="0"/>
              <w:pBdr>
                <w:top w:val="none" w:color="auto" w:sz="0" w:space="0"/>
                <w:left w:val="none" w:color="auto" w:sz="0" w:space="0"/>
                <w:bottom w:val="none" w:color="auto" w:sz="0" w:space="0"/>
                <w:right w:val="none" w:color="auto" w:sz="0" w:space="0"/>
                <w:between w:val="none" w:color="auto" w:sz="0" w:space="0"/>
              </w:pBdr>
              <w:spacing w:line="240" w:lineRule="auto"/>
              <w:rPr>
                <w:rFonts w:ascii="Times New Roman" w:hAnsi="Times New Roman" w:eastAsia="Times New Roman" w:cs="Times New Roman"/>
                <w:b/>
                <w:sz w:val="24"/>
                <w:szCs w:val="24"/>
              </w:rPr>
            </w:pPr>
            <w:r>
              <w:rPr>
                <w:rFonts w:ascii="Times New Roman" w:hAnsi="Times New Roman" w:eastAsia="Times New Roman" w:cs="Times New Roman"/>
                <w:b/>
                <w:sz w:val="24"/>
                <w:szCs w:val="24"/>
              </w:rPr>
              <w:t xml:space="preserve">The business culture of France </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100" w:type="dxa"/>
            <w:left w:w="100" w:type="dxa"/>
            <w:bottom w:w="100" w:type="dxa"/>
            <w:right w:w="100" w:type="dxa"/>
          </w:tblCellMar>
        </w:tblPrEx>
        <w:tc>
          <w:tcPr>
            <w:tcW w:w="0" w:type="auto"/>
            <w:shd w:val="clear" w:color="auto" w:fill="auto"/>
            <w:tcMar>
              <w:top w:w="100" w:type="dxa"/>
              <w:left w:w="100" w:type="dxa"/>
              <w:bottom w:w="100" w:type="dxa"/>
              <w:right w:w="100" w:type="dxa"/>
            </w:tcMar>
          </w:tcPr>
          <w:p>
            <w:pPr>
              <w:widowControl w:val="0"/>
              <w:pBdr>
                <w:top w:val="none" w:color="auto" w:sz="0" w:space="0"/>
                <w:left w:val="none" w:color="auto" w:sz="0" w:space="0"/>
                <w:bottom w:val="none" w:color="auto" w:sz="0" w:space="0"/>
                <w:right w:val="none" w:color="auto" w:sz="0" w:space="0"/>
                <w:between w:val="none" w:color="auto" w:sz="0" w:space="0"/>
              </w:pBdr>
              <w:spacing w:line="240" w:lineRule="auto"/>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Communication style </w:t>
            </w:r>
          </w:p>
        </w:tc>
        <w:tc>
          <w:tcPr>
            <w:tcW w:w="0" w:type="auto"/>
            <w:shd w:val="clear" w:color="auto" w:fill="auto"/>
            <w:tcMar>
              <w:top w:w="100" w:type="dxa"/>
              <w:left w:w="100" w:type="dxa"/>
              <w:bottom w:w="100" w:type="dxa"/>
              <w:right w:w="100" w:type="dxa"/>
            </w:tcMar>
          </w:tcPr>
          <w:p>
            <w:pPr>
              <w:widowControl w:val="0"/>
              <w:pBdr>
                <w:top w:val="none" w:color="auto" w:sz="0" w:space="0"/>
                <w:left w:val="none" w:color="auto" w:sz="0" w:space="0"/>
                <w:bottom w:val="none" w:color="auto" w:sz="0" w:space="0"/>
                <w:right w:val="none" w:color="auto" w:sz="0" w:space="0"/>
                <w:between w:val="none" w:color="auto" w:sz="0" w:space="0"/>
              </w:pBd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The communication styles of UK are a mixture of indirect and direct communication. The communication values in UK are highly transparent. </w:t>
            </w:r>
          </w:p>
        </w:tc>
        <w:tc>
          <w:tcPr>
            <w:tcW w:w="0" w:type="auto"/>
            <w:shd w:val="clear" w:color="auto" w:fill="auto"/>
            <w:tcMar>
              <w:top w:w="100" w:type="dxa"/>
              <w:left w:w="100" w:type="dxa"/>
              <w:bottom w:w="100" w:type="dxa"/>
              <w:right w:w="100" w:type="dxa"/>
            </w:tcMar>
          </w:tcPr>
          <w:p>
            <w:pPr>
              <w:widowControl w:val="0"/>
              <w:pBdr>
                <w:top w:val="none" w:color="auto" w:sz="0" w:space="0"/>
                <w:left w:val="none" w:color="auto" w:sz="0" w:space="0"/>
                <w:bottom w:val="none" w:color="auto" w:sz="0" w:space="0"/>
                <w:right w:val="none" w:color="auto" w:sz="0" w:space="0"/>
                <w:between w:val="none" w:color="auto" w:sz="0" w:space="0"/>
              </w:pBd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Communication styles in France are direct, frank and honest and the people value proactive and witty behaviour. </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100" w:type="dxa"/>
            <w:left w:w="100" w:type="dxa"/>
            <w:bottom w:w="100" w:type="dxa"/>
            <w:right w:w="100" w:type="dxa"/>
          </w:tblCellMar>
        </w:tblPrEx>
        <w:tc>
          <w:tcPr>
            <w:tcW w:w="0" w:type="auto"/>
            <w:shd w:val="clear" w:color="auto" w:fill="auto"/>
            <w:tcMar>
              <w:top w:w="100" w:type="dxa"/>
              <w:left w:w="100" w:type="dxa"/>
              <w:bottom w:w="100" w:type="dxa"/>
              <w:right w:w="100" w:type="dxa"/>
            </w:tcMar>
          </w:tcPr>
          <w:p>
            <w:pPr>
              <w:widowControl w:val="0"/>
              <w:pBdr>
                <w:top w:val="none" w:color="auto" w:sz="0" w:space="0"/>
                <w:left w:val="none" w:color="auto" w:sz="0" w:space="0"/>
                <w:bottom w:val="none" w:color="auto" w:sz="0" w:space="0"/>
                <w:right w:val="none" w:color="auto" w:sz="0" w:space="0"/>
                <w:between w:val="none" w:color="auto" w:sz="0" w:space="0"/>
              </w:pBdr>
              <w:spacing w:line="240" w:lineRule="auto"/>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Hierarchy approach </w:t>
            </w:r>
          </w:p>
        </w:tc>
        <w:tc>
          <w:tcPr>
            <w:tcW w:w="0" w:type="auto"/>
            <w:shd w:val="clear" w:color="auto" w:fill="auto"/>
            <w:tcMar>
              <w:top w:w="100" w:type="dxa"/>
              <w:left w:w="100" w:type="dxa"/>
              <w:bottom w:w="100" w:type="dxa"/>
              <w:right w:w="100" w:type="dxa"/>
            </w:tcMar>
          </w:tcPr>
          <w:p>
            <w:pPr>
              <w:widowControl w:val="0"/>
              <w:pBdr>
                <w:top w:val="none" w:color="auto" w:sz="0" w:space="0"/>
                <w:left w:val="none" w:color="auto" w:sz="0" w:space="0"/>
                <w:bottom w:val="none" w:color="auto" w:sz="0" w:space="0"/>
                <w:right w:val="none" w:color="auto" w:sz="0" w:space="0"/>
                <w:between w:val="none" w:color="auto" w:sz="0" w:space="0"/>
              </w:pBd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The hierarchical structure in UK is mainly informal and less centralized, where they prioritise encouraging contributions. </w:t>
            </w:r>
          </w:p>
        </w:tc>
        <w:tc>
          <w:tcPr>
            <w:tcW w:w="0" w:type="auto"/>
            <w:shd w:val="clear" w:color="auto" w:fill="auto"/>
            <w:tcMar>
              <w:top w:w="100" w:type="dxa"/>
              <w:left w:w="100" w:type="dxa"/>
              <w:bottom w:w="100" w:type="dxa"/>
              <w:right w:w="100" w:type="dxa"/>
            </w:tcMar>
          </w:tcPr>
          <w:p>
            <w:pPr>
              <w:widowControl w:val="0"/>
              <w:pBdr>
                <w:top w:val="none" w:color="auto" w:sz="0" w:space="0"/>
                <w:left w:val="none" w:color="auto" w:sz="0" w:space="0"/>
                <w:bottom w:val="none" w:color="auto" w:sz="0" w:space="0"/>
                <w:right w:val="none" w:color="auto" w:sz="0" w:space="0"/>
                <w:between w:val="none" w:color="auto" w:sz="0" w:space="0"/>
              </w:pBd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The French Hierarchical structure differentiated into three key sectors as first estate, the second estate, and finally the third estate. </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100" w:type="dxa"/>
            <w:left w:w="100" w:type="dxa"/>
            <w:bottom w:w="100" w:type="dxa"/>
            <w:right w:w="100" w:type="dxa"/>
          </w:tblCellMar>
        </w:tblPrEx>
        <w:tc>
          <w:tcPr>
            <w:tcW w:w="0" w:type="auto"/>
            <w:shd w:val="clear" w:color="auto" w:fill="auto"/>
            <w:tcMar>
              <w:top w:w="100" w:type="dxa"/>
              <w:left w:w="100" w:type="dxa"/>
              <w:bottom w:w="100" w:type="dxa"/>
              <w:right w:w="100" w:type="dxa"/>
            </w:tcMar>
          </w:tcPr>
          <w:p>
            <w:pPr>
              <w:widowControl w:val="0"/>
              <w:pBdr>
                <w:top w:val="none" w:color="auto" w:sz="0" w:space="0"/>
                <w:left w:val="none" w:color="auto" w:sz="0" w:space="0"/>
                <w:bottom w:val="none" w:color="auto" w:sz="0" w:space="0"/>
                <w:right w:val="none" w:color="auto" w:sz="0" w:space="0"/>
                <w:between w:val="none" w:color="auto" w:sz="0" w:space="0"/>
              </w:pBdr>
              <w:spacing w:line="240" w:lineRule="auto"/>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Decision-making procedure </w:t>
            </w:r>
          </w:p>
        </w:tc>
        <w:tc>
          <w:tcPr>
            <w:tcW w:w="0" w:type="auto"/>
            <w:shd w:val="clear" w:color="auto" w:fill="auto"/>
            <w:tcMar>
              <w:top w:w="100" w:type="dxa"/>
              <w:left w:w="100" w:type="dxa"/>
              <w:bottom w:w="100" w:type="dxa"/>
              <w:right w:w="100" w:type="dxa"/>
            </w:tcMar>
          </w:tcPr>
          <w:p>
            <w:pPr>
              <w:widowControl w:val="0"/>
              <w:pBdr>
                <w:top w:val="none" w:color="auto" w:sz="0" w:space="0"/>
                <w:left w:val="none" w:color="auto" w:sz="0" w:space="0"/>
                <w:bottom w:val="none" w:color="auto" w:sz="0" w:space="0"/>
                <w:right w:val="none" w:color="auto" w:sz="0" w:space="0"/>
                <w:between w:val="none" w:color="auto" w:sz="0" w:space="0"/>
              </w:pBdr>
              <w:spacing w:line="360" w:lineRule="auto"/>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The decision-making procedure of UK is comparatively efficient and quick. </w:t>
            </w:r>
          </w:p>
        </w:tc>
        <w:tc>
          <w:tcPr>
            <w:tcW w:w="0" w:type="auto"/>
            <w:shd w:val="clear" w:color="auto" w:fill="auto"/>
            <w:tcMar>
              <w:top w:w="100" w:type="dxa"/>
              <w:left w:w="100" w:type="dxa"/>
              <w:bottom w:w="100" w:type="dxa"/>
              <w:right w:w="100" w:type="dxa"/>
            </w:tcMar>
          </w:tcPr>
          <w:p>
            <w:pPr>
              <w:widowControl w:val="0"/>
              <w:pBdr>
                <w:top w:val="none" w:color="auto" w:sz="0" w:space="0"/>
                <w:left w:val="none" w:color="auto" w:sz="0" w:space="0"/>
                <w:bottom w:val="none" w:color="auto" w:sz="0" w:space="0"/>
                <w:right w:val="none" w:color="auto" w:sz="0" w:space="0"/>
                <w:between w:val="none" w:color="auto" w:sz="0" w:space="0"/>
              </w:pBd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The decision-making procedure in France is highly adaptive and transformational. </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100" w:type="dxa"/>
            <w:left w:w="100" w:type="dxa"/>
            <w:bottom w:w="100" w:type="dxa"/>
            <w:right w:w="100" w:type="dxa"/>
          </w:tblCellMar>
        </w:tblPrEx>
        <w:tc>
          <w:tcPr>
            <w:tcW w:w="0" w:type="auto"/>
            <w:shd w:val="clear" w:color="auto" w:fill="auto"/>
            <w:tcMar>
              <w:top w:w="100" w:type="dxa"/>
              <w:left w:w="100" w:type="dxa"/>
              <w:bottom w:w="100" w:type="dxa"/>
              <w:right w:w="100" w:type="dxa"/>
            </w:tcMar>
          </w:tcPr>
          <w:p>
            <w:pPr>
              <w:widowControl w:val="0"/>
              <w:pBdr>
                <w:top w:val="none" w:color="auto" w:sz="0" w:space="0"/>
                <w:left w:val="none" w:color="auto" w:sz="0" w:space="0"/>
                <w:bottom w:val="none" w:color="auto" w:sz="0" w:space="0"/>
                <w:right w:val="none" w:color="auto" w:sz="0" w:space="0"/>
                <w:between w:val="none" w:color="auto" w:sz="0" w:space="0"/>
              </w:pBdr>
              <w:spacing w:line="240" w:lineRule="auto"/>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Meeting structures </w:t>
            </w:r>
          </w:p>
        </w:tc>
        <w:tc>
          <w:tcPr>
            <w:tcW w:w="0" w:type="auto"/>
            <w:shd w:val="clear" w:color="auto" w:fill="auto"/>
            <w:tcMar>
              <w:top w:w="100" w:type="dxa"/>
              <w:left w:w="100" w:type="dxa"/>
              <w:bottom w:w="100" w:type="dxa"/>
              <w:right w:w="100" w:type="dxa"/>
            </w:tcMar>
          </w:tcPr>
          <w:p>
            <w:pPr>
              <w:widowControl w:val="0"/>
              <w:pBdr>
                <w:top w:val="none" w:color="auto" w:sz="0" w:space="0"/>
                <w:left w:val="none" w:color="auto" w:sz="0" w:space="0"/>
                <w:bottom w:val="none" w:color="auto" w:sz="0" w:space="0"/>
                <w:right w:val="none" w:color="auto" w:sz="0" w:space="0"/>
                <w:between w:val="none" w:color="auto" w:sz="0" w:space="0"/>
              </w:pBd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The meeting structure in England is outcome-oriented and time-efficient with clear agendas. </w:t>
            </w:r>
          </w:p>
        </w:tc>
        <w:tc>
          <w:tcPr>
            <w:tcW w:w="0" w:type="auto"/>
            <w:shd w:val="clear" w:color="auto" w:fill="auto"/>
            <w:tcMar>
              <w:top w:w="100" w:type="dxa"/>
              <w:left w:w="100" w:type="dxa"/>
              <w:bottom w:w="100" w:type="dxa"/>
              <w:right w:w="100" w:type="dxa"/>
            </w:tcMar>
          </w:tcPr>
          <w:p>
            <w:pPr>
              <w:widowControl w:val="0"/>
              <w:pBdr>
                <w:top w:val="none" w:color="auto" w:sz="0" w:space="0"/>
                <w:left w:val="none" w:color="auto" w:sz="0" w:space="0"/>
                <w:bottom w:val="none" w:color="auto" w:sz="0" w:space="0"/>
                <w:right w:val="none" w:color="auto" w:sz="0" w:space="0"/>
                <w:between w:val="none" w:color="auto" w:sz="0" w:space="0"/>
              </w:pBd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The meeting structure in France is mostly inflexible and does not floor any specific agendas. </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100" w:type="dxa"/>
            <w:left w:w="100" w:type="dxa"/>
            <w:bottom w:w="100" w:type="dxa"/>
            <w:right w:w="100" w:type="dxa"/>
          </w:tblCellMar>
        </w:tblPrEx>
        <w:tc>
          <w:tcPr>
            <w:tcW w:w="0" w:type="auto"/>
            <w:shd w:val="clear" w:color="auto" w:fill="auto"/>
            <w:tcMar>
              <w:top w:w="100" w:type="dxa"/>
              <w:left w:w="100" w:type="dxa"/>
              <w:bottom w:w="100" w:type="dxa"/>
              <w:right w:w="100" w:type="dxa"/>
            </w:tcMar>
          </w:tcPr>
          <w:p>
            <w:pPr>
              <w:widowControl w:val="0"/>
              <w:pBdr>
                <w:top w:val="none" w:color="auto" w:sz="0" w:space="0"/>
                <w:left w:val="none" w:color="auto" w:sz="0" w:space="0"/>
                <w:bottom w:val="none" w:color="auto" w:sz="0" w:space="0"/>
                <w:right w:val="none" w:color="auto" w:sz="0" w:space="0"/>
                <w:between w:val="none" w:color="auto" w:sz="0" w:space="0"/>
              </w:pBdr>
              <w:spacing w:line="240" w:lineRule="auto"/>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Flexibility and adaption </w:t>
            </w:r>
          </w:p>
        </w:tc>
        <w:tc>
          <w:tcPr>
            <w:tcW w:w="0" w:type="auto"/>
            <w:shd w:val="clear" w:color="auto" w:fill="auto"/>
            <w:tcMar>
              <w:top w:w="100" w:type="dxa"/>
              <w:left w:w="100" w:type="dxa"/>
              <w:bottom w:w="100" w:type="dxa"/>
              <w:right w:w="100" w:type="dxa"/>
            </w:tcMar>
          </w:tcPr>
          <w:p>
            <w:pPr>
              <w:widowControl w:val="0"/>
              <w:pBdr>
                <w:top w:val="none" w:color="auto" w:sz="0" w:space="0"/>
                <w:left w:val="none" w:color="auto" w:sz="0" w:space="0"/>
                <w:bottom w:val="none" w:color="auto" w:sz="0" w:space="0"/>
                <w:right w:val="none" w:color="auto" w:sz="0" w:space="0"/>
                <w:between w:val="none" w:color="auto" w:sz="0" w:space="0"/>
              </w:pBd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The operational arena in England is highly flexible and ready to accept global business changes. </w:t>
            </w:r>
          </w:p>
        </w:tc>
        <w:tc>
          <w:tcPr>
            <w:tcW w:w="0" w:type="auto"/>
            <w:shd w:val="clear" w:color="auto" w:fill="auto"/>
            <w:tcMar>
              <w:top w:w="100" w:type="dxa"/>
              <w:left w:w="100" w:type="dxa"/>
              <w:bottom w:w="100" w:type="dxa"/>
              <w:right w:w="100" w:type="dxa"/>
            </w:tcMar>
          </w:tcPr>
          <w:p>
            <w:pPr>
              <w:widowControl w:val="0"/>
              <w:pBdr>
                <w:top w:val="none" w:color="auto" w:sz="0" w:space="0"/>
                <w:left w:val="none" w:color="auto" w:sz="0" w:space="0"/>
                <w:bottom w:val="none" w:color="auto" w:sz="0" w:space="0"/>
                <w:right w:val="none" w:color="auto" w:sz="0" w:space="0"/>
                <w:between w:val="none" w:color="auto" w:sz="0" w:space="0"/>
              </w:pBd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Embracing change and developing collaborative values are vital cultural perspectives of France. </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100" w:type="dxa"/>
            <w:left w:w="100" w:type="dxa"/>
            <w:bottom w:w="100" w:type="dxa"/>
            <w:right w:w="100" w:type="dxa"/>
          </w:tblCellMar>
        </w:tblPrEx>
        <w:tc>
          <w:tcPr>
            <w:tcW w:w="0" w:type="auto"/>
            <w:shd w:val="clear" w:color="auto" w:fill="auto"/>
            <w:tcMar>
              <w:top w:w="100" w:type="dxa"/>
              <w:left w:w="100" w:type="dxa"/>
              <w:bottom w:w="100" w:type="dxa"/>
              <w:right w:w="100" w:type="dxa"/>
            </w:tcMar>
          </w:tcPr>
          <w:p>
            <w:pPr>
              <w:widowControl w:val="0"/>
              <w:pBdr>
                <w:top w:val="none" w:color="auto" w:sz="0" w:space="0"/>
                <w:left w:val="none" w:color="auto" w:sz="0" w:space="0"/>
                <w:bottom w:val="none" w:color="auto" w:sz="0" w:space="0"/>
                <w:right w:val="none" w:color="auto" w:sz="0" w:space="0"/>
                <w:between w:val="none" w:color="auto" w:sz="0" w:space="0"/>
              </w:pBdr>
              <w:spacing w:line="240" w:lineRule="auto"/>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Importance of relationships </w:t>
            </w:r>
          </w:p>
        </w:tc>
        <w:tc>
          <w:tcPr>
            <w:tcW w:w="0" w:type="auto"/>
            <w:shd w:val="clear" w:color="auto" w:fill="auto"/>
            <w:tcMar>
              <w:top w:w="100" w:type="dxa"/>
              <w:left w:w="100" w:type="dxa"/>
              <w:bottom w:w="100" w:type="dxa"/>
              <w:right w:w="100" w:type="dxa"/>
            </w:tcMar>
          </w:tcPr>
          <w:p>
            <w:pPr>
              <w:widowControl w:val="0"/>
              <w:pBdr>
                <w:top w:val="none" w:color="auto" w:sz="0" w:space="0"/>
                <w:left w:val="none" w:color="auto" w:sz="0" w:space="0"/>
                <w:bottom w:val="none" w:color="auto" w:sz="0" w:space="0"/>
                <w:right w:val="none" w:color="auto" w:sz="0" w:space="0"/>
                <w:between w:val="none" w:color="auto" w:sz="0" w:space="0"/>
              </w:pBd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In UK, the relationships developed through the support of transactions </w:t>
            </w:r>
          </w:p>
        </w:tc>
        <w:tc>
          <w:tcPr>
            <w:tcW w:w="0" w:type="auto"/>
            <w:shd w:val="clear" w:color="auto" w:fill="auto"/>
            <w:tcMar>
              <w:top w:w="100" w:type="dxa"/>
              <w:left w:w="100" w:type="dxa"/>
              <w:bottom w:w="100" w:type="dxa"/>
              <w:right w:w="100" w:type="dxa"/>
            </w:tcMar>
          </w:tcPr>
          <w:p>
            <w:pPr>
              <w:widowControl w:val="0"/>
              <w:pBdr>
                <w:top w:val="none" w:color="auto" w:sz="0" w:space="0"/>
                <w:left w:val="none" w:color="auto" w:sz="0" w:space="0"/>
                <w:bottom w:val="none" w:color="auto" w:sz="0" w:space="0"/>
                <w:right w:val="none" w:color="auto" w:sz="0" w:space="0"/>
                <w:between w:val="none" w:color="auto" w:sz="0" w:space="0"/>
              </w:pBd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The country extensively focuses on ethical values to build relationships.  </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100" w:type="dxa"/>
            <w:left w:w="100" w:type="dxa"/>
            <w:bottom w:w="100" w:type="dxa"/>
            <w:right w:w="100" w:type="dxa"/>
          </w:tblCellMar>
        </w:tblPrEx>
        <w:tc>
          <w:tcPr>
            <w:tcW w:w="0" w:type="auto"/>
            <w:shd w:val="clear" w:color="auto" w:fill="auto"/>
            <w:tcMar>
              <w:top w:w="100" w:type="dxa"/>
              <w:left w:w="100" w:type="dxa"/>
              <w:bottom w:w="100" w:type="dxa"/>
              <w:right w:w="100" w:type="dxa"/>
            </w:tcMar>
          </w:tcPr>
          <w:p>
            <w:pPr>
              <w:widowControl w:val="0"/>
              <w:pBdr>
                <w:top w:val="none" w:color="auto" w:sz="0" w:space="0"/>
                <w:left w:val="none" w:color="auto" w:sz="0" w:space="0"/>
                <w:bottom w:val="none" w:color="auto" w:sz="0" w:space="0"/>
                <w:right w:val="none" w:color="auto" w:sz="0" w:space="0"/>
                <w:between w:val="none" w:color="auto" w:sz="0" w:space="0"/>
              </w:pBdr>
              <w:spacing w:line="240" w:lineRule="auto"/>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Professionalism </w:t>
            </w:r>
          </w:p>
        </w:tc>
        <w:tc>
          <w:tcPr>
            <w:tcW w:w="0" w:type="auto"/>
            <w:shd w:val="clear" w:color="auto" w:fill="auto"/>
            <w:tcMar>
              <w:top w:w="100" w:type="dxa"/>
              <w:left w:w="100" w:type="dxa"/>
              <w:bottom w:w="100" w:type="dxa"/>
              <w:right w:w="100" w:type="dxa"/>
            </w:tcMar>
          </w:tcPr>
          <w:p>
            <w:pPr>
              <w:widowControl w:val="0"/>
              <w:pBdr>
                <w:top w:val="none" w:color="auto" w:sz="0" w:space="0"/>
                <w:left w:val="none" w:color="auto" w:sz="0" w:space="0"/>
                <w:bottom w:val="none" w:color="auto" w:sz="0" w:space="0"/>
                <w:right w:val="none" w:color="auto" w:sz="0" w:space="0"/>
                <w:between w:val="none" w:color="auto" w:sz="0" w:space="0"/>
              </w:pBd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Within the professional spectrum, UK focuses on formal attire and politeness.</w:t>
            </w:r>
          </w:p>
        </w:tc>
        <w:tc>
          <w:tcPr>
            <w:tcW w:w="0" w:type="auto"/>
            <w:shd w:val="clear" w:color="auto" w:fill="auto"/>
            <w:tcMar>
              <w:top w:w="100" w:type="dxa"/>
              <w:left w:w="100" w:type="dxa"/>
              <w:bottom w:w="100" w:type="dxa"/>
              <w:right w:w="100" w:type="dxa"/>
            </w:tcMar>
          </w:tcPr>
          <w:p>
            <w:pPr>
              <w:widowControl w:val="0"/>
              <w:pBdr>
                <w:top w:val="none" w:color="auto" w:sz="0" w:space="0"/>
                <w:left w:val="none" w:color="auto" w:sz="0" w:space="0"/>
                <w:bottom w:val="none" w:color="auto" w:sz="0" w:space="0"/>
                <w:right w:val="none" w:color="auto" w:sz="0" w:space="0"/>
                <w:between w:val="none" w:color="auto" w:sz="0" w:space="0"/>
              </w:pBd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Within the professional spectrum, France believed in greater work-life balance and respect for the hierarchy level. </w:t>
            </w:r>
          </w:p>
        </w:tc>
      </w:tr>
    </w:tbl>
    <w:p>
      <w:pPr>
        <w:spacing w:line="360" w:lineRule="auto"/>
        <w:rPr>
          <w:rFonts w:ascii="Times New Roman" w:hAnsi="Times New Roman" w:eastAsia="Times New Roman" w:cs="Times New Roman"/>
          <w:sz w:val="24"/>
          <w:szCs w:val="24"/>
        </w:rPr>
      </w:pPr>
    </w:p>
    <w:p>
      <w:pPr>
        <w:pStyle w:val="3"/>
      </w:pPr>
      <w:bookmarkStart w:id="3" w:name="_Toc165481068"/>
      <w:r>
        <w:t>Analyse and compare the two countries using the GLOBE Project’s culture and leadership study</w:t>
      </w:r>
      <w:bookmarkEnd w:id="3"/>
    </w:p>
    <w:p>
      <w:pPr>
        <w:spacing w:line="360" w:lineRule="auto"/>
        <w:rPr>
          <w:rFonts w:ascii="Times New Roman" w:hAnsi="Times New Roman" w:eastAsia="Times New Roman" w:cs="Times New Roman"/>
          <w:b/>
          <w:i/>
          <w:sz w:val="24"/>
          <w:szCs w:val="24"/>
        </w:rPr>
      </w:pPr>
    </w:p>
    <w:tbl>
      <w:tblPr>
        <w:tblStyle w:val="19"/>
        <w:tblW w:w="9029" w:type="dxa"/>
        <w:tblInd w:w="0" w:type="dxa"/>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CellMar>
          <w:top w:w="100" w:type="dxa"/>
          <w:left w:w="100" w:type="dxa"/>
          <w:bottom w:w="100" w:type="dxa"/>
          <w:right w:w="100" w:type="dxa"/>
        </w:tblCellMar>
      </w:tblPr>
      <w:tblGrid>
        <w:gridCol w:w="4514"/>
        <w:gridCol w:w="4515"/>
      </w:tblGrid>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PrEx>
        <w:tc>
          <w:tcPr>
            <w:tcW w:w="4514" w:type="dxa"/>
            <w:shd w:val="clear" w:color="auto" w:fill="auto"/>
            <w:tcMar>
              <w:top w:w="100" w:type="dxa"/>
              <w:left w:w="100" w:type="dxa"/>
              <w:bottom w:w="100" w:type="dxa"/>
              <w:right w:w="100" w:type="dxa"/>
            </w:tcMar>
          </w:tcPr>
          <w:p>
            <w:pPr>
              <w:widowControl w:val="0"/>
              <w:pBdr>
                <w:top w:val="none" w:color="auto" w:sz="0" w:space="0"/>
                <w:left w:val="none" w:color="auto" w:sz="0" w:space="0"/>
                <w:bottom w:val="none" w:color="auto" w:sz="0" w:space="0"/>
                <w:right w:val="none" w:color="auto" w:sz="0" w:space="0"/>
                <w:between w:val="none" w:color="auto" w:sz="0" w:space="0"/>
              </w:pBdr>
              <w:spacing w:line="240" w:lineRule="auto"/>
              <w:rPr>
                <w:rFonts w:ascii="Times New Roman" w:hAnsi="Times New Roman" w:eastAsia="Times New Roman" w:cs="Times New Roman"/>
                <w:b/>
                <w:i/>
                <w:sz w:val="24"/>
                <w:szCs w:val="24"/>
              </w:rPr>
            </w:pPr>
            <w:r>
              <w:rPr>
                <w:rFonts w:ascii="Times New Roman" w:hAnsi="Times New Roman" w:eastAsia="Times New Roman" w:cs="Times New Roman"/>
                <w:b/>
                <w:i/>
                <w:sz w:val="24"/>
                <w:szCs w:val="24"/>
                <w:lang w:val="en-US" w:eastAsia="en-US"/>
              </w:rPr>
              <w:drawing>
                <wp:inline distT="114300" distB="114300" distL="114300" distR="114300">
                  <wp:extent cx="2724150" cy="133350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8"/>
                          <a:stretch>
                            <a:fillRect/>
                          </a:stretch>
                        </pic:blipFill>
                        <pic:spPr>
                          <a:xfrm>
                            <a:off x="0" y="0"/>
                            <a:ext cx="2724150" cy="1333500"/>
                          </a:xfrm>
                          <a:prstGeom prst="rect">
                            <a:avLst/>
                          </a:prstGeom>
                        </pic:spPr>
                      </pic:pic>
                    </a:graphicData>
                  </a:graphic>
                </wp:inline>
              </w:drawing>
            </w:r>
          </w:p>
        </w:tc>
        <w:tc>
          <w:tcPr>
            <w:tcW w:w="4514" w:type="dxa"/>
            <w:shd w:val="clear" w:color="auto" w:fill="auto"/>
            <w:tcMar>
              <w:top w:w="100" w:type="dxa"/>
              <w:left w:w="100" w:type="dxa"/>
              <w:bottom w:w="100" w:type="dxa"/>
              <w:right w:w="100" w:type="dxa"/>
            </w:tcMar>
          </w:tcPr>
          <w:p>
            <w:pPr>
              <w:widowControl w:val="0"/>
              <w:pBdr>
                <w:top w:val="none" w:color="auto" w:sz="0" w:space="0"/>
                <w:left w:val="none" w:color="auto" w:sz="0" w:space="0"/>
                <w:bottom w:val="none" w:color="auto" w:sz="0" w:space="0"/>
                <w:right w:val="none" w:color="auto" w:sz="0" w:space="0"/>
                <w:between w:val="none" w:color="auto" w:sz="0" w:space="0"/>
              </w:pBdr>
              <w:spacing w:line="240" w:lineRule="auto"/>
              <w:rPr>
                <w:rFonts w:ascii="Times New Roman" w:hAnsi="Times New Roman" w:eastAsia="Times New Roman" w:cs="Times New Roman"/>
                <w:b/>
                <w:i/>
                <w:sz w:val="24"/>
                <w:szCs w:val="24"/>
              </w:rPr>
            </w:pPr>
            <w:r>
              <w:rPr>
                <w:rFonts w:ascii="Times New Roman" w:hAnsi="Times New Roman" w:eastAsia="Times New Roman" w:cs="Times New Roman"/>
                <w:b/>
                <w:i/>
                <w:sz w:val="24"/>
                <w:szCs w:val="24"/>
                <w:lang w:val="en-US" w:eastAsia="en-US"/>
              </w:rPr>
              <w:drawing>
                <wp:inline distT="114300" distB="114300" distL="114300" distR="114300">
                  <wp:extent cx="2724150" cy="1536700"/>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2" name="image2.png"/>
                          <pic:cNvPicPr/>
                        </pic:nvPicPr>
                        <pic:blipFill>
                          <a:blip r:embed="rId9"/>
                          <a:stretch>
                            <a:fillRect/>
                          </a:stretch>
                        </pic:blipFill>
                        <pic:spPr>
                          <a:xfrm>
                            <a:off x="0" y="0"/>
                            <a:ext cx="2724150" cy="1536700"/>
                          </a:xfrm>
                          <a:prstGeom prst="rect">
                            <a:avLst/>
                          </a:prstGeom>
                        </pic:spPr>
                      </pic:pic>
                    </a:graphicData>
                  </a:graphic>
                </wp:inline>
              </w:drawing>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100" w:type="dxa"/>
            <w:left w:w="100" w:type="dxa"/>
            <w:bottom w:w="100" w:type="dxa"/>
            <w:right w:w="100" w:type="dxa"/>
          </w:tblCellMar>
        </w:tblPrEx>
        <w:tc>
          <w:tcPr>
            <w:tcW w:w="4514" w:type="dxa"/>
            <w:shd w:val="clear" w:color="auto" w:fill="auto"/>
            <w:tcMar>
              <w:top w:w="100" w:type="dxa"/>
              <w:left w:w="100" w:type="dxa"/>
              <w:bottom w:w="100" w:type="dxa"/>
              <w:right w:w="100" w:type="dxa"/>
            </w:tcMar>
          </w:tcPr>
          <w:p>
            <w:pPr>
              <w:widowControl w:val="0"/>
              <w:pBdr>
                <w:top w:val="none" w:color="auto" w:sz="0" w:space="0"/>
                <w:left w:val="none" w:color="auto" w:sz="0" w:space="0"/>
                <w:bottom w:val="none" w:color="auto" w:sz="0" w:space="0"/>
                <w:right w:val="none" w:color="auto" w:sz="0" w:space="0"/>
                <w:between w:val="none" w:color="auto" w:sz="0" w:space="0"/>
              </w:pBdr>
              <w:spacing w:line="240" w:lineRule="auto"/>
              <w:rPr>
                <w:rFonts w:ascii="Times New Roman" w:hAnsi="Times New Roman" w:eastAsia="Times New Roman" w:cs="Times New Roman"/>
                <w:b/>
                <w:i/>
                <w:sz w:val="24"/>
                <w:szCs w:val="24"/>
              </w:rPr>
            </w:pPr>
            <w:r>
              <w:rPr>
                <w:rFonts w:ascii="Times New Roman" w:hAnsi="Times New Roman" w:eastAsia="Times New Roman" w:cs="Times New Roman"/>
                <w:b/>
                <w:i/>
                <w:sz w:val="24"/>
                <w:szCs w:val="24"/>
                <w:lang w:val="en-US" w:eastAsia="en-US"/>
              </w:rPr>
              <w:drawing>
                <wp:inline distT="114300" distB="114300" distL="114300" distR="114300">
                  <wp:extent cx="2724150" cy="2082800"/>
                  <wp:effectExtent l="0" t="0" r="0" b="0"/>
                  <wp:docPr id="3" name="image3.png"/>
                  <wp:cNvGraphicFramePr/>
                  <a:graphic xmlns:a="http://schemas.openxmlformats.org/drawingml/2006/main">
                    <a:graphicData uri="http://schemas.openxmlformats.org/drawingml/2006/picture">
                      <pic:pic xmlns:pic="http://schemas.openxmlformats.org/drawingml/2006/picture">
                        <pic:nvPicPr>
                          <pic:cNvPr id="3" name="image3.png"/>
                          <pic:cNvPicPr/>
                        </pic:nvPicPr>
                        <pic:blipFill>
                          <a:blip r:embed="rId10"/>
                          <a:stretch>
                            <a:fillRect/>
                          </a:stretch>
                        </pic:blipFill>
                        <pic:spPr>
                          <a:xfrm>
                            <a:off x="0" y="0"/>
                            <a:ext cx="2724150" cy="2082800"/>
                          </a:xfrm>
                          <a:prstGeom prst="rect">
                            <a:avLst/>
                          </a:prstGeom>
                        </pic:spPr>
                      </pic:pic>
                    </a:graphicData>
                  </a:graphic>
                </wp:inline>
              </w:drawing>
            </w:r>
          </w:p>
        </w:tc>
        <w:tc>
          <w:tcPr>
            <w:tcW w:w="4514" w:type="dxa"/>
            <w:shd w:val="clear" w:color="auto" w:fill="auto"/>
            <w:tcMar>
              <w:top w:w="100" w:type="dxa"/>
              <w:left w:w="100" w:type="dxa"/>
              <w:bottom w:w="100" w:type="dxa"/>
              <w:right w:w="100" w:type="dxa"/>
            </w:tcMar>
          </w:tcPr>
          <w:p>
            <w:pPr>
              <w:widowControl w:val="0"/>
              <w:pBdr>
                <w:top w:val="none" w:color="auto" w:sz="0" w:space="0"/>
                <w:left w:val="none" w:color="auto" w:sz="0" w:space="0"/>
                <w:bottom w:val="none" w:color="auto" w:sz="0" w:space="0"/>
                <w:right w:val="none" w:color="auto" w:sz="0" w:space="0"/>
                <w:between w:val="none" w:color="auto" w:sz="0" w:space="0"/>
              </w:pBdr>
              <w:spacing w:line="240" w:lineRule="auto"/>
              <w:rPr>
                <w:rFonts w:ascii="Times New Roman" w:hAnsi="Times New Roman" w:eastAsia="Times New Roman" w:cs="Times New Roman"/>
                <w:b/>
                <w:i/>
                <w:sz w:val="24"/>
                <w:szCs w:val="24"/>
              </w:rPr>
            </w:pPr>
            <w:r>
              <w:rPr>
                <w:rFonts w:ascii="Times New Roman" w:hAnsi="Times New Roman" w:eastAsia="Times New Roman" w:cs="Times New Roman"/>
                <w:b/>
                <w:i/>
                <w:sz w:val="24"/>
                <w:szCs w:val="24"/>
                <w:lang w:val="en-US" w:eastAsia="en-US"/>
              </w:rPr>
              <w:drawing>
                <wp:inline distT="114300" distB="114300" distL="114300" distR="114300">
                  <wp:extent cx="2724150" cy="1841500"/>
                  <wp:effectExtent l="0" t="0" r="0" b="0"/>
                  <wp:docPr id="4" name="image4.png"/>
                  <wp:cNvGraphicFramePr/>
                  <a:graphic xmlns:a="http://schemas.openxmlformats.org/drawingml/2006/main">
                    <a:graphicData uri="http://schemas.openxmlformats.org/drawingml/2006/picture">
                      <pic:pic xmlns:pic="http://schemas.openxmlformats.org/drawingml/2006/picture">
                        <pic:nvPicPr>
                          <pic:cNvPr id="4" name="image4.png"/>
                          <pic:cNvPicPr/>
                        </pic:nvPicPr>
                        <pic:blipFill>
                          <a:blip r:embed="rId11"/>
                          <a:stretch>
                            <a:fillRect/>
                          </a:stretch>
                        </pic:blipFill>
                        <pic:spPr>
                          <a:xfrm>
                            <a:off x="0" y="0"/>
                            <a:ext cx="2724150" cy="1841500"/>
                          </a:xfrm>
                          <a:prstGeom prst="rect">
                            <a:avLst/>
                          </a:prstGeom>
                        </pic:spPr>
                      </pic:pic>
                    </a:graphicData>
                  </a:graphic>
                </wp:inline>
              </w:drawing>
            </w:r>
          </w:p>
        </w:tc>
      </w:tr>
    </w:tbl>
    <w:p>
      <w:pPr>
        <w:spacing w:line="360" w:lineRule="auto"/>
        <w:rPr>
          <w:rFonts w:ascii="Times New Roman" w:hAnsi="Times New Roman" w:eastAsia="Times New Roman" w:cs="Times New Roman"/>
          <w:b/>
          <w:sz w:val="24"/>
          <w:szCs w:val="24"/>
        </w:rPr>
      </w:pPr>
      <w:r>
        <w:rPr>
          <w:rFonts w:ascii="Times New Roman" w:hAnsi="Times New Roman" w:eastAsia="Times New Roman" w:cs="Times New Roman"/>
          <w:b/>
          <w:sz w:val="24"/>
          <w:szCs w:val="24"/>
        </w:rPr>
        <w:t xml:space="preserve">Figure 1: The leadership and cultural comparison between France and UK </w:t>
      </w:r>
    </w:p>
    <w:p>
      <w:pPr>
        <w:spacing w:line="360" w:lineRule="auto"/>
        <w:jc w:val="center"/>
        <w:rPr>
          <w:rFonts w:ascii="Times New Roman" w:hAnsi="Times New Roman" w:eastAsia="Times New Roman" w:cs="Times New Roman"/>
          <w:sz w:val="24"/>
          <w:szCs w:val="24"/>
        </w:rPr>
      </w:pPr>
      <w:r>
        <w:rPr>
          <w:rFonts w:ascii="Times New Roman" w:hAnsi="Times New Roman" w:eastAsia="Times New Roman" w:cs="Times New Roman"/>
          <w:sz w:val="24"/>
          <w:szCs w:val="24"/>
        </w:rPr>
        <w:t>(Source: globeproject.com, 2024)</w:t>
      </w:r>
    </w:p>
    <w:p>
      <w:pPr>
        <w:spacing w:line="360" w:lineRule="auto"/>
        <w:jc w:val="center"/>
        <w:rPr>
          <w:rFonts w:ascii="Times New Roman" w:hAnsi="Times New Roman" w:eastAsia="Times New Roman" w:cs="Times New Roman"/>
          <w:sz w:val="24"/>
          <w:szCs w:val="24"/>
        </w:rPr>
      </w:pPr>
    </w:p>
    <w:p>
      <w:pPr>
        <w:pStyle w:val="3"/>
      </w:pPr>
      <w:bookmarkStart w:id="4" w:name="_Toc165481069"/>
      <w:r>
        <w:t>Leadership comparison between UK and France</w:t>
      </w:r>
      <w:bookmarkEnd w:id="4"/>
    </w:p>
    <w:p>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From the above graphical representation, it is evident that within the operational arena in France, the charismatic leadership rate is lower than England’s charismatic leadership values. In comparison to the team-oriented approaches between England and France, the team contribution rate in France has a minimum contribution, which explains that the team building activities are lower among the French people (Tamunomiebi and John-Eke, 2020, p, 264). In terms of England’s team-building approaches, the team-building contributions are higher than the France’d team operational culture. The participative leadership approach in France is comparatively contributing in a small way, and in England, the participative leadership approach contributes largely. As per the perspective of Humane human-oriented, in France, the leaders are not that supportive and comparatively less generous and enthusiastic. As per the France leadership approaches, autonomous leaders have no functional values and in comparison to UK, autonomous leaders have the minimum impact. The term "Self-Protective" claims that the leaders focus on several security and safety initiatives of the working individuals and groups (Madi Odeh</w:t>
      </w:r>
      <w:r>
        <w:rPr>
          <w:rFonts w:ascii="Times New Roman" w:hAnsi="Times New Roman" w:eastAsia="Times New Roman" w:cs="Times New Roman"/>
          <w:i/>
          <w:sz w:val="24"/>
          <w:szCs w:val="24"/>
        </w:rPr>
        <w:t xml:space="preserve"> et al</w:t>
      </w:r>
      <w:r>
        <w:rPr>
          <w:rFonts w:ascii="Times New Roman" w:hAnsi="Times New Roman" w:eastAsia="Times New Roman" w:cs="Times New Roman"/>
          <w:sz w:val="24"/>
          <w:szCs w:val="24"/>
        </w:rPr>
        <w:t xml:space="preserve">., 2023, p. 465). In comparison between the UK and France, the leaders in England are slightly more concerned regarding worker safety than in France. </w:t>
      </w:r>
    </w:p>
    <w:p>
      <w:pPr>
        <w:pStyle w:val="3"/>
      </w:pPr>
      <w:bookmarkStart w:id="5" w:name="_Toc165481070"/>
      <w:r>
        <w:t>Cultural comparison between UK and France</w:t>
      </w:r>
      <w:bookmarkEnd w:id="5"/>
    </w:p>
    <w:p>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As per the cultural visualisation between France and UK, the French performing group is slightly focused on performance excellence and improvements in comparison to England. In England, the functional groups are predominantly driven by performance values and group behaviour. The assertiveness of UK people is medium in comparison to the assertiveness rate of the French people. Between the France and UK, the future-oriented behaviour of UK is relatively higher as they heavily rely on planning, investing, and gratification in the future. As per gender egalitarianism, the European community provides minimum importance regarding gender equalty (Mousa </w:t>
      </w:r>
      <w:r>
        <w:rPr>
          <w:rFonts w:ascii="Times New Roman" w:hAnsi="Times New Roman" w:eastAsia="Times New Roman" w:cs="Times New Roman"/>
          <w:i/>
          <w:sz w:val="24"/>
          <w:szCs w:val="24"/>
        </w:rPr>
        <w:t>et al.,</w:t>
      </w:r>
      <w:r>
        <w:rPr>
          <w:rFonts w:ascii="Times New Roman" w:hAnsi="Times New Roman" w:eastAsia="Times New Roman" w:cs="Times New Roman"/>
          <w:sz w:val="24"/>
          <w:szCs w:val="24"/>
        </w:rPr>
        <w:t xml:space="preserve"> 2020, p. 1265). However, in comparison to the UK, France is more concerned regarding gender equality approaches. As per the power distances, the power value, and authoritarian behaviour of the England people are higher than the French people within the functionalcontext. </w:t>
      </w:r>
    </w:p>
    <w:p>
      <w:pPr>
        <w:pStyle w:val="3"/>
      </w:pPr>
      <w:bookmarkStart w:id="6" w:name="_Toc165481071"/>
      <w:r>
        <w:t>Critically discuss the challenges of intercultural leadership in the hospitality industry</w:t>
      </w:r>
      <w:bookmarkEnd w:id="6"/>
    </w:p>
    <w:p>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The intercultural leadership approach is one of the efficient diverse cultural approaches that help the hotel sector in terms of developing diverse cultural values. In the Eastern Sun Hotel, the functional leaders adopt intercultural leadership approaches that help them to create an inclusive workforce within the performing arena (Duchek, 2020, p.245). In the mentioned hotel unit, the adoption of intercultural leadership can hamper the functional unit in terms of developing psychological barriers, which makes the functional unit develop a biased approach within the performing area. As opined by Hampden-Turner </w:t>
      </w:r>
      <w:r>
        <w:rPr>
          <w:rFonts w:ascii="Times New Roman" w:hAnsi="Times New Roman" w:eastAsia="Times New Roman" w:cs="Times New Roman"/>
          <w:i/>
          <w:sz w:val="24"/>
          <w:szCs w:val="24"/>
        </w:rPr>
        <w:t>et al.</w:t>
      </w:r>
      <w:r>
        <w:rPr>
          <w:rFonts w:ascii="Times New Roman" w:hAnsi="Times New Roman" w:eastAsia="Times New Roman" w:cs="Times New Roman"/>
          <w:sz w:val="24"/>
          <w:szCs w:val="24"/>
        </w:rPr>
        <w:t>, (2020), developing conflicting values is one of the possible negative outcomes associated with intercultural leadership approaches, which hampers the hotel sector to reduce the sustainable operational level. For instance, within the decision-making arena, intercultural conflicts might become very high due to the clash of several views within the hotel unit.</w:t>
      </w:r>
    </w:p>
    <w:p>
      <w:pPr>
        <w:pStyle w:val="2"/>
      </w:pPr>
      <w:bookmarkStart w:id="7" w:name="_Toc165481072"/>
      <w:r>
        <w:t>Conclusion</w:t>
      </w:r>
      <w:bookmarkEnd w:id="7"/>
    </w:p>
    <w:p>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From the above discussion, it is evident that developing cross-cultural values within the hotel sector is one of the crucial factors. In the cultural comparison between UK and France, the European people driven by a performance-oriented culture and they are more open and diverse, whereas, the French people are comparatively less formal and are not driven by performance-oriented values. The group collaboration values in UK comparatively higher than France’s group collaborative values. </w:t>
      </w:r>
    </w:p>
    <w:p>
      <w:pPr>
        <w:pStyle w:val="2"/>
      </w:pPr>
      <w:bookmarkStart w:id="8" w:name="_Toc165481073"/>
      <w:r>
        <w:t>Recommendations</w:t>
      </w:r>
      <w:bookmarkEnd w:id="8"/>
    </w:p>
    <w:p>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From the above discussion, it is evident, that the Eastern Sun Hotel needs to develop flexibility values within the operational arena and through the operational flexibility rates; the hotel executives can reduce the communication gaps. However, to reduce the intercultural leadership challenges, the hotel executive can focus on these areas </w:t>
      </w:r>
    </w:p>
    <w:p>
      <w:pPr>
        <w:spacing w:line="360" w:lineRule="auto"/>
        <w:jc w:val="both"/>
        <w:rPr>
          <w:rFonts w:ascii="Times New Roman" w:hAnsi="Times New Roman" w:eastAsia="Times New Roman" w:cs="Times New Roman"/>
          <w:b/>
          <w:sz w:val="24"/>
          <w:szCs w:val="24"/>
        </w:rPr>
      </w:pPr>
      <w:r>
        <w:rPr>
          <w:rFonts w:ascii="Times New Roman" w:hAnsi="Times New Roman" w:eastAsia="Times New Roman" w:cs="Times New Roman"/>
          <w:b/>
          <w:sz w:val="24"/>
          <w:szCs w:val="24"/>
        </w:rPr>
        <w:t xml:space="preserve">Developing diverse cultural values </w:t>
      </w:r>
    </w:p>
    <w:p>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Eastern Sun Hotel can develop diverse cultural values by including workers from several cultural backgrounds and developing effective coordination between several members. In this way, the hotel unit can eradicate the cultural conflicts. </w:t>
      </w:r>
    </w:p>
    <w:p>
      <w:pPr>
        <w:spacing w:line="360" w:lineRule="auto"/>
        <w:jc w:val="both"/>
        <w:rPr>
          <w:rFonts w:ascii="Times New Roman" w:hAnsi="Times New Roman" w:eastAsia="Times New Roman" w:cs="Times New Roman"/>
          <w:b/>
          <w:sz w:val="24"/>
          <w:szCs w:val="24"/>
        </w:rPr>
      </w:pPr>
      <w:r>
        <w:rPr>
          <w:rFonts w:ascii="Times New Roman" w:hAnsi="Times New Roman" w:eastAsia="Times New Roman" w:cs="Times New Roman"/>
          <w:b/>
          <w:sz w:val="24"/>
          <w:szCs w:val="24"/>
        </w:rPr>
        <w:t xml:space="preserve">Focusing on the support-based culture </w:t>
      </w:r>
    </w:p>
    <w:p>
      <w:pPr>
        <w:spacing w:line="360" w:lineRule="auto"/>
        <w:jc w:val="both"/>
        <w:rPr>
          <w:rFonts w:ascii="Times New Roman" w:hAnsi="Times New Roman" w:eastAsia="Times New Roman" w:cs="Times New Roman"/>
          <w:b/>
          <w:sz w:val="24"/>
          <w:szCs w:val="24"/>
        </w:rPr>
      </w:pPr>
      <w:r>
        <w:rPr>
          <w:rFonts w:ascii="Times New Roman" w:hAnsi="Times New Roman" w:eastAsia="Times New Roman" w:cs="Times New Roman"/>
          <w:sz w:val="24"/>
          <w:szCs w:val="24"/>
        </w:rPr>
        <w:t xml:space="preserve">The intercultural leaders of the Eastern Sun Hotel can also focus on the effective support-based culture, which makes them aware of the cultural gap among the workers and keeps the workers satisfied within the performing arena. </w:t>
      </w:r>
      <w:r>
        <w:br w:type="page"/>
      </w:r>
    </w:p>
    <w:p>
      <w:pPr>
        <w:spacing w:before="240" w:after="240" w:line="360" w:lineRule="auto"/>
        <w:jc w:val="both"/>
        <w:rPr>
          <w:rFonts w:hint="default" w:ascii="Times New Roman" w:hAnsi="Times New Roman" w:eastAsia="Times New Roman" w:cs="Times New Roman"/>
          <w:sz w:val="24"/>
          <w:szCs w:val="24"/>
          <w:lang w:val="en-GB"/>
        </w:rPr>
      </w:pPr>
      <w:r>
        <w:rPr>
          <w:rFonts w:hint="default" w:ascii="Times New Roman" w:hAnsi="Times New Roman" w:eastAsia="Times New Roman" w:cs="Times New Roman"/>
          <w:sz w:val="24"/>
          <w:szCs w:val="24"/>
          <w:lang w:val="en-GB"/>
        </w:rPr>
        <w:drawing>
          <wp:inline distT="0" distB="0" distL="114300" distR="114300">
            <wp:extent cx="5727065" cy="8098790"/>
            <wp:effectExtent l="0" t="0" r="6985" b="16510"/>
            <wp:docPr id="5" name="Picture 5" descr="References (2)_page-00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References (2)_page-0001"/>
                    <pic:cNvPicPr>
                      <a:picLocks noChangeAspect="1"/>
                    </pic:cNvPicPr>
                  </pic:nvPicPr>
                  <pic:blipFill>
                    <a:blip r:embed="rId12"/>
                    <a:stretch>
                      <a:fillRect/>
                    </a:stretch>
                  </pic:blipFill>
                  <pic:spPr>
                    <a:xfrm>
                      <a:off x="0" y="0"/>
                      <a:ext cx="5727065" cy="8098790"/>
                    </a:xfrm>
                    <a:prstGeom prst="rect">
                      <a:avLst/>
                    </a:prstGeom>
                  </pic:spPr>
                </pic:pic>
              </a:graphicData>
            </a:graphic>
          </wp:inline>
        </w:drawing>
      </w:r>
      <w:bookmarkStart w:id="9" w:name="_GoBack"/>
      <w:r>
        <w:rPr>
          <w:rFonts w:hint="default" w:ascii="Times New Roman" w:hAnsi="Times New Roman" w:eastAsia="Times New Roman" w:cs="Times New Roman"/>
          <w:sz w:val="24"/>
          <w:szCs w:val="24"/>
          <w:lang w:val="en-GB"/>
        </w:rPr>
        <w:drawing>
          <wp:inline distT="0" distB="0" distL="114300" distR="114300">
            <wp:extent cx="5575300" cy="7884160"/>
            <wp:effectExtent l="0" t="0" r="6350" b="2540"/>
            <wp:docPr id="6" name="Picture 6" descr="References (2)_page-000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References (2)_page-0002"/>
                    <pic:cNvPicPr>
                      <a:picLocks noChangeAspect="1"/>
                    </pic:cNvPicPr>
                  </pic:nvPicPr>
                  <pic:blipFill>
                    <a:blip r:embed="rId13"/>
                    <a:stretch>
                      <a:fillRect/>
                    </a:stretch>
                  </pic:blipFill>
                  <pic:spPr>
                    <a:xfrm>
                      <a:off x="0" y="0"/>
                      <a:ext cx="5575300" cy="7884160"/>
                    </a:xfrm>
                    <a:prstGeom prst="rect">
                      <a:avLst/>
                    </a:prstGeom>
                  </pic:spPr>
                </pic:pic>
              </a:graphicData>
            </a:graphic>
          </wp:inline>
        </w:drawing>
      </w:r>
      <w:bookmarkEnd w:id="9"/>
    </w:p>
    <w:p>
      <w:pPr>
        <w:spacing w:before="240" w:after="240" w:line="360" w:lineRule="auto"/>
        <w:jc w:val="both"/>
        <w:rPr>
          <w:rFonts w:hint="default" w:ascii="Times New Roman" w:hAnsi="Times New Roman" w:eastAsia="Times New Roman" w:cs="Times New Roman"/>
          <w:sz w:val="24"/>
          <w:szCs w:val="24"/>
          <w:lang w:val="en-GB"/>
        </w:rPr>
      </w:pPr>
    </w:p>
    <w:sectPr>
      <w:footerReference r:id="rId5" w:type="default"/>
      <w:pgSz w:w="11909" w:h="16834"/>
      <w:pgMar w:top="1440" w:right="1440" w:bottom="1440" w:left="1440" w:header="720" w:footer="720" w:gutter="0"/>
      <w:pgNumType w:start="1"/>
      <w:cols w:space="720" w:num="1"/>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203" w:usb1="288F0000" w:usb2="00000006" w:usb3="00000000" w:csb0="00040001"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00"/>
    <w:family w:val="swiss"/>
    <w:pitch w:val="default"/>
    <w:sig w:usb0="E4002EFF" w:usb1="C200247B" w:usb2="00000009" w:usb3="00000000" w:csb0="200001FF" w:csb1="00000000"/>
  </w:font>
  <w:font w:name="等线">
    <w:altName w:val="Microsoft YaHei"/>
    <w:panose1 w:val="00000000000000000000"/>
    <w:charset w:val="86"/>
    <w:family w:val="auto"/>
    <w:pitch w:val="default"/>
    <w:sig w:usb0="00000000" w:usb1="00000000" w:usb2="00000000" w:usb3="00000000" w:csb0="00000000" w:csb1="00000000"/>
  </w:font>
  <w:font w:name="Arial">
    <w:panose1 w:val="020B0604020202020204"/>
    <w:charset w:val="86"/>
    <w:family w:val="swiss"/>
    <w:pitch w:val="default"/>
    <w:sig w:usb0="E0002EFF" w:usb1="C000785B" w:usb2="00000009" w:usb3="00000000" w:csb0="400001FF" w:csb1="FFFF0000"/>
  </w:font>
  <w:font w:name="Tahoma">
    <w:panose1 w:val="020B0604030504040204"/>
    <w:charset w:val="00"/>
    <w:family w:val="swiss"/>
    <w:pitch w:val="default"/>
    <w:sig w:usb0="E1002EFF" w:usb1="C000605B" w:usb2="00000029" w:usb3="00000000" w:csb0="200101FF" w:csb1="20280000"/>
  </w:font>
  <w:font w:name="Microsoft YaHei">
    <w:panose1 w:val="020B0503020204020204"/>
    <w:charset w:val="86"/>
    <w:family w:val="auto"/>
    <w:pitch w:val="default"/>
    <w:sig w:usb0="80000287" w:usb1="2ACF3C50" w:usb2="00000016" w:usb3="00000000" w:csb0="0004001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id w:val="1021515282"/>
      <w:docPartObj>
        <w:docPartGallery w:val="autotext"/>
      </w:docPartObj>
    </w:sdtPr>
    <w:sdtEndPr>
      <w:rPr>
        <w:rFonts w:ascii="Times New Roman" w:hAnsi="Times New Roman" w:cs="Times New Roman"/>
        <w:sz w:val="24"/>
        <w:szCs w:val="24"/>
      </w:rPr>
    </w:sdtEndPr>
    <w:sdtContent>
      <w:p>
        <w:pPr>
          <w:pStyle w:val="11"/>
          <w:jc w:val="right"/>
          <w:rPr>
            <w:rFonts w:ascii="Times New Roman" w:hAnsi="Times New Roman" w:cs="Times New Roman"/>
            <w:sz w:val="24"/>
            <w:szCs w:val="24"/>
          </w:rPr>
        </w:pP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   \* MERGEFORMAT </w:instrText>
        </w:r>
        <w:r>
          <w:rPr>
            <w:rFonts w:ascii="Times New Roman" w:hAnsi="Times New Roman" w:cs="Times New Roman"/>
            <w:sz w:val="24"/>
            <w:szCs w:val="24"/>
          </w:rPr>
          <w:fldChar w:fldCharType="separate"/>
        </w:r>
        <w:r>
          <w:rPr>
            <w:rFonts w:ascii="Times New Roman" w:hAnsi="Times New Roman" w:cs="Times New Roman"/>
            <w:sz w:val="24"/>
            <w:szCs w:val="24"/>
          </w:rPr>
          <w:t>1</w:t>
        </w:r>
        <w:r>
          <w:rPr>
            <w:rFonts w:ascii="Times New Roman" w:hAnsi="Times New Roman" w:cs="Times New Roman"/>
            <w:sz w:val="24"/>
            <w:szCs w:val="24"/>
          </w:rPr>
          <w:fldChar w:fldCharType="end"/>
        </w:r>
      </w:p>
    </w:sdtContent>
  </w:sdt>
  <w:p>
    <w:pPr>
      <w:pStyle w:val="11"/>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line="276" w:lineRule="auto"/>
      </w:pPr>
      <w:r>
        <w:separator/>
      </w:r>
    </w:p>
  </w:footnote>
  <w:footnote w:type="continuationSeparator" w:id="1">
    <w:p>
      <w:pPr>
        <w:spacing w:line="276"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documentProtection w:enforcement="0"/>
  <w:defaultTabStop w:val="720"/>
  <w:characterSpacingControl w:val="doNotCompress"/>
  <w:footnotePr>
    <w:footnote w:id="0"/>
    <w:footnote w:id="1"/>
  </w:footnotePr>
  <w:endnotePr>
    <w:endnote w:id="0"/>
    <w:endnote w:id="1"/>
  </w:endnotePr>
  <w:compat>
    <w:compatSetting w:name="compatibilityMode" w:uri="http://schemas.microsoft.com/office/word" w:val="12"/>
  </w:compat>
  <w:rsids>
    <w:rsidRoot w:val="00492489"/>
    <w:rsid w:val="00035855"/>
    <w:rsid w:val="00073613"/>
    <w:rsid w:val="0010789A"/>
    <w:rsid w:val="00355382"/>
    <w:rsid w:val="003E4EC7"/>
    <w:rsid w:val="00492489"/>
    <w:rsid w:val="0069080C"/>
    <w:rsid w:val="006D024B"/>
    <w:rsid w:val="00D818CD"/>
    <w:rsid w:val="00FD354F"/>
    <w:rsid w:val="5FE320E2"/>
    <w:rsid w:val="6A9622BD"/>
  </w:rsids>
  <m:mathPr>
    <m:mathFont m:val="Cambria Math"/>
    <m:brkBin m:val="before"/>
    <m:brkBinSub m:val="--"/>
    <m:smallFrac m:val="1"/>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Arial" w:hAnsi="Arial" w:eastAsia="Arial" w:cs="Arial"/>
      </w:rPr>
    </w:rPrDefault>
    <w:pPrDefault/>
  </w:docDefaults>
  <w:latentStyles w:count="260" w:defQFormat="0" w:defUnhideWhenUsed="1" w:defSemiHidden="1" w:defUIPriority="99" w:defLockedState="0">
    <w:lsdException w:unhideWhenUsed="0" w:uiPriority="0" w:semiHidden="0" w:name="Normal"/>
    <w:lsdException w:unhideWhenUsed="0" w:uiPriority="0" w:semiHidden="0" w:name="heading 1"/>
    <w:lsdException w:unhideWhenUsed="0" w:uiPriority="0" w:semiHidden="0" w:name="heading 2"/>
    <w:lsdException w:qFormat="1" w:unhideWhenUsed="0" w:uiPriority="0" w:semiHidden="0" w:name="heading 3"/>
    <w:lsdException w:qFormat="1" w:unhideWhenUsed="0" w:uiPriority="0" w:semiHidden="0" w:name="heading 4"/>
    <w:lsdException w:qFormat="1" w:unhideWhenUsed="0" w:uiPriority="0" w:semiHidden="0" w:name="heading 5"/>
    <w:lsdException w:unhideWhenUsed="0" w:uiPriority="0" w:semiHidden="0"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semiHidden="0" w:name="toc 1"/>
    <w:lsdException w:uiPriority="39" w:semiHidden="0"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uiPriority="99" w:semiHidden="0" w:name="header"/>
    <w:lsdException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0" w:semiHidden="0" w:name="Title"/>
    <w:lsdException w:uiPriority="99" w:name="Closing"/>
    <w:lsdException w:uiPriority="99" w:name="Signature"/>
    <w:lsdException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0"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autoRedefine/>
    <w:uiPriority w:val="0"/>
    <w:pPr>
      <w:spacing w:line="276" w:lineRule="auto"/>
    </w:pPr>
    <w:rPr>
      <w:rFonts w:ascii="Arial" w:hAnsi="Arial" w:eastAsia="Arial" w:cs="Arial"/>
      <w:sz w:val="22"/>
      <w:szCs w:val="22"/>
      <w:lang w:val="en-GB" w:eastAsia="en-GB" w:bidi="ar-SA"/>
    </w:rPr>
  </w:style>
  <w:style w:type="paragraph" w:styleId="2">
    <w:name w:val="heading 1"/>
    <w:basedOn w:val="1"/>
    <w:next w:val="1"/>
    <w:autoRedefine/>
    <w:uiPriority w:val="0"/>
    <w:pPr>
      <w:keepNext/>
      <w:keepLines/>
      <w:spacing w:before="400" w:after="120" w:line="360" w:lineRule="auto"/>
      <w:outlineLvl w:val="0"/>
    </w:pPr>
    <w:rPr>
      <w:rFonts w:ascii="Times New Roman" w:hAnsi="Times New Roman"/>
      <w:b/>
      <w:sz w:val="24"/>
      <w:szCs w:val="40"/>
    </w:rPr>
  </w:style>
  <w:style w:type="paragraph" w:styleId="3">
    <w:name w:val="heading 2"/>
    <w:basedOn w:val="1"/>
    <w:next w:val="1"/>
    <w:autoRedefine/>
    <w:uiPriority w:val="0"/>
    <w:pPr>
      <w:keepNext/>
      <w:keepLines/>
      <w:spacing w:before="360" w:after="120" w:line="360" w:lineRule="auto"/>
      <w:outlineLvl w:val="1"/>
    </w:pPr>
    <w:rPr>
      <w:rFonts w:ascii="Times New Roman" w:hAnsi="Times New Roman"/>
      <w:b/>
      <w:sz w:val="24"/>
      <w:szCs w:val="32"/>
    </w:rPr>
  </w:style>
  <w:style w:type="paragraph" w:styleId="4">
    <w:name w:val="heading 3"/>
    <w:basedOn w:val="1"/>
    <w:next w:val="1"/>
    <w:qFormat/>
    <w:uiPriority w:val="0"/>
    <w:pPr>
      <w:keepNext/>
      <w:keepLines/>
      <w:spacing w:before="320" w:after="80"/>
      <w:outlineLvl w:val="2"/>
    </w:pPr>
    <w:rPr>
      <w:color w:val="434343"/>
      <w:sz w:val="28"/>
      <w:szCs w:val="28"/>
    </w:rPr>
  </w:style>
  <w:style w:type="paragraph" w:styleId="5">
    <w:name w:val="heading 4"/>
    <w:basedOn w:val="1"/>
    <w:next w:val="1"/>
    <w:autoRedefine/>
    <w:qFormat/>
    <w:uiPriority w:val="0"/>
    <w:pPr>
      <w:keepNext/>
      <w:keepLines/>
      <w:spacing w:before="280" w:after="80"/>
      <w:outlineLvl w:val="3"/>
    </w:pPr>
    <w:rPr>
      <w:color w:val="666666"/>
      <w:sz w:val="24"/>
      <w:szCs w:val="24"/>
    </w:rPr>
  </w:style>
  <w:style w:type="paragraph" w:styleId="6">
    <w:name w:val="heading 5"/>
    <w:basedOn w:val="1"/>
    <w:next w:val="1"/>
    <w:autoRedefine/>
    <w:qFormat/>
    <w:uiPriority w:val="0"/>
    <w:pPr>
      <w:keepNext/>
      <w:keepLines/>
      <w:spacing w:before="240" w:after="80"/>
      <w:outlineLvl w:val="4"/>
    </w:pPr>
    <w:rPr>
      <w:color w:val="666666"/>
    </w:rPr>
  </w:style>
  <w:style w:type="paragraph" w:styleId="7">
    <w:name w:val="heading 6"/>
    <w:basedOn w:val="1"/>
    <w:next w:val="1"/>
    <w:uiPriority w:val="0"/>
    <w:pPr>
      <w:keepNext/>
      <w:keepLines/>
      <w:spacing w:before="240" w:after="80"/>
      <w:outlineLvl w:val="5"/>
    </w:pPr>
    <w:rPr>
      <w:i/>
      <w:color w:val="666666"/>
    </w:rPr>
  </w:style>
  <w:style w:type="character" w:default="1" w:styleId="8">
    <w:name w:val="Default Paragraph Font"/>
    <w:semiHidden/>
    <w:unhideWhenUsed/>
    <w:uiPriority w:val="1"/>
  </w:style>
  <w:style w:type="table" w:default="1" w:styleId="9">
    <w:name w:val="Normal Table"/>
    <w:semiHidden/>
    <w:unhideWhenUsed/>
    <w:qFormat/>
    <w:uiPriority w:val="99"/>
    <w:tblPr>
      <w:tblCellMar>
        <w:top w:w="0" w:type="dxa"/>
        <w:left w:w="108" w:type="dxa"/>
        <w:bottom w:w="0" w:type="dxa"/>
        <w:right w:w="108" w:type="dxa"/>
      </w:tblCellMar>
    </w:tblPr>
  </w:style>
  <w:style w:type="paragraph" w:styleId="10">
    <w:name w:val="Balloon Text"/>
    <w:basedOn w:val="1"/>
    <w:link w:val="23"/>
    <w:semiHidden/>
    <w:unhideWhenUsed/>
    <w:uiPriority w:val="99"/>
    <w:pPr>
      <w:spacing w:line="240" w:lineRule="auto"/>
    </w:pPr>
    <w:rPr>
      <w:rFonts w:ascii="Tahoma" w:hAnsi="Tahoma" w:cs="Tahoma"/>
      <w:sz w:val="16"/>
      <w:szCs w:val="16"/>
    </w:rPr>
  </w:style>
  <w:style w:type="paragraph" w:styleId="11">
    <w:name w:val="footer"/>
    <w:basedOn w:val="1"/>
    <w:link w:val="22"/>
    <w:unhideWhenUsed/>
    <w:uiPriority w:val="99"/>
    <w:pPr>
      <w:tabs>
        <w:tab w:val="center" w:pos="4513"/>
        <w:tab w:val="right" w:pos="9026"/>
      </w:tabs>
      <w:spacing w:line="240" w:lineRule="auto"/>
    </w:pPr>
  </w:style>
  <w:style w:type="paragraph" w:styleId="12">
    <w:name w:val="header"/>
    <w:basedOn w:val="1"/>
    <w:link w:val="21"/>
    <w:unhideWhenUsed/>
    <w:uiPriority w:val="99"/>
    <w:pPr>
      <w:tabs>
        <w:tab w:val="center" w:pos="4513"/>
        <w:tab w:val="right" w:pos="9026"/>
      </w:tabs>
      <w:spacing w:line="240" w:lineRule="auto"/>
    </w:pPr>
  </w:style>
  <w:style w:type="character" w:styleId="13">
    <w:name w:val="Hyperlink"/>
    <w:basedOn w:val="8"/>
    <w:unhideWhenUsed/>
    <w:uiPriority w:val="99"/>
    <w:rPr>
      <w:color w:val="0000FF" w:themeColor="hyperlink"/>
      <w:u w:val="single"/>
    </w:rPr>
  </w:style>
  <w:style w:type="paragraph" w:styleId="14">
    <w:name w:val="Subtitle"/>
    <w:basedOn w:val="1"/>
    <w:next w:val="1"/>
    <w:autoRedefine/>
    <w:qFormat/>
    <w:uiPriority w:val="0"/>
    <w:pPr>
      <w:keepNext/>
      <w:keepLines/>
      <w:spacing w:after="320"/>
    </w:pPr>
    <w:rPr>
      <w:color w:val="666666"/>
      <w:sz w:val="30"/>
      <w:szCs w:val="30"/>
    </w:rPr>
  </w:style>
  <w:style w:type="paragraph" w:styleId="15">
    <w:name w:val="Title"/>
    <w:basedOn w:val="1"/>
    <w:next w:val="1"/>
    <w:qFormat/>
    <w:uiPriority w:val="0"/>
    <w:pPr>
      <w:keepNext/>
      <w:keepLines/>
      <w:spacing w:after="60"/>
    </w:pPr>
    <w:rPr>
      <w:sz w:val="52"/>
      <w:szCs w:val="52"/>
    </w:rPr>
  </w:style>
  <w:style w:type="paragraph" w:styleId="16">
    <w:name w:val="toc 1"/>
    <w:basedOn w:val="1"/>
    <w:next w:val="1"/>
    <w:autoRedefine/>
    <w:unhideWhenUsed/>
    <w:uiPriority w:val="39"/>
    <w:pPr>
      <w:spacing w:after="100"/>
    </w:pPr>
  </w:style>
  <w:style w:type="paragraph" w:styleId="17">
    <w:name w:val="toc 2"/>
    <w:basedOn w:val="1"/>
    <w:next w:val="1"/>
    <w:autoRedefine/>
    <w:unhideWhenUsed/>
    <w:uiPriority w:val="39"/>
    <w:pPr>
      <w:spacing w:after="100"/>
      <w:ind w:left="220"/>
    </w:pPr>
  </w:style>
  <w:style w:type="table" w:customStyle="1" w:styleId="18">
    <w:name w:val="a"/>
    <w:basedOn w:val="9"/>
    <w:uiPriority w:val="0"/>
    <w:tblPr>
      <w:tblCellMar>
        <w:top w:w="100" w:type="dxa"/>
        <w:left w:w="100" w:type="dxa"/>
        <w:bottom w:w="100" w:type="dxa"/>
        <w:right w:w="100" w:type="dxa"/>
      </w:tblCellMar>
    </w:tblPr>
  </w:style>
  <w:style w:type="table" w:customStyle="1" w:styleId="19">
    <w:name w:val="a0"/>
    <w:basedOn w:val="9"/>
    <w:uiPriority w:val="0"/>
    <w:tblPr>
      <w:tblCellMar>
        <w:top w:w="100" w:type="dxa"/>
        <w:left w:w="100" w:type="dxa"/>
        <w:bottom w:w="100" w:type="dxa"/>
        <w:right w:w="100" w:type="dxa"/>
      </w:tblCellMar>
    </w:tblPr>
  </w:style>
  <w:style w:type="paragraph" w:customStyle="1" w:styleId="20">
    <w:name w:val="TOC Heading"/>
    <w:basedOn w:val="2"/>
    <w:next w:val="1"/>
    <w:unhideWhenUsed/>
    <w:qFormat/>
    <w:uiPriority w:val="39"/>
    <w:pPr>
      <w:spacing w:before="240" w:after="0" w:line="259" w:lineRule="auto"/>
      <w:outlineLvl w:val="9"/>
    </w:pPr>
    <w:rPr>
      <w:rFonts w:asciiTheme="majorHAnsi" w:hAnsiTheme="majorHAnsi" w:eastAsiaTheme="majorEastAsia" w:cstheme="majorBidi"/>
      <w:b w:val="0"/>
      <w:color w:val="366091" w:themeColor="accent1" w:themeShade="BF"/>
      <w:sz w:val="32"/>
      <w:szCs w:val="32"/>
      <w:lang w:val="en-US" w:eastAsia="en-US"/>
    </w:rPr>
  </w:style>
  <w:style w:type="character" w:customStyle="1" w:styleId="21">
    <w:name w:val="Header Char"/>
    <w:basedOn w:val="8"/>
    <w:link w:val="12"/>
    <w:uiPriority w:val="99"/>
  </w:style>
  <w:style w:type="character" w:customStyle="1" w:styleId="22">
    <w:name w:val="Footer Char"/>
    <w:basedOn w:val="8"/>
    <w:link w:val="11"/>
    <w:uiPriority w:val="99"/>
  </w:style>
  <w:style w:type="character" w:customStyle="1" w:styleId="23">
    <w:name w:val="Balloon Text Char"/>
    <w:basedOn w:val="8"/>
    <w:link w:val="10"/>
    <w:semiHidden/>
    <w:uiPriority w:val="99"/>
    <w:rPr>
      <w:rFonts w:ascii="Tahoma" w:hAnsi="Tahoma" w:cs="Tahoma"/>
      <w:sz w:val="16"/>
      <w:szCs w:val="16"/>
    </w:rPr>
  </w:style>
</w:styles>
</file>

<file path=word/_rels/document.xml.rels><?xml version="1.0" encoding="UTF-8" standalone="yes"?>
<Relationships xmlns="http://schemas.openxmlformats.org/package/2006/relationships"><Relationship Id="rId9" Type="http://schemas.openxmlformats.org/officeDocument/2006/relationships/image" Target="media/image3.png"/><Relationship Id="rId8" Type="http://schemas.openxmlformats.org/officeDocument/2006/relationships/image" Target="media/image2.png"/><Relationship Id="rId7" Type="http://schemas.openxmlformats.org/officeDocument/2006/relationships/image" Target="media/image1.png"/><Relationship Id="rId6" Type="http://schemas.openxmlformats.org/officeDocument/2006/relationships/theme" Target="theme/theme1.xml"/><Relationship Id="rId5" Type="http://schemas.openxmlformats.org/officeDocument/2006/relationships/footer" Target="footer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5" Type="http://schemas.openxmlformats.org/officeDocument/2006/relationships/fontTable" Target="fontTable.xml"/><Relationship Id="rId14" Type="http://schemas.openxmlformats.org/officeDocument/2006/relationships/customXml" Target="../customXml/item1.xml"/><Relationship Id="rId13" Type="http://schemas.openxmlformats.org/officeDocument/2006/relationships/image" Target="media/image7.jpeg"/><Relationship Id="rId12" Type="http://schemas.openxmlformats.org/officeDocument/2006/relationships/image" Target="media/image6.jpeg"/><Relationship Id="rId11" Type="http://schemas.openxmlformats.org/officeDocument/2006/relationships/image" Target="media/image5.png"/><Relationship Id="rId10" Type="http://schemas.openxmlformats.org/officeDocument/2006/relationships/image" Target="media/image4.png"/><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20A9994-7880-408E-BC9D-15F50496D555}">
  <ds:schemaRefs/>
</ds:datastoreItem>
</file>

<file path=docProps/app.xml><?xml version="1.0" encoding="utf-8"?>
<Properties xmlns="http://schemas.openxmlformats.org/officeDocument/2006/extended-properties" xmlns:vt="http://schemas.openxmlformats.org/officeDocument/2006/docPropsVTypes">
  <Template>Normal</Template>
  <Pages>10</Pages>
  <Words>1791</Words>
  <Characters>10215</Characters>
  <Lines>85</Lines>
  <Paragraphs>23</Paragraphs>
  <TotalTime>2</TotalTime>
  <ScaleCrop>false</ScaleCrop>
  <LinksUpToDate>false</LinksUpToDate>
  <CharactersWithSpaces>11983</CharactersWithSpaces>
  <Application>WPS Office_12.2.0.16909_F1E327BC-269C-435d-A152-05C5408002CA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2024-05-01T14:02:00Z</dcterms:created>
  <dc:creator>Alina</dc:creator>
  <cp:lastModifiedBy>i study</cp:lastModifiedBy>
  <dcterms:modified xsi:type="dcterms:W3CDTF">2024-05-13T12:03:52Z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2057-12.2.0.16909</vt:lpwstr>
  </property>
  <property fmtid="{D5CDD505-2E9C-101B-9397-08002B2CF9AE}" pid="3" name="ICV">
    <vt:lpwstr>666158E1918C49E9B254DB7ECF23F5E3_12</vt:lpwstr>
  </property>
</Properties>
</file>