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4"/>
          <w:szCs w:val="24"/>
          <w:lang w:val="en-GB"/>
        </w:rPr>
        <w:id w:val="-1522475554"/>
        <w:docPartObj>
          <w:docPartGallery w:val="Cover Pages"/>
          <w:docPartUnique/>
        </w:docPartObj>
      </w:sdtPr>
      <w:sdtEndPr/>
      <w:sdtContent>
        <w:p w14:paraId="3BDEC478" w14:textId="77777777" w:rsidR="007D1947" w:rsidRPr="008F5B9C" w:rsidRDefault="007D1947" w:rsidP="008F5B9C">
          <w:pPr>
            <w:pStyle w:val="NoSpacing"/>
            <w:spacing w:before="1540" w:after="240" w:line="360" w:lineRule="auto"/>
            <w:jc w:val="center"/>
            <w:rPr>
              <w:rFonts w:ascii="Arial" w:hAnsi="Arial" w:cs="Arial"/>
              <w:sz w:val="24"/>
              <w:szCs w:val="24"/>
            </w:rPr>
          </w:pPr>
          <w:r w:rsidRPr="008F5B9C">
            <w:rPr>
              <w:rFonts w:ascii="Arial" w:hAnsi="Arial" w:cs="Arial"/>
              <w:noProof/>
              <w:sz w:val="24"/>
              <w:szCs w:val="24"/>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b/>
              <w:sz w:val="24"/>
              <w:szCs w:val="24"/>
              <w:lang w:eastAsia="en-IN"/>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6C240649" w14:textId="66CBF0A8" w:rsidR="007D1947" w:rsidRPr="008F5B9C" w:rsidRDefault="003159CF" w:rsidP="008F5B9C">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sz w:val="24"/>
                  <w:szCs w:val="24"/>
                </w:rPr>
              </w:pPr>
              <w:r>
                <w:rPr>
                  <w:rFonts w:ascii="Arial" w:eastAsia="Arial" w:hAnsi="Arial" w:cs="Arial"/>
                  <w:b/>
                  <w:sz w:val="24"/>
                  <w:szCs w:val="24"/>
                  <w:lang w:eastAsia="en-IN"/>
                </w:rPr>
                <w:t>Hilton Hotel</w:t>
              </w:r>
            </w:p>
          </w:sdtContent>
        </w:sdt>
        <w:sdt>
          <w:sdtPr>
            <w:rPr>
              <w:rFonts w:ascii="Arial" w:hAnsi="Arial" w:cs="Arial"/>
              <w:b/>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D11FE6E" w14:textId="57EEDA53" w:rsidR="007D1947" w:rsidRPr="008F5B9C" w:rsidRDefault="002C3A27" w:rsidP="008F5B9C">
              <w:pPr>
                <w:pStyle w:val="NoSpacing"/>
                <w:spacing w:line="360" w:lineRule="auto"/>
                <w:jc w:val="center"/>
                <w:rPr>
                  <w:rFonts w:ascii="Arial" w:hAnsi="Arial" w:cs="Arial"/>
                  <w:sz w:val="24"/>
                  <w:szCs w:val="24"/>
                </w:rPr>
              </w:pPr>
              <w:r>
                <w:rPr>
                  <w:rFonts w:ascii="Arial" w:hAnsi="Arial" w:cs="Arial"/>
                  <w:b/>
                  <w:sz w:val="24"/>
                  <w:szCs w:val="24"/>
                </w:rPr>
                <w:t>Student Name: Dobir Miah</w:t>
              </w:r>
              <w:r w:rsidR="005E7754">
                <w:rPr>
                  <w:rFonts w:ascii="Arial" w:hAnsi="Arial" w:cs="Arial"/>
                  <w:b/>
                  <w:sz w:val="24"/>
                  <w:szCs w:val="24"/>
                </w:rPr>
                <w:t xml:space="preserve"> (2019720)</w:t>
              </w:r>
            </w:p>
          </w:sdtContent>
        </w:sdt>
        <w:p w14:paraId="765A889E" w14:textId="77777777" w:rsidR="007D1947" w:rsidRPr="008F5B9C" w:rsidRDefault="007D1947" w:rsidP="008F5B9C">
          <w:pPr>
            <w:pStyle w:val="NoSpacing"/>
            <w:spacing w:before="480" w:line="360" w:lineRule="auto"/>
            <w:jc w:val="center"/>
            <w:rPr>
              <w:rFonts w:ascii="Arial" w:hAnsi="Arial" w:cs="Arial"/>
              <w:sz w:val="24"/>
              <w:szCs w:val="24"/>
            </w:rPr>
          </w:pPr>
          <w:r w:rsidRPr="008F5B9C">
            <w:rPr>
              <w:rFonts w:ascii="Arial" w:hAnsi="Arial" w:cs="Arial"/>
              <w:noProof/>
              <w:sz w:val="24"/>
              <w:szCs w:val="24"/>
              <w:lang w:val="en-GB" w:eastAsia="en-GB"/>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632622356"/>
                                  <w:dataBinding w:prefixMappings="xmlns:ns0='http://schemas.microsoft.com/office/2006/coverPageProps' " w:xpath="/ns0:CoverPageProperties[1]/ns0:PublishDate[1]" w:storeItemID="{55AF091B-3C7A-41E3-B477-F2FDAA23CFDA}"/>
                                  <w:date w:fullDate="2022-05-31T00:00:00Z">
                                    <w:dateFormat w:val="MMMM d, yyyy"/>
                                    <w:lid w:val="en-US"/>
                                    <w:storeMappedDataAs w:val="dateTime"/>
                                    <w:calendar w:val="gregorian"/>
                                  </w:date>
                                </w:sdtPr>
                                <w:sdtEndPr/>
                                <w:sdtContent>
                                  <w:p w14:paraId="5DA3BD92" w14:textId="6E70E103" w:rsidR="007D1947" w:rsidRDefault="00DE2609">
                                    <w:pPr>
                                      <w:pStyle w:val="NoSpacing"/>
                                      <w:spacing w:after="40"/>
                                      <w:jc w:val="center"/>
                                      <w:rPr>
                                        <w:caps/>
                                        <w:color w:val="5B9BD5" w:themeColor="accent1"/>
                                        <w:sz w:val="28"/>
                                        <w:szCs w:val="28"/>
                                      </w:rPr>
                                    </w:pPr>
                                    <w:r>
                                      <w:rPr>
                                        <w:caps/>
                                        <w:color w:val="5B9BD5" w:themeColor="accent1"/>
                                        <w:sz w:val="28"/>
                                        <w:szCs w:val="28"/>
                                      </w:rPr>
                                      <w:t>May 31, 2022</w:t>
                                    </w:r>
                                  </w:p>
                                </w:sdtContent>
                              </w:sdt>
                              <w:p w14:paraId="6DAC6D9E" w14:textId="4C234191" w:rsidR="007D1947" w:rsidRDefault="005E7754">
                                <w:pPr>
                                  <w:pStyle w:val="NoSpacing"/>
                                  <w:jc w:val="center"/>
                                  <w:rPr>
                                    <w:color w:val="5B9BD5" w:themeColor="accent1"/>
                                  </w:rPr>
                                </w:pPr>
                                <w:sdt>
                                  <w:sdtPr>
                                    <w:rPr>
                                      <w:caps/>
                                      <w:color w:val="5B9BD5" w:themeColor="accent1"/>
                                    </w:rPr>
                                    <w:alias w:val="Company"/>
                                    <w:tag w:val=""/>
                                    <w:id w:val="973254397"/>
                                    <w:showingPlcHdr/>
                                    <w:dataBinding w:prefixMappings="xmlns:ns0='http://schemas.openxmlformats.org/officeDocument/2006/extended-properties' " w:xpath="/ns0:Properties[1]/ns0:Company[1]" w:storeItemID="{6668398D-A668-4E3E-A5EB-62B293D839F1}"/>
                                    <w:text/>
                                  </w:sdtPr>
                                  <w:sdtEndPr/>
                                  <w:sdtContent>
                                    <w:r w:rsidR="000250A8">
                                      <w:rPr>
                                        <w:caps/>
                                        <w:color w:val="5B9BD5" w:themeColor="accent1"/>
                                      </w:rPr>
                                      <w:t xml:space="preserve">     </w:t>
                                    </w:r>
                                  </w:sdtContent>
                                </w:sdt>
                              </w:p>
                              <w:p w14:paraId="0AF62F9A" w14:textId="77777777" w:rsidR="007D1947" w:rsidRDefault="005E7754">
                                <w:pPr>
                                  <w:pStyle w:val="NoSpacing"/>
                                  <w:jc w:val="center"/>
                                  <w:rPr>
                                    <w:color w:val="5B9BD5" w:themeColor="accent1"/>
                                  </w:rPr>
                                </w:pPr>
                                <w:sdt>
                                  <w:sdtPr>
                                    <w:rPr>
                                      <w:color w:val="5B9BD5" w:themeColor="accent1"/>
                                    </w:rPr>
                                    <w:alias w:val="Address"/>
                                    <w:tag w:val=""/>
                                    <w:id w:val="-2072650102"/>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632622356"/>
                            <w:dataBinding w:prefixMappings="xmlns:ns0='http://schemas.microsoft.com/office/2006/coverPageProps' " w:xpath="/ns0:CoverPageProperties[1]/ns0:PublishDate[1]" w:storeItemID="{55AF091B-3C7A-41E3-B477-F2FDAA23CFDA}"/>
                            <w:date w:fullDate="2022-05-31T00:00:00Z">
                              <w:dateFormat w:val="MMMM d, yyyy"/>
                              <w:lid w:val="en-US"/>
                              <w:storeMappedDataAs w:val="dateTime"/>
                              <w:calendar w:val="gregorian"/>
                            </w:date>
                          </w:sdtPr>
                          <w:sdtEndPr/>
                          <w:sdtContent>
                            <w:p w14:paraId="5DA3BD92" w14:textId="6E70E103" w:rsidR="007D1947" w:rsidRDefault="00DE2609">
                              <w:pPr>
                                <w:pStyle w:val="NoSpacing"/>
                                <w:spacing w:after="40"/>
                                <w:jc w:val="center"/>
                                <w:rPr>
                                  <w:caps/>
                                  <w:color w:val="5B9BD5" w:themeColor="accent1"/>
                                  <w:sz w:val="28"/>
                                  <w:szCs w:val="28"/>
                                </w:rPr>
                              </w:pPr>
                              <w:r>
                                <w:rPr>
                                  <w:caps/>
                                  <w:color w:val="5B9BD5" w:themeColor="accent1"/>
                                  <w:sz w:val="28"/>
                                  <w:szCs w:val="28"/>
                                </w:rPr>
                                <w:t>May 31, 2022</w:t>
                              </w:r>
                            </w:p>
                          </w:sdtContent>
                        </w:sdt>
                        <w:p w14:paraId="6DAC6D9E" w14:textId="4C234191" w:rsidR="007D1947" w:rsidRDefault="005E7754">
                          <w:pPr>
                            <w:pStyle w:val="NoSpacing"/>
                            <w:jc w:val="center"/>
                            <w:rPr>
                              <w:color w:val="5B9BD5" w:themeColor="accent1"/>
                            </w:rPr>
                          </w:pPr>
                          <w:sdt>
                            <w:sdtPr>
                              <w:rPr>
                                <w:caps/>
                                <w:color w:val="5B9BD5" w:themeColor="accent1"/>
                              </w:rPr>
                              <w:alias w:val="Company"/>
                              <w:tag w:val=""/>
                              <w:id w:val="973254397"/>
                              <w:showingPlcHdr/>
                              <w:dataBinding w:prefixMappings="xmlns:ns0='http://schemas.openxmlformats.org/officeDocument/2006/extended-properties' " w:xpath="/ns0:Properties[1]/ns0:Company[1]" w:storeItemID="{6668398D-A668-4E3E-A5EB-62B293D839F1}"/>
                              <w:text/>
                            </w:sdtPr>
                            <w:sdtEndPr/>
                            <w:sdtContent>
                              <w:r w:rsidR="000250A8">
                                <w:rPr>
                                  <w:caps/>
                                  <w:color w:val="5B9BD5" w:themeColor="accent1"/>
                                </w:rPr>
                                <w:t xml:space="preserve">     </w:t>
                              </w:r>
                            </w:sdtContent>
                          </w:sdt>
                        </w:p>
                        <w:p w14:paraId="0AF62F9A" w14:textId="77777777" w:rsidR="007D1947" w:rsidRDefault="005E7754">
                          <w:pPr>
                            <w:pStyle w:val="NoSpacing"/>
                            <w:jc w:val="center"/>
                            <w:rPr>
                              <w:color w:val="5B9BD5" w:themeColor="accent1"/>
                            </w:rPr>
                          </w:pPr>
                          <w:sdt>
                            <w:sdtPr>
                              <w:rPr>
                                <w:color w:val="5B9BD5" w:themeColor="accent1"/>
                              </w:rPr>
                              <w:alias w:val="Address"/>
                              <w:tag w:val=""/>
                              <w:id w:val="-2072650102"/>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8F5B9C">
            <w:rPr>
              <w:rFonts w:ascii="Arial" w:hAnsi="Arial" w:cs="Arial"/>
              <w:noProof/>
              <w:sz w:val="24"/>
              <w:szCs w:val="24"/>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37FA41" w14:textId="77777777" w:rsidR="007D1947" w:rsidRPr="008F5B9C" w:rsidRDefault="007D1947" w:rsidP="008F5B9C">
          <w:pPr>
            <w:pStyle w:val="Heading1"/>
            <w:rPr>
              <w:rFonts w:ascii="Arial" w:hAnsi="Arial" w:cs="Arial"/>
              <w:color w:val="auto"/>
              <w:sz w:val="24"/>
              <w:szCs w:val="24"/>
            </w:rPr>
          </w:pPr>
          <w:r w:rsidRPr="008F5B9C">
            <w:rPr>
              <w:rFonts w:ascii="Arial" w:hAnsi="Arial" w:cs="Arial"/>
              <w:color w:val="auto"/>
              <w:sz w:val="24"/>
              <w:szCs w:val="24"/>
            </w:rPr>
            <w:br w:type="page"/>
          </w:r>
          <w:bookmarkStart w:id="0" w:name="_Toc104246963"/>
          <w:r w:rsidRPr="008F5B9C">
            <w:rPr>
              <w:rFonts w:ascii="Arial" w:hAnsi="Arial" w:cs="Arial"/>
              <w:color w:val="auto"/>
              <w:sz w:val="24"/>
              <w:szCs w:val="24"/>
            </w:rPr>
            <w:lastRenderedPageBreak/>
            <w:t>Executive Summary</w:t>
          </w:r>
          <w:bookmarkEnd w:id="0"/>
        </w:p>
        <w:p w14:paraId="0C547626" w14:textId="44E1F658" w:rsidR="007D1947" w:rsidRPr="008F5B9C" w:rsidRDefault="007D1947" w:rsidP="008F5B9C">
          <w:pPr>
            <w:rPr>
              <w:rFonts w:ascii="Arial" w:hAnsi="Arial" w:cs="Arial"/>
              <w:szCs w:val="24"/>
            </w:rPr>
          </w:pPr>
          <w:r w:rsidRPr="008F5B9C">
            <w:rPr>
              <w:rFonts w:ascii="Arial" w:hAnsi="Arial" w:cs="Arial"/>
              <w:szCs w:val="24"/>
            </w:rPr>
            <w:t xml:space="preserve">The purpose </w:t>
          </w:r>
          <w:r w:rsidR="00D92726" w:rsidRPr="008F5B9C">
            <w:rPr>
              <w:rFonts w:ascii="Arial" w:hAnsi="Arial" w:cs="Arial"/>
              <w:szCs w:val="24"/>
            </w:rPr>
            <w:t>of this report is to analyse the historical ratio analyse of the hotel company named Hilton Worldwide Holdings Inc . This historical ratio analyse compare the two year 2019 and 2020 of the financial statement given one is income statement and another is the balance sheet. Hence both year has been compare to understand the change in the percentage. This paper also discussed the importance of the analyse on the decision making as well as the limitation of the ratio analysis for the hotel management information in the financial statement.</w:t>
          </w:r>
        </w:p>
        <w:p w14:paraId="1F455677" w14:textId="77777777" w:rsidR="007D1947" w:rsidRPr="008F5B9C" w:rsidRDefault="007D1947" w:rsidP="008F5B9C">
          <w:pPr>
            <w:rPr>
              <w:rFonts w:ascii="Arial" w:hAnsi="Arial" w:cs="Arial"/>
              <w:szCs w:val="24"/>
            </w:rPr>
          </w:pPr>
        </w:p>
        <w:p w14:paraId="4212D1B9" w14:textId="77777777" w:rsidR="007D1947" w:rsidRPr="008F5B9C" w:rsidRDefault="007D1947" w:rsidP="008F5B9C">
          <w:pPr>
            <w:rPr>
              <w:rFonts w:ascii="Arial" w:hAnsi="Arial" w:cs="Arial"/>
              <w:szCs w:val="24"/>
            </w:rPr>
          </w:pPr>
        </w:p>
        <w:p w14:paraId="67046C6A" w14:textId="77777777" w:rsidR="007D1947" w:rsidRPr="008F5B9C" w:rsidRDefault="007D1947" w:rsidP="008F5B9C">
          <w:pPr>
            <w:rPr>
              <w:rFonts w:ascii="Arial" w:hAnsi="Arial" w:cs="Arial"/>
              <w:szCs w:val="24"/>
            </w:rPr>
          </w:pPr>
        </w:p>
        <w:p w14:paraId="2FBFFFEA" w14:textId="77777777" w:rsidR="007D1947" w:rsidRPr="008F5B9C" w:rsidRDefault="007D1947" w:rsidP="008F5B9C">
          <w:pPr>
            <w:rPr>
              <w:rFonts w:ascii="Arial" w:hAnsi="Arial" w:cs="Arial"/>
              <w:szCs w:val="24"/>
            </w:rPr>
          </w:pPr>
        </w:p>
        <w:p w14:paraId="73C992F0" w14:textId="77777777" w:rsidR="007D1947" w:rsidRPr="008F5B9C" w:rsidRDefault="007D1947" w:rsidP="008F5B9C">
          <w:pPr>
            <w:rPr>
              <w:rFonts w:ascii="Arial" w:hAnsi="Arial" w:cs="Arial"/>
              <w:szCs w:val="24"/>
            </w:rPr>
          </w:pPr>
        </w:p>
        <w:p w14:paraId="171706B6" w14:textId="77777777" w:rsidR="007D1947" w:rsidRPr="008F5B9C" w:rsidRDefault="007D1947" w:rsidP="008F5B9C">
          <w:pPr>
            <w:rPr>
              <w:rFonts w:ascii="Arial" w:hAnsi="Arial" w:cs="Arial"/>
              <w:szCs w:val="24"/>
            </w:rPr>
          </w:pPr>
        </w:p>
        <w:p w14:paraId="696941F7" w14:textId="77777777" w:rsidR="007D1947" w:rsidRPr="008F5B9C" w:rsidRDefault="007D1947" w:rsidP="008F5B9C">
          <w:pPr>
            <w:rPr>
              <w:rFonts w:ascii="Arial" w:hAnsi="Arial" w:cs="Arial"/>
              <w:szCs w:val="24"/>
            </w:rPr>
          </w:pPr>
        </w:p>
        <w:p w14:paraId="0614965F" w14:textId="77777777" w:rsidR="007D1947" w:rsidRPr="008F5B9C" w:rsidRDefault="007D1947" w:rsidP="008F5B9C">
          <w:pPr>
            <w:rPr>
              <w:rFonts w:ascii="Arial" w:hAnsi="Arial" w:cs="Arial"/>
              <w:szCs w:val="24"/>
            </w:rPr>
          </w:pPr>
        </w:p>
        <w:p w14:paraId="5ED974BB" w14:textId="77777777" w:rsidR="007D1947" w:rsidRPr="008F5B9C" w:rsidRDefault="007D1947" w:rsidP="008F5B9C">
          <w:pPr>
            <w:rPr>
              <w:rFonts w:ascii="Arial" w:hAnsi="Arial" w:cs="Arial"/>
              <w:szCs w:val="24"/>
            </w:rPr>
          </w:pPr>
        </w:p>
        <w:p w14:paraId="576008F1" w14:textId="77777777" w:rsidR="007D1947" w:rsidRPr="008F5B9C" w:rsidRDefault="007D1947" w:rsidP="008F5B9C">
          <w:pPr>
            <w:rPr>
              <w:rFonts w:ascii="Arial" w:hAnsi="Arial" w:cs="Arial"/>
              <w:szCs w:val="24"/>
            </w:rPr>
          </w:pPr>
        </w:p>
        <w:p w14:paraId="1A43EBAE" w14:textId="77777777" w:rsidR="007D1947" w:rsidRPr="008F5B9C" w:rsidRDefault="007D1947" w:rsidP="008F5B9C">
          <w:pPr>
            <w:rPr>
              <w:rFonts w:ascii="Arial" w:hAnsi="Arial" w:cs="Arial"/>
              <w:szCs w:val="24"/>
            </w:rPr>
          </w:pPr>
        </w:p>
        <w:p w14:paraId="3AB53BCB" w14:textId="77777777" w:rsidR="007D1947" w:rsidRPr="008F5B9C" w:rsidRDefault="007D1947" w:rsidP="008F5B9C">
          <w:pPr>
            <w:rPr>
              <w:rFonts w:ascii="Arial" w:hAnsi="Arial" w:cs="Arial"/>
              <w:szCs w:val="24"/>
            </w:rPr>
          </w:pPr>
        </w:p>
        <w:p w14:paraId="55C39C75" w14:textId="77777777" w:rsidR="007D1947" w:rsidRPr="008F5B9C" w:rsidRDefault="007D1947" w:rsidP="008F5B9C">
          <w:pPr>
            <w:rPr>
              <w:rFonts w:ascii="Arial" w:hAnsi="Arial" w:cs="Arial"/>
              <w:szCs w:val="24"/>
            </w:rPr>
          </w:pPr>
        </w:p>
        <w:p w14:paraId="4C5619CE" w14:textId="77777777" w:rsidR="007D1947" w:rsidRPr="008F5B9C" w:rsidRDefault="007D1947" w:rsidP="008F5B9C">
          <w:pPr>
            <w:rPr>
              <w:rFonts w:ascii="Arial" w:hAnsi="Arial" w:cs="Arial"/>
              <w:szCs w:val="24"/>
            </w:rPr>
          </w:pPr>
        </w:p>
        <w:p w14:paraId="1E28E3DB" w14:textId="77777777" w:rsidR="007D1947" w:rsidRPr="008F5B9C" w:rsidRDefault="007D1947" w:rsidP="008F5B9C">
          <w:pPr>
            <w:rPr>
              <w:rFonts w:ascii="Arial" w:hAnsi="Arial" w:cs="Arial"/>
              <w:szCs w:val="24"/>
            </w:rPr>
          </w:pPr>
        </w:p>
        <w:p w14:paraId="21BA113E" w14:textId="77777777" w:rsidR="007D1947" w:rsidRPr="008F5B9C" w:rsidRDefault="007D1947" w:rsidP="008F5B9C">
          <w:pPr>
            <w:rPr>
              <w:rFonts w:ascii="Arial" w:hAnsi="Arial" w:cs="Arial"/>
              <w:szCs w:val="24"/>
            </w:rPr>
          </w:pPr>
        </w:p>
        <w:p w14:paraId="7A343257" w14:textId="77777777" w:rsidR="007D1947" w:rsidRPr="008F5B9C" w:rsidRDefault="007D1947" w:rsidP="008F5B9C">
          <w:pPr>
            <w:rPr>
              <w:rFonts w:ascii="Arial" w:hAnsi="Arial" w:cs="Arial"/>
              <w:szCs w:val="24"/>
            </w:rPr>
          </w:pPr>
        </w:p>
        <w:p w14:paraId="5A452BFF" w14:textId="3C88ABD2" w:rsidR="007D1947" w:rsidRPr="008F5B9C" w:rsidRDefault="00D92726" w:rsidP="008F5B9C">
          <w:pPr>
            <w:rPr>
              <w:rFonts w:ascii="Arial" w:hAnsi="Arial" w:cs="Arial"/>
              <w:szCs w:val="24"/>
            </w:rPr>
          </w:pPr>
          <w:r w:rsidRPr="008F5B9C">
            <w:rPr>
              <w:rFonts w:ascii="Arial" w:hAnsi="Arial" w:cs="Arial"/>
              <w:szCs w:val="24"/>
            </w:rPr>
            <w:br w:type="page"/>
          </w:r>
        </w:p>
        <w:p w14:paraId="670ED438" w14:textId="77777777" w:rsidR="007D1947" w:rsidRPr="008F5B9C" w:rsidRDefault="007D1947" w:rsidP="008F5B9C">
          <w:pPr>
            <w:rPr>
              <w:rFonts w:ascii="Arial" w:hAnsi="Arial" w:cs="Arial"/>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3EF04BD9" w14:textId="77777777" w:rsidR="007D1947" w:rsidRPr="008F5B9C" w:rsidRDefault="007D1947" w:rsidP="008F5B9C">
              <w:pPr>
                <w:pStyle w:val="TOCHeading"/>
                <w:rPr>
                  <w:rFonts w:ascii="Arial" w:hAnsi="Arial" w:cs="Arial"/>
                  <w:color w:val="auto"/>
                  <w:sz w:val="24"/>
                  <w:szCs w:val="24"/>
                </w:rPr>
              </w:pPr>
              <w:r w:rsidRPr="008F5B9C">
                <w:rPr>
                  <w:rFonts w:ascii="Arial" w:hAnsi="Arial" w:cs="Arial"/>
                  <w:color w:val="auto"/>
                  <w:sz w:val="24"/>
                  <w:szCs w:val="24"/>
                </w:rPr>
                <w:t>Table of Contents</w:t>
              </w:r>
            </w:p>
            <w:p w14:paraId="032FAF2C" w14:textId="77777777" w:rsidR="000D568F" w:rsidRPr="008F5B9C" w:rsidRDefault="007D1947" w:rsidP="008F5B9C">
              <w:pPr>
                <w:pStyle w:val="TOC1"/>
                <w:tabs>
                  <w:tab w:val="right" w:leader="dot" w:pos="9016"/>
                </w:tabs>
                <w:rPr>
                  <w:rFonts w:ascii="Arial" w:eastAsiaTheme="minorEastAsia" w:hAnsi="Arial" w:cs="Arial"/>
                  <w:noProof/>
                  <w:szCs w:val="24"/>
                  <w:lang w:val="en-IN" w:eastAsia="en-IN"/>
                </w:rPr>
              </w:pPr>
              <w:r w:rsidRPr="008F5B9C">
                <w:rPr>
                  <w:rFonts w:ascii="Arial" w:hAnsi="Arial" w:cs="Arial"/>
                  <w:szCs w:val="24"/>
                </w:rPr>
                <w:fldChar w:fldCharType="begin"/>
              </w:r>
              <w:r w:rsidRPr="008F5B9C">
                <w:rPr>
                  <w:rFonts w:ascii="Arial" w:hAnsi="Arial" w:cs="Arial"/>
                  <w:szCs w:val="24"/>
                </w:rPr>
                <w:instrText xml:space="preserve"> TOC \o "1-3" \h \z \u </w:instrText>
              </w:r>
              <w:r w:rsidRPr="008F5B9C">
                <w:rPr>
                  <w:rFonts w:ascii="Arial" w:hAnsi="Arial" w:cs="Arial"/>
                  <w:szCs w:val="24"/>
                </w:rPr>
                <w:fldChar w:fldCharType="separate"/>
              </w:r>
              <w:hyperlink w:anchor="_Toc104246963" w:history="1">
                <w:r w:rsidR="000D568F" w:rsidRPr="008F5B9C">
                  <w:rPr>
                    <w:rStyle w:val="Hyperlink"/>
                    <w:rFonts w:ascii="Arial" w:hAnsi="Arial" w:cs="Arial"/>
                    <w:noProof/>
                    <w:color w:val="auto"/>
                    <w:szCs w:val="24"/>
                  </w:rPr>
                  <w:t>Executive Summary</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_Toc104246963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1</w:t>
                </w:r>
                <w:r w:rsidR="000D568F" w:rsidRPr="008F5B9C">
                  <w:rPr>
                    <w:rFonts w:ascii="Arial" w:hAnsi="Arial" w:cs="Arial"/>
                    <w:noProof/>
                    <w:webHidden/>
                    <w:szCs w:val="24"/>
                  </w:rPr>
                  <w:fldChar w:fldCharType="end"/>
                </w:r>
              </w:hyperlink>
            </w:p>
            <w:p w14:paraId="575FCD3A" w14:textId="77777777" w:rsidR="000D568F" w:rsidRPr="008F5B9C" w:rsidRDefault="005E7754" w:rsidP="008F5B9C">
              <w:pPr>
                <w:pStyle w:val="TOC1"/>
                <w:tabs>
                  <w:tab w:val="right" w:leader="dot" w:pos="9016"/>
                </w:tabs>
                <w:rPr>
                  <w:rFonts w:ascii="Arial" w:eastAsiaTheme="minorEastAsia" w:hAnsi="Arial" w:cs="Arial"/>
                  <w:noProof/>
                  <w:szCs w:val="24"/>
                  <w:lang w:val="en-IN" w:eastAsia="en-IN"/>
                </w:rPr>
              </w:pPr>
              <w:hyperlink w:anchor="_Toc104246964" w:history="1">
                <w:r w:rsidR="000D568F" w:rsidRPr="008F5B9C">
                  <w:rPr>
                    <w:rStyle w:val="Hyperlink"/>
                    <w:rFonts w:ascii="Arial" w:hAnsi="Arial" w:cs="Arial"/>
                    <w:noProof/>
                    <w:color w:val="auto"/>
                    <w:szCs w:val="24"/>
                  </w:rPr>
                  <w:t>Introduction</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_Toc104246964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3</w:t>
                </w:r>
                <w:r w:rsidR="000D568F" w:rsidRPr="008F5B9C">
                  <w:rPr>
                    <w:rFonts w:ascii="Arial" w:hAnsi="Arial" w:cs="Arial"/>
                    <w:noProof/>
                    <w:webHidden/>
                    <w:szCs w:val="24"/>
                  </w:rPr>
                  <w:fldChar w:fldCharType="end"/>
                </w:r>
              </w:hyperlink>
            </w:p>
            <w:p w14:paraId="1151044A" w14:textId="77777777" w:rsidR="000D568F" w:rsidRPr="008F5B9C" w:rsidRDefault="005E7754" w:rsidP="008F5B9C">
              <w:pPr>
                <w:pStyle w:val="TOC1"/>
                <w:tabs>
                  <w:tab w:val="right" w:leader="dot" w:pos="9016"/>
                </w:tabs>
                <w:rPr>
                  <w:rFonts w:ascii="Arial" w:eastAsiaTheme="minorEastAsia" w:hAnsi="Arial" w:cs="Arial"/>
                  <w:noProof/>
                  <w:szCs w:val="24"/>
                  <w:lang w:val="en-IN" w:eastAsia="en-IN"/>
                </w:rPr>
              </w:pPr>
              <w:hyperlink w:anchor="_Toc104246965" w:history="1">
                <w:r w:rsidR="000D568F" w:rsidRPr="008F5B9C">
                  <w:rPr>
                    <w:rStyle w:val="Hyperlink"/>
                    <w:rFonts w:ascii="Arial" w:hAnsi="Arial" w:cs="Arial"/>
                    <w:noProof/>
                    <w:color w:val="auto"/>
                    <w:szCs w:val="24"/>
                  </w:rPr>
                  <w:t>Financial Analysis</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_Toc104246965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4</w:t>
                </w:r>
                <w:r w:rsidR="000D568F" w:rsidRPr="008F5B9C">
                  <w:rPr>
                    <w:rFonts w:ascii="Arial" w:hAnsi="Arial" w:cs="Arial"/>
                    <w:noProof/>
                    <w:webHidden/>
                    <w:szCs w:val="24"/>
                  </w:rPr>
                  <w:fldChar w:fldCharType="end"/>
                </w:r>
              </w:hyperlink>
            </w:p>
            <w:p w14:paraId="6C1E49AC" w14:textId="77777777" w:rsidR="000D568F" w:rsidRPr="008F5B9C" w:rsidRDefault="005E7754" w:rsidP="008F5B9C">
              <w:pPr>
                <w:pStyle w:val="TOC3"/>
                <w:tabs>
                  <w:tab w:val="right" w:leader="dot" w:pos="9016"/>
                </w:tabs>
                <w:rPr>
                  <w:rFonts w:ascii="Arial" w:eastAsiaTheme="minorEastAsia" w:hAnsi="Arial" w:cs="Arial"/>
                  <w:noProof/>
                  <w:szCs w:val="24"/>
                  <w:lang w:val="en-IN" w:eastAsia="en-IN"/>
                </w:rPr>
              </w:pPr>
              <w:hyperlink w:anchor="_Toc104246966" w:history="1">
                <w:r w:rsidR="000D568F" w:rsidRPr="008F5B9C">
                  <w:rPr>
                    <w:rStyle w:val="Hyperlink"/>
                    <w:rFonts w:ascii="Arial" w:hAnsi="Arial" w:cs="Arial"/>
                    <w:noProof/>
                    <w:color w:val="auto"/>
                    <w:szCs w:val="24"/>
                  </w:rPr>
                  <w:t>Income statement 2019 &amp; 2020</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_Toc104246966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4</w:t>
                </w:r>
                <w:r w:rsidR="000D568F" w:rsidRPr="008F5B9C">
                  <w:rPr>
                    <w:rFonts w:ascii="Arial" w:hAnsi="Arial" w:cs="Arial"/>
                    <w:noProof/>
                    <w:webHidden/>
                    <w:szCs w:val="24"/>
                  </w:rPr>
                  <w:fldChar w:fldCharType="end"/>
                </w:r>
              </w:hyperlink>
            </w:p>
            <w:p w14:paraId="60FD2D90" w14:textId="77777777" w:rsidR="000D568F" w:rsidRPr="008F5B9C" w:rsidRDefault="005E7754" w:rsidP="008F5B9C">
              <w:pPr>
                <w:pStyle w:val="TOC3"/>
                <w:tabs>
                  <w:tab w:val="right" w:leader="dot" w:pos="9016"/>
                </w:tabs>
                <w:rPr>
                  <w:rFonts w:ascii="Arial" w:eastAsiaTheme="minorEastAsia" w:hAnsi="Arial" w:cs="Arial"/>
                  <w:noProof/>
                  <w:szCs w:val="24"/>
                  <w:lang w:val="en-IN" w:eastAsia="en-IN"/>
                </w:rPr>
              </w:pPr>
              <w:hyperlink w:anchor="_Toc104246967" w:history="1">
                <w:r w:rsidR="000D568F" w:rsidRPr="008F5B9C">
                  <w:rPr>
                    <w:rStyle w:val="Hyperlink"/>
                    <w:rFonts w:ascii="Arial" w:hAnsi="Arial" w:cs="Arial"/>
                    <w:noProof/>
                    <w:color w:val="auto"/>
                    <w:szCs w:val="24"/>
                  </w:rPr>
                  <w:t>Balance Sheet 2019 &amp; 2020</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_Toc104246967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4</w:t>
                </w:r>
                <w:r w:rsidR="000D568F" w:rsidRPr="008F5B9C">
                  <w:rPr>
                    <w:rFonts w:ascii="Arial" w:hAnsi="Arial" w:cs="Arial"/>
                    <w:noProof/>
                    <w:webHidden/>
                    <w:szCs w:val="24"/>
                  </w:rPr>
                  <w:fldChar w:fldCharType="end"/>
                </w:r>
              </w:hyperlink>
            </w:p>
            <w:p w14:paraId="6BC9E4AC" w14:textId="77777777" w:rsidR="000D568F" w:rsidRPr="008F5B9C" w:rsidRDefault="005E7754" w:rsidP="008F5B9C">
              <w:pPr>
                <w:pStyle w:val="TOC1"/>
                <w:tabs>
                  <w:tab w:val="right" w:leader="dot" w:pos="9016"/>
                </w:tabs>
                <w:rPr>
                  <w:rFonts w:ascii="Arial" w:eastAsiaTheme="minorEastAsia" w:hAnsi="Arial" w:cs="Arial"/>
                  <w:noProof/>
                  <w:szCs w:val="24"/>
                  <w:lang w:val="en-IN" w:eastAsia="en-IN"/>
                </w:rPr>
              </w:pPr>
              <w:hyperlink w:anchor="_Toc104246968" w:history="1">
                <w:r w:rsidR="000D568F" w:rsidRPr="008F5B9C">
                  <w:rPr>
                    <w:rStyle w:val="Hyperlink"/>
                    <w:rFonts w:ascii="Arial" w:hAnsi="Arial" w:cs="Arial"/>
                    <w:noProof/>
                    <w:color w:val="auto"/>
                    <w:szCs w:val="24"/>
                  </w:rPr>
                  <w:t>Financial Analysis Trends</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_Toc104246968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5</w:t>
                </w:r>
                <w:r w:rsidR="000D568F" w:rsidRPr="008F5B9C">
                  <w:rPr>
                    <w:rFonts w:ascii="Arial" w:hAnsi="Arial" w:cs="Arial"/>
                    <w:noProof/>
                    <w:webHidden/>
                    <w:szCs w:val="24"/>
                  </w:rPr>
                  <w:fldChar w:fldCharType="end"/>
                </w:r>
              </w:hyperlink>
            </w:p>
            <w:p w14:paraId="3B5681E3" w14:textId="77777777" w:rsidR="000D568F" w:rsidRPr="008F5B9C" w:rsidRDefault="005E7754" w:rsidP="008F5B9C">
              <w:pPr>
                <w:pStyle w:val="TOC2"/>
                <w:tabs>
                  <w:tab w:val="right" w:leader="dot" w:pos="9016"/>
                </w:tabs>
                <w:rPr>
                  <w:rFonts w:ascii="Arial" w:eastAsiaTheme="minorEastAsia" w:hAnsi="Arial" w:cs="Arial"/>
                  <w:noProof/>
                  <w:szCs w:val="24"/>
                  <w:lang w:val="en-IN" w:eastAsia="en-IN"/>
                </w:rPr>
              </w:pPr>
              <w:hyperlink w:anchor="_Toc104246969" w:history="1">
                <w:r w:rsidR="000D568F" w:rsidRPr="008F5B9C">
                  <w:rPr>
                    <w:rStyle w:val="Hyperlink"/>
                    <w:rFonts w:ascii="Arial" w:hAnsi="Arial" w:cs="Arial"/>
                    <w:noProof/>
                    <w:color w:val="auto"/>
                    <w:szCs w:val="24"/>
                  </w:rPr>
                  <w:t>Horizontal analysis</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_Toc104246969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5</w:t>
                </w:r>
                <w:r w:rsidR="000D568F" w:rsidRPr="008F5B9C">
                  <w:rPr>
                    <w:rFonts w:ascii="Arial" w:hAnsi="Arial" w:cs="Arial"/>
                    <w:noProof/>
                    <w:webHidden/>
                    <w:szCs w:val="24"/>
                  </w:rPr>
                  <w:fldChar w:fldCharType="end"/>
                </w:r>
              </w:hyperlink>
            </w:p>
            <w:p w14:paraId="00C1AE6C" w14:textId="77777777" w:rsidR="000D568F" w:rsidRPr="008F5B9C" w:rsidRDefault="005E7754" w:rsidP="008F5B9C">
              <w:pPr>
                <w:pStyle w:val="TOC2"/>
                <w:tabs>
                  <w:tab w:val="right" w:leader="dot" w:pos="9016"/>
                </w:tabs>
                <w:rPr>
                  <w:rFonts w:ascii="Arial" w:eastAsiaTheme="minorEastAsia" w:hAnsi="Arial" w:cs="Arial"/>
                  <w:noProof/>
                  <w:szCs w:val="24"/>
                  <w:lang w:val="en-IN" w:eastAsia="en-IN"/>
                </w:rPr>
              </w:pPr>
              <w:hyperlink w:anchor="_Toc104246970" w:history="1">
                <w:r w:rsidR="000D568F" w:rsidRPr="008F5B9C">
                  <w:rPr>
                    <w:rStyle w:val="Hyperlink"/>
                    <w:rFonts w:ascii="Arial" w:hAnsi="Arial" w:cs="Arial"/>
                    <w:noProof/>
                    <w:color w:val="auto"/>
                    <w:szCs w:val="24"/>
                  </w:rPr>
                  <w:t>Horizontal ratios analysis of Hilton Worldwide Holding Inc for the period 2019 and 2020</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_Toc104246970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6</w:t>
                </w:r>
                <w:r w:rsidR="000D568F" w:rsidRPr="008F5B9C">
                  <w:rPr>
                    <w:rFonts w:ascii="Arial" w:hAnsi="Arial" w:cs="Arial"/>
                    <w:noProof/>
                    <w:webHidden/>
                    <w:szCs w:val="24"/>
                  </w:rPr>
                  <w:fldChar w:fldCharType="end"/>
                </w:r>
              </w:hyperlink>
            </w:p>
            <w:p w14:paraId="214D0741" w14:textId="77777777" w:rsidR="000D568F" w:rsidRPr="008F5B9C" w:rsidRDefault="005E7754" w:rsidP="008F5B9C">
              <w:pPr>
                <w:pStyle w:val="TOC2"/>
                <w:tabs>
                  <w:tab w:val="right" w:leader="dot" w:pos="9016"/>
                </w:tabs>
                <w:rPr>
                  <w:rFonts w:ascii="Arial" w:eastAsiaTheme="minorEastAsia" w:hAnsi="Arial" w:cs="Arial"/>
                  <w:noProof/>
                  <w:szCs w:val="24"/>
                  <w:lang w:val="en-IN" w:eastAsia="en-IN"/>
                </w:rPr>
              </w:pPr>
              <w:hyperlink w:anchor="_Toc104246971" w:history="1">
                <w:r w:rsidR="000D568F" w:rsidRPr="008F5B9C">
                  <w:rPr>
                    <w:rStyle w:val="Hyperlink"/>
                    <w:rFonts w:ascii="Arial" w:hAnsi="Arial" w:cs="Arial"/>
                    <w:noProof/>
                    <w:color w:val="auto"/>
                    <w:szCs w:val="24"/>
                  </w:rPr>
                  <w:t>Importance of using ratio analysis for decision making</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_Toc104246971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7</w:t>
                </w:r>
                <w:r w:rsidR="000D568F" w:rsidRPr="008F5B9C">
                  <w:rPr>
                    <w:rFonts w:ascii="Arial" w:hAnsi="Arial" w:cs="Arial"/>
                    <w:noProof/>
                    <w:webHidden/>
                    <w:szCs w:val="24"/>
                  </w:rPr>
                  <w:fldChar w:fldCharType="end"/>
                </w:r>
              </w:hyperlink>
            </w:p>
            <w:p w14:paraId="231C0DED" w14:textId="77777777" w:rsidR="000D568F" w:rsidRPr="008F5B9C" w:rsidRDefault="005E7754" w:rsidP="008F5B9C">
              <w:pPr>
                <w:pStyle w:val="TOC2"/>
                <w:tabs>
                  <w:tab w:val="right" w:leader="dot" w:pos="9016"/>
                </w:tabs>
                <w:rPr>
                  <w:rFonts w:ascii="Arial" w:eastAsiaTheme="minorEastAsia" w:hAnsi="Arial" w:cs="Arial"/>
                  <w:noProof/>
                  <w:szCs w:val="24"/>
                  <w:lang w:val="en-IN" w:eastAsia="en-IN"/>
                </w:rPr>
              </w:pPr>
              <w:hyperlink w:anchor="_Toc104246972" w:history="1">
                <w:r w:rsidR="000D568F" w:rsidRPr="008F5B9C">
                  <w:rPr>
                    <w:rStyle w:val="Hyperlink"/>
                    <w:rFonts w:ascii="Arial" w:hAnsi="Arial" w:cs="Arial"/>
                    <w:noProof/>
                    <w:color w:val="auto"/>
                    <w:szCs w:val="24"/>
                  </w:rPr>
                  <w:t>Investigate the limitation of ratio analysis</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_Toc104246972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8</w:t>
                </w:r>
                <w:r w:rsidR="000D568F" w:rsidRPr="008F5B9C">
                  <w:rPr>
                    <w:rFonts w:ascii="Arial" w:hAnsi="Arial" w:cs="Arial"/>
                    <w:noProof/>
                    <w:webHidden/>
                    <w:szCs w:val="24"/>
                  </w:rPr>
                  <w:fldChar w:fldCharType="end"/>
                </w:r>
              </w:hyperlink>
            </w:p>
            <w:p w14:paraId="064EFCC1" w14:textId="77777777" w:rsidR="000D568F" w:rsidRPr="008F5B9C" w:rsidRDefault="005E7754" w:rsidP="008F5B9C">
              <w:pPr>
                <w:pStyle w:val="TOC1"/>
                <w:tabs>
                  <w:tab w:val="right" w:leader="dot" w:pos="9016"/>
                </w:tabs>
                <w:rPr>
                  <w:rFonts w:ascii="Arial" w:eastAsiaTheme="minorEastAsia" w:hAnsi="Arial" w:cs="Arial"/>
                  <w:noProof/>
                  <w:szCs w:val="24"/>
                  <w:lang w:val="en-IN" w:eastAsia="en-IN"/>
                </w:rPr>
              </w:pPr>
              <w:hyperlink w:anchor="_Toc104246973" w:history="1">
                <w:r w:rsidR="000D568F" w:rsidRPr="008F5B9C">
                  <w:rPr>
                    <w:rStyle w:val="Hyperlink"/>
                    <w:rFonts w:ascii="Arial" w:hAnsi="Arial" w:cs="Arial"/>
                    <w:noProof/>
                    <w:color w:val="auto"/>
                    <w:szCs w:val="24"/>
                  </w:rPr>
                  <w:t>Conclusion</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_Toc104246973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9</w:t>
                </w:r>
                <w:r w:rsidR="000D568F" w:rsidRPr="008F5B9C">
                  <w:rPr>
                    <w:rFonts w:ascii="Arial" w:hAnsi="Arial" w:cs="Arial"/>
                    <w:noProof/>
                    <w:webHidden/>
                    <w:szCs w:val="24"/>
                  </w:rPr>
                  <w:fldChar w:fldCharType="end"/>
                </w:r>
              </w:hyperlink>
            </w:p>
            <w:p w14:paraId="1F432410" w14:textId="77777777" w:rsidR="000D568F" w:rsidRPr="008F5B9C" w:rsidRDefault="005E7754" w:rsidP="008F5B9C">
              <w:pPr>
                <w:pStyle w:val="TOC1"/>
                <w:tabs>
                  <w:tab w:val="right" w:leader="dot" w:pos="9016"/>
                </w:tabs>
                <w:rPr>
                  <w:rFonts w:ascii="Arial" w:eastAsiaTheme="minorEastAsia" w:hAnsi="Arial" w:cs="Arial"/>
                  <w:noProof/>
                  <w:szCs w:val="24"/>
                  <w:lang w:val="en-IN" w:eastAsia="en-IN"/>
                </w:rPr>
              </w:pPr>
              <w:hyperlink w:anchor="_Toc104246974" w:history="1">
                <w:r w:rsidR="000D568F" w:rsidRPr="008F5B9C">
                  <w:rPr>
                    <w:rStyle w:val="Hyperlink"/>
                    <w:rFonts w:ascii="Arial" w:hAnsi="Arial" w:cs="Arial"/>
                    <w:noProof/>
                    <w:color w:val="auto"/>
                    <w:szCs w:val="24"/>
                  </w:rPr>
                  <w:t>Bibliography</w:t>
                </w:r>
                <w:r w:rsidR="000D568F" w:rsidRPr="008F5B9C">
                  <w:rPr>
                    <w:rFonts w:ascii="Arial" w:hAnsi="Arial" w:cs="Arial"/>
                    <w:noProof/>
                    <w:webHidden/>
                    <w:szCs w:val="24"/>
                  </w:rPr>
                  <w:tab/>
                </w:r>
                <w:r w:rsidR="000D568F" w:rsidRPr="008F5B9C">
                  <w:rPr>
                    <w:rFonts w:ascii="Arial" w:hAnsi="Arial" w:cs="Arial"/>
                    <w:noProof/>
                    <w:webHidden/>
                    <w:szCs w:val="24"/>
                  </w:rPr>
                  <w:fldChar w:fldCharType="begin"/>
                </w:r>
                <w:r w:rsidR="000D568F" w:rsidRPr="008F5B9C">
                  <w:rPr>
                    <w:rFonts w:ascii="Arial" w:hAnsi="Arial" w:cs="Arial"/>
                    <w:noProof/>
                    <w:webHidden/>
                    <w:szCs w:val="24"/>
                  </w:rPr>
                  <w:instrText xml:space="preserve"> PAGEREF _Toc104246974 \h </w:instrText>
                </w:r>
                <w:r w:rsidR="000D568F" w:rsidRPr="008F5B9C">
                  <w:rPr>
                    <w:rFonts w:ascii="Arial" w:hAnsi="Arial" w:cs="Arial"/>
                    <w:noProof/>
                    <w:webHidden/>
                    <w:szCs w:val="24"/>
                  </w:rPr>
                </w:r>
                <w:r w:rsidR="000D568F" w:rsidRPr="008F5B9C">
                  <w:rPr>
                    <w:rFonts w:ascii="Arial" w:hAnsi="Arial" w:cs="Arial"/>
                    <w:noProof/>
                    <w:webHidden/>
                    <w:szCs w:val="24"/>
                  </w:rPr>
                  <w:fldChar w:fldCharType="separate"/>
                </w:r>
                <w:r w:rsidR="000D568F" w:rsidRPr="008F5B9C">
                  <w:rPr>
                    <w:rFonts w:ascii="Arial" w:hAnsi="Arial" w:cs="Arial"/>
                    <w:noProof/>
                    <w:webHidden/>
                    <w:szCs w:val="24"/>
                  </w:rPr>
                  <w:t>10</w:t>
                </w:r>
                <w:r w:rsidR="000D568F" w:rsidRPr="008F5B9C">
                  <w:rPr>
                    <w:rFonts w:ascii="Arial" w:hAnsi="Arial" w:cs="Arial"/>
                    <w:noProof/>
                    <w:webHidden/>
                    <w:szCs w:val="24"/>
                  </w:rPr>
                  <w:fldChar w:fldCharType="end"/>
                </w:r>
              </w:hyperlink>
            </w:p>
            <w:p w14:paraId="3BC68F25" w14:textId="50907C6B" w:rsidR="007D1947" w:rsidRPr="008F5B9C" w:rsidRDefault="007D1947" w:rsidP="008F5B9C">
              <w:pPr>
                <w:rPr>
                  <w:rFonts w:ascii="Arial" w:hAnsi="Arial" w:cs="Arial"/>
                  <w:szCs w:val="24"/>
                </w:rPr>
              </w:pPr>
              <w:r w:rsidRPr="008F5B9C">
                <w:rPr>
                  <w:rFonts w:ascii="Arial" w:hAnsi="Arial" w:cs="Arial"/>
                  <w:b/>
                  <w:bCs/>
                  <w:noProof/>
                  <w:szCs w:val="24"/>
                </w:rPr>
                <w:fldChar w:fldCharType="end"/>
              </w:r>
              <w:r w:rsidR="00D92726" w:rsidRPr="008F5B9C">
                <w:rPr>
                  <w:rFonts w:ascii="Arial" w:hAnsi="Arial" w:cs="Arial"/>
                  <w:b/>
                  <w:bCs/>
                  <w:noProof/>
                  <w:szCs w:val="24"/>
                </w:rPr>
                <w:t xml:space="preserve"> </w:t>
              </w:r>
            </w:p>
          </w:sdtContent>
        </w:sdt>
        <w:p w14:paraId="4B6E43C0" w14:textId="77777777" w:rsidR="007D1947" w:rsidRPr="008F5B9C" w:rsidRDefault="007D1947" w:rsidP="008F5B9C">
          <w:pPr>
            <w:rPr>
              <w:rFonts w:ascii="Arial" w:hAnsi="Arial" w:cs="Arial"/>
              <w:szCs w:val="24"/>
            </w:rPr>
          </w:pPr>
        </w:p>
        <w:p w14:paraId="6029F743" w14:textId="77777777" w:rsidR="007D1947" w:rsidRPr="008F5B9C" w:rsidRDefault="007D1947" w:rsidP="008F5B9C">
          <w:pPr>
            <w:rPr>
              <w:rFonts w:ascii="Arial" w:hAnsi="Arial" w:cs="Arial"/>
              <w:szCs w:val="24"/>
            </w:rPr>
          </w:pPr>
        </w:p>
        <w:p w14:paraId="2A770B60" w14:textId="77777777" w:rsidR="007D1947" w:rsidRPr="008F5B9C" w:rsidRDefault="007D1947" w:rsidP="008F5B9C">
          <w:pPr>
            <w:rPr>
              <w:rFonts w:ascii="Arial" w:hAnsi="Arial" w:cs="Arial"/>
              <w:szCs w:val="24"/>
            </w:rPr>
          </w:pPr>
        </w:p>
        <w:p w14:paraId="09B9315D" w14:textId="77777777" w:rsidR="00D92726" w:rsidRPr="008F5B9C" w:rsidRDefault="00D92726" w:rsidP="008F5B9C">
          <w:pPr>
            <w:rPr>
              <w:rFonts w:ascii="Arial" w:eastAsiaTheme="majorEastAsia" w:hAnsi="Arial" w:cs="Arial"/>
              <w:szCs w:val="24"/>
            </w:rPr>
          </w:pPr>
          <w:r w:rsidRPr="008F5B9C">
            <w:rPr>
              <w:rFonts w:ascii="Arial" w:hAnsi="Arial" w:cs="Arial"/>
              <w:szCs w:val="24"/>
            </w:rPr>
            <w:br w:type="page"/>
          </w:r>
        </w:p>
        <w:p w14:paraId="33FC2C21" w14:textId="3A37CCD1" w:rsidR="007D1947" w:rsidRPr="008F5B9C" w:rsidRDefault="007D1947" w:rsidP="008F5B9C">
          <w:pPr>
            <w:pStyle w:val="Heading1"/>
            <w:rPr>
              <w:rFonts w:ascii="Arial" w:hAnsi="Arial" w:cs="Arial"/>
              <w:color w:val="auto"/>
              <w:sz w:val="24"/>
              <w:szCs w:val="24"/>
            </w:rPr>
          </w:pPr>
          <w:bookmarkStart w:id="1" w:name="_Toc104246964"/>
          <w:r w:rsidRPr="008F5B9C">
            <w:rPr>
              <w:rFonts w:ascii="Arial" w:hAnsi="Arial" w:cs="Arial"/>
              <w:color w:val="auto"/>
              <w:sz w:val="24"/>
              <w:szCs w:val="24"/>
            </w:rPr>
            <w:lastRenderedPageBreak/>
            <w:t>Introduction</w:t>
          </w:r>
          <w:bookmarkEnd w:id="1"/>
        </w:p>
        <w:p w14:paraId="655E9808" w14:textId="77777777" w:rsidR="00590BAD" w:rsidRPr="008F5B9C" w:rsidRDefault="00590BAD" w:rsidP="008F5B9C">
          <w:pPr>
            <w:rPr>
              <w:rFonts w:ascii="Arial" w:hAnsi="Arial" w:cs="Arial"/>
              <w:szCs w:val="24"/>
            </w:rPr>
          </w:pPr>
          <w:r w:rsidRPr="008F5B9C">
            <w:rPr>
              <w:rFonts w:ascii="Arial" w:hAnsi="Arial" w:cs="Arial"/>
              <w:szCs w:val="24"/>
            </w:rPr>
            <w:t xml:space="preserve">The report will discuss the analysis of the financial statement which includes the income statement, balance sheet and cash flow statement. However here the analysis will be on the horizontal ratios of Hilton Worldwide Holdings Inc  and compare them into two year 2019 and 2020. The analysis includes all the information related to the financial statement. The horizontal ratio will discuss the trend of the organisation in this two year, about the change and its change percentage. The paper will also discuss the importance of using the ratio analysis for decision making and also investigate the limitation of ratio analysis which will include the understanding of ratios and its fluctuation in the Hotel management financial statement of Hilton Worldwide Holdings Inc. </w:t>
          </w:r>
        </w:p>
        <w:p w14:paraId="48D9A282" w14:textId="77777777" w:rsidR="00590BAD" w:rsidRPr="008F5B9C" w:rsidRDefault="00590BAD" w:rsidP="008F5B9C">
          <w:pPr>
            <w:rPr>
              <w:rFonts w:ascii="Arial" w:hAnsi="Arial" w:cs="Arial"/>
              <w:szCs w:val="24"/>
            </w:rPr>
          </w:pPr>
        </w:p>
        <w:p w14:paraId="6C35C80D" w14:textId="77777777" w:rsidR="007D1947" w:rsidRPr="008F5B9C" w:rsidRDefault="007D1947" w:rsidP="008F5B9C">
          <w:pPr>
            <w:rPr>
              <w:rFonts w:ascii="Arial" w:hAnsi="Arial" w:cs="Arial"/>
              <w:szCs w:val="24"/>
            </w:rPr>
          </w:pPr>
        </w:p>
        <w:p w14:paraId="6648814C" w14:textId="77777777" w:rsidR="004A11F6" w:rsidRPr="008F5B9C" w:rsidRDefault="004A11F6" w:rsidP="008F5B9C">
          <w:pPr>
            <w:rPr>
              <w:rFonts w:ascii="Arial" w:hAnsi="Arial" w:cs="Arial"/>
              <w:szCs w:val="24"/>
            </w:rPr>
          </w:pPr>
        </w:p>
        <w:p w14:paraId="06953414" w14:textId="77777777" w:rsidR="004A11F6" w:rsidRPr="008F5B9C" w:rsidRDefault="004A11F6" w:rsidP="008F5B9C">
          <w:pPr>
            <w:rPr>
              <w:rFonts w:ascii="Arial" w:hAnsi="Arial" w:cs="Arial"/>
              <w:szCs w:val="24"/>
            </w:rPr>
          </w:pPr>
        </w:p>
        <w:p w14:paraId="24FB9339" w14:textId="77777777" w:rsidR="004A11F6" w:rsidRPr="008F5B9C" w:rsidRDefault="004A11F6" w:rsidP="008F5B9C">
          <w:pPr>
            <w:rPr>
              <w:rFonts w:ascii="Arial" w:hAnsi="Arial" w:cs="Arial"/>
              <w:szCs w:val="24"/>
            </w:rPr>
          </w:pPr>
        </w:p>
        <w:p w14:paraId="624BAEC6" w14:textId="77777777" w:rsidR="004A11F6" w:rsidRPr="008F5B9C" w:rsidRDefault="004A11F6" w:rsidP="008F5B9C">
          <w:pPr>
            <w:rPr>
              <w:rFonts w:ascii="Arial" w:hAnsi="Arial" w:cs="Arial"/>
              <w:szCs w:val="24"/>
            </w:rPr>
          </w:pPr>
        </w:p>
        <w:p w14:paraId="0C7CBD32" w14:textId="77777777" w:rsidR="004A11F6" w:rsidRPr="008F5B9C" w:rsidRDefault="004A11F6" w:rsidP="008F5B9C">
          <w:pPr>
            <w:rPr>
              <w:rFonts w:ascii="Arial" w:hAnsi="Arial" w:cs="Arial"/>
              <w:szCs w:val="24"/>
            </w:rPr>
          </w:pPr>
        </w:p>
        <w:p w14:paraId="2872E3C8" w14:textId="77777777" w:rsidR="004A11F6" w:rsidRPr="008F5B9C" w:rsidRDefault="004A11F6" w:rsidP="008F5B9C">
          <w:pPr>
            <w:rPr>
              <w:rFonts w:ascii="Arial" w:hAnsi="Arial" w:cs="Arial"/>
              <w:szCs w:val="24"/>
            </w:rPr>
          </w:pPr>
        </w:p>
        <w:p w14:paraId="5A994779" w14:textId="77777777" w:rsidR="004A11F6" w:rsidRPr="008F5B9C" w:rsidRDefault="004A11F6" w:rsidP="008F5B9C">
          <w:pPr>
            <w:rPr>
              <w:rFonts w:ascii="Arial" w:hAnsi="Arial" w:cs="Arial"/>
              <w:szCs w:val="24"/>
            </w:rPr>
          </w:pPr>
        </w:p>
        <w:p w14:paraId="4557C24D" w14:textId="77777777" w:rsidR="004A11F6" w:rsidRPr="008F5B9C" w:rsidRDefault="004A11F6" w:rsidP="008F5B9C">
          <w:pPr>
            <w:rPr>
              <w:rFonts w:ascii="Arial" w:hAnsi="Arial" w:cs="Arial"/>
              <w:szCs w:val="24"/>
            </w:rPr>
          </w:pPr>
        </w:p>
        <w:p w14:paraId="52C5D98A" w14:textId="77777777" w:rsidR="004A11F6" w:rsidRPr="008F5B9C" w:rsidRDefault="004A11F6" w:rsidP="008F5B9C">
          <w:pPr>
            <w:rPr>
              <w:rFonts w:ascii="Arial" w:hAnsi="Arial" w:cs="Arial"/>
              <w:szCs w:val="24"/>
            </w:rPr>
          </w:pPr>
        </w:p>
        <w:p w14:paraId="0B376D9C" w14:textId="77777777" w:rsidR="004A11F6" w:rsidRPr="008F5B9C" w:rsidRDefault="004A11F6" w:rsidP="008F5B9C">
          <w:pPr>
            <w:rPr>
              <w:rFonts w:ascii="Arial" w:hAnsi="Arial" w:cs="Arial"/>
              <w:szCs w:val="24"/>
            </w:rPr>
          </w:pPr>
        </w:p>
        <w:p w14:paraId="6874B16B" w14:textId="77777777" w:rsidR="004A11F6" w:rsidRPr="008F5B9C" w:rsidRDefault="004A11F6" w:rsidP="008F5B9C">
          <w:pPr>
            <w:rPr>
              <w:rFonts w:ascii="Arial" w:hAnsi="Arial" w:cs="Arial"/>
              <w:szCs w:val="24"/>
            </w:rPr>
          </w:pPr>
        </w:p>
        <w:p w14:paraId="23E9B602" w14:textId="77777777" w:rsidR="004A11F6" w:rsidRPr="008F5B9C" w:rsidRDefault="004A11F6" w:rsidP="008F5B9C">
          <w:pPr>
            <w:rPr>
              <w:rFonts w:ascii="Arial" w:hAnsi="Arial" w:cs="Arial"/>
              <w:szCs w:val="24"/>
            </w:rPr>
          </w:pPr>
        </w:p>
        <w:p w14:paraId="57F8277E" w14:textId="77777777" w:rsidR="004A11F6" w:rsidRPr="008F5B9C" w:rsidRDefault="004A11F6" w:rsidP="008F5B9C">
          <w:pPr>
            <w:rPr>
              <w:rFonts w:ascii="Arial" w:hAnsi="Arial" w:cs="Arial"/>
              <w:szCs w:val="24"/>
            </w:rPr>
          </w:pPr>
        </w:p>
        <w:p w14:paraId="53714BC2" w14:textId="420A4063" w:rsidR="004A11F6" w:rsidRPr="008F5B9C" w:rsidRDefault="004A11F6" w:rsidP="008F5B9C">
          <w:pPr>
            <w:pStyle w:val="Heading1"/>
            <w:rPr>
              <w:rFonts w:ascii="Arial" w:hAnsi="Arial" w:cs="Arial"/>
              <w:color w:val="auto"/>
              <w:sz w:val="24"/>
              <w:szCs w:val="24"/>
            </w:rPr>
          </w:pPr>
          <w:bookmarkStart w:id="2" w:name="_Toc104246965"/>
          <w:r w:rsidRPr="008F5B9C">
            <w:rPr>
              <w:rFonts w:ascii="Arial" w:hAnsi="Arial" w:cs="Arial"/>
              <w:color w:val="auto"/>
              <w:sz w:val="24"/>
              <w:szCs w:val="24"/>
            </w:rPr>
            <w:lastRenderedPageBreak/>
            <w:t>Financial Analysis</w:t>
          </w:r>
          <w:bookmarkEnd w:id="2"/>
        </w:p>
        <w:p w14:paraId="20DC2883" w14:textId="74A7AD3A" w:rsidR="00416A3D" w:rsidRPr="008F5B9C" w:rsidRDefault="00416A3D" w:rsidP="008F5B9C">
          <w:pPr>
            <w:rPr>
              <w:rFonts w:ascii="Arial" w:hAnsi="Arial" w:cs="Arial"/>
              <w:szCs w:val="24"/>
            </w:rPr>
          </w:pPr>
          <w:r w:rsidRPr="008F5B9C">
            <w:rPr>
              <w:rFonts w:ascii="Arial" w:hAnsi="Arial" w:cs="Arial"/>
              <w:szCs w:val="24"/>
            </w:rPr>
            <w:t>2019 and 2020 horizontal ratio analysis for the year 2020 and 2019 will be shown below for income statement and balance sheet</w:t>
          </w:r>
        </w:p>
        <w:tbl>
          <w:tblPr>
            <w:tblStyle w:val="GridTable1Light"/>
            <w:tblW w:w="9025" w:type="dxa"/>
            <w:tblLayout w:type="fixed"/>
            <w:tblLook w:val="05E0" w:firstRow="1" w:lastRow="1" w:firstColumn="1" w:lastColumn="1" w:noHBand="0" w:noVBand="1"/>
          </w:tblPr>
          <w:tblGrid>
            <w:gridCol w:w="3501"/>
            <w:gridCol w:w="1326"/>
            <w:gridCol w:w="1326"/>
            <w:gridCol w:w="1326"/>
            <w:gridCol w:w="1546"/>
          </w:tblGrid>
          <w:tr w:rsidR="008F5B9C" w:rsidRPr="008F5B9C" w14:paraId="736DFCD0" w14:textId="77777777" w:rsidTr="008A7857">
            <w:trPr>
              <w:cnfStyle w:val="100000000000" w:firstRow="1" w:lastRow="0" w:firstColumn="0" w:lastColumn="0" w:oddVBand="0" w:evenVBand="0" w:oddHBand="0" w:evenHBand="0" w:firstRowFirstColumn="0" w:firstRowLastColumn="0" w:lastRowFirstColumn="0" w:lastRowLastColumn="0"/>
              <w:trHeight w:val="920"/>
            </w:trPr>
            <w:tc>
              <w:tcPr>
                <w:cnfStyle w:val="001000000000" w:firstRow="0" w:lastRow="0" w:firstColumn="1" w:lastColumn="0" w:oddVBand="0" w:evenVBand="0" w:oddHBand="0" w:evenHBand="0" w:firstRowFirstColumn="0" w:firstRowLastColumn="0" w:lastRowFirstColumn="0" w:lastRowLastColumn="0"/>
                <w:tcW w:w="9024" w:type="dxa"/>
                <w:gridSpan w:val="5"/>
              </w:tcPr>
              <w:p w14:paraId="4306B581" w14:textId="77777777" w:rsidR="00590BAD" w:rsidRPr="008F5B9C" w:rsidRDefault="00590BAD" w:rsidP="008F5B9C">
                <w:pPr>
                  <w:pStyle w:val="Heading3"/>
                  <w:outlineLvl w:val="2"/>
                  <w:rPr>
                    <w:rFonts w:ascii="Arial" w:hAnsi="Arial" w:cs="Arial"/>
                    <w:color w:val="auto"/>
                  </w:rPr>
                </w:pPr>
                <w:bookmarkStart w:id="3" w:name="_Toc103898520"/>
                <w:bookmarkStart w:id="4" w:name="_Toc104246966"/>
                <w:r w:rsidRPr="008F5B9C">
                  <w:rPr>
                    <w:rFonts w:ascii="Arial" w:hAnsi="Arial" w:cs="Arial"/>
                    <w:color w:val="auto"/>
                  </w:rPr>
                  <w:t>Income statement 2019 &amp; 2020</w:t>
                </w:r>
                <w:bookmarkEnd w:id="3"/>
                <w:bookmarkEnd w:id="4"/>
              </w:p>
            </w:tc>
          </w:tr>
          <w:tr w:rsidR="008F5B9C" w:rsidRPr="008F5B9C" w14:paraId="5E8C0824" w14:textId="77777777" w:rsidTr="008A7857">
            <w:trPr>
              <w:trHeight w:val="800"/>
            </w:trPr>
            <w:tc>
              <w:tcPr>
                <w:cnfStyle w:val="001000000000" w:firstRow="0" w:lastRow="0" w:firstColumn="1" w:lastColumn="0" w:oddVBand="0" w:evenVBand="0" w:oddHBand="0" w:evenHBand="0" w:firstRowFirstColumn="0" w:firstRowLastColumn="0" w:lastRowFirstColumn="0" w:lastRowLastColumn="0"/>
                <w:tcW w:w="9024" w:type="dxa"/>
                <w:gridSpan w:val="5"/>
              </w:tcPr>
              <w:p w14:paraId="5D88A76E"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Hilton Worldwide Holdings Inc. (HLT)</w:t>
                </w:r>
              </w:p>
            </w:tc>
          </w:tr>
          <w:tr w:rsidR="008F5B9C" w:rsidRPr="008F5B9C" w14:paraId="3F40101E"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9024" w:type="dxa"/>
                <w:gridSpan w:val="5"/>
              </w:tcPr>
              <w:p w14:paraId="3D213D79"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All numbers in thousands (USD)</w:t>
                </w:r>
              </w:p>
            </w:tc>
          </w:tr>
          <w:tr w:rsidR="008F5B9C" w:rsidRPr="008F5B9C" w14:paraId="72993589"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17B71B7A"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 xml:space="preserve"> </w:t>
                </w:r>
              </w:p>
            </w:tc>
            <w:tc>
              <w:tcPr>
                <w:tcW w:w="1326" w:type="dxa"/>
              </w:tcPr>
              <w:p w14:paraId="66A5E338"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2020</w:t>
                </w:r>
              </w:p>
            </w:tc>
            <w:tc>
              <w:tcPr>
                <w:tcW w:w="1326" w:type="dxa"/>
              </w:tcPr>
              <w:p w14:paraId="050ADBA0"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2019</w:t>
                </w:r>
              </w:p>
            </w:tc>
            <w:tc>
              <w:tcPr>
                <w:tcW w:w="1326" w:type="dxa"/>
              </w:tcPr>
              <w:p w14:paraId="0C983B68"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Change</w:t>
                </w:r>
              </w:p>
            </w:tc>
            <w:tc>
              <w:tcPr>
                <w:cnfStyle w:val="000100000000" w:firstRow="0" w:lastRow="0" w:firstColumn="0" w:lastColumn="1" w:oddVBand="0" w:evenVBand="0" w:oddHBand="0" w:evenHBand="0" w:firstRowFirstColumn="0" w:firstRowLastColumn="0" w:lastRowFirstColumn="0" w:lastRowLastColumn="0"/>
                <w:tcW w:w="1546" w:type="dxa"/>
              </w:tcPr>
              <w:p w14:paraId="472BB3B0"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 Change</w:t>
                </w:r>
              </w:p>
            </w:tc>
          </w:tr>
          <w:tr w:rsidR="008F5B9C" w:rsidRPr="008F5B9C" w14:paraId="01F2C4B8"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7AA7B75C"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Fiscal Year Ends</w:t>
                </w:r>
              </w:p>
            </w:tc>
            <w:tc>
              <w:tcPr>
                <w:tcW w:w="1326" w:type="dxa"/>
              </w:tcPr>
              <w:p w14:paraId="0F324886"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31-12-2021</w:t>
                </w:r>
              </w:p>
            </w:tc>
            <w:tc>
              <w:tcPr>
                <w:tcW w:w="1326" w:type="dxa"/>
              </w:tcPr>
              <w:p w14:paraId="1714F926"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31-12-2020</w:t>
                </w:r>
              </w:p>
            </w:tc>
            <w:tc>
              <w:tcPr>
                <w:tcW w:w="1326" w:type="dxa"/>
              </w:tcPr>
              <w:p w14:paraId="1AA6F0B0"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 xml:space="preserve"> </w:t>
                </w:r>
              </w:p>
            </w:tc>
            <w:tc>
              <w:tcPr>
                <w:cnfStyle w:val="000100000000" w:firstRow="0" w:lastRow="0" w:firstColumn="0" w:lastColumn="1" w:oddVBand="0" w:evenVBand="0" w:oddHBand="0" w:evenHBand="0" w:firstRowFirstColumn="0" w:firstRowLastColumn="0" w:lastRowFirstColumn="0" w:lastRowLastColumn="0"/>
                <w:tcW w:w="1546" w:type="dxa"/>
              </w:tcPr>
              <w:p w14:paraId="116C472A"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 xml:space="preserve"> </w:t>
                </w:r>
              </w:p>
            </w:tc>
          </w:tr>
          <w:tr w:rsidR="008F5B9C" w:rsidRPr="008F5B9C" w14:paraId="7D335F81"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59716BA2"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Sales</w:t>
                </w:r>
              </w:p>
            </w:tc>
            <w:tc>
              <w:tcPr>
                <w:tcW w:w="1326" w:type="dxa"/>
              </w:tcPr>
              <w:p w14:paraId="6F3B06CF"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43,07,000</w:t>
                </w:r>
              </w:p>
            </w:tc>
            <w:tc>
              <w:tcPr>
                <w:tcW w:w="1326" w:type="dxa"/>
              </w:tcPr>
              <w:p w14:paraId="468125B1"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94,52,000</w:t>
                </w:r>
              </w:p>
            </w:tc>
            <w:tc>
              <w:tcPr>
                <w:tcW w:w="1326" w:type="dxa"/>
              </w:tcPr>
              <w:p w14:paraId="638FBFC1"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-51,45,000</w:t>
                </w:r>
              </w:p>
            </w:tc>
            <w:tc>
              <w:tcPr>
                <w:cnfStyle w:val="000100000000" w:firstRow="0" w:lastRow="0" w:firstColumn="0" w:lastColumn="1" w:oddVBand="0" w:evenVBand="0" w:oddHBand="0" w:evenHBand="0" w:firstRowFirstColumn="0" w:firstRowLastColumn="0" w:lastRowFirstColumn="0" w:lastRowLastColumn="0"/>
                <w:tcW w:w="1546" w:type="dxa"/>
              </w:tcPr>
              <w:p w14:paraId="1CBC41C2"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-54.4329242</w:t>
                </w:r>
              </w:p>
            </w:tc>
          </w:tr>
          <w:tr w:rsidR="008F5B9C" w:rsidRPr="008F5B9C" w14:paraId="61476AF8"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36E3C243"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Cost of goods sold</w:t>
                </w:r>
              </w:p>
            </w:tc>
            <w:tc>
              <w:tcPr>
                <w:tcW w:w="1326" w:type="dxa"/>
              </w:tcPr>
              <w:p w14:paraId="5AA05B7B"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37,24,000</w:t>
                </w:r>
              </w:p>
            </w:tc>
            <w:tc>
              <w:tcPr>
                <w:tcW w:w="1326" w:type="dxa"/>
              </w:tcPr>
              <w:p w14:paraId="54E2610A"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70,17,000</w:t>
                </w:r>
              </w:p>
            </w:tc>
            <w:tc>
              <w:tcPr>
                <w:tcW w:w="1326" w:type="dxa"/>
              </w:tcPr>
              <w:p w14:paraId="0BB190EE"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-32,93,000</w:t>
                </w:r>
              </w:p>
            </w:tc>
            <w:tc>
              <w:tcPr>
                <w:cnfStyle w:val="000100000000" w:firstRow="0" w:lastRow="0" w:firstColumn="0" w:lastColumn="1" w:oddVBand="0" w:evenVBand="0" w:oddHBand="0" w:evenHBand="0" w:firstRowFirstColumn="0" w:firstRowLastColumn="0" w:lastRowFirstColumn="0" w:lastRowLastColumn="0"/>
                <w:tcW w:w="1546" w:type="dxa"/>
              </w:tcPr>
              <w:p w14:paraId="3611BB33"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-46.928887</w:t>
                </w:r>
              </w:p>
            </w:tc>
          </w:tr>
          <w:tr w:rsidR="008F5B9C" w:rsidRPr="008F5B9C" w14:paraId="0BE7117C"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0BDF84F6"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Gross profit</w:t>
                </w:r>
              </w:p>
            </w:tc>
            <w:tc>
              <w:tcPr>
                <w:tcW w:w="1326" w:type="dxa"/>
              </w:tcPr>
              <w:p w14:paraId="18FC952E"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5,83,000</w:t>
                </w:r>
              </w:p>
            </w:tc>
            <w:tc>
              <w:tcPr>
                <w:tcW w:w="1326" w:type="dxa"/>
              </w:tcPr>
              <w:p w14:paraId="2CF3C7F3"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24,35,000</w:t>
                </w:r>
              </w:p>
            </w:tc>
            <w:tc>
              <w:tcPr>
                <w:tcW w:w="1326" w:type="dxa"/>
              </w:tcPr>
              <w:p w14:paraId="1F4A7EA2"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-18,52,000</w:t>
                </w:r>
              </w:p>
            </w:tc>
            <w:tc>
              <w:tcPr>
                <w:cnfStyle w:val="000100000000" w:firstRow="0" w:lastRow="0" w:firstColumn="0" w:lastColumn="1" w:oddVBand="0" w:evenVBand="0" w:oddHBand="0" w:evenHBand="0" w:firstRowFirstColumn="0" w:firstRowLastColumn="0" w:lastRowFirstColumn="0" w:lastRowLastColumn="0"/>
                <w:tcW w:w="1546" w:type="dxa"/>
              </w:tcPr>
              <w:p w14:paraId="07E8E007"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-76.0574949</w:t>
                </w:r>
              </w:p>
            </w:tc>
          </w:tr>
          <w:tr w:rsidR="008F5B9C" w:rsidRPr="008F5B9C" w14:paraId="78489AC4"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3A968A94"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Operating Expenses</w:t>
                </w:r>
              </w:p>
            </w:tc>
            <w:tc>
              <w:tcPr>
                <w:tcW w:w="1326" w:type="dxa"/>
              </w:tcPr>
              <w:p w14:paraId="3C4F2303"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7,02,000</w:t>
                </w:r>
              </w:p>
            </w:tc>
            <w:tc>
              <w:tcPr>
                <w:tcW w:w="1326" w:type="dxa"/>
              </w:tcPr>
              <w:p w14:paraId="42FEFC5C"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8,59,000</w:t>
                </w:r>
              </w:p>
            </w:tc>
            <w:tc>
              <w:tcPr>
                <w:tcW w:w="1326" w:type="dxa"/>
              </w:tcPr>
              <w:p w14:paraId="4B244032"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-1,57,000</w:t>
                </w:r>
              </w:p>
            </w:tc>
            <w:tc>
              <w:tcPr>
                <w:cnfStyle w:val="000100000000" w:firstRow="0" w:lastRow="0" w:firstColumn="0" w:lastColumn="1" w:oddVBand="0" w:evenVBand="0" w:oddHBand="0" w:evenHBand="0" w:firstRowFirstColumn="0" w:firstRowLastColumn="0" w:lastRowFirstColumn="0" w:lastRowLastColumn="0"/>
                <w:tcW w:w="1546" w:type="dxa"/>
              </w:tcPr>
              <w:p w14:paraId="48BF91C9"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-18.2770664</w:t>
                </w:r>
              </w:p>
            </w:tc>
          </w:tr>
          <w:tr w:rsidR="008F5B9C" w:rsidRPr="008F5B9C" w14:paraId="523C929C"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14664DBD"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Operating income</w:t>
                </w:r>
              </w:p>
            </w:tc>
            <w:tc>
              <w:tcPr>
                <w:tcW w:w="1326" w:type="dxa"/>
              </w:tcPr>
              <w:p w14:paraId="33C0FAF1"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-1,19,000</w:t>
                </w:r>
              </w:p>
            </w:tc>
            <w:tc>
              <w:tcPr>
                <w:tcW w:w="1326" w:type="dxa"/>
              </w:tcPr>
              <w:p w14:paraId="0D67BAA2"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15,76,000</w:t>
                </w:r>
              </w:p>
            </w:tc>
            <w:tc>
              <w:tcPr>
                <w:tcW w:w="1326" w:type="dxa"/>
              </w:tcPr>
              <w:p w14:paraId="5F6F8C7A"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-16,95,000</w:t>
                </w:r>
              </w:p>
            </w:tc>
            <w:tc>
              <w:tcPr>
                <w:cnfStyle w:val="000100000000" w:firstRow="0" w:lastRow="0" w:firstColumn="0" w:lastColumn="1" w:oddVBand="0" w:evenVBand="0" w:oddHBand="0" w:evenHBand="0" w:firstRowFirstColumn="0" w:firstRowLastColumn="0" w:lastRowFirstColumn="0" w:lastRowLastColumn="0"/>
                <w:tcW w:w="1546" w:type="dxa"/>
              </w:tcPr>
              <w:p w14:paraId="556D03EE"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-107.550761</w:t>
                </w:r>
              </w:p>
            </w:tc>
          </w:tr>
          <w:tr w:rsidR="008F5B9C" w:rsidRPr="008F5B9C" w14:paraId="3AD30120"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78D139A5"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Interest Expense</w:t>
                </w:r>
              </w:p>
            </w:tc>
            <w:tc>
              <w:tcPr>
                <w:tcW w:w="1326" w:type="dxa"/>
              </w:tcPr>
              <w:p w14:paraId="0D9D5A04"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4,29,000</w:t>
                </w:r>
              </w:p>
            </w:tc>
            <w:tc>
              <w:tcPr>
                <w:tcW w:w="1326" w:type="dxa"/>
              </w:tcPr>
              <w:p w14:paraId="689314A8"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4,14,000</w:t>
                </w:r>
              </w:p>
            </w:tc>
            <w:tc>
              <w:tcPr>
                <w:tcW w:w="1326" w:type="dxa"/>
              </w:tcPr>
              <w:p w14:paraId="6D8C5CA0"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15,000</w:t>
                </w:r>
              </w:p>
            </w:tc>
            <w:tc>
              <w:tcPr>
                <w:cnfStyle w:val="000100000000" w:firstRow="0" w:lastRow="0" w:firstColumn="0" w:lastColumn="1" w:oddVBand="0" w:evenVBand="0" w:oddHBand="0" w:evenHBand="0" w:firstRowFirstColumn="0" w:firstRowLastColumn="0" w:lastRowFirstColumn="0" w:lastRowLastColumn="0"/>
                <w:tcW w:w="1546" w:type="dxa"/>
              </w:tcPr>
              <w:p w14:paraId="3CCA6009"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3.623188406</w:t>
                </w:r>
              </w:p>
            </w:tc>
          </w:tr>
          <w:tr w:rsidR="008F5B9C" w:rsidRPr="008F5B9C" w14:paraId="440E810F"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4BDF09E2"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Total Other income/ expenses net</w:t>
                </w:r>
              </w:p>
            </w:tc>
            <w:tc>
              <w:tcPr>
                <w:tcW w:w="1326" w:type="dxa"/>
              </w:tcPr>
              <w:p w14:paraId="468AF419"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-3,76,000</w:t>
                </w:r>
              </w:p>
            </w:tc>
            <w:tc>
              <w:tcPr>
                <w:tcW w:w="1326" w:type="dxa"/>
              </w:tcPr>
              <w:p w14:paraId="5BC34A7B"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82,000</w:t>
                </w:r>
              </w:p>
            </w:tc>
            <w:tc>
              <w:tcPr>
                <w:tcW w:w="1326" w:type="dxa"/>
              </w:tcPr>
              <w:p w14:paraId="6E0D43FF"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-4,58,000</w:t>
                </w:r>
              </w:p>
            </w:tc>
            <w:tc>
              <w:tcPr>
                <w:cnfStyle w:val="000100000000" w:firstRow="0" w:lastRow="0" w:firstColumn="0" w:lastColumn="1" w:oddVBand="0" w:evenVBand="0" w:oddHBand="0" w:evenHBand="0" w:firstRowFirstColumn="0" w:firstRowLastColumn="0" w:lastRowFirstColumn="0" w:lastRowLastColumn="0"/>
                <w:tcW w:w="1546" w:type="dxa"/>
              </w:tcPr>
              <w:p w14:paraId="0DF67C62"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-558.536585</w:t>
                </w:r>
              </w:p>
            </w:tc>
          </w:tr>
          <w:tr w:rsidR="008F5B9C" w:rsidRPr="008F5B9C" w14:paraId="17A0967A" w14:textId="77777777" w:rsidTr="008A7857">
            <w:trPr>
              <w:trHeight w:val="515"/>
            </w:trPr>
            <w:tc>
              <w:tcPr>
                <w:cnfStyle w:val="001000000000" w:firstRow="0" w:lastRow="0" w:firstColumn="1" w:lastColumn="0" w:oddVBand="0" w:evenVBand="0" w:oddHBand="0" w:evenHBand="0" w:firstRowFirstColumn="0" w:firstRowLastColumn="0" w:lastRowFirstColumn="0" w:lastRowLastColumn="0"/>
                <w:tcW w:w="3500" w:type="dxa"/>
              </w:tcPr>
              <w:p w14:paraId="7B7A04E5"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Income before taxes</w:t>
                </w:r>
              </w:p>
            </w:tc>
            <w:tc>
              <w:tcPr>
                <w:tcW w:w="1326" w:type="dxa"/>
              </w:tcPr>
              <w:p w14:paraId="131ACD57"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-9,24,000</w:t>
                </w:r>
              </w:p>
            </w:tc>
            <w:tc>
              <w:tcPr>
                <w:tcW w:w="1326" w:type="dxa"/>
              </w:tcPr>
              <w:p w14:paraId="064437BC"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12,44,000</w:t>
                </w:r>
              </w:p>
            </w:tc>
            <w:tc>
              <w:tcPr>
                <w:tcW w:w="1326" w:type="dxa"/>
              </w:tcPr>
              <w:p w14:paraId="021AD276" w14:textId="77777777" w:rsidR="00590BAD" w:rsidRPr="008F5B9C" w:rsidRDefault="00590BAD" w:rsidP="008F5B9C">
                <w:pPr>
                  <w:widowControl w:val="0"/>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-21,68,000</w:t>
                </w:r>
              </w:p>
            </w:tc>
            <w:tc>
              <w:tcPr>
                <w:cnfStyle w:val="000100000000" w:firstRow="0" w:lastRow="0" w:firstColumn="0" w:lastColumn="1" w:oddVBand="0" w:evenVBand="0" w:oddHBand="0" w:evenHBand="0" w:firstRowFirstColumn="0" w:firstRowLastColumn="0" w:lastRowFirstColumn="0" w:lastRowLastColumn="0"/>
                <w:tcW w:w="1546" w:type="dxa"/>
              </w:tcPr>
              <w:p w14:paraId="5A089DF5"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-174.276527</w:t>
                </w:r>
              </w:p>
            </w:tc>
          </w:tr>
          <w:tr w:rsidR="008F5B9C" w:rsidRPr="008F5B9C" w14:paraId="34B603AB" w14:textId="77777777" w:rsidTr="008A7857">
            <w:trPr>
              <w:cnfStyle w:val="010000000000" w:firstRow="0" w:lastRow="1" w:firstColumn="0" w:lastColumn="0" w:oddVBand="0" w:evenVBand="0" w:oddHBand="0"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3500" w:type="dxa"/>
              </w:tcPr>
              <w:p w14:paraId="06B981F8"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Net income</w:t>
                </w:r>
              </w:p>
            </w:tc>
            <w:tc>
              <w:tcPr>
                <w:tcW w:w="1326" w:type="dxa"/>
              </w:tcPr>
              <w:p w14:paraId="15BBAAB0" w14:textId="77777777" w:rsidR="00590BAD" w:rsidRPr="008F5B9C" w:rsidRDefault="00590BAD" w:rsidP="008F5B9C">
                <w:pPr>
                  <w:widowControl w:val="0"/>
                  <w:pBdr>
                    <w:top w:val="nil"/>
                    <w:left w:val="nil"/>
                    <w:bottom w:val="nil"/>
                    <w:right w:val="nil"/>
                    <w:between w:val="nil"/>
                  </w:pBdr>
                  <w:cnfStyle w:val="010000000000" w:firstRow="0" w:lastRow="1"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-7,15,000</w:t>
                </w:r>
              </w:p>
            </w:tc>
            <w:tc>
              <w:tcPr>
                <w:tcW w:w="1326" w:type="dxa"/>
              </w:tcPr>
              <w:p w14:paraId="5B8FE020" w14:textId="77777777" w:rsidR="00590BAD" w:rsidRPr="008F5B9C" w:rsidRDefault="00590BAD" w:rsidP="008F5B9C">
                <w:pPr>
                  <w:widowControl w:val="0"/>
                  <w:pBdr>
                    <w:top w:val="nil"/>
                    <w:left w:val="nil"/>
                    <w:bottom w:val="nil"/>
                    <w:right w:val="nil"/>
                    <w:between w:val="nil"/>
                  </w:pBdr>
                  <w:cnfStyle w:val="010000000000" w:firstRow="0" w:lastRow="1"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8,81,000</w:t>
                </w:r>
              </w:p>
            </w:tc>
            <w:tc>
              <w:tcPr>
                <w:tcW w:w="1326" w:type="dxa"/>
              </w:tcPr>
              <w:p w14:paraId="399622B0" w14:textId="77777777" w:rsidR="00590BAD" w:rsidRPr="008F5B9C" w:rsidRDefault="00590BAD" w:rsidP="008F5B9C">
                <w:pPr>
                  <w:widowControl w:val="0"/>
                  <w:pBdr>
                    <w:top w:val="nil"/>
                    <w:left w:val="nil"/>
                    <w:bottom w:val="nil"/>
                    <w:right w:val="nil"/>
                    <w:between w:val="nil"/>
                  </w:pBdr>
                  <w:cnfStyle w:val="010000000000" w:firstRow="0" w:lastRow="1" w:firstColumn="0" w:lastColumn="0" w:oddVBand="0" w:evenVBand="0" w:oddHBand="0" w:evenHBand="0" w:firstRowFirstColumn="0" w:firstRowLastColumn="0" w:lastRowFirstColumn="0" w:lastRowLastColumn="0"/>
                  <w:rPr>
                    <w:rFonts w:ascii="Arial" w:hAnsi="Arial"/>
                    <w:szCs w:val="24"/>
                  </w:rPr>
                </w:pPr>
                <w:r w:rsidRPr="008F5B9C">
                  <w:rPr>
                    <w:rFonts w:ascii="Arial" w:hAnsi="Arial"/>
                    <w:szCs w:val="24"/>
                  </w:rPr>
                  <w:t>-15,96,000</w:t>
                </w:r>
              </w:p>
            </w:tc>
            <w:tc>
              <w:tcPr>
                <w:cnfStyle w:val="000100000000" w:firstRow="0" w:lastRow="0" w:firstColumn="0" w:lastColumn="1" w:oddVBand="0" w:evenVBand="0" w:oddHBand="0" w:evenHBand="0" w:firstRowFirstColumn="0" w:firstRowLastColumn="0" w:lastRowFirstColumn="0" w:lastRowLastColumn="0"/>
                <w:tcW w:w="1546" w:type="dxa"/>
              </w:tcPr>
              <w:p w14:paraId="4FBD8577" w14:textId="77777777" w:rsidR="00590BAD" w:rsidRPr="008F5B9C" w:rsidRDefault="00590BAD" w:rsidP="008F5B9C">
                <w:pPr>
                  <w:widowControl w:val="0"/>
                  <w:pBdr>
                    <w:top w:val="nil"/>
                    <w:left w:val="nil"/>
                    <w:bottom w:val="nil"/>
                    <w:right w:val="nil"/>
                    <w:between w:val="nil"/>
                  </w:pBdr>
                  <w:rPr>
                    <w:rFonts w:ascii="Arial" w:hAnsi="Arial"/>
                    <w:szCs w:val="24"/>
                  </w:rPr>
                </w:pPr>
                <w:r w:rsidRPr="008F5B9C">
                  <w:rPr>
                    <w:rFonts w:ascii="Arial" w:hAnsi="Arial"/>
                    <w:szCs w:val="24"/>
                  </w:rPr>
                  <w:t>-181.157775</w:t>
                </w:r>
              </w:p>
            </w:tc>
          </w:tr>
        </w:tbl>
        <w:p w14:paraId="46B624AA" w14:textId="77777777" w:rsidR="009C1CE2" w:rsidRPr="008F5B9C" w:rsidRDefault="009C1CE2" w:rsidP="008F5B9C">
          <w:pPr>
            <w:rPr>
              <w:rFonts w:ascii="Arial" w:hAnsi="Arial" w:cs="Arial"/>
              <w:szCs w:val="24"/>
            </w:rPr>
          </w:pPr>
        </w:p>
        <w:p w14:paraId="54A971B6" w14:textId="77777777" w:rsidR="009C1CE2" w:rsidRPr="008F5B9C" w:rsidRDefault="009C1CE2" w:rsidP="008F5B9C">
          <w:pPr>
            <w:rPr>
              <w:rFonts w:ascii="Arial" w:hAnsi="Arial" w:cs="Arial"/>
              <w:szCs w:val="24"/>
            </w:rPr>
          </w:pPr>
        </w:p>
        <w:tbl>
          <w:tblPr>
            <w:tblStyle w:val="TableGrid"/>
            <w:tblW w:w="9025" w:type="dxa"/>
            <w:tblLayout w:type="fixed"/>
            <w:tblLook w:val="05E0" w:firstRow="1" w:lastRow="1" w:firstColumn="1" w:lastColumn="1" w:noHBand="0" w:noVBand="1"/>
          </w:tblPr>
          <w:tblGrid>
            <w:gridCol w:w="3459"/>
            <w:gridCol w:w="1310"/>
            <w:gridCol w:w="1310"/>
            <w:gridCol w:w="1310"/>
            <w:gridCol w:w="1636"/>
          </w:tblGrid>
          <w:tr w:rsidR="008F5B9C" w:rsidRPr="008F5B9C" w14:paraId="44DE57D3" w14:textId="77777777" w:rsidTr="00D92726">
            <w:trPr>
              <w:trHeight w:val="920"/>
            </w:trPr>
            <w:tc>
              <w:tcPr>
                <w:tcW w:w="9024" w:type="dxa"/>
                <w:gridSpan w:val="5"/>
              </w:tcPr>
              <w:p w14:paraId="2623C236" w14:textId="77777777" w:rsidR="00D92726" w:rsidRPr="008F5B9C" w:rsidRDefault="00D92726" w:rsidP="008F5B9C">
                <w:pPr>
                  <w:pStyle w:val="Heading3"/>
                  <w:outlineLvl w:val="2"/>
                  <w:rPr>
                    <w:rFonts w:ascii="Arial" w:hAnsi="Arial" w:cs="Arial"/>
                    <w:color w:val="auto"/>
                  </w:rPr>
                </w:pPr>
                <w:bookmarkStart w:id="5" w:name="_Toc103898521"/>
                <w:bookmarkStart w:id="6" w:name="_Toc104246967"/>
                <w:r w:rsidRPr="008F5B9C">
                  <w:rPr>
                    <w:rFonts w:ascii="Arial" w:hAnsi="Arial" w:cs="Arial"/>
                    <w:color w:val="auto"/>
                  </w:rPr>
                  <w:lastRenderedPageBreak/>
                  <w:t>Balance Sheet 2019 &amp; 2020</w:t>
                </w:r>
                <w:bookmarkEnd w:id="5"/>
                <w:bookmarkEnd w:id="6"/>
              </w:p>
            </w:tc>
          </w:tr>
          <w:tr w:rsidR="008F5B9C" w:rsidRPr="008F5B9C" w14:paraId="3706ED62" w14:textId="77777777" w:rsidTr="00D92726">
            <w:trPr>
              <w:trHeight w:val="800"/>
            </w:trPr>
            <w:tc>
              <w:tcPr>
                <w:tcW w:w="9024" w:type="dxa"/>
                <w:gridSpan w:val="5"/>
              </w:tcPr>
              <w:p w14:paraId="20DC1B10"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Hilton Worldwide Holdings Inc. (HLT)</w:t>
                </w:r>
              </w:p>
            </w:tc>
          </w:tr>
          <w:tr w:rsidR="008F5B9C" w:rsidRPr="008F5B9C" w14:paraId="2FA9B18B" w14:textId="77777777" w:rsidTr="00D92726">
            <w:trPr>
              <w:trHeight w:val="515"/>
            </w:trPr>
            <w:tc>
              <w:tcPr>
                <w:tcW w:w="9024" w:type="dxa"/>
                <w:gridSpan w:val="5"/>
              </w:tcPr>
              <w:p w14:paraId="1FCDA7C3"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All numbers in thousands (USD)</w:t>
                </w:r>
              </w:p>
            </w:tc>
          </w:tr>
          <w:tr w:rsidR="008F5B9C" w:rsidRPr="008F5B9C" w14:paraId="0DC85538" w14:textId="77777777" w:rsidTr="00D92726">
            <w:trPr>
              <w:trHeight w:val="515"/>
            </w:trPr>
            <w:tc>
              <w:tcPr>
                <w:tcW w:w="3458" w:type="dxa"/>
              </w:tcPr>
              <w:p w14:paraId="1C0CE2D6"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 xml:space="preserve"> </w:t>
                </w:r>
              </w:p>
            </w:tc>
            <w:tc>
              <w:tcPr>
                <w:tcW w:w="1310" w:type="dxa"/>
              </w:tcPr>
              <w:p w14:paraId="3566EE34"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2020</w:t>
                </w:r>
              </w:p>
            </w:tc>
            <w:tc>
              <w:tcPr>
                <w:tcW w:w="1310" w:type="dxa"/>
              </w:tcPr>
              <w:p w14:paraId="48CD1F26"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2019</w:t>
                </w:r>
              </w:p>
            </w:tc>
            <w:tc>
              <w:tcPr>
                <w:tcW w:w="1310" w:type="dxa"/>
              </w:tcPr>
              <w:p w14:paraId="0030E1FB"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 xml:space="preserve">   Change</w:t>
                </w:r>
              </w:p>
            </w:tc>
            <w:tc>
              <w:tcPr>
                <w:tcW w:w="1636" w:type="dxa"/>
              </w:tcPr>
              <w:p w14:paraId="6E5A003F"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w:t>
                </w:r>
                <w:r w:rsidRPr="008F5B9C">
                  <w:rPr>
                    <w:rFonts w:ascii="Arial" w:hAnsi="Arial" w:cs="Arial"/>
                    <w:b/>
                    <w:szCs w:val="24"/>
                  </w:rPr>
                  <w:tab/>
                  <w:t>Change</w:t>
                </w:r>
              </w:p>
            </w:tc>
          </w:tr>
          <w:tr w:rsidR="008F5B9C" w:rsidRPr="008F5B9C" w14:paraId="302CFAFA" w14:textId="77777777" w:rsidTr="00D92726">
            <w:trPr>
              <w:trHeight w:val="515"/>
            </w:trPr>
            <w:tc>
              <w:tcPr>
                <w:tcW w:w="3458" w:type="dxa"/>
              </w:tcPr>
              <w:p w14:paraId="597A0F99"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Current Asset</w:t>
                </w:r>
              </w:p>
            </w:tc>
            <w:tc>
              <w:tcPr>
                <w:tcW w:w="1310" w:type="dxa"/>
              </w:tcPr>
              <w:p w14:paraId="3AB53AA6"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42,02,000</w:t>
                </w:r>
              </w:p>
            </w:tc>
            <w:tc>
              <w:tcPr>
                <w:tcW w:w="1310" w:type="dxa"/>
              </w:tcPr>
              <w:p w14:paraId="5597B284"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20,93,000</w:t>
                </w:r>
              </w:p>
            </w:tc>
            <w:tc>
              <w:tcPr>
                <w:tcW w:w="1310" w:type="dxa"/>
              </w:tcPr>
              <w:p w14:paraId="37A86558"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21,09,000</w:t>
                </w:r>
              </w:p>
            </w:tc>
            <w:tc>
              <w:tcPr>
                <w:tcW w:w="1636" w:type="dxa"/>
              </w:tcPr>
              <w:p w14:paraId="5244B051"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100.76</w:t>
                </w:r>
              </w:p>
            </w:tc>
          </w:tr>
          <w:tr w:rsidR="008F5B9C" w:rsidRPr="008F5B9C" w14:paraId="549C2865" w14:textId="77777777" w:rsidTr="00D92726">
            <w:trPr>
              <w:trHeight w:val="515"/>
            </w:trPr>
            <w:tc>
              <w:tcPr>
                <w:tcW w:w="3458" w:type="dxa"/>
              </w:tcPr>
              <w:p w14:paraId="48A523B5" w14:textId="4B38E6B7" w:rsidR="00D92726" w:rsidRPr="008F5B9C" w:rsidRDefault="005D6024"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Non-Current</w:t>
                </w:r>
                <w:r w:rsidR="00D92726" w:rsidRPr="008F5B9C">
                  <w:rPr>
                    <w:rFonts w:ascii="Arial" w:hAnsi="Arial" w:cs="Arial"/>
                    <w:b/>
                    <w:szCs w:val="24"/>
                  </w:rPr>
                  <w:t xml:space="preserve"> Asset</w:t>
                </w:r>
              </w:p>
            </w:tc>
            <w:tc>
              <w:tcPr>
                <w:tcW w:w="1310" w:type="dxa"/>
              </w:tcPr>
              <w:p w14:paraId="0257BD43"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1,58,10,000</w:t>
                </w:r>
              </w:p>
            </w:tc>
            <w:tc>
              <w:tcPr>
                <w:tcW w:w="1310" w:type="dxa"/>
              </w:tcPr>
              <w:p w14:paraId="7B045308"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1,25,58,000</w:t>
                </w:r>
              </w:p>
            </w:tc>
            <w:tc>
              <w:tcPr>
                <w:tcW w:w="1310" w:type="dxa"/>
              </w:tcPr>
              <w:p w14:paraId="6FF253BD"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32,52,000</w:t>
                </w:r>
              </w:p>
            </w:tc>
            <w:tc>
              <w:tcPr>
                <w:tcW w:w="1636" w:type="dxa"/>
              </w:tcPr>
              <w:p w14:paraId="3E8377EA"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25.90</w:t>
                </w:r>
              </w:p>
            </w:tc>
          </w:tr>
          <w:tr w:rsidR="008F5B9C" w:rsidRPr="008F5B9C" w14:paraId="3C518FB0" w14:textId="77777777" w:rsidTr="00D92726">
            <w:trPr>
              <w:trHeight w:val="515"/>
            </w:trPr>
            <w:tc>
              <w:tcPr>
                <w:tcW w:w="3458" w:type="dxa"/>
              </w:tcPr>
              <w:p w14:paraId="05C6831C"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Total Asset</w:t>
                </w:r>
              </w:p>
            </w:tc>
            <w:tc>
              <w:tcPr>
                <w:tcW w:w="1310" w:type="dxa"/>
              </w:tcPr>
              <w:p w14:paraId="2BA08989"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1,67,55,000</w:t>
                </w:r>
              </w:p>
            </w:tc>
            <w:tc>
              <w:tcPr>
                <w:tcW w:w="1310" w:type="dxa"/>
              </w:tcPr>
              <w:p w14:paraId="48C927BB"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1,49,57,000</w:t>
                </w:r>
              </w:p>
            </w:tc>
            <w:tc>
              <w:tcPr>
                <w:tcW w:w="1310" w:type="dxa"/>
              </w:tcPr>
              <w:p w14:paraId="68061E67"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17,98,000</w:t>
                </w:r>
              </w:p>
            </w:tc>
            <w:tc>
              <w:tcPr>
                <w:tcW w:w="1636" w:type="dxa"/>
              </w:tcPr>
              <w:p w14:paraId="4DC93DB8"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12.02</w:t>
                </w:r>
              </w:p>
            </w:tc>
          </w:tr>
          <w:tr w:rsidR="008F5B9C" w:rsidRPr="008F5B9C" w14:paraId="1AD7C9FB" w14:textId="77777777" w:rsidTr="00D92726">
            <w:trPr>
              <w:trHeight w:val="515"/>
            </w:trPr>
            <w:tc>
              <w:tcPr>
                <w:tcW w:w="3458" w:type="dxa"/>
              </w:tcPr>
              <w:p w14:paraId="20023698"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Current Liabilities</w:t>
                </w:r>
              </w:p>
            </w:tc>
            <w:tc>
              <w:tcPr>
                <w:tcW w:w="1310" w:type="dxa"/>
              </w:tcPr>
              <w:p w14:paraId="0FF52F07"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24,31,000</w:t>
                </w:r>
              </w:p>
            </w:tc>
            <w:tc>
              <w:tcPr>
                <w:tcW w:w="1310" w:type="dxa"/>
              </w:tcPr>
              <w:p w14:paraId="4C19CFCC"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28,71,000</w:t>
                </w:r>
              </w:p>
            </w:tc>
            <w:tc>
              <w:tcPr>
                <w:tcW w:w="1310" w:type="dxa"/>
              </w:tcPr>
              <w:p w14:paraId="15459E0D"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-4,40,000</w:t>
                </w:r>
              </w:p>
            </w:tc>
            <w:tc>
              <w:tcPr>
                <w:tcW w:w="1636" w:type="dxa"/>
              </w:tcPr>
              <w:p w14:paraId="2ACD2381"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-15.33</w:t>
                </w:r>
              </w:p>
            </w:tc>
          </w:tr>
          <w:tr w:rsidR="008F5B9C" w:rsidRPr="008F5B9C" w14:paraId="1810FDAD" w14:textId="77777777" w:rsidTr="00D92726">
            <w:trPr>
              <w:trHeight w:val="515"/>
            </w:trPr>
            <w:tc>
              <w:tcPr>
                <w:tcW w:w="3458" w:type="dxa"/>
              </w:tcPr>
              <w:p w14:paraId="636C6BE9" w14:textId="4A11D5BD" w:rsidR="00D92726" w:rsidRPr="008F5B9C" w:rsidRDefault="005D6024"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Noncurrent</w:t>
                </w:r>
                <w:r w:rsidR="00D92726" w:rsidRPr="008F5B9C">
                  <w:rPr>
                    <w:rFonts w:ascii="Arial" w:hAnsi="Arial" w:cs="Arial"/>
                    <w:b/>
                    <w:szCs w:val="24"/>
                  </w:rPr>
                  <w:t xml:space="preserve"> Liabilities</w:t>
                </w:r>
              </w:p>
            </w:tc>
            <w:tc>
              <w:tcPr>
                <w:tcW w:w="1310" w:type="dxa"/>
              </w:tcPr>
              <w:p w14:paraId="5174BFA8"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1,58,10,000</w:t>
                </w:r>
              </w:p>
            </w:tc>
            <w:tc>
              <w:tcPr>
                <w:tcW w:w="1310" w:type="dxa"/>
              </w:tcPr>
              <w:p w14:paraId="06E96D19"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1,25,58,000</w:t>
                </w:r>
              </w:p>
            </w:tc>
            <w:tc>
              <w:tcPr>
                <w:tcW w:w="1310" w:type="dxa"/>
              </w:tcPr>
              <w:p w14:paraId="440AFC1F"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32,52,000</w:t>
                </w:r>
              </w:p>
            </w:tc>
            <w:tc>
              <w:tcPr>
                <w:tcW w:w="1636" w:type="dxa"/>
              </w:tcPr>
              <w:p w14:paraId="74771942"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25.90</w:t>
                </w:r>
              </w:p>
            </w:tc>
          </w:tr>
          <w:tr w:rsidR="008F5B9C" w:rsidRPr="008F5B9C" w14:paraId="7C6073CD" w14:textId="77777777" w:rsidTr="00D92726">
            <w:trPr>
              <w:trHeight w:val="515"/>
            </w:trPr>
            <w:tc>
              <w:tcPr>
                <w:tcW w:w="3458" w:type="dxa"/>
              </w:tcPr>
              <w:p w14:paraId="5EE0A3B2"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Total Liabilities</w:t>
                </w:r>
              </w:p>
            </w:tc>
            <w:tc>
              <w:tcPr>
                <w:tcW w:w="1310" w:type="dxa"/>
              </w:tcPr>
              <w:p w14:paraId="6AF4D94D"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1,82,41,000</w:t>
                </w:r>
              </w:p>
            </w:tc>
            <w:tc>
              <w:tcPr>
                <w:tcW w:w="1310" w:type="dxa"/>
              </w:tcPr>
              <w:p w14:paraId="4E413F8E"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1,54,29,000</w:t>
                </w:r>
              </w:p>
            </w:tc>
            <w:tc>
              <w:tcPr>
                <w:tcW w:w="1310" w:type="dxa"/>
              </w:tcPr>
              <w:p w14:paraId="383009AC"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28,12,000</w:t>
                </w:r>
              </w:p>
            </w:tc>
            <w:tc>
              <w:tcPr>
                <w:tcW w:w="1636" w:type="dxa"/>
              </w:tcPr>
              <w:p w14:paraId="25EFD238"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18.23</w:t>
                </w:r>
              </w:p>
            </w:tc>
          </w:tr>
          <w:tr w:rsidR="008F5B9C" w:rsidRPr="008F5B9C" w14:paraId="3B870990" w14:textId="77777777" w:rsidTr="00D92726">
            <w:trPr>
              <w:trHeight w:val="515"/>
            </w:trPr>
            <w:tc>
              <w:tcPr>
                <w:tcW w:w="3458" w:type="dxa"/>
              </w:tcPr>
              <w:p w14:paraId="1B4767ED"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Common Stock</w:t>
                </w:r>
              </w:p>
            </w:tc>
            <w:tc>
              <w:tcPr>
                <w:tcW w:w="1310" w:type="dxa"/>
              </w:tcPr>
              <w:p w14:paraId="1D6AAAAB"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3,000</w:t>
                </w:r>
              </w:p>
            </w:tc>
            <w:tc>
              <w:tcPr>
                <w:tcW w:w="1310" w:type="dxa"/>
              </w:tcPr>
              <w:p w14:paraId="2022251C"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3,000</w:t>
                </w:r>
              </w:p>
            </w:tc>
            <w:tc>
              <w:tcPr>
                <w:tcW w:w="1310" w:type="dxa"/>
              </w:tcPr>
              <w:p w14:paraId="58F6657B"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0</w:t>
                </w:r>
              </w:p>
            </w:tc>
            <w:tc>
              <w:tcPr>
                <w:tcW w:w="1636" w:type="dxa"/>
              </w:tcPr>
              <w:p w14:paraId="7FA0165E"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0.00</w:t>
                </w:r>
              </w:p>
            </w:tc>
          </w:tr>
          <w:tr w:rsidR="008F5B9C" w:rsidRPr="008F5B9C" w14:paraId="140951B4" w14:textId="77777777" w:rsidTr="00D92726">
            <w:trPr>
              <w:trHeight w:val="515"/>
            </w:trPr>
            <w:tc>
              <w:tcPr>
                <w:tcW w:w="3458" w:type="dxa"/>
              </w:tcPr>
              <w:p w14:paraId="4686A511"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Retained Earnings</w:t>
                </w:r>
              </w:p>
            </w:tc>
            <w:tc>
              <w:tcPr>
                <w:tcW w:w="1310" w:type="dxa"/>
              </w:tcPr>
              <w:p w14:paraId="36774927"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-67,32,000</w:t>
                </w:r>
              </w:p>
            </w:tc>
            <w:tc>
              <w:tcPr>
                <w:tcW w:w="1310" w:type="dxa"/>
              </w:tcPr>
              <w:p w14:paraId="193E3E0E"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-59,65,000</w:t>
                </w:r>
              </w:p>
            </w:tc>
            <w:tc>
              <w:tcPr>
                <w:tcW w:w="1310" w:type="dxa"/>
              </w:tcPr>
              <w:p w14:paraId="03DF4D3F"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-7,67,000</w:t>
                </w:r>
              </w:p>
            </w:tc>
            <w:tc>
              <w:tcPr>
                <w:tcW w:w="1636" w:type="dxa"/>
              </w:tcPr>
              <w:p w14:paraId="28A3192B"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12.86</w:t>
                </w:r>
              </w:p>
            </w:tc>
          </w:tr>
          <w:tr w:rsidR="008F5B9C" w:rsidRPr="008F5B9C" w14:paraId="2D737558" w14:textId="77777777" w:rsidTr="00D92726">
            <w:trPr>
              <w:trHeight w:val="515"/>
            </w:trPr>
            <w:tc>
              <w:tcPr>
                <w:tcW w:w="3458" w:type="dxa"/>
              </w:tcPr>
              <w:p w14:paraId="44901A04"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Total Stockholders' Equity</w:t>
                </w:r>
              </w:p>
            </w:tc>
            <w:tc>
              <w:tcPr>
                <w:tcW w:w="1310" w:type="dxa"/>
              </w:tcPr>
              <w:p w14:paraId="6742EB0F"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-14,90,000</w:t>
                </w:r>
              </w:p>
            </w:tc>
            <w:tc>
              <w:tcPr>
                <w:tcW w:w="1310" w:type="dxa"/>
              </w:tcPr>
              <w:p w14:paraId="0D4095F7"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-4,82,000</w:t>
                </w:r>
              </w:p>
            </w:tc>
            <w:tc>
              <w:tcPr>
                <w:tcW w:w="1310" w:type="dxa"/>
              </w:tcPr>
              <w:p w14:paraId="01C5CD59"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-10,08,000</w:t>
                </w:r>
              </w:p>
            </w:tc>
            <w:tc>
              <w:tcPr>
                <w:tcW w:w="1636" w:type="dxa"/>
              </w:tcPr>
              <w:p w14:paraId="1C636DAE"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209.13</w:t>
                </w:r>
              </w:p>
            </w:tc>
          </w:tr>
          <w:tr w:rsidR="00D92726" w:rsidRPr="008F5B9C" w14:paraId="15586939" w14:textId="77777777" w:rsidTr="00D92726">
            <w:trPr>
              <w:trHeight w:val="515"/>
            </w:trPr>
            <w:tc>
              <w:tcPr>
                <w:tcW w:w="3458" w:type="dxa"/>
              </w:tcPr>
              <w:p w14:paraId="4169863D"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Total Liabilities and Stockholder</w:t>
                </w:r>
              </w:p>
            </w:tc>
            <w:tc>
              <w:tcPr>
                <w:tcW w:w="1310" w:type="dxa"/>
              </w:tcPr>
              <w:p w14:paraId="084FA0C3"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1,67,55,000</w:t>
                </w:r>
              </w:p>
            </w:tc>
            <w:tc>
              <w:tcPr>
                <w:tcW w:w="1310" w:type="dxa"/>
              </w:tcPr>
              <w:p w14:paraId="71D72111"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1,49,57,000</w:t>
                </w:r>
              </w:p>
            </w:tc>
            <w:tc>
              <w:tcPr>
                <w:tcW w:w="1310" w:type="dxa"/>
              </w:tcPr>
              <w:p w14:paraId="651C8D46" w14:textId="77777777" w:rsidR="00D92726" w:rsidRPr="008F5B9C" w:rsidRDefault="00D92726" w:rsidP="008F5B9C">
                <w:pPr>
                  <w:widowControl w:val="0"/>
                  <w:pBdr>
                    <w:top w:val="nil"/>
                    <w:left w:val="nil"/>
                    <w:bottom w:val="nil"/>
                    <w:right w:val="nil"/>
                    <w:between w:val="nil"/>
                  </w:pBdr>
                  <w:rPr>
                    <w:rFonts w:ascii="Arial" w:hAnsi="Arial" w:cs="Arial"/>
                    <w:szCs w:val="24"/>
                  </w:rPr>
                </w:pPr>
                <w:r w:rsidRPr="008F5B9C">
                  <w:rPr>
                    <w:rFonts w:ascii="Arial" w:hAnsi="Arial" w:cs="Arial"/>
                    <w:szCs w:val="24"/>
                  </w:rPr>
                  <w:t>17,98,000</w:t>
                </w:r>
              </w:p>
            </w:tc>
            <w:tc>
              <w:tcPr>
                <w:tcW w:w="1636" w:type="dxa"/>
              </w:tcPr>
              <w:p w14:paraId="13649943" w14:textId="77777777" w:rsidR="00D92726" w:rsidRPr="008F5B9C" w:rsidRDefault="00D92726" w:rsidP="008F5B9C">
                <w:pPr>
                  <w:widowControl w:val="0"/>
                  <w:pBdr>
                    <w:top w:val="nil"/>
                    <w:left w:val="nil"/>
                    <w:bottom w:val="nil"/>
                    <w:right w:val="nil"/>
                    <w:between w:val="nil"/>
                  </w:pBdr>
                  <w:rPr>
                    <w:rFonts w:ascii="Arial" w:hAnsi="Arial" w:cs="Arial"/>
                    <w:b/>
                    <w:szCs w:val="24"/>
                  </w:rPr>
                </w:pPr>
                <w:r w:rsidRPr="008F5B9C">
                  <w:rPr>
                    <w:rFonts w:ascii="Arial" w:hAnsi="Arial" w:cs="Arial"/>
                    <w:b/>
                    <w:szCs w:val="24"/>
                  </w:rPr>
                  <w:t>12.02</w:t>
                </w:r>
              </w:p>
            </w:tc>
          </w:tr>
        </w:tbl>
        <w:p w14:paraId="6BB9D402" w14:textId="77777777" w:rsidR="009C1CE2" w:rsidRPr="008F5B9C" w:rsidRDefault="009C1CE2" w:rsidP="008F5B9C">
          <w:pPr>
            <w:rPr>
              <w:rFonts w:ascii="Arial" w:hAnsi="Arial" w:cs="Arial"/>
              <w:szCs w:val="24"/>
            </w:rPr>
          </w:pPr>
        </w:p>
        <w:p w14:paraId="530738E0" w14:textId="77777777" w:rsidR="004A11F6" w:rsidRPr="008F5B9C" w:rsidRDefault="004D519C" w:rsidP="008F5B9C">
          <w:pPr>
            <w:pStyle w:val="Heading1"/>
            <w:rPr>
              <w:rFonts w:ascii="Arial" w:hAnsi="Arial" w:cs="Arial"/>
              <w:color w:val="auto"/>
              <w:sz w:val="24"/>
              <w:szCs w:val="24"/>
            </w:rPr>
          </w:pPr>
          <w:bookmarkStart w:id="7" w:name="_Toc104246968"/>
          <w:r w:rsidRPr="008F5B9C">
            <w:rPr>
              <w:rFonts w:ascii="Arial" w:hAnsi="Arial" w:cs="Arial"/>
              <w:color w:val="auto"/>
              <w:sz w:val="24"/>
              <w:szCs w:val="24"/>
            </w:rPr>
            <w:t>Financial Analysis Trends</w:t>
          </w:r>
          <w:bookmarkEnd w:id="7"/>
        </w:p>
        <w:p w14:paraId="1A88C3F6" w14:textId="77777777" w:rsidR="00590BAD" w:rsidRPr="008F5B9C" w:rsidRDefault="00590BAD" w:rsidP="008F5B9C">
          <w:pPr>
            <w:pStyle w:val="Heading2"/>
            <w:rPr>
              <w:rFonts w:ascii="Arial" w:hAnsi="Arial" w:cs="Arial"/>
              <w:color w:val="auto"/>
              <w:sz w:val="24"/>
              <w:szCs w:val="24"/>
            </w:rPr>
          </w:pPr>
          <w:bookmarkStart w:id="8" w:name="_Toc103898518"/>
          <w:bookmarkStart w:id="9" w:name="_Toc104246969"/>
          <w:r w:rsidRPr="008F5B9C">
            <w:rPr>
              <w:rFonts w:ascii="Arial" w:hAnsi="Arial" w:cs="Arial"/>
              <w:color w:val="auto"/>
              <w:sz w:val="24"/>
              <w:szCs w:val="24"/>
            </w:rPr>
            <w:t>Horizontal analysis</w:t>
          </w:r>
          <w:bookmarkEnd w:id="8"/>
          <w:bookmarkEnd w:id="9"/>
        </w:p>
        <w:p w14:paraId="0BD271BD" w14:textId="77777777" w:rsidR="00590BAD" w:rsidRPr="008F5B9C" w:rsidRDefault="00590BAD" w:rsidP="008F5B9C">
          <w:pPr>
            <w:rPr>
              <w:rFonts w:ascii="Arial" w:hAnsi="Arial" w:cs="Arial"/>
              <w:szCs w:val="24"/>
            </w:rPr>
          </w:pPr>
          <w:r w:rsidRPr="008F5B9C">
            <w:rPr>
              <w:rFonts w:ascii="Arial" w:hAnsi="Arial" w:cs="Arial"/>
              <w:szCs w:val="24"/>
            </w:rPr>
            <w:t xml:space="preserve">Horizontal analysis is used to review the company's financial statement over multiple periods of time. It is the comparison of the historical financial information over the financial year or reporting year. This analysis will help to understand the change in </w:t>
          </w:r>
          <w:r w:rsidRPr="008F5B9C">
            <w:rPr>
              <w:rFonts w:ascii="Arial" w:hAnsi="Arial" w:cs="Arial"/>
              <w:szCs w:val="24"/>
            </w:rPr>
            <w:lastRenderedPageBreak/>
            <w:t xml:space="preserve">the particular item over the period of time . This includes the growth in sales, expense, profits and other items or accounts over the period of time. This change is shown in percentage maintaining the base year through which the changes are computed (Hashmi and Malik, 2019). This change can result in an increasing trend or decreasing trend this helps to understand the financial issue of the business. This change helps to understand how much percentage the company has made changes on items like sales, expenses and profit. The change will reflect positively if it grows and if it is negative then the change is a falling or decreasing trend. This increasing trend will be identified as strong and healthy growth for the business if it is sales, income, asset and profit ,and if the growth occurs in expenses,  liabilities and debt, the business is facing loss, financial distress and overdraft which is harmful for the business financial growth (Anggraini, 2022). Thus for the business horizontal analysis is helpful to understand the financial condition over the period of time from one year to another. </w:t>
          </w:r>
        </w:p>
        <w:p w14:paraId="2FFC0E9F" w14:textId="77777777" w:rsidR="00590BAD" w:rsidRPr="008F5B9C" w:rsidRDefault="00590BAD" w:rsidP="008F5B9C">
          <w:pPr>
            <w:pStyle w:val="Heading2"/>
            <w:rPr>
              <w:rFonts w:ascii="Arial" w:hAnsi="Arial" w:cs="Arial"/>
              <w:color w:val="auto"/>
              <w:sz w:val="24"/>
              <w:szCs w:val="24"/>
            </w:rPr>
          </w:pPr>
          <w:bookmarkStart w:id="10" w:name="_Toc103898519"/>
          <w:bookmarkStart w:id="11" w:name="_Toc104246970"/>
          <w:r w:rsidRPr="008F5B9C">
            <w:rPr>
              <w:rFonts w:ascii="Arial" w:hAnsi="Arial" w:cs="Arial"/>
              <w:color w:val="auto"/>
              <w:sz w:val="24"/>
              <w:szCs w:val="24"/>
            </w:rPr>
            <w:t>Horizontal ratios analysis of Hilton Worldwide Holding Inc for the period 2019 and 2020</w:t>
          </w:r>
          <w:bookmarkEnd w:id="10"/>
          <w:bookmarkEnd w:id="11"/>
        </w:p>
        <w:p w14:paraId="15996EA7" w14:textId="6004A21E" w:rsidR="00D92726" w:rsidRPr="008F5B9C" w:rsidRDefault="00D92726" w:rsidP="008F5B9C">
          <w:pPr>
            <w:rPr>
              <w:rFonts w:ascii="Arial" w:hAnsi="Arial" w:cs="Arial"/>
              <w:b/>
              <w:szCs w:val="24"/>
            </w:rPr>
          </w:pPr>
          <w:r w:rsidRPr="008F5B9C">
            <w:rPr>
              <w:rFonts w:ascii="Arial" w:hAnsi="Arial" w:cs="Arial"/>
              <w:b/>
              <w:szCs w:val="24"/>
            </w:rPr>
            <w:t>Income statement analysis</w:t>
          </w:r>
        </w:p>
        <w:p w14:paraId="01BED3D5" w14:textId="5459ED7B" w:rsidR="00590BAD" w:rsidRPr="008F5B9C" w:rsidRDefault="00590BAD" w:rsidP="008F5B9C">
          <w:pPr>
            <w:rPr>
              <w:rFonts w:ascii="Arial" w:hAnsi="Arial" w:cs="Arial"/>
              <w:szCs w:val="24"/>
            </w:rPr>
          </w:pPr>
          <w:r w:rsidRPr="008F5B9C">
            <w:rPr>
              <w:rFonts w:ascii="Arial" w:hAnsi="Arial" w:cs="Arial"/>
              <w:szCs w:val="24"/>
            </w:rPr>
            <w:t xml:space="preserve">From the above income statement of the </w:t>
          </w:r>
          <w:r w:rsidR="005D6024" w:rsidRPr="008F5B9C">
            <w:rPr>
              <w:rFonts w:ascii="Arial" w:hAnsi="Arial" w:cs="Arial"/>
              <w:szCs w:val="24"/>
            </w:rPr>
            <w:t>two-year</w:t>
          </w:r>
          <w:r w:rsidRPr="008F5B9C">
            <w:rPr>
              <w:rFonts w:ascii="Arial" w:hAnsi="Arial" w:cs="Arial"/>
              <w:szCs w:val="24"/>
            </w:rPr>
            <w:t xml:space="preserve"> 2020 and 2019, the historical ratio has been evaluated to understand the changes in each account starting from sales to net income of the business . Here the base year is considered to be 2019, which has been compared with 2020 accounts of income statements of Hilton Worldwide Holdings Inc. (HLT). from the income statement sales in the year 2019 showing higher than 2020 and the sales fall by 54.43% in the year 2020, in the same way cost of sales for 2020 showing that there is a fall of 46.93%. This reduction in sales has also reduced the cost of sales expenses which lead to a decrease in gross profit by 76.06% in 2020 which is a huge fall from 2019. The operating expense of the Hilton Worldwide Holdings Inc has also reduced to 18.28% which is minimum compared to sales and gross profit in the year 2020. Whereas comparing the operating income of the business it has been observed that the company has drastically deteriorated the operating income in the year 2020 which went negative for that period and fell by 107.55% (Shala et al., 2021). This is because in the year 2020 the Hilton Worldwide Holdings Inc company operating expenses are higher than gross profit by -119000 thousand USD which leads to negative operating </w:t>
          </w:r>
          <w:r w:rsidRPr="008F5B9C">
            <w:rPr>
              <w:rFonts w:ascii="Arial" w:hAnsi="Arial" w:cs="Arial"/>
              <w:szCs w:val="24"/>
            </w:rPr>
            <w:lastRenderedPageBreak/>
            <w:t xml:space="preserve">income. </w:t>
          </w:r>
          <w:r w:rsidR="00BF4B9C" w:rsidRPr="008F5B9C">
            <w:rPr>
              <w:rFonts w:ascii="Arial" w:hAnsi="Arial" w:cs="Arial"/>
              <w:szCs w:val="24"/>
            </w:rPr>
            <w:t>Thus,</w:t>
          </w:r>
          <w:r w:rsidRPr="008F5B9C">
            <w:rPr>
              <w:rFonts w:ascii="Arial" w:hAnsi="Arial" w:cs="Arial"/>
              <w:szCs w:val="24"/>
            </w:rPr>
            <w:t xml:space="preserve"> it has reflected a negative and higher percentage in the operating income. The interest expense in the year 2020 is higher than 2019 by 3.62%  this indicates that the company has taken huge debt and loans which lead to an increase in interest expense by 3.62%. </w:t>
          </w:r>
          <w:r w:rsidR="00BF4B9C" w:rsidRPr="008F5B9C">
            <w:rPr>
              <w:rFonts w:ascii="Arial" w:hAnsi="Arial" w:cs="Arial"/>
              <w:szCs w:val="24"/>
            </w:rPr>
            <w:t>Thus,</w:t>
          </w:r>
          <w:r w:rsidRPr="008F5B9C">
            <w:rPr>
              <w:rFonts w:ascii="Arial" w:hAnsi="Arial" w:cs="Arial"/>
              <w:szCs w:val="24"/>
            </w:rPr>
            <w:t xml:space="preserve"> this has again decreased the earning after interest by 558.54% in the year 2020. In the year 2019 the total other income reflected 82000 thousand USD and in 2020 which has decreased to -376000 thousand USD in 2020. As the income is negative for the year 2020 the income before taxes is also negative to - 924000 thousand USD  in the year 2020 and in 2019 it is 1244000 thousand USD which has decreased by 174.28% and the total net income in the year 2020 reduced to -715000 from 881000 thousand USD by 181.16% reduction in 2020 (Uk.finance.yahoo, 2022). Considering all the above changes happened from 2019 to 2020 it can be understood that the business was unable to make sales , and unable to reduce much cost or expense for the business, this lead the hotel business to fall its income by 181.16% entirely and unable to </w:t>
          </w:r>
          <w:r w:rsidR="005D6024" w:rsidRPr="008F5B9C">
            <w:rPr>
              <w:rFonts w:ascii="Arial" w:hAnsi="Arial" w:cs="Arial"/>
              <w:szCs w:val="24"/>
            </w:rPr>
            <w:t>pay off</w:t>
          </w:r>
          <w:r w:rsidRPr="008F5B9C">
            <w:rPr>
              <w:rFonts w:ascii="Arial" w:hAnsi="Arial" w:cs="Arial"/>
              <w:szCs w:val="24"/>
            </w:rPr>
            <w:t xml:space="preserve"> the expenses from its sales in the year. This can be due to the pandemic caused in the year 2020 where huge losses are faced by most industries alike the travelling and hospitality industry. Due to the government protocols and safety.</w:t>
          </w:r>
        </w:p>
        <w:p w14:paraId="10D14F13" w14:textId="18999AC6" w:rsidR="00590BAD" w:rsidRPr="008F5B9C" w:rsidRDefault="00D92726" w:rsidP="008F5B9C">
          <w:pPr>
            <w:rPr>
              <w:rFonts w:ascii="Arial" w:hAnsi="Arial" w:cs="Arial"/>
              <w:b/>
              <w:szCs w:val="24"/>
            </w:rPr>
          </w:pPr>
          <w:r w:rsidRPr="008F5B9C">
            <w:rPr>
              <w:rFonts w:ascii="Arial" w:hAnsi="Arial" w:cs="Arial"/>
              <w:b/>
              <w:szCs w:val="24"/>
            </w:rPr>
            <w:t>Balance sheet analysis</w:t>
          </w:r>
        </w:p>
        <w:p w14:paraId="2E9FC695" w14:textId="4044E08B" w:rsidR="009C1CE2" w:rsidRPr="008F5B9C" w:rsidRDefault="00590BAD" w:rsidP="008F5B9C">
          <w:pPr>
            <w:rPr>
              <w:rFonts w:ascii="Arial" w:hAnsi="Arial" w:cs="Arial"/>
              <w:szCs w:val="24"/>
            </w:rPr>
          </w:pPr>
          <w:r w:rsidRPr="008F5B9C">
            <w:rPr>
              <w:rFonts w:ascii="Arial" w:hAnsi="Arial" w:cs="Arial"/>
              <w:szCs w:val="24"/>
            </w:rPr>
            <w:t xml:space="preserve">From the above balance sheet of the Hilton Worldwide Holdings Inc of the two year 2019 and 2020 it can be analysed through horizontal ratio that total asset has raised from 2019 to 2020 by 12.02% (1798000 thousand USD) whereas the total liabilities for the year 2020 is also increased to 18.23% in the year 2020 from 2019. In the total liabilities it has been observed that there is a decrease of 15.33% in 2020 in current liabilities and increase of current asset in 2020 by 100.76% which implies that business current assets have improved in 2020 from 2019. On the side there is a negative increase of retained earnings by 12.86% which indicates the company was unable to make any profit from its sales and thus less to decrease in profit or have to face loss in the year 2020. The total stockholder’s equity is negatively inclined to the business and negatively increased by 209.13% which is double than the loss incurred in 2019 . Hence from the above evaluation it can be understood that throughout the 2020 the company has increased its current asset as well as </w:t>
          </w:r>
          <w:r w:rsidR="005D6024" w:rsidRPr="008F5B9C">
            <w:rPr>
              <w:rFonts w:ascii="Arial" w:hAnsi="Arial" w:cs="Arial"/>
              <w:szCs w:val="24"/>
            </w:rPr>
            <w:t>non-current</w:t>
          </w:r>
          <w:r w:rsidRPr="008F5B9C">
            <w:rPr>
              <w:rFonts w:ascii="Arial" w:hAnsi="Arial" w:cs="Arial"/>
              <w:szCs w:val="24"/>
            </w:rPr>
            <w:t xml:space="preserve"> asset and the shareholder’s fund also decreased hugely which has impacted business funds (Vaca-Tapia </w:t>
          </w:r>
          <w:r w:rsidRPr="008F5B9C">
            <w:rPr>
              <w:rFonts w:ascii="Arial" w:hAnsi="Arial" w:cs="Arial"/>
              <w:i/>
              <w:szCs w:val="24"/>
            </w:rPr>
            <w:t>et al.,</w:t>
          </w:r>
          <w:r w:rsidRPr="008F5B9C">
            <w:rPr>
              <w:rFonts w:ascii="Arial" w:hAnsi="Arial" w:cs="Arial"/>
              <w:szCs w:val="24"/>
            </w:rPr>
            <w:t xml:space="preserve"> 2018).</w:t>
          </w:r>
        </w:p>
        <w:p w14:paraId="6A8B44E2" w14:textId="77777777" w:rsidR="00590BAD" w:rsidRPr="008F5B9C" w:rsidRDefault="00590BAD" w:rsidP="008F5B9C">
          <w:pPr>
            <w:pStyle w:val="Heading2"/>
            <w:rPr>
              <w:rFonts w:ascii="Arial" w:hAnsi="Arial" w:cs="Arial"/>
              <w:color w:val="auto"/>
              <w:sz w:val="24"/>
              <w:szCs w:val="24"/>
            </w:rPr>
          </w:pPr>
          <w:bookmarkStart w:id="12" w:name="_Toc103898522"/>
          <w:bookmarkStart w:id="13" w:name="_Toc104246971"/>
          <w:r w:rsidRPr="008F5B9C">
            <w:rPr>
              <w:rFonts w:ascii="Arial" w:hAnsi="Arial" w:cs="Arial"/>
              <w:color w:val="auto"/>
              <w:sz w:val="24"/>
              <w:szCs w:val="24"/>
            </w:rPr>
            <w:lastRenderedPageBreak/>
            <w:t>Importance of using ratio analysis for decision making</w:t>
          </w:r>
          <w:bookmarkEnd w:id="12"/>
          <w:bookmarkEnd w:id="13"/>
        </w:p>
        <w:p w14:paraId="221BA8FB" w14:textId="61C58F32" w:rsidR="00590BAD" w:rsidRPr="008F5B9C" w:rsidRDefault="00590BAD" w:rsidP="008F5B9C">
          <w:pPr>
            <w:rPr>
              <w:rFonts w:ascii="Arial" w:hAnsi="Arial" w:cs="Arial"/>
              <w:szCs w:val="24"/>
            </w:rPr>
          </w:pPr>
          <w:r w:rsidRPr="008F5B9C">
            <w:rPr>
              <w:rFonts w:ascii="Arial" w:hAnsi="Arial" w:cs="Arial"/>
              <w:szCs w:val="24"/>
            </w:rPr>
            <w:t xml:space="preserve">In the business organisation it is important to understand the trend of the business over the </w:t>
          </w:r>
          <w:r w:rsidR="008F5B9C" w:rsidRPr="008F5B9C">
            <w:rPr>
              <w:rFonts w:ascii="Arial" w:hAnsi="Arial" w:cs="Arial"/>
              <w:szCs w:val="24"/>
            </w:rPr>
            <w:t>period</w:t>
          </w:r>
          <w:r w:rsidRPr="008F5B9C">
            <w:rPr>
              <w:rFonts w:ascii="Arial" w:hAnsi="Arial" w:cs="Arial"/>
              <w:szCs w:val="24"/>
            </w:rPr>
            <w:t xml:space="preserve">. The trend can be both increasing and decreasing. The tread will help understanding about the movement of the business operation as well as the financial operation of the business health. The ratio will help to understand the financial position which includes the liquidity, profitability, solvency, efficiency as well as the investment of the business by comparing the two financial results. This helps to make the appropriate business decision to make appropriate use of capital or funds and to minimise the cost or expense and what makes the business to raise the expenses so that management can take proper steps to cut down the costs. Financial statement helps to understand the profit, revenue, net income, expenses, asset, equity, debt and liabilities of the business so that it can help other investors or the stakeholder to make necessary decisions to create earning and borrow from growth (Dahooie </w:t>
          </w:r>
          <w:r w:rsidRPr="008F5B9C">
            <w:rPr>
              <w:rFonts w:ascii="Arial" w:hAnsi="Arial" w:cs="Arial"/>
              <w:i/>
              <w:szCs w:val="24"/>
            </w:rPr>
            <w:t>et al.,</w:t>
          </w:r>
          <w:r w:rsidRPr="008F5B9C">
            <w:rPr>
              <w:rFonts w:ascii="Arial" w:hAnsi="Arial" w:cs="Arial"/>
              <w:szCs w:val="24"/>
            </w:rPr>
            <w:t xml:space="preserve"> 2020). This helps understand the business risk whether the business is taking enough loans or debt , or whether the business has enough working capital to meet the business short term requirement.  This risk ascertainment will help the business to make proper planning and step to minimise the loss, less use of debt, and cost and increase the sales, revenue, asset for the business production, equity fund and working capital of the business. This helps improve the operational performance through proper evaluation of the ratio where the business has to increase efficiency and performance.</w:t>
          </w:r>
        </w:p>
        <w:p w14:paraId="1A2E5AC3" w14:textId="77777777" w:rsidR="00590BAD" w:rsidRPr="008F5B9C" w:rsidRDefault="00590BAD" w:rsidP="008F5B9C">
          <w:pPr>
            <w:pStyle w:val="Heading2"/>
            <w:rPr>
              <w:rFonts w:ascii="Arial" w:hAnsi="Arial" w:cs="Arial"/>
              <w:color w:val="auto"/>
              <w:sz w:val="24"/>
              <w:szCs w:val="24"/>
            </w:rPr>
          </w:pPr>
          <w:bookmarkStart w:id="14" w:name="_Toc103898523"/>
          <w:bookmarkStart w:id="15" w:name="_Toc104246972"/>
          <w:r w:rsidRPr="008F5B9C">
            <w:rPr>
              <w:rFonts w:ascii="Arial" w:hAnsi="Arial" w:cs="Arial"/>
              <w:color w:val="auto"/>
              <w:sz w:val="24"/>
              <w:szCs w:val="24"/>
            </w:rPr>
            <w:t>Investigate the limitation of ratio analysis</w:t>
          </w:r>
          <w:bookmarkEnd w:id="14"/>
          <w:bookmarkEnd w:id="15"/>
        </w:p>
        <w:p w14:paraId="7F5C9971" w14:textId="4632B70A" w:rsidR="00590BAD" w:rsidRPr="008F5B9C" w:rsidRDefault="00590BAD" w:rsidP="008F5B9C">
          <w:pPr>
            <w:rPr>
              <w:rFonts w:ascii="Arial" w:hAnsi="Arial" w:cs="Arial"/>
              <w:szCs w:val="24"/>
            </w:rPr>
          </w:pPr>
          <w:r w:rsidRPr="008F5B9C">
            <w:rPr>
              <w:rFonts w:ascii="Arial" w:hAnsi="Arial" w:cs="Arial"/>
              <w:szCs w:val="24"/>
            </w:rPr>
            <w:t xml:space="preserve">The limitation of the ratio analysis involves comparing information from the financial statement from one period to another to understand the position of the business from the obtained result (Hatefi, 2019). There </w:t>
          </w:r>
          <w:r w:rsidR="008F5B9C" w:rsidRPr="008F5B9C">
            <w:rPr>
              <w:rFonts w:ascii="Arial" w:hAnsi="Arial" w:cs="Arial"/>
              <w:szCs w:val="24"/>
            </w:rPr>
            <w:t>is</w:t>
          </w:r>
          <w:r w:rsidRPr="008F5B9C">
            <w:rPr>
              <w:rFonts w:ascii="Arial" w:hAnsi="Arial" w:cs="Arial"/>
              <w:szCs w:val="24"/>
            </w:rPr>
            <w:t xml:space="preserve"> various importance of ratio analysis for the business. However there also various limitation which can get affected with the ratio analysis are</w:t>
          </w:r>
          <w:r w:rsidRPr="008F5B9C">
            <w:rPr>
              <w:rFonts w:ascii="Arial" w:hAnsi="Arial" w:cs="Arial"/>
              <w:szCs w:val="24"/>
            </w:rPr>
            <w:tab/>
          </w:r>
        </w:p>
        <w:p w14:paraId="1E778382" w14:textId="26FC88B4" w:rsidR="00590BAD" w:rsidRPr="008F5B9C" w:rsidRDefault="00590BAD" w:rsidP="008F5B9C">
          <w:pPr>
            <w:rPr>
              <w:rFonts w:ascii="Arial" w:hAnsi="Arial" w:cs="Arial"/>
              <w:szCs w:val="24"/>
            </w:rPr>
          </w:pPr>
          <w:r w:rsidRPr="008F5B9C">
            <w:rPr>
              <w:rFonts w:ascii="Arial" w:hAnsi="Arial" w:cs="Arial"/>
              <w:szCs w:val="24"/>
            </w:rPr>
            <w:t xml:space="preserve">The information of the business is historically based here. The business has to provide the old information which may change after a certain era. However currently </w:t>
          </w:r>
          <w:r w:rsidR="008F5B9C" w:rsidRPr="008F5B9C">
            <w:rPr>
              <w:rFonts w:ascii="Arial" w:hAnsi="Arial" w:cs="Arial"/>
              <w:szCs w:val="24"/>
            </w:rPr>
            <w:t>this change</w:t>
          </w:r>
          <w:r w:rsidRPr="008F5B9C">
            <w:rPr>
              <w:rFonts w:ascii="Arial" w:hAnsi="Arial" w:cs="Arial"/>
              <w:szCs w:val="24"/>
            </w:rPr>
            <w:t xml:space="preserve"> has huge fluctuation in the business actual result and the obtained result from the historical data. This information used to mislead the financial statement and management.</w:t>
          </w:r>
        </w:p>
        <w:p w14:paraId="69FCC4A7" w14:textId="77777777" w:rsidR="00590BAD" w:rsidRPr="008F5B9C" w:rsidRDefault="00590BAD" w:rsidP="008F5B9C">
          <w:pPr>
            <w:rPr>
              <w:rFonts w:ascii="Arial" w:hAnsi="Arial" w:cs="Arial"/>
              <w:szCs w:val="24"/>
            </w:rPr>
          </w:pPr>
          <w:r w:rsidRPr="008F5B9C">
            <w:rPr>
              <w:rFonts w:ascii="Arial" w:hAnsi="Arial" w:cs="Arial"/>
              <w:szCs w:val="24"/>
            </w:rPr>
            <w:lastRenderedPageBreak/>
            <w:t>Inflation effect can also cause change in the cost and period review and ratio analysis and this means that the numbers are not comparable across the period (Hartley, 2016).</w:t>
          </w:r>
        </w:p>
        <w:p w14:paraId="21111DE0" w14:textId="77777777" w:rsidR="00590BAD" w:rsidRPr="008F5B9C" w:rsidRDefault="00590BAD" w:rsidP="008F5B9C">
          <w:pPr>
            <w:rPr>
              <w:rFonts w:ascii="Arial" w:hAnsi="Arial" w:cs="Arial"/>
              <w:szCs w:val="24"/>
            </w:rPr>
          </w:pPr>
          <w:r w:rsidRPr="008F5B9C">
            <w:rPr>
              <w:rFonts w:ascii="Arial" w:hAnsi="Arial" w:cs="Arial"/>
              <w:szCs w:val="24"/>
            </w:rPr>
            <w:t>Comparing the information from the past can also be misleading if the operational structure changes (Bragg and Bragg, 2022).</w:t>
          </w:r>
        </w:p>
        <w:p w14:paraId="28B3E0BC" w14:textId="77777777" w:rsidR="00590BAD" w:rsidRPr="008F5B9C" w:rsidRDefault="00590BAD" w:rsidP="008F5B9C">
          <w:pPr>
            <w:rPr>
              <w:rFonts w:ascii="Arial" w:hAnsi="Arial" w:cs="Arial"/>
              <w:i/>
              <w:szCs w:val="24"/>
            </w:rPr>
          </w:pPr>
          <w:r w:rsidRPr="008F5B9C">
            <w:rPr>
              <w:rFonts w:ascii="Arial" w:hAnsi="Arial" w:cs="Arial"/>
              <w:szCs w:val="24"/>
            </w:rPr>
            <w:t xml:space="preserve">The ratio analysis can also affect if the accounting policies changes from company to company. It may happen that the company differs in recording the same accounting transaction which may affect the change in ratio from one company to another and result also cannot be verified (Palepu </w:t>
          </w:r>
          <w:r w:rsidRPr="008F5B9C">
            <w:rPr>
              <w:rFonts w:ascii="Arial" w:hAnsi="Arial" w:cs="Arial"/>
              <w:i/>
              <w:szCs w:val="24"/>
            </w:rPr>
            <w:t>et al.,</w:t>
          </w:r>
          <w:r w:rsidRPr="008F5B9C">
            <w:rPr>
              <w:rFonts w:ascii="Arial" w:hAnsi="Arial" w:cs="Arial"/>
              <w:szCs w:val="24"/>
            </w:rPr>
            <w:t xml:space="preserve"> 2020)</w:t>
          </w:r>
        </w:p>
        <w:p w14:paraId="52FFD408" w14:textId="152DE0A2" w:rsidR="00AA2A91" w:rsidRPr="008F5B9C" w:rsidRDefault="00590BAD" w:rsidP="008F5B9C">
          <w:pPr>
            <w:rPr>
              <w:rFonts w:ascii="Arial" w:hAnsi="Arial" w:cs="Arial"/>
              <w:szCs w:val="24"/>
            </w:rPr>
          </w:pPr>
          <w:r w:rsidRPr="008F5B9C">
            <w:rPr>
              <w:rFonts w:ascii="Arial" w:hAnsi="Arial" w:cs="Arial"/>
              <w:szCs w:val="24"/>
            </w:rPr>
            <w:t>Fluctuation ratio analysis  in the hotel management affects the company to reduce the customers, brand name and operational activities as well as the performance. The stakeholder may receive less return as well as the investor may not be interested to invest in the hotel thus this affects the business at large.</w:t>
          </w:r>
        </w:p>
        <w:p w14:paraId="3B761FE2" w14:textId="46C3DE67" w:rsidR="00AA2A91" w:rsidRPr="008F5B9C" w:rsidRDefault="00AA2A91" w:rsidP="008F5B9C">
          <w:pPr>
            <w:pStyle w:val="Heading1"/>
            <w:rPr>
              <w:rFonts w:ascii="Arial" w:hAnsi="Arial" w:cs="Arial"/>
              <w:color w:val="auto"/>
              <w:sz w:val="24"/>
              <w:szCs w:val="24"/>
            </w:rPr>
          </w:pPr>
          <w:bookmarkStart w:id="16" w:name="_Toc104246973"/>
          <w:r w:rsidRPr="008F5B9C">
            <w:rPr>
              <w:rFonts w:ascii="Arial" w:hAnsi="Arial" w:cs="Arial"/>
              <w:color w:val="auto"/>
              <w:sz w:val="24"/>
              <w:szCs w:val="24"/>
            </w:rPr>
            <w:t>Conclusion</w:t>
          </w:r>
          <w:bookmarkEnd w:id="16"/>
        </w:p>
        <w:p w14:paraId="48F43DF0" w14:textId="1D646650" w:rsidR="00AA2A91" w:rsidRPr="008F5B9C" w:rsidRDefault="00590BAD" w:rsidP="008F5B9C">
          <w:pPr>
            <w:rPr>
              <w:rFonts w:ascii="Arial" w:hAnsi="Arial" w:cs="Arial"/>
              <w:szCs w:val="24"/>
            </w:rPr>
          </w:pPr>
          <w:r w:rsidRPr="008F5B9C">
            <w:rPr>
              <w:rFonts w:ascii="Arial" w:hAnsi="Arial" w:cs="Arial"/>
              <w:szCs w:val="24"/>
            </w:rPr>
            <w:t>From the above discussion it can be understood that Hilton Worldwide Holdings Inc financial statement analysis using the horizontal ratio helps to understand the income, sales, cost, liabilities, asset and equity share of the business. It informs that business is facing huge loss during the 2020 due to the sl</w:t>
          </w:r>
          <w:r w:rsidR="00D92726" w:rsidRPr="008F5B9C">
            <w:rPr>
              <w:rFonts w:ascii="Arial" w:hAnsi="Arial" w:cs="Arial"/>
              <w:szCs w:val="24"/>
            </w:rPr>
            <w:t>o</w:t>
          </w:r>
          <w:r w:rsidR="00416A3D" w:rsidRPr="008F5B9C">
            <w:rPr>
              <w:rFonts w:ascii="Arial" w:hAnsi="Arial" w:cs="Arial"/>
              <w:szCs w:val="24"/>
            </w:rPr>
            <w:t>w</w:t>
          </w:r>
          <w:r w:rsidRPr="008F5B9C">
            <w:rPr>
              <w:rFonts w:ascii="Arial" w:hAnsi="Arial" w:cs="Arial"/>
              <w:szCs w:val="24"/>
            </w:rPr>
            <w:t>down of sales, incurring huge cost and expenses and debt may lead to increase of interest and payments. However the current asset seems to be positive and must need sufficient cash to develop the business operation and efficiency</w:t>
          </w:r>
        </w:p>
        <w:p w14:paraId="5CF90869" w14:textId="77777777" w:rsidR="00AA2A91" w:rsidRPr="008F5B9C" w:rsidRDefault="00AA2A91" w:rsidP="008F5B9C">
          <w:pPr>
            <w:rPr>
              <w:rFonts w:ascii="Arial" w:hAnsi="Arial" w:cs="Arial"/>
              <w:szCs w:val="24"/>
            </w:rPr>
          </w:pPr>
        </w:p>
        <w:p w14:paraId="2B9A8C3B" w14:textId="77777777" w:rsidR="00590BAD" w:rsidRPr="008F5B9C" w:rsidRDefault="00590BAD" w:rsidP="008F5B9C">
          <w:pPr>
            <w:rPr>
              <w:rFonts w:ascii="Arial" w:eastAsiaTheme="majorEastAsia" w:hAnsi="Arial" w:cs="Arial"/>
              <w:szCs w:val="24"/>
            </w:rPr>
          </w:pPr>
          <w:r w:rsidRPr="008F5B9C">
            <w:rPr>
              <w:rFonts w:ascii="Arial" w:hAnsi="Arial" w:cs="Arial"/>
              <w:szCs w:val="24"/>
            </w:rPr>
            <w:br w:type="page"/>
          </w:r>
        </w:p>
        <w:p w14:paraId="58C49762" w14:textId="15EC76E9" w:rsidR="00AA2A91" w:rsidRPr="008F5B9C" w:rsidRDefault="00AA2A91" w:rsidP="008F5B9C">
          <w:pPr>
            <w:pStyle w:val="Heading1"/>
            <w:rPr>
              <w:rFonts w:ascii="Arial" w:hAnsi="Arial" w:cs="Arial"/>
              <w:color w:val="auto"/>
              <w:sz w:val="24"/>
              <w:szCs w:val="24"/>
            </w:rPr>
          </w:pPr>
          <w:bookmarkStart w:id="17" w:name="_Toc104246974"/>
          <w:r w:rsidRPr="008F5B9C">
            <w:rPr>
              <w:rFonts w:ascii="Arial" w:hAnsi="Arial" w:cs="Arial"/>
              <w:color w:val="auto"/>
              <w:sz w:val="24"/>
              <w:szCs w:val="24"/>
            </w:rPr>
            <w:lastRenderedPageBreak/>
            <w:t>Bibliography</w:t>
          </w:r>
          <w:bookmarkEnd w:id="17"/>
        </w:p>
        <w:p w14:paraId="2EA6CBA2" w14:textId="77777777" w:rsidR="00590BAD" w:rsidRPr="008F5B9C" w:rsidRDefault="00590BAD" w:rsidP="008F5B9C">
          <w:pPr>
            <w:spacing w:before="240"/>
            <w:rPr>
              <w:rFonts w:ascii="Arial" w:hAnsi="Arial" w:cs="Arial"/>
              <w:szCs w:val="24"/>
            </w:rPr>
          </w:pPr>
          <w:r w:rsidRPr="008F5B9C">
            <w:rPr>
              <w:rFonts w:ascii="Arial" w:hAnsi="Arial" w:cs="Arial"/>
              <w:szCs w:val="24"/>
            </w:rPr>
            <w:t>Anggraini, N.T., (2022). Analysis of Financial Statements Based on Financial Ratio and Vertical-Horizontal Method in PT Unilever, Tbk, 2016-2017 Period. </w:t>
          </w:r>
          <w:r w:rsidRPr="008F5B9C">
            <w:rPr>
              <w:rFonts w:ascii="Arial" w:hAnsi="Arial" w:cs="Arial"/>
              <w:i/>
              <w:iCs/>
              <w:szCs w:val="24"/>
            </w:rPr>
            <w:t>Journal of Social Science</w:t>
          </w:r>
          <w:r w:rsidRPr="008F5B9C">
            <w:rPr>
              <w:rFonts w:ascii="Arial" w:hAnsi="Arial" w:cs="Arial"/>
              <w:szCs w:val="24"/>
            </w:rPr>
            <w:t>, </w:t>
          </w:r>
          <w:r w:rsidRPr="008F5B9C">
            <w:rPr>
              <w:rFonts w:ascii="Arial" w:hAnsi="Arial" w:cs="Arial"/>
              <w:i/>
              <w:iCs/>
              <w:szCs w:val="24"/>
            </w:rPr>
            <w:t>3</w:t>
          </w:r>
          <w:r w:rsidRPr="008F5B9C">
            <w:rPr>
              <w:rFonts w:ascii="Arial" w:hAnsi="Arial" w:cs="Arial"/>
              <w:szCs w:val="24"/>
            </w:rPr>
            <w:t>(1), pp.171-176.</w:t>
          </w:r>
        </w:p>
        <w:p w14:paraId="4FDEDE31" w14:textId="77777777" w:rsidR="00590BAD" w:rsidRPr="008F5B9C" w:rsidRDefault="00590BAD" w:rsidP="008F5B9C">
          <w:pPr>
            <w:spacing w:before="240"/>
            <w:rPr>
              <w:rFonts w:ascii="Arial" w:hAnsi="Arial" w:cs="Arial"/>
              <w:szCs w:val="24"/>
            </w:rPr>
          </w:pPr>
          <w:r w:rsidRPr="008F5B9C">
            <w:rPr>
              <w:rFonts w:ascii="Arial" w:hAnsi="Arial" w:cs="Arial"/>
              <w:szCs w:val="24"/>
            </w:rPr>
            <w:t>Bragg, S. and Bragg, S., (2022). </w:t>
          </w:r>
          <w:r w:rsidRPr="008F5B9C">
            <w:rPr>
              <w:rFonts w:ascii="Arial" w:hAnsi="Arial" w:cs="Arial"/>
              <w:i/>
              <w:iCs/>
              <w:szCs w:val="24"/>
            </w:rPr>
            <w:t>Limitations of ratio analysis — AccountingTools</w:t>
          </w:r>
          <w:r w:rsidRPr="008F5B9C">
            <w:rPr>
              <w:rFonts w:ascii="Arial" w:hAnsi="Arial" w:cs="Arial"/>
              <w:szCs w:val="24"/>
            </w:rPr>
            <w:t>. [online] AccountingTools. Available at: &lt;https://www.accountingtools.com/articles/what-are-the-limitations-of-ratio-analysis.html&gt; [Accessed 19 May 2022].</w:t>
          </w:r>
        </w:p>
        <w:p w14:paraId="33FEDD8F" w14:textId="77777777" w:rsidR="00590BAD" w:rsidRPr="008F5B9C" w:rsidRDefault="00590BAD" w:rsidP="008F5B9C">
          <w:pPr>
            <w:spacing w:before="240"/>
            <w:rPr>
              <w:rFonts w:ascii="Arial" w:hAnsi="Arial" w:cs="Arial"/>
              <w:szCs w:val="24"/>
            </w:rPr>
          </w:pPr>
          <w:r w:rsidRPr="008F5B9C">
            <w:rPr>
              <w:rFonts w:ascii="Arial" w:hAnsi="Arial" w:cs="Arial"/>
              <w:szCs w:val="24"/>
            </w:rPr>
            <w:t>Dahooie, J.H., Dehshiri, S.J.H., Banaitis, A. and Binkytė-Vėlienė, A., (2020). Identifying and prioritizing cost reduction solutions in the supply chain by integrating value engineering and gray multi-criteria decision-making. </w:t>
          </w:r>
          <w:r w:rsidRPr="008F5B9C">
            <w:rPr>
              <w:rFonts w:ascii="Arial" w:hAnsi="Arial" w:cs="Arial"/>
              <w:i/>
              <w:iCs/>
              <w:szCs w:val="24"/>
            </w:rPr>
            <w:t>Technological and Economic Development of Economy</w:t>
          </w:r>
          <w:r w:rsidRPr="008F5B9C">
            <w:rPr>
              <w:rFonts w:ascii="Arial" w:hAnsi="Arial" w:cs="Arial"/>
              <w:szCs w:val="24"/>
            </w:rPr>
            <w:t>, </w:t>
          </w:r>
          <w:r w:rsidRPr="008F5B9C">
            <w:rPr>
              <w:rFonts w:ascii="Arial" w:hAnsi="Arial" w:cs="Arial"/>
              <w:i/>
              <w:iCs/>
              <w:szCs w:val="24"/>
            </w:rPr>
            <w:t>26</w:t>
          </w:r>
          <w:r w:rsidRPr="008F5B9C">
            <w:rPr>
              <w:rFonts w:ascii="Arial" w:hAnsi="Arial" w:cs="Arial"/>
              <w:szCs w:val="24"/>
            </w:rPr>
            <w:t>(6), pp.1311-1338.</w:t>
          </w:r>
        </w:p>
        <w:p w14:paraId="53869608" w14:textId="77777777" w:rsidR="00590BAD" w:rsidRPr="008F5B9C" w:rsidRDefault="00590BAD" w:rsidP="008F5B9C">
          <w:pPr>
            <w:spacing w:before="240"/>
            <w:rPr>
              <w:rFonts w:ascii="Arial" w:hAnsi="Arial" w:cs="Arial"/>
              <w:szCs w:val="24"/>
            </w:rPr>
          </w:pPr>
          <w:r w:rsidRPr="008F5B9C">
            <w:rPr>
              <w:rFonts w:ascii="Arial" w:hAnsi="Arial" w:cs="Arial"/>
              <w:szCs w:val="24"/>
            </w:rPr>
            <w:t>Hartley, K., (2016). UK defence inflation and cost escalation. </w:t>
          </w:r>
          <w:r w:rsidRPr="008F5B9C">
            <w:rPr>
              <w:rFonts w:ascii="Arial" w:hAnsi="Arial" w:cs="Arial"/>
              <w:i/>
              <w:iCs/>
              <w:szCs w:val="24"/>
            </w:rPr>
            <w:t>Defence and peace economics</w:t>
          </w:r>
          <w:r w:rsidRPr="008F5B9C">
            <w:rPr>
              <w:rFonts w:ascii="Arial" w:hAnsi="Arial" w:cs="Arial"/>
              <w:szCs w:val="24"/>
            </w:rPr>
            <w:t>, </w:t>
          </w:r>
          <w:r w:rsidRPr="008F5B9C">
            <w:rPr>
              <w:rFonts w:ascii="Arial" w:hAnsi="Arial" w:cs="Arial"/>
              <w:i/>
              <w:iCs/>
              <w:szCs w:val="24"/>
            </w:rPr>
            <w:t>27</w:t>
          </w:r>
          <w:r w:rsidRPr="008F5B9C">
            <w:rPr>
              <w:rFonts w:ascii="Arial" w:hAnsi="Arial" w:cs="Arial"/>
              <w:szCs w:val="24"/>
            </w:rPr>
            <w:t>(2), pp.184-207.</w:t>
          </w:r>
        </w:p>
        <w:p w14:paraId="6D369E00" w14:textId="77777777" w:rsidR="00590BAD" w:rsidRPr="008F5B9C" w:rsidRDefault="00590BAD" w:rsidP="008F5B9C">
          <w:pPr>
            <w:spacing w:before="240"/>
            <w:rPr>
              <w:rFonts w:ascii="Arial" w:hAnsi="Arial" w:cs="Arial"/>
              <w:szCs w:val="24"/>
            </w:rPr>
          </w:pPr>
          <w:r w:rsidRPr="008F5B9C">
            <w:rPr>
              <w:rFonts w:ascii="Arial" w:hAnsi="Arial" w:cs="Arial"/>
              <w:szCs w:val="24"/>
            </w:rPr>
            <w:t>Hashmi, W.H. and Malik, Q.A., (2019). Proposing an organizational diagnostic model based on financial cum productivity horizontal analysis. </w:t>
          </w:r>
          <w:r w:rsidRPr="008F5B9C">
            <w:rPr>
              <w:rFonts w:ascii="Arial" w:hAnsi="Arial" w:cs="Arial"/>
              <w:i/>
              <w:iCs/>
              <w:szCs w:val="24"/>
            </w:rPr>
            <w:t>organization</w:t>
          </w:r>
          <w:r w:rsidRPr="008F5B9C">
            <w:rPr>
              <w:rFonts w:ascii="Arial" w:hAnsi="Arial" w:cs="Arial"/>
              <w:szCs w:val="24"/>
            </w:rPr>
            <w:t>, </w:t>
          </w:r>
          <w:r w:rsidRPr="008F5B9C">
            <w:rPr>
              <w:rFonts w:ascii="Arial" w:hAnsi="Arial" w:cs="Arial"/>
              <w:i/>
              <w:iCs/>
              <w:szCs w:val="24"/>
            </w:rPr>
            <w:t>21</w:t>
          </w:r>
          <w:r w:rsidRPr="008F5B9C">
            <w:rPr>
              <w:rFonts w:ascii="Arial" w:hAnsi="Arial" w:cs="Arial"/>
              <w:szCs w:val="24"/>
            </w:rPr>
            <w:t>(2).</w:t>
          </w:r>
        </w:p>
        <w:p w14:paraId="635851D2" w14:textId="77777777" w:rsidR="00590BAD" w:rsidRPr="008F5B9C" w:rsidRDefault="00590BAD" w:rsidP="008F5B9C">
          <w:pPr>
            <w:spacing w:before="240"/>
            <w:rPr>
              <w:rFonts w:ascii="Arial" w:hAnsi="Arial" w:cs="Arial"/>
              <w:szCs w:val="24"/>
            </w:rPr>
          </w:pPr>
          <w:r w:rsidRPr="008F5B9C">
            <w:rPr>
              <w:rFonts w:ascii="Arial" w:hAnsi="Arial" w:cs="Arial"/>
              <w:szCs w:val="24"/>
            </w:rPr>
            <w:t>Hatefi, M.A., (2019). Indifference threshold-based attribute ratio analysis: A method for assigning the weights to the attributes in multiple attribute decision making. </w:t>
          </w:r>
          <w:r w:rsidRPr="008F5B9C">
            <w:rPr>
              <w:rFonts w:ascii="Arial" w:hAnsi="Arial" w:cs="Arial"/>
              <w:i/>
              <w:iCs/>
              <w:szCs w:val="24"/>
            </w:rPr>
            <w:t>Applied Soft Computing</w:t>
          </w:r>
          <w:r w:rsidRPr="008F5B9C">
            <w:rPr>
              <w:rFonts w:ascii="Arial" w:hAnsi="Arial" w:cs="Arial"/>
              <w:szCs w:val="24"/>
            </w:rPr>
            <w:t>, </w:t>
          </w:r>
          <w:r w:rsidRPr="008F5B9C">
            <w:rPr>
              <w:rFonts w:ascii="Arial" w:hAnsi="Arial" w:cs="Arial"/>
              <w:i/>
              <w:iCs/>
              <w:szCs w:val="24"/>
            </w:rPr>
            <w:t>74</w:t>
          </w:r>
          <w:r w:rsidRPr="008F5B9C">
            <w:rPr>
              <w:rFonts w:ascii="Arial" w:hAnsi="Arial" w:cs="Arial"/>
              <w:szCs w:val="24"/>
            </w:rPr>
            <w:t>, pp.643-651.</w:t>
          </w:r>
        </w:p>
        <w:p w14:paraId="4E47CDD0" w14:textId="77777777" w:rsidR="00590BAD" w:rsidRPr="008F5B9C" w:rsidRDefault="00590BAD" w:rsidP="008F5B9C">
          <w:pPr>
            <w:spacing w:before="240"/>
            <w:rPr>
              <w:rFonts w:ascii="Arial" w:hAnsi="Arial" w:cs="Arial"/>
              <w:szCs w:val="24"/>
            </w:rPr>
          </w:pPr>
          <w:r w:rsidRPr="008F5B9C">
            <w:rPr>
              <w:rFonts w:ascii="Arial" w:hAnsi="Arial" w:cs="Arial"/>
              <w:szCs w:val="24"/>
            </w:rPr>
            <w:t>Palepu, K.G., Healy, P.M., Wright, S., Bradbury, M. and Coulton, J., (2020). </w:t>
          </w:r>
          <w:r w:rsidRPr="008F5B9C">
            <w:rPr>
              <w:rFonts w:ascii="Arial" w:hAnsi="Arial" w:cs="Arial"/>
              <w:i/>
              <w:iCs/>
              <w:szCs w:val="24"/>
            </w:rPr>
            <w:t>Business analysis and valuation: Using financial statements</w:t>
          </w:r>
          <w:r w:rsidRPr="008F5B9C">
            <w:rPr>
              <w:rFonts w:ascii="Arial" w:hAnsi="Arial" w:cs="Arial"/>
              <w:szCs w:val="24"/>
            </w:rPr>
            <w:t>. Cengage AU.</w:t>
          </w:r>
        </w:p>
        <w:p w14:paraId="33AF8D50" w14:textId="77777777" w:rsidR="00590BAD" w:rsidRPr="008F5B9C" w:rsidRDefault="00590BAD" w:rsidP="008F5B9C">
          <w:pPr>
            <w:spacing w:before="240"/>
            <w:rPr>
              <w:rFonts w:ascii="Arial" w:hAnsi="Arial" w:cs="Arial"/>
              <w:szCs w:val="24"/>
            </w:rPr>
          </w:pPr>
          <w:r w:rsidRPr="008F5B9C">
            <w:rPr>
              <w:rFonts w:ascii="Arial" w:hAnsi="Arial" w:cs="Arial"/>
              <w:szCs w:val="24"/>
            </w:rPr>
            <w:t>Shala, B., Prebreza, A. and Ramosaj, B., (2021). Horizontal and Vertical Analysis of SAMSUNG Enterprise for the Years 2015-2016 and 2017-2018. </w:t>
          </w:r>
          <w:r w:rsidRPr="008F5B9C">
            <w:rPr>
              <w:rFonts w:ascii="Arial" w:hAnsi="Arial" w:cs="Arial"/>
              <w:i/>
              <w:iCs/>
              <w:szCs w:val="24"/>
            </w:rPr>
            <w:t>Journal of Economics and Management Sciences</w:t>
          </w:r>
          <w:r w:rsidRPr="008F5B9C">
            <w:rPr>
              <w:rFonts w:ascii="Arial" w:hAnsi="Arial" w:cs="Arial"/>
              <w:szCs w:val="24"/>
            </w:rPr>
            <w:t>, </w:t>
          </w:r>
          <w:r w:rsidRPr="008F5B9C">
            <w:rPr>
              <w:rFonts w:ascii="Arial" w:hAnsi="Arial" w:cs="Arial"/>
              <w:i/>
              <w:iCs/>
              <w:szCs w:val="24"/>
            </w:rPr>
            <w:t>4</w:t>
          </w:r>
          <w:r w:rsidRPr="008F5B9C">
            <w:rPr>
              <w:rFonts w:ascii="Arial" w:hAnsi="Arial" w:cs="Arial"/>
              <w:szCs w:val="24"/>
            </w:rPr>
            <w:t>(1), pp.p50-p50.</w:t>
          </w:r>
        </w:p>
        <w:p w14:paraId="70CD0D5A" w14:textId="77777777" w:rsidR="00590BAD" w:rsidRPr="008F5B9C" w:rsidRDefault="00590BAD" w:rsidP="008F5B9C">
          <w:pPr>
            <w:spacing w:before="240"/>
            <w:rPr>
              <w:rFonts w:ascii="Arial" w:hAnsi="Arial" w:cs="Arial"/>
              <w:szCs w:val="24"/>
            </w:rPr>
          </w:pPr>
          <w:r w:rsidRPr="008F5B9C">
            <w:rPr>
              <w:rFonts w:ascii="Arial" w:hAnsi="Arial" w:cs="Arial"/>
              <w:szCs w:val="24"/>
            </w:rPr>
            <w:t>Uk.finance.yahoo, (2022). </w:t>
          </w:r>
          <w:r w:rsidRPr="008F5B9C">
            <w:rPr>
              <w:rFonts w:ascii="Arial" w:hAnsi="Arial" w:cs="Arial"/>
              <w:i/>
              <w:iCs/>
              <w:szCs w:val="24"/>
            </w:rPr>
            <w:t>Yahoo is part of the Yahoo family of brands</w:t>
          </w:r>
          <w:r w:rsidRPr="008F5B9C">
            <w:rPr>
              <w:rFonts w:ascii="Arial" w:hAnsi="Arial" w:cs="Arial"/>
              <w:szCs w:val="24"/>
            </w:rPr>
            <w:t>. [online] Uk.finance.yahoo.com. Available at: &lt;https://uk.finance.yahoo.com/quote/HLT/financials?p=HLT&gt; [Accessed 19 May 2022].</w:t>
          </w:r>
        </w:p>
        <w:p w14:paraId="058626FE" w14:textId="77777777" w:rsidR="00590BAD" w:rsidRPr="008F5B9C" w:rsidRDefault="00590BAD" w:rsidP="008F5B9C">
          <w:pPr>
            <w:spacing w:before="240"/>
            <w:rPr>
              <w:rFonts w:ascii="Arial" w:hAnsi="Arial" w:cs="Arial"/>
              <w:szCs w:val="24"/>
            </w:rPr>
          </w:pPr>
          <w:r w:rsidRPr="008F5B9C">
            <w:rPr>
              <w:rFonts w:ascii="Arial" w:hAnsi="Arial" w:cs="Arial"/>
              <w:szCs w:val="24"/>
            </w:rPr>
            <w:lastRenderedPageBreak/>
            <w:t>Vaca-Tapia, A.C., Freire, F.C., Rivas-Echeverría, F.I. and Aragón-Puetate, J.A., (2018), January. Knowledge Based of an Expert System Using the Horizontal Analysis for Financial Statements of National, Private TV Companies in Ecuador. In </w:t>
          </w:r>
          <w:r w:rsidRPr="008F5B9C">
            <w:rPr>
              <w:rFonts w:ascii="Arial" w:hAnsi="Arial" w:cs="Arial"/>
              <w:i/>
              <w:iCs/>
              <w:szCs w:val="24"/>
            </w:rPr>
            <w:t>International Conference on Information Technology &amp; Systems</w:t>
          </w:r>
          <w:r w:rsidRPr="008F5B9C">
            <w:rPr>
              <w:rFonts w:ascii="Arial" w:hAnsi="Arial" w:cs="Arial"/>
              <w:szCs w:val="24"/>
            </w:rPr>
            <w:t> (pp. 1044-1054). Springer, Cham.</w:t>
          </w:r>
        </w:p>
        <w:p w14:paraId="59F0C961" w14:textId="77777777" w:rsidR="00590BAD" w:rsidRPr="008F5B9C" w:rsidRDefault="00590BAD" w:rsidP="008F5B9C">
          <w:pPr>
            <w:rPr>
              <w:rFonts w:ascii="Arial" w:hAnsi="Arial" w:cs="Arial"/>
              <w:szCs w:val="24"/>
            </w:rPr>
          </w:pPr>
        </w:p>
        <w:p w14:paraId="08F07262" w14:textId="77777777" w:rsidR="004A11F6" w:rsidRPr="008F5B9C" w:rsidRDefault="004A11F6" w:rsidP="008F5B9C">
          <w:pPr>
            <w:rPr>
              <w:rFonts w:ascii="Arial" w:hAnsi="Arial" w:cs="Arial"/>
              <w:szCs w:val="24"/>
            </w:rPr>
          </w:pPr>
        </w:p>
        <w:p w14:paraId="0B60BCAC" w14:textId="77777777" w:rsidR="00CA09F3" w:rsidRPr="008F5B9C" w:rsidRDefault="005E7754" w:rsidP="008F5B9C">
          <w:pPr>
            <w:rPr>
              <w:rFonts w:ascii="Arial" w:hAnsi="Arial" w:cs="Arial"/>
              <w:szCs w:val="24"/>
            </w:rPr>
          </w:pPr>
        </w:p>
      </w:sdtContent>
    </w:sdt>
    <w:sectPr w:rsidR="00CA09F3" w:rsidRPr="008F5B9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8924026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50A8"/>
    <w:rsid w:val="00060075"/>
    <w:rsid w:val="000D568F"/>
    <w:rsid w:val="00115B96"/>
    <w:rsid w:val="00203775"/>
    <w:rsid w:val="002C3A27"/>
    <w:rsid w:val="003159CF"/>
    <w:rsid w:val="00324CCD"/>
    <w:rsid w:val="00416A3D"/>
    <w:rsid w:val="004A11F6"/>
    <w:rsid w:val="004D519C"/>
    <w:rsid w:val="00590BAD"/>
    <w:rsid w:val="005D6024"/>
    <w:rsid w:val="005E7754"/>
    <w:rsid w:val="007D1947"/>
    <w:rsid w:val="008E0880"/>
    <w:rsid w:val="008F5B9C"/>
    <w:rsid w:val="009C1CE2"/>
    <w:rsid w:val="00AA2A91"/>
    <w:rsid w:val="00B60AB1"/>
    <w:rsid w:val="00BA3A3D"/>
    <w:rsid w:val="00BF4B9C"/>
    <w:rsid w:val="00C71FB5"/>
    <w:rsid w:val="00CA09F3"/>
    <w:rsid w:val="00D854A5"/>
    <w:rsid w:val="00D92726"/>
    <w:rsid w:val="00DB6A70"/>
    <w:rsid w:val="00DC6FAD"/>
    <w:rsid w:val="00DE260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BAD"/>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90BAD"/>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0BAD"/>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90BAD"/>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590BAD"/>
    <w:rPr>
      <w:rFonts w:ascii="Times New Roman" w:eastAsiaTheme="majorEastAsia" w:hAnsi="Times New Roman"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590BAD"/>
    <w:rPr>
      <w:rFonts w:ascii="Times New Roman" w:eastAsiaTheme="majorEastAsia" w:hAnsi="Times New Roman"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eastAsia="Times New Roman" w:cs="Times New Roman"/>
      <w:sz w:val="20"/>
      <w:szCs w:val="20"/>
      <w:lang w:eastAsia="en-GB"/>
    </w:rPr>
  </w:style>
  <w:style w:type="character" w:customStyle="1" w:styleId="Heading3Char">
    <w:name w:val="Heading 3 Char"/>
    <w:basedOn w:val="DefaultParagraphFont"/>
    <w:link w:val="Heading3"/>
    <w:uiPriority w:val="9"/>
    <w:semiHidden/>
    <w:rsid w:val="00590BAD"/>
    <w:rPr>
      <w:rFonts w:ascii="Times New Roman" w:eastAsiaTheme="majorEastAsia" w:hAnsi="Times New Roman" w:cstheme="majorBidi"/>
      <w:color w:val="1F4D78" w:themeColor="accent1" w:themeShade="7F"/>
      <w:sz w:val="24"/>
      <w:szCs w:val="24"/>
    </w:rPr>
  </w:style>
  <w:style w:type="table" w:styleId="GridTable1Light">
    <w:name w:val="Grid Table 1 Light"/>
    <w:basedOn w:val="TableNormal"/>
    <w:uiPriority w:val="46"/>
    <w:rsid w:val="00590BAD"/>
    <w:pPr>
      <w:spacing w:after="0" w:line="240" w:lineRule="auto"/>
    </w:pPr>
    <w:rPr>
      <w:rFonts w:ascii="Arial" w:eastAsia="Arial" w:hAnsi="Arial" w:cs="Arial"/>
      <w:lang w:val="en-IN" w:eastAsia="en-I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D92726"/>
    <w:pPr>
      <w:spacing w:after="100"/>
      <w:ind w:left="480"/>
    </w:pPr>
  </w:style>
  <w:style w:type="table" w:styleId="GridTable6Colorful">
    <w:name w:val="Grid Table 6 Colorful"/>
    <w:basedOn w:val="TableNormal"/>
    <w:uiPriority w:val="51"/>
    <w:rsid w:val="00D92726"/>
    <w:pPr>
      <w:spacing w:after="0" w:line="240" w:lineRule="auto"/>
    </w:pPr>
    <w:rPr>
      <w:rFonts w:ascii="Arial" w:eastAsia="Arial" w:hAnsi="Arial" w:cs="Arial"/>
      <w:color w:val="000000" w:themeColor="text1"/>
      <w:lang w:val="en-IN" w:eastAsia="en-IN"/>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D927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70A32"/>
    <w:rsid w:val="003B60B9"/>
    <w:rsid w:val="0083132B"/>
    <w:rsid w:val="009F1794"/>
    <w:rsid w:val="00A34C42"/>
    <w:rsid w:val="00BC1251"/>
    <w:rsid w:val="00C67429"/>
    <w:rsid w:val="00F3537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2022-05-31T00:00:00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6699F91-D6D5-4A01-BDCF-3B0756569D88}">
  <ds:schemaRefs>
    <ds:schemaRef ds:uri="http://schemas.openxmlformats.org/officeDocument/2006/bibliography"/>
  </ds:schemaRefs>
</ds:datastoreItem>
</file>

<file path=customXml/itemProps5.xml><?xml version="1.0" encoding="utf-8"?>
<ds:datastoreItem xmlns:ds="http://schemas.openxmlformats.org/officeDocument/2006/customXml" ds:itemID="{54601369-8EFB-4313-B8B6-887C00BFFF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2328</Words>
  <Characters>13271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dc:title>
  <dc:subject>Student Name: Dobir Miah (2019720)</dc:subject>
  <dc:creator>dobir miah</dc:creator>
  <cp:keywords/>
  <dc:description/>
  <cp:lastModifiedBy>dobir Miah</cp:lastModifiedBy>
  <cp:revision>11</cp:revision>
  <dcterms:created xsi:type="dcterms:W3CDTF">2022-05-31T17:00:00Z</dcterms:created>
  <dcterms:modified xsi:type="dcterms:W3CDTF">2022-05-31T17:13:00Z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