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19050</wp:posOffset>
            </wp:positionH>
            <wp:positionV relativeFrom="paragraph">
              <wp:posOffset>19050</wp:posOffset>
            </wp:positionV>
            <wp:extent cx="5915381" cy="3543513"/>
            <wp:effectExtent b="0" l="0" r="0" t="0"/>
            <wp:wrapTopAndBottom distB="0" distT="0"/>
            <wp:docPr id="105574"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15381" cy="3543513"/>
                    </a:xfrm>
                    <a:prstGeom prst="rect"/>
                    <a:ln/>
                  </pic:spPr>
                </pic:pic>
              </a:graphicData>
            </a:graphic>
          </wp:anchor>
        </w:drawing>
      </w:r>
    </w:p>
    <w:tbl>
      <w:tblPr>
        <w:tblStyle w:val="Table1"/>
        <w:tblW w:w="9285.0" w:type="dxa"/>
        <w:jc w:val="left"/>
        <w:tblInd w:w="0.0" w:type="dxa"/>
        <w:tblLayout w:type="fixed"/>
        <w:tblLook w:val="0400"/>
      </w:tblPr>
      <w:tblGrid>
        <w:gridCol w:w="4500"/>
        <w:gridCol w:w="4785"/>
        <w:tblGridChange w:id="0">
          <w:tblGrid>
            <w:gridCol w:w="4500"/>
            <w:gridCol w:w="4785"/>
          </w:tblGrid>
        </w:tblGridChange>
      </w:tblGrid>
      <w:tr>
        <w:trPr>
          <w:cantSplit w:val="0"/>
          <w:trHeight w:val="1440" w:hRule="atLeast"/>
          <w:tblHeader w:val="0"/>
        </w:trPr>
        <w:tc>
          <w:tcPr>
            <w:tcBorders>
              <w:top w:color="000000" w:space="0" w:sz="4" w:val="single"/>
              <w:left w:color="000000" w:space="0" w:sz="4" w:val="single"/>
              <w:bottom w:color="000000" w:space="0" w:sz="4" w:val="single"/>
              <w:right w:color="000000" w:space="0" w:sz="4" w:val="single"/>
            </w:tcBorders>
            <w:shd w:fill="8db3e2" w:val="clear"/>
          </w:tcPr>
          <w:p w:rsidR="00000000" w:rsidDel="00000000" w:rsidP="00000000" w:rsidRDefault="00000000" w:rsidRPr="00000000" w14:paraId="00000002">
            <w:pPr>
              <w:spacing w:after="216" w:lineRule="auto"/>
              <w:rPr/>
            </w:pPr>
            <w:r w:rsidDel="00000000" w:rsidR="00000000" w:rsidRPr="00000000">
              <w:rPr>
                <w:rFonts w:ascii="Tahoma" w:cs="Tahoma" w:eastAsia="Tahoma" w:hAnsi="Tahoma"/>
                <w:b w:val="1"/>
                <w:sz w:val="20"/>
                <w:szCs w:val="20"/>
                <w:rtl w:val="0"/>
              </w:rPr>
              <w:t xml:space="preserve">Student Name: Alexandru Marius Neagu</w:t>
            </w:r>
            <w:r w:rsidDel="00000000" w:rsidR="00000000" w:rsidRPr="00000000">
              <w:rPr>
                <w:rtl w:val="0"/>
              </w:rPr>
            </w:r>
          </w:p>
          <w:p w:rsidR="00000000" w:rsidDel="00000000" w:rsidP="00000000" w:rsidRDefault="00000000" w:rsidRPr="00000000" w14:paraId="00000003">
            <w:pPr>
              <w:spacing w:after="216" w:lineRule="auto"/>
              <w:rPr/>
            </w:pPr>
            <w:r w:rsidDel="00000000" w:rsidR="00000000" w:rsidRPr="00000000">
              <w:rPr>
                <w:rFonts w:ascii="Tahoma" w:cs="Tahoma" w:eastAsia="Tahoma" w:hAnsi="Tahoma"/>
                <w:b w:val="1"/>
                <w:sz w:val="20"/>
                <w:szCs w:val="20"/>
                <w:rtl w:val="0"/>
              </w:rPr>
              <w:t xml:space="preserve">Student Number: 2026287</w:t>
            </w:r>
            <w:r w:rsidDel="00000000" w:rsidR="00000000" w:rsidRPr="00000000">
              <w:rPr>
                <w:rtl w:val="0"/>
              </w:rPr>
            </w:r>
          </w:p>
          <w:p w:rsidR="00000000" w:rsidDel="00000000" w:rsidP="00000000" w:rsidRDefault="00000000" w:rsidRPr="00000000" w14:paraId="00000004">
            <w:pPr>
              <w:rPr/>
            </w:pPr>
            <w:r w:rsidDel="00000000" w:rsidR="00000000" w:rsidRPr="00000000">
              <w:rPr>
                <w:rFonts w:ascii="Tahoma" w:cs="Tahoma" w:eastAsia="Tahoma" w:hAnsi="Tahoma"/>
                <w:b w:val="1"/>
                <w:sz w:val="20"/>
                <w:szCs w:val="20"/>
                <w:rtl w:val="0"/>
              </w:rPr>
              <w:t xml:space="preserv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8db3e2" w:val="clear"/>
          </w:tcPr>
          <w:p w:rsidR="00000000" w:rsidDel="00000000" w:rsidP="00000000" w:rsidRDefault="00000000" w:rsidRPr="00000000" w14:paraId="00000005">
            <w:pPr>
              <w:pStyle w:val="Title"/>
              <w:jc w:val="both"/>
              <w:rPr/>
            </w:pPr>
            <w:r w:rsidDel="00000000" w:rsidR="00000000" w:rsidRPr="00000000">
              <w:rPr>
                <w:rFonts w:ascii="Tahoma" w:cs="Tahoma" w:eastAsia="Tahoma" w:hAnsi="Tahoma"/>
                <w:b w:val="1"/>
                <w:sz w:val="20"/>
                <w:szCs w:val="20"/>
                <w:rtl w:val="0"/>
              </w:rPr>
              <w:t xml:space="preserve">Module</w:t>
            </w:r>
            <w:r w:rsidDel="00000000" w:rsidR="00000000" w:rsidRPr="00000000">
              <w:rPr>
                <w:rFonts w:ascii="Tahoma" w:cs="Tahoma" w:eastAsia="Tahoma" w:hAnsi="Tahoma"/>
                <w:b w:val="1"/>
                <w:sz w:val="24"/>
                <w:szCs w:val="24"/>
                <w:rtl w:val="0"/>
              </w:rPr>
              <w:t xml:space="preserve">: </w:t>
            </w:r>
            <w:r w:rsidDel="00000000" w:rsidR="00000000" w:rsidRPr="00000000">
              <w:rPr>
                <w:sz w:val="24"/>
                <w:szCs w:val="24"/>
                <w:rtl w:val="0"/>
              </w:rPr>
              <w:t xml:space="preserve">Food and Beverage Operations</w:t>
            </w:r>
            <w:r w:rsidDel="00000000" w:rsidR="00000000" w:rsidRPr="00000000">
              <w:rPr>
                <w:rtl w:val="0"/>
              </w:rPr>
            </w:r>
          </w:p>
          <w:p w:rsidR="00000000" w:rsidDel="00000000" w:rsidP="00000000" w:rsidRDefault="00000000" w:rsidRPr="00000000" w14:paraId="00000006">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07">
            <w:pPr>
              <w:rPr/>
            </w:pPr>
            <w:r w:rsidDel="00000000" w:rsidR="00000000" w:rsidRPr="00000000">
              <w:rPr>
                <w:rFonts w:ascii="Tahoma" w:cs="Tahoma" w:eastAsia="Tahoma" w:hAnsi="Tahoma"/>
                <w:b w:val="1"/>
                <w:sz w:val="20"/>
                <w:szCs w:val="20"/>
                <w:rtl w:val="0"/>
              </w:rPr>
              <w:t xml:space="preserve">Lecturer: Lola Villard</w:t>
            </w:r>
            <w:r w:rsidDel="00000000" w:rsidR="00000000" w:rsidRPr="00000000">
              <w:rPr>
                <w:rtl w:val="0"/>
              </w:rPr>
            </w:r>
          </w:p>
        </w:tc>
      </w:tr>
    </w:tbl>
    <w:p w:rsidR="00000000" w:rsidDel="00000000" w:rsidP="00000000" w:rsidRDefault="00000000" w:rsidRPr="00000000" w14:paraId="00000008">
      <w:pPr>
        <w:spacing w:line="259" w:lineRule="auto"/>
        <w:jc w:val="left"/>
        <w:rPr/>
      </w:pPr>
      <w:r w:rsidDel="00000000" w:rsidR="00000000" w:rsidRPr="00000000">
        <w:rPr>
          <w:rtl w:val="0"/>
        </w:rPr>
      </w:r>
    </w:p>
    <w:tbl>
      <w:tblPr>
        <w:tblStyle w:val="Table2"/>
        <w:tblW w:w="9630.0" w:type="dxa"/>
        <w:jc w:val="left"/>
        <w:tblInd w:w="-5.0" w:type="dxa"/>
        <w:tblLayout w:type="fixed"/>
        <w:tblLook w:val="0400"/>
      </w:tblPr>
      <w:tblGrid>
        <w:gridCol w:w="4278"/>
        <w:gridCol w:w="5352"/>
        <w:tblGridChange w:id="0">
          <w:tblGrid>
            <w:gridCol w:w="4278"/>
            <w:gridCol w:w="5352"/>
          </w:tblGrid>
        </w:tblGridChange>
      </w:tblGrid>
      <w:tr>
        <w:trPr>
          <w:cantSplit w:val="0"/>
          <w:trHeight w:val="1440" w:hRule="atLeast"/>
          <w:tblHeader w:val="0"/>
        </w:trPr>
        <w:tc>
          <w:tcPr>
            <w:tcBorders>
              <w:top w:color="000000" w:space="0" w:sz="4" w:val="single"/>
              <w:left w:color="000000" w:space="0" w:sz="4" w:val="single"/>
              <w:bottom w:color="000000" w:space="0" w:sz="4" w:val="single"/>
              <w:right w:color="000000" w:space="0" w:sz="4" w:val="single"/>
            </w:tcBorders>
            <w:shd w:fill="fbd4b4" w:val="clear"/>
          </w:tcPr>
          <w:p w:rsidR="00000000" w:rsidDel="00000000" w:rsidP="00000000" w:rsidRDefault="00000000" w:rsidRPr="00000000" w14:paraId="00000009">
            <w:pPr>
              <w:rPr/>
            </w:pPr>
            <w:r w:rsidDel="00000000" w:rsidR="00000000" w:rsidRPr="00000000">
              <w:rPr>
                <w:rFonts w:ascii="Tahoma" w:cs="Tahoma" w:eastAsia="Tahoma" w:hAnsi="Tahoma"/>
                <w:b w:val="1"/>
                <w:sz w:val="20"/>
                <w:szCs w:val="20"/>
                <w:rtl w:val="0"/>
              </w:rPr>
              <w:t xml:space="preserve">Topic of choice: Property management systems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bd4b4" w:val="clear"/>
          </w:tcPr>
          <w:p w:rsidR="00000000" w:rsidDel="00000000" w:rsidP="00000000" w:rsidRDefault="00000000" w:rsidRPr="00000000" w14:paraId="0000000A">
            <w:pPr>
              <w:spacing w:after="216" w:lineRule="auto"/>
              <w:ind w:left="1" w:firstLine="0"/>
              <w:rPr/>
            </w:pPr>
            <w:r w:rsidDel="00000000" w:rsidR="00000000" w:rsidRPr="00000000">
              <w:rPr>
                <w:rFonts w:ascii="Tahoma" w:cs="Tahoma" w:eastAsia="Tahoma" w:hAnsi="Tahoma"/>
                <w:b w:val="1"/>
                <w:sz w:val="20"/>
                <w:szCs w:val="20"/>
                <w:rtl w:val="0"/>
              </w:rPr>
              <w:t xml:space="preserve">Date Completed: 07/02/2022</w:t>
            </w:r>
            <w:r w:rsidDel="00000000" w:rsidR="00000000" w:rsidRPr="00000000">
              <w:rPr>
                <w:rtl w:val="0"/>
              </w:rPr>
            </w:r>
          </w:p>
          <w:p w:rsidR="00000000" w:rsidDel="00000000" w:rsidP="00000000" w:rsidRDefault="00000000" w:rsidRPr="00000000" w14:paraId="0000000B">
            <w:pPr>
              <w:spacing w:after="216" w:lineRule="auto"/>
              <w:ind w:right="1"/>
              <w:jc w:val="center"/>
              <w:rPr/>
            </w:pPr>
            <w:r w:rsidDel="00000000" w:rsidR="00000000" w:rsidRPr="00000000">
              <w:rPr>
                <w:rFonts w:ascii="Tahoma" w:cs="Tahoma" w:eastAsia="Tahoma" w:hAnsi="Tahoma"/>
                <w:b w:val="1"/>
                <w:sz w:val="20"/>
                <w:szCs w:val="20"/>
                <w:rtl w:val="0"/>
              </w:rPr>
              <w:t xml:space="preserve"> </w:t>
            </w:r>
            <w:r w:rsidDel="00000000" w:rsidR="00000000" w:rsidRPr="00000000">
              <w:rPr>
                <w:rtl w:val="0"/>
              </w:rPr>
            </w:r>
          </w:p>
          <w:p w:rsidR="00000000" w:rsidDel="00000000" w:rsidP="00000000" w:rsidRDefault="00000000" w:rsidRPr="00000000" w14:paraId="0000000C">
            <w:pPr>
              <w:ind w:right="1"/>
              <w:jc w:val="center"/>
              <w:rPr/>
            </w:pPr>
            <w:r w:rsidDel="00000000" w:rsidR="00000000" w:rsidRPr="00000000">
              <w:rPr>
                <w:rFonts w:ascii="Tahoma" w:cs="Tahoma" w:eastAsia="Tahoma" w:hAnsi="Tahoma"/>
                <w:b w:val="1"/>
                <w:sz w:val="20"/>
                <w:szCs w:val="20"/>
                <w:rtl w:val="0"/>
              </w:rPr>
              <w:t xml:space="preserve"> </w:t>
            </w:r>
            <w:r w:rsidDel="00000000" w:rsidR="00000000" w:rsidRPr="00000000">
              <w:rPr>
                <w:rtl w:val="0"/>
              </w:rPr>
            </w:r>
          </w:p>
        </w:tc>
      </w:tr>
      <w:tr>
        <w:trPr>
          <w:cantSplit w:val="0"/>
          <w:trHeight w:val="6403" w:hRule="atLeast"/>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D">
            <w:pPr>
              <w:rPr/>
            </w:pPr>
            <w:r w:rsidDel="00000000" w:rsidR="00000000" w:rsidRPr="00000000">
              <w:rPr>
                <w:rtl w:val="0"/>
              </w:rPr>
              <w:t xml:space="preserve">This paper has been developed on the topic of ‘Food and Beverage Operations’ in the context of hospitality organizations. Across the paper, various positions in the food department and their importance have been addressed through segmenting the skills into the relevant sector (</w:t>
            </w:r>
            <w:r w:rsidDel="00000000" w:rsidR="00000000" w:rsidRPr="00000000">
              <w:rPr>
                <w:color w:val="222222"/>
                <w:highlight w:val="white"/>
                <w:rtl w:val="0"/>
              </w:rPr>
              <w:t xml:space="preserve">Davis, et al., 2018)</w:t>
            </w:r>
            <w:r w:rsidDel="00000000" w:rsidR="00000000" w:rsidRPr="00000000">
              <w:rPr>
                <w:rtl w:val="0"/>
              </w:rPr>
              <w:t xml:space="preserve">. The paper has concluded through examining the different issues regarding food and beverage which will provide a brief idea towards the readers. </w:t>
            </w:r>
          </w:p>
          <w:p w:rsidR="00000000" w:rsidDel="00000000" w:rsidP="00000000" w:rsidRDefault="00000000" w:rsidRPr="00000000" w14:paraId="0000000E">
            <w:pPr>
              <w:pStyle w:val="Heading2"/>
              <w:rPr/>
            </w:pPr>
            <w:bookmarkStart w:colFirst="0" w:colLast="0" w:name="_heading=h.gjdgxs" w:id="0"/>
            <w:bookmarkEnd w:id="0"/>
            <w:r w:rsidDel="00000000" w:rsidR="00000000" w:rsidRPr="00000000">
              <w:rPr>
                <w:rtl w:val="0"/>
              </w:rPr>
              <w:t xml:space="preserve">Undertaking the variety of different positions within food and beverage operations and assessing the importance of work-based key skills within this area of hotel operations.</w:t>
            </w:r>
          </w:p>
          <w:p w:rsidR="00000000" w:rsidDel="00000000" w:rsidP="00000000" w:rsidRDefault="00000000" w:rsidRPr="00000000" w14:paraId="0000000F">
            <w:pPr>
              <w:rPr/>
            </w:pPr>
            <w:r w:rsidDel="00000000" w:rsidR="00000000" w:rsidRPr="00000000">
              <w:rPr>
                <w:rtl w:val="0"/>
              </w:rPr>
              <w:tab/>
              <w:t xml:space="preserve">Into the tourism and hospitality organizations, the food and beverage segment plays a vital role in terms of satisfying the tourists and customers in the competitive market environment (</w:t>
            </w:r>
            <w:r w:rsidDel="00000000" w:rsidR="00000000" w:rsidRPr="00000000">
              <w:rPr>
                <w:color w:val="222222"/>
                <w:highlight w:val="white"/>
                <w:rtl w:val="0"/>
              </w:rPr>
              <w:t xml:space="preserve">Zutshi, A., 2019)</w:t>
            </w:r>
            <w:r w:rsidDel="00000000" w:rsidR="00000000" w:rsidRPr="00000000">
              <w:rPr>
                <w:rtl w:val="0"/>
              </w:rPr>
              <w:t xml:space="preserve">. Generally, large organizations combine the food and beverage department with the other departments of the organization to execute the service quality up to the mark. Generally, allocation of the job responsibilities into department managers eases the process of food execution and presents the food to the customers. Catering manager, food and beverage administrator, kitchen manager, executive chef, restaurant managers, and banquet managers are the core positions of the food and beverage operation. To fulfill the activities regarding food and beverage service the managers of each department requires some skills and the importance of the work-based key skills are assessed below;</w:t>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Skills within the food and beverage area assist the managers to add value within the service segment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Cousins, et, al., 2019)</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Expertise enables the individuals of the food department to uniquely present the food and beverages and create a competitive advantage.</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Unique ways of service &amp; capacity of preparing appealing foods also broaden customers' demand and assist promotional activities into the </w:t>
            </w:r>
            <w:r w:rsidDel="00000000" w:rsidR="00000000" w:rsidRPr="00000000">
              <w:rPr>
                <w:rtl w:val="0"/>
              </w:rPr>
              <w:t xml:space="preserve">organization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Skilled managers and professionals enable the </w:t>
            </w:r>
            <w:r w:rsidDel="00000000" w:rsidR="00000000" w:rsidRPr="00000000">
              <w:rPr>
                <w:rtl w:val="0"/>
              </w:rPr>
              <w:t xml:space="preserve">organization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to meet their visitor's demands and maintain a potential relationship as well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Wood, R.C., 2013)</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4">
            <w:pPr>
              <w:pStyle w:val="Heading2"/>
              <w:rPr/>
            </w:pPr>
            <w:bookmarkStart w:colFirst="0" w:colLast="0" w:name="_heading=h.30j0zll" w:id="1"/>
            <w:bookmarkEnd w:id="1"/>
            <w:r w:rsidDel="00000000" w:rsidR="00000000" w:rsidRPr="00000000">
              <w:rPr>
                <w:rtl w:val="0"/>
              </w:rPr>
              <w:t xml:space="preserve">Developing food production and food service skill competencies to meet organizational requirements and standards.</w:t>
            </w:r>
          </w:p>
          <w:p w:rsidR="00000000" w:rsidDel="00000000" w:rsidP="00000000" w:rsidRDefault="00000000" w:rsidRPr="00000000" w14:paraId="00000015">
            <w:pPr>
              <w:rPr/>
            </w:pPr>
            <w:r w:rsidDel="00000000" w:rsidR="00000000" w:rsidRPr="00000000">
              <w:rPr>
                <w:rtl w:val="0"/>
              </w:rPr>
              <w:tab/>
              <w:t xml:space="preserve">organizations’ reputation and service demand mostly rely on the skills of the food production and serving in terms of achieving the organizational predetermined objective and standards (</w:t>
            </w:r>
            <w:r w:rsidDel="00000000" w:rsidR="00000000" w:rsidRPr="00000000">
              <w:rPr>
                <w:color w:val="222222"/>
                <w:highlight w:val="white"/>
                <w:rtl w:val="0"/>
              </w:rPr>
              <w:t xml:space="preserve">Ladkin, A., 2000)</w:t>
            </w:r>
            <w:r w:rsidDel="00000000" w:rsidR="00000000" w:rsidRPr="00000000">
              <w:rPr>
                <w:rtl w:val="0"/>
              </w:rPr>
              <w:t xml:space="preserve">. The skills regarding the food production and food service are periodically ascertained below;</w:t>
            </w:r>
          </w:p>
          <w:p w:rsidR="00000000" w:rsidDel="00000000" w:rsidP="00000000" w:rsidRDefault="00000000" w:rsidRPr="00000000" w14:paraId="00000016">
            <w:pPr>
              <w:pStyle w:val="Heading2"/>
              <w:rPr/>
            </w:pPr>
            <w:bookmarkStart w:colFirst="0" w:colLast="0" w:name="_heading=h.1fob9te" w:id="2"/>
            <w:bookmarkEnd w:id="2"/>
            <w:r w:rsidDel="00000000" w:rsidR="00000000" w:rsidRPr="00000000">
              <w:rPr>
                <w:rtl w:val="0"/>
              </w:rPr>
              <w:t xml:space="preserve">Food production skills</w:t>
            </w:r>
          </w:p>
          <w:p w:rsidR="00000000" w:rsidDel="00000000" w:rsidP="00000000" w:rsidRDefault="00000000" w:rsidRPr="00000000" w14:paraId="00000017">
            <w:pPr>
              <w:rPr/>
            </w:pPr>
            <w:r w:rsidDel="00000000" w:rsidR="00000000" w:rsidRPr="00000000">
              <w:rPr>
                <w:b w:val="1"/>
                <w:rtl w:val="0"/>
              </w:rPr>
              <w:t xml:space="preserve">Mechanical:</w:t>
            </w:r>
            <w:r w:rsidDel="00000000" w:rsidR="00000000" w:rsidRPr="00000000">
              <w:rPr>
                <w:rtl w:val="0"/>
              </w:rPr>
              <w:t xml:space="preserve"> The uses of mechanical operations in food production are accelerating the food production speed and replacing the traditional method.</w:t>
            </w:r>
          </w:p>
          <w:p w:rsidR="00000000" w:rsidDel="00000000" w:rsidP="00000000" w:rsidRDefault="00000000" w:rsidRPr="00000000" w14:paraId="00000018">
            <w:pPr>
              <w:rPr/>
            </w:pPr>
            <w:r w:rsidDel="00000000" w:rsidR="00000000" w:rsidRPr="00000000">
              <w:rPr>
                <w:b w:val="1"/>
                <w:rtl w:val="0"/>
              </w:rPr>
              <w:t xml:space="preserve">Electronic task management:</w:t>
            </w:r>
            <w:r w:rsidDel="00000000" w:rsidR="00000000" w:rsidRPr="00000000">
              <w:rPr>
                <w:rtl w:val="0"/>
              </w:rPr>
              <w:t xml:space="preserve"> In most food production the skills of electronics are required which ensures quick and cut the organizational cost (</w:t>
            </w:r>
            <w:r w:rsidDel="00000000" w:rsidR="00000000" w:rsidRPr="00000000">
              <w:rPr>
                <w:color w:val="222222"/>
                <w:highlight w:val="white"/>
                <w:rtl w:val="0"/>
              </w:rPr>
              <w:t xml:space="preserve">Wood, R.C., 2013)</w:t>
            </w:r>
            <w:r w:rsidDel="00000000" w:rsidR="00000000" w:rsidRPr="00000000">
              <w:rPr>
                <w:rtl w:val="0"/>
              </w:rPr>
              <w:t xml:space="preserve">.</w:t>
            </w:r>
          </w:p>
          <w:p w:rsidR="00000000" w:rsidDel="00000000" w:rsidP="00000000" w:rsidRDefault="00000000" w:rsidRPr="00000000" w14:paraId="00000019">
            <w:pPr>
              <w:rPr/>
            </w:pPr>
            <w:r w:rsidDel="00000000" w:rsidR="00000000" w:rsidRPr="00000000">
              <w:rPr>
                <w:b w:val="1"/>
                <w:rtl w:val="0"/>
              </w:rPr>
              <w:t xml:space="preserve">Personal and professional safety:</w:t>
            </w:r>
            <w:r w:rsidDel="00000000" w:rsidR="00000000" w:rsidRPr="00000000">
              <w:rPr>
                <w:rtl w:val="0"/>
              </w:rPr>
              <w:t xml:space="preserve"> Into the food production safety skills are mandatory which support the organization to ensure hygienic food production. </w:t>
            </w:r>
          </w:p>
          <w:p w:rsidR="00000000" w:rsidDel="00000000" w:rsidP="00000000" w:rsidRDefault="00000000" w:rsidRPr="00000000" w14:paraId="0000001A">
            <w:pPr>
              <w:rPr/>
            </w:pPr>
            <w:r w:rsidDel="00000000" w:rsidR="00000000" w:rsidRPr="00000000">
              <w:rPr>
                <w:b w:val="1"/>
                <w:rtl w:val="0"/>
              </w:rPr>
              <w:t xml:space="preserve">Prediction &amp; computation:</w:t>
            </w:r>
            <w:r w:rsidDel="00000000" w:rsidR="00000000" w:rsidRPr="00000000">
              <w:rPr>
                <w:rtl w:val="0"/>
              </w:rPr>
              <w:t xml:space="preserve"> Predicting the probable customer number and computing the actual unit of production are the core skills that need to be practiced regularly in organizations (</w:t>
            </w:r>
            <w:r w:rsidDel="00000000" w:rsidR="00000000" w:rsidRPr="00000000">
              <w:rPr>
                <w:color w:val="222222"/>
                <w:highlight w:val="white"/>
                <w:rtl w:val="0"/>
              </w:rPr>
              <w:t xml:space="preserve">Zutshi, A., 2019)</w:t>
            </w:r>
            <w:r w:rsidDel="00000000" w:rsidR="00000000" w:rsidRPr="00000000">
              <w:rPr>
                <w:rtl w:val="0"/>
              </w:rPr>
              <w:t xml:space="preserve">. </w:t>
            </w:r>
          </w:p>
          <w:p w:rsidR="00000000" w:rsidDel="00000000" w:rsidP="00000000" w:rsidRDefault="00000000" w:rsidRPr="00000000" w14:paraId="0000001B">
            <w:pPr>
              <w:pStyle w:val="Heading2"/>
              <w:rPr/>
            </w:pPr>
            <w:bookmarkStart w:colFirst="0" w:colLast="0" w:name="_heading=h.3znysh7" w:id="3"/>
            <w:bookmarkEnd w:id="3"/>
            <w:r w:rsidDel="00000000" w:rsidR="00000000" w:rsidRPr="00000000">
              <w:rPr>
                <w:rtl w:val="0"/>
              </w:rPr>
              <w:t xml:space="preserve">Foodservice skills</w:t>
            </w:r>
          </w:p>
          <w:p w:rsidR="00000000" w:rsidDel="00000000" w:rsidP="00000000" w:rsidRDefault="00000000" w:rsidRPr="00000000" w14:paraId="0000001C">
            <w:pPr>
              <w:rPr/>
            </w:pPr>
            <w:r w:rsidDel="00000000" w:rsidR="00000000" w:rsidRPr="00000000">
              <w:rPr>
                <w:b w:val="1"/>
                <w:rtl w:val="0"/>
              </w:rPr>
              <w:t xml:space="preserve">Food preparation skill:</w:t>
            </w:r>
            <w:r w:rsidDel="00000000" w:rsidR="00000000" w:rsidRPr="00000000">
              <w:rPr>
                <w:rtl w:val="0"/>
              </w:rPr>
              <w:t xml:space="preserve"> Before presenting the food, individuals need to prepare the food in international standard which requires some skills (</w:t>
            </w:r>
            <w:r w:rsidDel="00000000" w:rsidR="00000000" w:rsidRPr="00000000">
              <w:rPr>
                <w:color w:val="222222"/>
                <w:highlight w:val="white"/>
                <w:rtl w:val="0"/>
              </w:rPr>
              <w:t xml:space="preserve">Ladkin, A., 2000)</w:t>
            </w:r>
            <w:r w:rsidDel="00000000" w:rsidR="00000000" w:rsidRPr="00000000">
              <w:rPr>
                <w:rtl w:val="0"/>
              </w:rPr>
              <w:t xml:space="preserve">. Learning and developing skills regarding food preparation will enable individuals to satisfy customers easily.</w:t>
            </w:r>
          </w:p>
          <w:p w:rsidR="00000000" w:rsidDel="00000000" w:rsidP="00000000" w:rsidRDefault="00000000" w:rsidRPr="00000000" w14:paraId="0000001D">
            <w:pPr>
              <w:rPr/>
            </w:pPr>
            <w:r w:rsidDel="00000000" w:rsidR="00000000" w:rsidRPr="00000000">
              <w:rPr>
                <w:b w:val="1"/>
                <w:rtl w:val="0"/>
              </w:rPr>
              <w:t xml:space="preserve">Operating kitchen equipment:</w:t>
            </w:r>
            <w:r w:rsidDel="00000000" w:rsidR="00000000" w:rsidRPr="00000000">
              <w:rPr>
                <w:rtl w:val="0"/>
              </w:rPr>
              <w:t xml:space="preserve"> Modern kitchen is fully equipped which requires some operational skills from the individuals (</w:t>
            </w:r>
            <w:r w:rsidDel="00000000" w:rsidR="00000000" w:rsidRPr="00000000">
              <w:rPr>
                <w:color w:val="222222"/>
                <w:highlight w:val="white"/>
                <w:rtl w:val="0"/>
              </w:rPr>
              <w:t xml:space="preserve">Wood, R.C., 2013)</w:t>
            </w:r>
            <w:r w:rsidDel="00000000" w:rsidR="00000000" w:rsidRPr="00000000">
              <w:rPr>
                <w:rtl w:val="0"/>
              </w:rPr>
              <w:t xml:space="preserve">. Skills regarding the supportive equipment enable the organization to broaden the customer relationships.</w:t>
            </w:r>
          </w:p>
          <w:p w:rsidR="00000000" w:rsidDel="00000000" w:rsidP="00000000" w:rsidRDefault="00000000" w:rsidRPr="00000000" w14:paraId="0000001E">
            <w:pPr>
              <w:rPr/>
            </w:pPr>
            <w:r w:rsidDel="00000000" w:rsidR="00000000" w:rsidRPr="00000000">
              <w:rPr>
                <w:b w:val="1"/>
                <w:rtl w:val="0"/>
              </w:rPr>
              <w:t xml:space="preserve">Teamwork and communication:</w:t>
            </w:r>
            <w:r w:rsidDel="00000000" w:rsidR="00000000" w:rsidRPr="00000000">
              <w:rPr>
                <w:rtl w:val="0"/>
              </w:rPr>
              <w:t xml:space="preserve"> In presenting effective food and beverage services the individuals must have good teamwork and communication skills (</w:t>
            </w:r>
            <w:r w:rsidDel="00000000" w:rsidR="00000000" w:rsidRPr="00000000">
              <w:rPr>
                <w:color w:val="222222"/>
                <w:highlight w:val="white"/>
                <w:rtl w:val="0"/>
              </w:rPr>
              <w:t xml:space="preserve">Wood, R.C., 2013)</w:t>
            </w:r>
            <w:r w:rsidDel="00000000" w:rsidR="00000000" w:rsidRPr="00000000">
              <w:rPr>
                <w:rtl w:val="0"/>
              </w:rPr>
              <w:t xml:space="preserve">. inbound communication and teamwork skills will ease complexities and develop service standards. </w:t>
            </w:r>
          </w:p>
          <w:p w:rsidR="00000000" w:rsidDel="00000000" w:rsidP="00000000" w:rsidRDefault="00000000" w:rsidRPr="00000000" w14:paraId="0000001F">
            <w:pPr>
              <w:rPr/>
            </w:pPr>
            <w:r w:rsidDel="00000000" w:rsidR="00000000" w:rsidRPr="00000000">
              <w:rPr>
                <w:b w:val="1"/>
                <w:rtl w:val="0"/>
              </w:rPr>
              <w:t xml:space="preserve">Bartending:</w:t>
            </w:r>
            <w:r w:rsidDel="00000000" w:rsidR="00000000" w:rsidRPr="00000000">
              <w:rPr>
                <w:rtl w:val="0"/>
              </w:rPr>
              <w:t xml:space="preserve"> Diversified and multicultural visitors demand different cocktails where individuals of the organization need to memorize the ways to prepare skills through an on-the-job training process which will empower them to bartend in a more fascinating way (</w:t>
            </w:r>
            <w:r w:rsidDel="00000000" w:rsidR="00000000" w:rsidRPr="00000000">
              <w:rPr>
                <w:color w:val="222222"/>
                <w:highlight w:val="white"/>
                <w:rtl w:val="0"/>
              </w:rPr>
              <w:t xml:space="preserve">Zutshi, A., 2019)</w:t>
            </w:r>
            <w:r w:rsidDel="00000000" w:rsidR="00000000" w:rsidRPr="00000000">
              <w:rPr>
                <w:rtl w:val="0"/>
              </w:rPr>
              <w:t xml:space="preserve">. </w:t>
            </w:r>
          </w:p>
          <w:p w:rsidR="00000000" w:rsidDel="00000000" w:rsidP="00000000" w:rsidRDefault="00000000" w:rsidRPr="00000000" w14:paraId="00000020">
            <w:pPr>
              <w:pStyle w:val="Heading2"/>
              <w:rPr/>
            </w:pPr>
            <w:bookmarkStart w:colFirst="0" w:colLast="0" w:name="_heading=h.2et92p0" w:id="4"/>
            <w:bookmarkEnd w:id="4"/>
            <w:r w:rsidDel="00000000" w:rsidR="00000000" w:rsidRPr="00000000">
              <w:rPr>
                <w:rtl w:val="0"/>
              </w:rPr>
              <w:t xml:space="preserve">Examining the resource allocation, marketing, management style, culture, health and safety, and organizational problems. </w:t>
            </w:r>
          </w:p>
          <w:p w:rsidR="00000000" w:rsidDel="00000000" w:rsidP="00000000" w:rsidRDefault="00000000" w:rsidRPr="00000000" w14:paraId="00000021">
            <w:pPr>
              <w:rPr/>
            </w:pPr>
            <w:r w:rsidDel="00000000" w:rsidR="00000000" w:rsidRPr="00000000">
              <w:rPr>
                <w:rtl w:val="0"/>
              </w:rPr>
              <w:t xml:space="preserve">To fulfill the objectives of service organizations in terms of food and beverages all the departments of the organization need to integrate and collaborate. Supportive issues regarding the food and beverage department and their role in the hospitality industry are examined below;</w:t>
            </w:r>
          </w:p>
          <w:p w:rsidR="00000000" w:rsidDel="00000000" w:rsidP="00000000" w:rsidRDefault="00000000" w:rsidRPr="00000000" w14:paraId="00000022">
            <w:pPr>
              <w:rPr/>
            </w:pPr>
            <w:r w:rsidDel="00000000" w:rsidR="00000000" w:rsidRPr="00000000">
              <w:rPr>
                <w:b w:val="1"/>
                <w:rtl w:val="0"/>
              </w:rPr>
              <w:t xml:space="preserve">Resource allocation:</w:t>
            </w:r>
            <w:r w:rsidDel="00000000" w:rsidR="00000000" w:rsidRPr="00000000">
              <w:rPr>
                <w:rtl w:val="0"/>
              </w:rPr>
              <w:t xml:space="preserve"> Here the constrained resource indicates the workforce (chef, food administrator, food engineer, equipment director, etc.) and materials regarding the food &amp; beverage production (</w:t>
            </w:r>
            <w:r w:rsidDel="00000000" w:rsidR="00000000" w:rsidRPr="00000000">
              <w:rPr>
                <w:color w:val="222222"/>
                <w:highlight w:val="white"/>
                <w:rtl w:val="0"/>
              </w:rPr>
              <w:t xml:space="preserve">Cousins, et al., 2019)</w:t>
            </w:r>
            <w:r w:rsidDel="00000000" w:rsidR="00000000" w:rsidRPr="00000000">
              <w:rPr>
                <w:rtl w:val="0"/>
              </w:rPr>
              <w:t xml:space="preserve">. Effective allocation of resources enables hospitality organizations in terms of achieving organizational objectives. </w:t>
            </w:r>
          </w:p>
          <w:p w:rsidR="00000000" w:rsidDel="00000000" w:rsidP="00000000" w:rsidRDefault="00000000" w:rsidRPr="00000000" w14:paraId="00000023">
            <w:pPr>
              <w:rPr/>
            </w:pPr>
            <w:r w:rsidDel="00000000" w:rsidR="00000000" w:rsidRPr="00000000">
              <w:rPr>
                <w:b w:val="1"/>
                <w:rtl w:val="0"/>
              </w:rPr>
              <w:t xml:space="preserve">Marketing:</w:t>
            </w:r>
            <w:r w:rsidDel="00000000" w:rsidR="00000000" w:rsidRPr="00000000">
              <w:rPr>
                <w:rtl w:val="0"/>
              </w:rPr>
              <w:t xml:space="preserve"> The concept of marketing indicates the process of creating demand in the market through promotional activities (</w:t>
            </w:r>
            <w:r w:rsidDel="00000000" w:rsidR="00000000" w:rsidRPr="00000000">
              <w:rPr>
                <w:color w:val="222222"/>
                <w:highlight w:val="white"/>
                <w:rtl w:val="0"/>
              </w:rPr>
              <w:t xml:space="preserve">Ladkin, A., 2000)</w:t>
            </w:r>
            <w:r w:rsidDel="00000000" w:rsidR="00000000" w:rsidRPr="00000000">
              <w:rPr>
                <w:rtl w:val="0"/>
              </w:rPr>
              <w:t xml:space="preserve">. Organizations need to facilitate marketing activities in accelerating their service demand into the competitive industry.</w:t>
            </w:r>
          </w:p>
          <w:p w:rsidR="00000000" w:rsidDel="00000000" w:rsidP="00000000" w:rsidRDefault="00000000" w:rsidRPr="00000000" w14:paraId="00000024">
            <w:pPr>
              <w:rPr/>
            </w:pPr>
            <w:r w:rsidDel="00000000" w:rsidR="00000000" w:rsidRPr="00000000">
              <w:rPr>
                <w:b w:val="1"/>
                <w:rtl w:val="0"/>
              </w:rPr>
              <w:t xml:space="preserve">Management style:</w:t>
            </w:r>
            <w:r w:rsidDel="00000000" w:rsidR="00000000" w:rsidRPr="00000000">
              <w:rPr>
                <w:rtl w:val="0"/>
              </w:rPr>
              <w:t xml:space="preserve"> Appropriate management style is a prerequisite for hospitality organizations to erase mess and strengthen service quality. The efficient practice of management style will empower the organization to outperform compared to the other organizations (</w:t>
            </w:r>
            <w:r w:rsidDel="00000000" w:rsidR="00000000" w:rsidRPr="00000000">
              <w:rPr>
                <w:color w:val="222222"/>
                <w:highlight w:val="white"/>
                <w:rtl w:val="0"/>
              </w:rPr>
              <w:t xml:space="preserve">Davis, et, al., 2018)</w:t>
            </w:r>
            <w:r w:rsidDel="00000000" w:rsidR="00000000" w:rsidRPr="00000000">
              <w:rPr>
                <w:rtl w:val="0"/>
              </w:rPr>
              <w:t xml:space="preserve">.</w:t>
            </w:r>
          </w:p>
          <w:p w:rsidR="00000000" w:rsidDel="00000000" w:rsidP="00000000" w:rsidRDefault="00000000" w:rsidRPr="00000000" w14:paraId="00000025">
            <w:pPr>
              <w:rPr/>
            </w:pPr>
            <w:r w:rsidDel="00000000" w:rsidR="00000000" w:rsidRPr="00000000">
              <w:rPr>
                <w:b w:val="1"/>
                <w:rtl w:val="0"/>
              </w:rPr>
              <w:t xml:space="preserve">Culture:</w:t>
            </w:r>
            <w:r w:rsidDel="00000000" w:rsidR="00000000" w:rsidRPr="00000000">
              <w:rPr>
                <w:rtl w:val="0"/>
              </w:rPr>
              <w:t xml:space="preserve"> In service organizations, different individuals from versatile cultures take services where individuals need to be focused on cultural food offerings to motivate and attract more clients (</w:t>
            </w:r>
            <w:r w:rsidDel="00000000" w:rsidR="00000000" w:rsidRPr="00000000">
              <w:rPr>
                <w:color w:val="222222"/>
                <w:highlight w:val="white"/>
                <w:rtl w:val="0"/>
              </w:rPr>
              <w:t xml:space="preserve">Wood, R.C., 2013)</w:t>
            </w:r>
            <w:r w:rsidDel="00000000" w:rsidR="00000000" w:rsidRPr="00000000">
              <w:rPr>
                <w:rtl w:val="0"/>
              </w:rPr>
              <w:t xml:space="preserve">.</w:t>
            </w:r>
          </w:p>
          <w:p w:rsidR="00000000" w:rsidDel="00000000" w:rsidP="00000000" w:rsidRDefault="00000000" w:rsidRPr="00000000" w14:paraId="00000026">
            <w:pPr>
              <w:rPr/>
            </w:pPr>
            <w:r w:rsidDel="00000000" w:rsidR="00000000" w:rsidRPr="00000000">
              <w:rPr>
                <w:b w:val="1"/>
                <w:rtl w:val="0"/>
              </w:rPr>
              <w:t xml:space="preserve">Health and safety:</w:t>
            </w:r>
            <w:r w:rsidDel="00000000" w:rsidR="00000000" w:rsidRPr="00000000">
              <w:rPr>
                <w:rtl w:val="0"/>
              </w:rPr>
              <w:t xml:space="preserve"> Due to the global pandemic and increasingly disastrous issues, customers have become safety-focused where organizations must enforce safety and hygienic issues into the food and beverage department. </w:t>
            </w:r>
          </w:p>
          <w:p w:rsidR="00000000" w:rsidDel="00000000" w:rsidP="00000000" w:rsidRDefault="00000000" w:rsidRPr="00000000" w14:paraId="00000027">
            <w:pPr>
              <w:rPr/>
            </w:pPr>
            <w:r w:rsidDel="00000000" w:rsidR="00000000" w:rsidRPr="00000000">
              <w:rPr>
                <w:b w:val="1"/>
                <w:rtl w:val="0"/>
              </w:rPr>
              <w:t xml:space="preserve">Organizational problems:</w:t>
            </w:r>
            <w:r w:rsidDel="00000000" w:rsidR="00000000" w:rsidRPr="00000000">
              <w:rPr>
                <w:rtl w:val="0"/>
              </w:rPr>
              <w:t xml:space="preserve"> Leaders and managers in a particular organization need to work in collaboration to address the organizational problems and take corrective adjustments which will also enable them to improve food and hospitality services (</w:t>
            </w:r>
            <w:r w:rsidDel="00000000" w:rsidR="00000000" w:rsidRPr="00000000">
              <w:rPr>
                <w:color w:val="222222"/>
                <w:highlight w:val="white"/>
                <w:rtl w:val="0"/>
              </w:rPr>
              <w:t xml:space="preserve">Ladkin, A., 2000)</w:t>
            </w:r>
            <w:r w:rsidDel="00000000" w:rsidR="00000000" w:rsidRPr="00000000">
              <w:rPr>
                <w:rtl w:val="0"/>
              </w:rPr>
              <w:t xml:space="preserve">.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This is the conclusion of this paper which has been developed to represent the operations of the food and beverage department of hospitality organizations. Based on analysis and understanding of the food and beverage department of hospitality organizations a set of issues has been addressed across the paper which will support the academicians in developing further research through providing a consecutive idea.</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1"/>
              <w:rPr/>
            </w:pPr>
            <w:bookmarkStart w:colFirst="0" w:colLast="0" w:name="_heading=h.tyjcwt" w:id="5"/>
            <w:bookmarkEnd w:id="5"/>
            <w:r w:rsidDel="00000000" w:rsidR="00000000" w:rsidRPr="00000000">
              <w:rPr>
                <w:rtl w:val="0"/>
              </w:rPr>
              <w:t xml:space="preserve">References</w:t>
            </w:r>
          </w:p>
          <w:p w:rsidR="00000000" w:rsidDel="00000000" w:rsidP="00000000" w:rsidRDefault="00000000" w:rsidRPr="00000000" w14:paraId="0000002C">
            <w:pPr>
              <w:rPr>
                <w:highlight w:val="white"/>
              </w:rPr>
            </w:pPr>
            <w:r w:rsidDel="00000000" w:rsidR="00000000" w:rsidRPr="00000000">
              <w:rPr>
                <w:highlight w:val="white"/>
                <w:rtl w:val="0"/>
              </w:rPr>
              <w:t xml:space="preserve">Cousins, J., Foskett, D., Graham, D. and Hollier, A., 2019. </w:t>
            </w:r>
            <w:r w:rsidDel="00000000" w:rsidR="00000000" w:rsidRPr="00000000">
              <w:rPr>
                <w:i w:val="1"/>
                <w:highlight w:val="white"/>
                <w:rtl w:val="0"/>
              </w:rPr>
              <w:t xml:space="preserve">Food and beverage management: For the hospitality, tourism, and event industries</w:t>
            </w:r>
            <w:r w:rsidDel="00000000" w:rsidR="00000000" w:rsidRPr="00000000">
              <w:rPr>
                <w:highlight w:val="white"/>
                <w:rtl w:val="0"/>
              </w:rPr>
              <w:t xml:space="preserve">. Goodfellow Publishers Ltd.</w:t>
            </w:r>
          </w:p>
          <w:p w:rsidR="00000000" w:rsidDel="00000000" w:rsidP="00000000" w:rsidRDefault="00000000" w:rsidRPr="00000000" w14:paraId="0000002D">
            <w:pPr>
              <w:rPr>
                <w:highlight w:val="white"/>
              </w:rPr>
            </w:pPr>
            <w:r w:rsidDel="00000000" w:rsidR="00000000" w:rsidRPr="00000000">
              <w:rPr>
                <w:highlight w:val="white"/>
                <w:rtl w:val="0"/>
              </w:rPr>
              <w:t xml:space="preserve">Wood, R.C., 2013. Hospitality management education. In </w:t>
            </w:r>
            <w:r w:rsidDel="00000000" w:rsidR="00000000" w:rsidRPr="00000000">
              <w:rPr>
                <w:i w:val="1"/>
                <w:highlight w:val="white"/>
                <w:rtl w:val="0"/>
              </w:rPr>
              <w:t xml:space="preserve">Key concepts in hospitality management</w:t>
            </w:r>
            <w:r w:rsidDel="00000000" w:rsidR="00000000" w:rsidRPr="00000000">
              <w:rPr>
                <w:highlight w:val="white"/>
                <w:rtl w:val="0"/>
              </w:rPr>
              <w:t xml:space="preserve"> (pp. 63-67). Sage.</w:t>
            </w:r>
          </w:p>
          <w:p w:rsidR="00000000" w:rsidDel="00000000" w:rsidP="00000000" w:rsidRDefault="00000000" w:rsidRPr="00000000" w14:paraId="0000002E">
            <w:pPr>
              <w:rPr>
                <w:highlight w:val="white"/>
              </w:rPr>
            </w:pPr>
            <w:r w:rsidDel="00000000" w:rsidR="00000000" w:rsidRPr="00000000">
              <w:rPr>
                <w:highlight w:val="white"/>
                <w:rtl w:val="0"/>
              </w:rPr>
              <w:t xml:space="preserve">Zutshi, A., 2019. How to develop well-informed and assured teams to embed food safety compliance in the UK catering and hospitality industry. </w:t>
            </w:r>
            <w:r w:rsidDel="00000000" w:rsidR="00000000" w:rsidRPr="00000000">
              <w:rPr>
                <w:i w:val="1"/>
                <w:highlight w:val="white"/>
                <w:rtl w:val="0"/>
              </w:rPr>
              <w:t xml:space="preserve">Perspectives in Public Health</w:t>
            </w:r>
            <w:r w:rsidDel="00000000" w:rsidR="00000000" w:rsidRPr="00000000">
              <w:rPr>
                <w:highlight w:val="white"/>
                <w:rtl w:val="0"/>
              </w:rPr>
              <w:t xml:space="preserve">, </w:t>
            </w:r>
            <w:r w:rsidDel="00000000" w:rsidR="00000000" w:rsidRPr="00000000">
              <w:rPr>
                <w:i w:val="1"/>
                <w:highlight w:val="white"/>
                <w:rtl w:val="0"/>
              </w:rPr>
              <w:t xml:space="preserve">139</w:t>
            </w:r>
            <w:r w:rsidDel="00000000" w:rsidR="00000000" w:rsidRPr="00000000">
              <w:rPr>
                <w:highlight w:val="white"/>
                <w:rtl w:val="0"/>
              </w:rPr>
              <w:t xml:space="preserve">(6), pp.294-295.</w:t>
            </w:r>
          </w:p>
          <w:p w:rsidR="00000000" w:rsidDel="00000000" w:rsidP="00000000" w:rsidRDefault="00000000" w:rsidRPr="00000000" w14:paraId="0000002F">
            <w:pPr>
              <w:rPr>
                <w:highlight w:val="white"/>
              </w:rPr>
            </w:pPr>
            <w:r w:rsidDel="00000000" w:rsidR="00000000" w:rsidRPr="00000000">
              <w:rPr>
                <w:highlight w:val="white"/>
                <w:rtl w:val="0"/>
              </w:rPr>
              <w:t xml:space="preserve">Ladkin, A., 2000. Vocational education and food and beverage experience: issues for career development. </w:t>
            </w:r>
            <w:r w:rsidDel="00000000" w:rsidR="00000000" w:rsidRPr="00000000">
              <w:rPr>
                <w:i w:val="1"/>
                <w:highlight w:val="white"/>
                <w:rtl w:val="0"/>
              </w:rPr>
              <w:t xml:space="preserve">International Journal of Contemporary Hospitality Management</w:t>
            </w:r>
            <w:r w:rsidDel="00000000" w:rsidR="00000000" w:rsidRPr="00000000">
              <w:rPr>
                <w:highlight w:val="white"/>
                <w:rtl w:val="0"/>
              </w:rPr>
              <w:t xml:space="preserve">.</w:t>
            </w:r>
          </w:p>
          <w:p w:rsidR="00000000" w:rsidDel="00000000" w:rsidP="00000000" w:rsidRDefault="00000000" w:rsidRPr="00000000" w14:paraId="00000030">
            <w:pPr>
              <w:rPr/>
            </w:pPr>
            <w:r w:rsidDel="00000000" w:rsidR="00000000" w:rsidRPr="00000000">
              <w:rPr>
                <w:highlight w:val="white"/>
                <w:rtl w:val="0"/>
              </w:rPr>
              <w:t xml:space="preserve">Davis, B., Lockwood, A., Alcott, P. and Pantelidis, I.S., 2018. </w:t>
            </w:r>
            <w:r w:rsidDel="00000000" w:rsidR="00000000" w:rsidRPr="00000000">
              <w:rPr>
                <w:i w:val="1"/>
                <w:highlight w:val="white"/>
                <w:rtl w:val="0"/>
              </w:rPr>
              <w:t xml:space="preserve">Food and beverage management</w:t>
            </w:r>
            <w:r w:rsidDel="00000000" w:rsidR="00000000" w:rsidRPr="00000000">
              <w:rPr>
                <w:highlight w:val="white"/>
                <w:rtl w:val="0"/>
              </w:rPr>
              <w:t xml:space="preserve">. Routledge.</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spacing w:after="221" w:lineRule="auto"/>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3">
            <w:pPr>
              <w:spacing w:after="221" w:lineRule="auto"/>
              <w:rPr/>
            </w:pPr>
            <w:r w:rsidDel="00000000" w:rsidR="00000000" w:rsidRPr="00000000">
              <w:rPr>
                <w:rFonts w:ascii="Tahoma" w:cs="Tahoma" w:eastAsia="Tahoma" w:hAnsi="Tahoma"/>
                <w:sz w:val="20"/>
                <w:szCs w:val="20"/>
                <w:rtl w:val="0"/>
              </w:rPr>
              <w:t xml:space="preserve"> </w:t>
            </w:r>
            <w:r w:rsidDel="00000000" w:rsidR="00000000" w:rsidRPr="00000000">
              <w:rPr>
                <w:rtl w:val="0"/>
              </w:rPr>
            </w:r>
          </w:p>
        </w:tc>
      </w:tr>
    </w:tbl>
    <w:p w:rsidR="00000000" w:rsidDel="00000000" w:rsidP="00000000" w:rsidRDefault="00000000" w:rsidRPr="00000000" w14:paraId="00000035">
      <w:pPr>
        <w:spacing w:line="259" w:lineRule="auto"/>
        <w:jc w:val="left"/>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Georgia"/>
  <w:font w:name="Courier New"/>
  <w:font w:name="Tahoma">
    <w:embedRegular w:fontKey="{00000000-0000-0000-0000-000000000000}" r:id="rId1" w:subsetted="0"/>
    <w:embedBold w:fontKey="{00000000-0000-0000-0000-000000000000}" r:id="rId2"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28"/>
      <w:szCs w:val="28"/>
    </w:rPr>
  </w:style>
  <w:style w:type="paragraph" w:styleId="Heading2">
    <w:name w:val="heading 2"/>
    <w:basedOn w:val="Normal"/>
    <w:next w:val="Normal"/>
    <w:pPr>
      <w:keepNext w:val="1"/>
      <w:keepLines w:val="1"/>
      <w:spacing w:after="0" w:before="40" w:lineRule="auto"/>
    </w:pPr>
    <w:rPr>
      <w:b w:val="1"/>
    </w:rPr>
  </w:style>
  <w:style w:type="paragraph" w:styleId="Heading3">
    <w:name w:val="heading 3"/>
    <w:basedOn w:val="Normal"/>
    <w:next w:val="Normal"/>
    <w:pPr>
      <w:keepNext w:val="1"/>
      <w:keepLines w:val="1"/>
      <w:spacing w:after="0" w:before="40" w:lineRule="auto"/>
    </w:pPr>
    <w:rPr>
      <w:rFonts w:ascii="Times New Roman" w:cs="Times New Roman" w:eastAsia="Times New Roman" w:hAnsi="Times New Roman"/>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jc w:val="center"/>
    </w:pPr>
    <w:rPr>
      <w:sz w:val="56"/>
      <w:szCs w:val="56"/>
    </w:rPr>
  </w:style>
  <w:style w:type="paragraph" w:styleId="Normal" w:default="1">
    <w:name w:val="Normal"/>
    <w:qFormat w:val="1"/>
    <w:rsid w:val="00112FF5"/>
    <w:pPr>
      <w:spacing w:line="360" w:lineRule="auto"/>
      <w:jc w:val="both"/>
    </w:pPr>
    <w:rPr>
      <w:rFonts w:ascii="Arial" w:hAnsi="Arial"/>
      <w:sz w:val="24"/>
    </w:rPr>
  </w:style>
  <w:style w:type="paragraph" w:styleId="Heading1">
    <w:name w:val="heading 1"/>
    <w:basedOn w:val="Normal"/>
    <w:next w:val="Normal"/>
    <w:link w:val="Heading1Char"/>
    <w:uiPriority w:val="9"/>
    <w:qFormat w:val="1"/>
    <w:rsid w:val="001E4057"/>
    <w:pPr>
      <w:keepNext w:val="1"/>
      <w:keepLines w:val="1"/>
      <w:spacing w:after="0" w:before="240"/>
      <w:outlineLvl w:val="0"/>
    </w:pPr>
    <w:rPr>
      <w:rFonts w:cstheme="majorBidi" w:eastAsiaTheme="majorEastAsia"/>
      <w:b w:val="1"/>
      <w:sz w:val="28"/>
      <w:szCs w:val="32"/>
    </w:rPr>
  </w:style>
  <w:style w:type="paragraph" w:styleId="Heading2">
    <w:name w:val="heading 2"/>
    <w:basedOn w:val="Normal"/>
    <w:next w:val="Normal"/>
    <w:link w:val="Heading2Char"/>
    <w:uiPriority w:val="9"/>
    <w:unhideWhenUsed w:val="1"/>
    <w:qFormat w:val="1"/>
    <w:rsid w:val="001E4057"/>
    <w:pPr>
      <w:keepNext w:val="1"/>
      <w:keepLines w:val="1"/>
      <w:spacing w:after="0" w:before="40"/>
      <w:outlineLvl w:val="1"/>
    </w:pPr>
    <w:rPr>
      <w:rFonts w:cstheme="majorBidi" w:eastAsiaTheme="majorEastAsia"/>
      <w:b w:val="1"/>
      <w:szCs w:val="26"/>
    </w:rPr>
  </w:style>
  <w:style w:type="paragraph" w:styleId="Heading3">
    <w:name w:val="heading 3"/>
    <w:basedOn w:val="Normal"/>
    <w:next w:val="Normal"/>
    <w:link w:val="Heading3Char"/>
    <w:uiPriority w:val="9"/>
    <w:unhideWhenUsed w:val="1"/>
    <w:qFormat w:val="1"/>
    <w:rsid w:val="00E94EB3"/>
    <w:pPr>
      <w:keepNext w:val="1"/>
      <w:keepLines w:val="1"/>
      <w:spacing w:after="0" w:before="40"/>
      <w:outlineLvl w:val="2"/>
    </w:pPr>
    <w:rPr>
      <w:rFonts w:ascii="Times New Roman" w:hAnsi="Times New Roman" w:cstheme="majorBidi" w:eastAsiaTheme="majorEastAsia"/>
      <w:szCs w:val="24"/>
    </w:rPr>
  </w:style>
  <w:style w:type="paragraph" w:styleId="Heading4">
    <w:name w:val="heading 4"/>
    <w:basedOn w:val="Normal"/>
    <w:next w:val="Normal"/>
    <w:link w:val="Heading4Char"/>
    <w:uiPriority w:val="9"/>
    <w:semiHidden w:val="1"/>
    <w:unhideWhenUsed w:val="1"/>
    <w:qFormat w:val="1"/>
    <w:rsid w:val="00E94EB3"/>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3Char" w:customStyle="1">
    <w:name w:val="Heading 3 Char"/>
    <w:basedOn w:val="DefaultParagraphFont"/>
    <w:link w:val="Heading3"/>
    <w:uiPriority w:val="9"/>
    <w:rsid w:val="00E94EB3"/>
    <w:rPr>
      <w:rFonts w:ascii="Times New Roman" w:hAnsi="Times New Roman" w:cstheme="majorBidi" w:eastAsiaTheme="majorEastAsia"/>
      <w:sz w:val="24"/>
      <w:szCs w:val="24"/>
    </w:rPr>
  </w:style>
  <w:style w:type="character" w:styleId="Heading4Char" w:customStyle="1">
    <w:name w:val="Heading 4 Char"/>
    <w:basedOn w:val="DefaultParagraphFont"/>
    <w:link w:val="Heading4"/>
    <w:uiPriority w:val="9"/>
    <w:semiHidden w:val="1"/>
    <w:rsid w:val="00E94EB3"/>
    <w:rPr>
      <w:rFonts w:asciiTheme="majorHAnsi" w:cstheme="majorBidi" w:eastAsiaTheme="majorEastAsia" w:hAnsiTheme="majorHAnsi"/>
      <w:i w:val="1"/>
      <w:iCs w:val="1"/>
      <w:color w:val="2f5496" w:themeColor="accent1" w:themeShade="0000BF"/>
      <w:sz w:val="24"/>
    </w:rPr>
  </w:style>
  <w:style w:type="character" w:styleId="Heading1Char" w:customStyle="1">
    <w:name w:val="Heading 1 Char"/>
    <w:basedOn w:val="DefaultParagraphFont"/>
    <w:link w:val="Heading1"/>
    <w:uiPriority w:val="9"/>
    <w:rsid w:val="001E4057"/>
    <w:rPr>
      <w:rFonts w:ascii="Times New Roman" w:hAnsi="Times New Roman" w:cstheme="majorBidi" w:eastAsiaTheme="majorEastAsia"/>
      <w:b w:val="1"/>
      <w:sz w:val="28"/>
      <w:szCs w:val="32"/>
    </w:rPr>
  </w:style>
  <w:style w:type="character" w:styleId="Heading2Char" w:customStyle="1">
    <w:name w:val="Heading 2 Char"/>
    <w:basedOn w:val="DefaultParagraphFont"/>
    <w:link w:val="Heading2"/>
    <w:uiPriority w:val="9"/>
    <w:rsid w:val="001E4057"/>
    <w:rPr>
      <w:rFonts w:ascii="Times New Roman" w:hAnsi="Times New Roman" w:cstheme="majorBidi" w:eastAsiaTheme="majorEastAsia"/>
      <w:b w:val="1"/>
      <w:sz w:val="24"/>
      <w:szCs w:val="26"/>
    </w:rPr>
  </w:style>
  <w:style w:type="paragraph" w:styleId="Title">
    <w:name w:val="Title"/>
    <w:basedOn w:val="Normal"/>
    <w:next w:val="Normal"/>
    <w:link w:val="TitleChar"/>
    <w:uiPriority w:val="10"/>
    <w:qFormat w:val="1"/>
    <w:rsid w:val="00112FF5"/>
    <w:pPr>
      <w:spacing w:after="0"/>
      <w:contextualSpacing w:val="1"/>
      <w:jc w:val="center"/>
    </w:pPr>
    <w:rPr>
      <w:rFonts w:cstheme="majorBidi" w:eastAsiaTheme="majorEastAsia"/>
      <w:spacing w:val="-10"/>
      <w:kern w:val="28"/>
      <w:sz w:val="56"/>
      <w:szCs w:val="56"/>
    </w:rPr>
  </w:style>
  <w:style w:type="character" w:styleId="TitleChar" w:customStyle="1">
    <w:name w:val="Title Char"/>
    <w:basedOn w:val="DefaultParagraphFont"/>
    <w:link w:val="Title"/>
    <w:uiPriority w:val="10"/>
    <w:rsid w:val="00112FF5"/>
    <w:rPr>
      <w:rFonts w:ascii="Arial" w:hAnsi="Arial" w:cstheme="majorBidi" w:eastAsiaTheme="majorEastAsia"/>
      <w:spacing w:val="-10"/>
      <w:kern w:val="28"/>
      <w:sz w:val="56"/>
      <w:szCs w:val="56"/>
    </w:rPr>
  </w:style>
  <w:style w:type="paragraph" w:styleId="NoSpacing">
    <w:name w:val="No Spacing"/>
    <w:uiPriority w:val="1"/>
    <w:qFormat w:val="1"/>
    <w:rsid w:val="00C34E67"/>
    <w:pPr>
      <w:spacing w:after="0" w:line="240" w:lineRule="auto"/>
      <w:jc w:val="both"/>
    </w:pPr>
    <w:rPr>
      <w:rFonts w:ascii="Arial" w:hAnsi="Arial"/>
      <w:sz w:val="24"/>
    </w:rPr>
  </w:style>
  <w:style w:type="paragraph" w:styleId="ListParagraph">
    <w:name w:val="List Paragraph"/>
    <w:basedOn w:val="Normal"/>
    <w:uiPriority w:val="34"/>
    <w:qFormat w:val="1"/>
    <w:rsid w:val="00AF15A8"/>
    <w:pPr>
      <w:ind w:left="720"/>
      <w:contextualSpacing w:val="1"/>
    </w:pPr>
  </w:style>
  <w:style w:type="paragraph" w:styleId="TOCHeading">
    <w:name w:val="TOC Heading"/>
    <w:basedOn w:val="Heading1"/>
    <w:next w:val="Normal"/>
    <w:uiPriority w:val="39"/>
    <w:unhideWhenUsed w:val="1"/>
    <w:qFormat w:val="1"/>
    <w:rsid w:val="00820EFB"/>
    <w:pPr>
      <w:spacing w:line="259" w:lineRule="auto"/>
      <w:jc w:val="left"/>
      <w:outlineLvl w:val="9"/>
    </w:pPr>
    <w:rPr>
      <w:rFonts w:asciiTheme="majorHAnsi" w:hAnsiTheme="majorHAnsi"/>
      <w:b w:val="0"/>
      <w:color w:val="2f5496" w:themeColor="accent1" w:themeShade="0000BF"/>
      <w:sz w:val="32"/>
    </w:rPr>
  </w:style>
  <w:style w:type="paragraph" w:styleId="TOC1">
    <w:name w:val="toc 1"/>
    <w:basedOn w:val="Normal"/>
    <w:next w:val="Normal"/>
    <w:autoRedefine w:val="1"/>
    <w:uiPriority w:val="39"/>
    <w:unhideWhenUsed w:val="1"/>
    <w:rsid w:val="00820EFB"/>
    <w:pPr>
      <w:spacing w:after="100"/>
    </w:pPr>
  </w:style>
  <w:style w:type="paragraph" w:styleId="TOC2">
    <w:name w:val="toc 2"/>
    <w:basedOn w:val="Normal"/>
    <w:next w:val="Normal"/>
    <w:autoRedefine w:val="1"/>
    <w:uiPriority w:val="39"/>
    <w:unhideWhenUsed w:val="1"/>
    <w:rsid w:val="00820EFB"/>
    <w:pPr>
      <w:spacing w:after="100"/>
      <w:ind w:left="240"/>
    </w:pPr>
  </w:style>
  <w:style w:type="character" w:styleId="Hyperlink">
    <w:name w:val="Hyperlink"/>
    <w:basedOn w:val="DefaultParagraphFont"/>
    <w:uiPriority w:val="99"/>
    <w:unhideWhenUsed w:val="1"/>
    <w:rsid w:val="00820EFB"/>
    <w:rPr>
      <w:color w:val="0563c1" w:themeColor="hyperlink"/>
      <w:u w:val="single"/>
    </w:rPr>
  </w:style>
  <w:style w:type="paragraph" w:styleId="Header">
    <w:name w:val="header"/>
    <w:basedOn w:val="Normal"/>
    <w:link w:val="HeaderChar"/>
    <w:uiPriority w:val="99"/>
    <w:unhideWhenUsed w:val="1"/>
    <w:rsid w:val="00CF655C"/>
    <w:pPr>
      <w:tabs>
        <w:tab w:val="center" w:pos="4680"/>
        <w:tab w:val="right" w:pos="9360"/>
      </w:tabs>
      <w:spacing w:after="0" w:line="240" w:lineRule="auto"/>
    </w:pPr>
  </w:style>
  <w:style w:type="character" w:styleId="HeaderChar" w:customStyle="1">
    <w:name w:val="Header Char"/>
    <w:basedOn w:val="DefaultParagraphFont"/>
    <w:link w:val="Header"/>
    <w:uiPriority w:val="99"/>
    <w:rsid w:val="00CF655C"/>
    <w:rPr>
      <w:rFonts w:ascii="Arial" w:hAnsi="Arial"/>
      <w:sz w:val="24"/>
    </w:rPr>
  </w:style>
  <w:style w:type="paragraph" w:styleId="Footer">
    <w:name w:val="footer"/>
    <w:basedOn w:val="Normal"/>
    <w:link w:val="FooterChar"/>
    <w:uiPriority w:val="99"/>
    <w:unhideWhenUsed w:val="1"/>
    <w:rsid w:val="00CF655C"/>
    <w:pPr>
      <w:tabs>
        <w:tab w:val="center" w:pos="4680"/>
        <w:tab w:val="right" w:pos="9360"/>
      </w:tabs>
      <w:spacing w:after="0" w:line="240" w:lineRule="auto"/>
    </w:pPr>
  </w:style>
  <w:style w:type="character" w:styleId="FooterChar" w:customStyle="1">
    <w:name w:val="Footer Char"/>
    <w:basedOn w:val="DefaultParagraphFont"/>
    <w:link w:val="Footer"/>
    <w:uiPriority w:val="99"/>
    <w:rsid w:val="00CF655C"/>
    <w:rPr>
      <w:rFonts w:ascii="Arial" w:hAnsi="Arial"/>
      <w:sz w:val="24"/>
    </w:rPr>
  </w:style>
  <w:style w:type="table" w:styleId="TableGrid" w:customStyle="1">
    <w:name w:val="TableGrid"/>
    <w:rsid w:val="00881766"/>
    <w:pPr>
      <w:spacing w:after="0" w:line="240" w:lineRule="auto"/>
    </w:pPr>
    <w:rPr>
      <w:rFonts w:eastAsiaTheme="minorEastAsia"/>
    </w:rPr>
    <w:tblPr>
      <w:tblCellMar>
        <w:top w:w="0.0" w:type="dxa"/>
        <w:left w:w="0.0" w:type="dxa"/>
        <w:bottom w:w="0.0" w:type="dxa"/>
        <w:right w:w="0.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53.0" w:type="dxa"/>
        <w:left w:w="107.0" w:type="dxa"/>
        <w:bottom w:w="0.0" w:type="dxa"/>
        <w:right w:w="115.0" w:type="dxa"/>
      </w:tblCellMar>
    </w:tblPr>
  </w:style>
  <w:style w:type="table" w:styleId="Table2">
    <w:basedOn w:val="TableNormal"/>
    <w:pPr>
      <w:spacing w:after="0" w:line="240" w:lineRule="auto"/>
    </w:pPr>
    <w:tblPr>
      <w:tblStyleRowBandSize w:val="1"/>
      <w:tblStyleColBandSize w:val="1"/>
      <w:tblCellMar>
        <w:top w:w="53.0" w:type="dxa"/>
        <w:left w:w="107.0" w:type="dxa"/>
        <w:bottom w:w="0.0" w:type="dxa"/>
        <w:right w:w="47.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61becp2AnlStiQSMvrp87gubmPQ==">AMUW2mUnStihhze2CappnyPNoSXPG4LEFfTMrgTYDeyaX2NxgRXEXikYQlb3YIf84sW939rH70Z9FnPsj3yRysjOqwYF4oakj5xkmOE4nyxTBW/OYGG1UpbFk+BtdJpIM7uhj/JQjXPuxCLt2eja7z/hGhTvnULtTyrgRcOojqKkeL3GGux4pmnuxE1bA1pMU7UKc/qiK+XO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2022-02-10T20:23:00Z</dcterms:created>
</cp:coreProperties>
</file>