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10F4C70" w14:textId="2EBEAAF8" w:rsidR="00EC5EC0" w:rsidRPr="00DC14E4" w:rsidRDefault="00271E04" w:rsidP="0093739C">
      <w:pPr>
        <w:rPr>
          <w:b/>
          <w:bCs/>
          <w:sz w:val="28"/>
          <w:szCs w:val="28"/>
          <w:u w:val="single"/>
          <w:lang w:val="en-US"/>
        </w:rPr>
      </w:pPr>
      <w:r w:rsidRPr="00271E04">
        <w:rPr>
          <w:b/>
          <w:bCs/>
          <w:sz w:val="28"/>
          <w:szCs w:val="28"/>
          <w:u w:val="single"/>
          <w:lang w:val="en-US"/>
        </w:rPr>
        <w:t xml:space="preserve">Assignment 2 </w:t>
      </w:r>
      <w:r w:rsidR="00DC14E4">
        <w:rPr>
          <w:b/>
          <w:bCs/>
          <w:sz w:val="28"/>
          <w:szCs w:val="28"/>
          <w:u w:val="single"/>
          <w:lang w:val="en-US"/>
        </w:rPr>
        <w:t>– Legal Process</w:t>
      </w:r>
    </w:p>
    <w:p w14:paraId="098E0EA1" w14:textId="26D22521" w:rsidR="0093739C" w:rsidRPr="00E178EA" w:rsidRDefault="0093739C" w:rsidP="00DF6888">
      <w:pPr>
        <w:rPr>
          <w:rFonts w:cstheme="minorHAnsi"/>
          <w:sz w:val="24"/>
          <w:szCs w:val="24"/>
        </w:rPr>
      </w:pPr>
      <w:r w:rsidRPr="00E178EA">
        <w:rPr>
          <w:rFonts w:cstheme="minorHAnsi"/>
          <w:sz w:val="24"/>
          <w:szCs w:val="24"/>
        </w:rPr>
        <w:t xml:space="preserve">In this </w:t>
      </w:r>
      <w:r w:rsidR="002732BF" w:rsidRPr="00E178EA">
        <w:rPr>
          <w:rFonts w:cstheme="minorHAnsi"/>
          <w:sz w:val="24"/>
          <w:szCs w:val="24"/>
        </w:rPr>
        <w:t>discussion</w:t>
      </w:r>
      <w:r w:rsidR="001D52DC" w:rsidRPr="00E178EA">
        <w:rPr>
          <w:rFonts w:cstheme="minorHAnsi"/>
          <w:sz w:val="24"/>
          <w:szCs w:val="24"/>
        </w:rPr>
        <w:t xml:space="preserve"> the principle</w:t>
      </w:r>
      <w:r w:rsidR="002732BF" w:rsidRPr="00E178EA">
        <w:rPr>
          <w:rFonts w:cstheme="minorHAnsi"/>
          <w:sz w:val="24"/>
          <w:szCs w:val="24"/>
        </w:rPr>
        <w:t xml:space="preserve"> </w:t>
      </w:r>
      <w:r w:rsidR="0047619F" w:rsidRPr="00E178EA">
        <w:rPr>
          <w:rFonts w:cstheme="minorHAnsi"/>
          <w:sz w:val="24"/>
          <w:szCs w:val="24"/>
        </w:rPr>
        <w:t xml:space="preserve">statutory interpretation will be discussed in great detail. </w:t>
      </w:r>
      <w:r w:rsidR="00A168EB" w:rsidRPr="00E178EA">
        <w:rPr>
          <w:rFonts w:cstheme="minorHAnsi"/>
          <w:sz w:val="24"/>
          <w:szCs w:val="24"/>
        </w:rPr>
        <w:t xml:space="preserve">In this piece of </w:t>
      </w:r>
      <w:r w:rsidR="00E178EA" w:rsidRPr="00E178EA">
        <w:rPr>
          <w:rFonts w:cstheme="minorHAnsi"/>
          <w:sz w:val="24"/>
          <w:szCs w:val="24"/>
        </w:rPr>
        <w:t>writing</w:t>
      </w:r>
      <w:r w:rsidR="00E7335D">
        <w:rPr>
          <w:rFonts w:cstheme="minorHAnsi"/>
          <w:sz w:val="24"/>
          <w:szCs w:val="24"/>
        </w:rPr>
        <w:t xml:space="preserve"> there will be a discussion of a case study used to show how </w:t>
      </w:r>
      <w:r w:rsidR="003A260F">
        <w:rPr>
          <w:rFonts w:cstheme="minorHAnsi"/>
          <w:sz w:val="24"/>
          <w:szCs w:val="24"/>
        </w:rPr>
        <w:t>the principle is applied.</w:t>
      </w:r>
      <w:r w:rsidR="00A168EB" w:rsidRPr="00E178EA">
        <w:rPr>
          <w:rFonts w:cstheme="minorHAnsi"/>
          <w:sz w:val="24"/>
          <w:szCs w:val="24"/>
        </w:rPr>
        <w:t xml:space="preserve"> </w:t>
      </w:r>
      <w:r w:rsidR="003A260F">
        <w:rPr>
          <w:rFonts w:cstheme="minorHAnsi"/>
          <w:sz w:val="24"/>
          <w:szCs w:val="24"/>
        </w:rPr>
        <w:t>I</w:t>
      </w:r>
      <w:r w:rsidR="00A168EB" w:rsidRPr="00E178EA">
        <w:rPr>
          <w:rFonts w:cstheme="minorHAnsi"/>
          <w:sz w:val="24"/>
          <w:szCs w:val="24"/>
        </w:rPr>
        <w:t>t will look at why statutory is nec</w:t>
      </w:r>
      <w:r w:rsidR="00A51B03" w:rsidRPr="00E178EA">
        <w:rPr>
          <w:rFonts w:cstheme="minorHAnsi"/>
          <w:sz w:val="24"/>
          <w:szCs w:val="24"/>
        </w:rPr>
        <w:t xml:space="preserve">essary </w:t>
      </w:r>
      <w:r w:rsidR="00180D53" w:rsidRPr="00E178EA">
        <w:rPr>
          <w:rFonts w:cstheme="minorHAnsi"/>
          <w:sz w:val="24"/>
          <w:szCs w:val="24"/>
        </w:rPr>
        <w:t xml:space="preserve">within the </w:t>
      </w:r>
      <w:r w:rsidR="00722011" w:rsidRPr="00E178EA">
        <w:rPr>
          <w:rFonts w:cstheme="minorHAnsi"/>
          <w:sz w:val="24"/>
          <w:szCs w:val="24"/>
        </w:rPr>
        <w:t>legal</w:t>
      </w:r>
      <w:r w:rsidR="00180D53" w:rsidRPr="00E178EA">
        <w:rPr>
          <w:rFonts w:cstheme="minorHAnsi"/>
          <w:sz w:val="24"/>
          <w:szCs w:val="24"/>
        </w:rPr>
        <w:t xml:space="preserve"> system is today’s society. </w:t>
      </w:r>
      <w:r w:rsidR="00382C8A" w:rsidRPr="00E178EA">
        <w:rPr>
          <w:rFonts w:cstheme="minorHAnsi"/>
          <w:sz w:val="24"/>
          <w:szCs w:val="24"/>
        </w:rPr>
        <w:t xml:space="preserve">An analysis of both </w:t>
      </w:r>
      <w:r w:rsidR="00E178EA" w:rsidRPr="00E178EA">
        <w:rPr>
          <w:rFonts w:cstheme="minorHAnsi"/>
          <w:sz w:val="24"/>
          <w:szCs w:val="24"/>
        </w:rPr>
        <w:t>viewpoints</w:t>
      </w:r>
      <w:r w:rsidR="00382C8A" w:rsidRPr="00E178EA">
        <w:rPr>
          <w:rFonts w:cstheme="minorHAnsi"/>
          <w:sz w:val="24"/>
          <w:szCs w:val="24"/>
        </w:rPr>
        <w:t xml:space="preserve"> will be made when looking at </w:t>
      </w:r>
      <w:r w:rsidR="0089692E" w:rsidRPr="00E178EA">
        <w:rPr>
          <w:rFonts w:cstheme="minorHAnsi"/>
          <w:sz w:val="24"/>
          <w:szCs w:val="24"/>
        </w:rPr>
        <w:t xml:space="preserve">if there are problems </w:t>
      </w:r>
      <w:r w:rsidR="00F7184D">
        <w:rPr>
          <w:rFonts w:cstheme="minorHAnsi"/>
          <w:sz w:val="24"/>
          <w:szCs w:val="24"/>
        </w:rPr>
        <w:t>with statutory interpretation and what the causes are to these problems.</w:t>
      </w:r>
      <w:r w:rsidR="001A0F82">
        <w:rPr>
          <w:rFonts w:cstheme="minorHAnsi"/>
          <w:sz w:val="24"/>
          <w:szCs w:val="24"/>
        </w:rPr>
        <w:t xml:space="preserve"> Following on </w:t>
      </w:r>
      <w:r w:rsidR="00EA7761">
        <w:rPr>
          <w:rFonts w:cstheme="minorHAnsi"/>
          <w:sz w:val="24"/>
          <w:szCs w:val="24"/>
        </w:rPr>
        <w:t xml:space="preserve">the rules that underpin </w:t>
      </w:r>
      <w:r w:rsidR="00281C6A">
        <w:rPr>
          <w:rFonts w:cstheme="minorHAnsi"/>
          <w:sz w:val="24"/>
          <w:szCs w:val="24"/>
        </w:rPr>
        <w:t>statutory interpretation will be analysed, there are the literal rule, the golden rule, and the mischief rule.</w:t>
      </w:r>
      <w:r w:rsidR="00FB6DD8">
        <w:rPr>
          <w:rFonts w:cstheme="minorHAnsi"/>
          <w:sz w:val="24"/>
          <w:szCs w:val="24"/>
        </w:rPr>
        <w:t xml:space="preserve"> Research will be conducted </w:t>
      </w:r>
      <w:r w:rsidR="0003659C">
        <w:rPr>
          <w:rFonts w:cstheme="minorHAnsi"/>
          <w:sz w:val="24"/>
          <w:szCs w:val="24"/>
        </w:rPr>
        <w:t xml:space="preserve">from many different sources to gain a wider knowledge of statutory interpretation </w:t>
      </w:r>
      <w:r w:rsidR="00E61DB7">
        <w:rPr>
          <w:rFonts w:cstheme="minorHAnsi"/>
          <w:sz w:val="24"/>
          <w:szCs w:val="24"/>
        </w:rPr>
        <w:t xml:space="preserve">as well as </w:t>
      </w:r>
      <w:r w:rsidR="001303B4">
        <w:rPr>
          <w:rFonts w:cstheme="minorHAnsi"/>
          <w:sz w:val="24"/>
          <w:szCs w:val="24"/>
        </w:rPr>
        <w:t xml:space="preserve">looking at whether it diminishes the status </w:t>
      </w:r>
      <w:r w:rsidR="001E1B18">
        <w:rPr>
          <w:rFonts w:cstheme="minorHAnsi"/>
          <w:sz w:val="24"/>
          <w:szCs w:val="24"/>
        </w:rPr>
        <w:t>of legislation as a primary source in today’s laws.</w:t>
      </w:r>
    </w:p>
    <w:p w14:paraId="05610307" w14:textId="0E8327E9" w:rsidR="00BA1151" w:rsidRPr="00FD131C" w:rsidRDefault="00306721" w:rsidP="00BA1151">
      <w:pPr>
        <w:rPr>
          <w:rFonts w:cstheme="minorHAnsi"/>
          <w:sz w:val="24"/>
          <w:szCs w:val="24"/>
          <w:lang w:val="en-US"/>
        </w:rPr>
      </w:pPr>
      <w:r>
        <w:rPr>
          <w:rFonts w:cstheme="minorHAnsi"/>
          <w:sz w:val="24"/>
          <w:szCs w:val="24"/>
          <w:lang w:val="en-US"/>
        </w:rPr>
        <w:t>Statutory inter</w:t>
      </w:r>
      <w:r w:rsidR="00D87929">
        <w:rPr>
          <w:rFonts w:cstheme="minorHAnsi"/>
          <w:sz w:val="24"/>
          <w:szCs w:val="24"/>
          <w:lang w:val="en-US"/>
        </w:rPr>
        <w:t xml:space="preserve">pretation </w:t>
      </w:r>
      <w:r w:rsidR="00EC3D00">
        <w:rPr>
          <w:rFonts w:cstheme="minorHAnsi"/>
          <w:sz w:val="24"/>
          <w:szCs w:val="24"/>
          <w:lang w:val="en-US"/>
        </w:rPr>
        <w:t xml:space="preserve">can be known by many as </w:t>
      </w:r>
      <w:r w:rsidR="0029204B">
        <w:rPr>
          <w:rFonts w:cstheme="minorHAnsi"/>
          <w:sz w:val="24"/>
          <w:szCs w:val="24"/>
          <w:lang w:val="en-US"/>
        </w:rPr>
        <w:t>a way in which courts with high levels of authorit</w:t>
      </w:r>
      <w:r w:rsidR="00312D4C">
        <w:rPr>
          <w:rFonts w:cstheme="minorHAnsi"/>
          <w:sz w:val="24"/>
          <w:szCs w:val="24"/>
          <w:lang w:val="en-US"/>
        </w:rPr>
        <w:t xml:space="preserve">ies within the hieratical </w:t>
      </w:r>
      <w:r w:rsidR="0045543B">
        <w:rPr>
          <w:rFonts w:cstheme="minorHAnsi"/>
          <w:sz w:val="24"/>
          <w:szCs w:val="24"/>
          <w:lang w:val="en-US"/>
        </w:rPr>
        <w:t>in order to shape and advance the laws</w:t>
      </w:r>
      <w:r w:rsidR="00F236B6">
        <w:rPr>
          <w:rFonts w:cstheme="minorHAnsi"/>
          <w:sz w:val="24"/>
          <w:szCs w:val="24"/>
          <w:lang w:val="en-US"/>
        </w:rPr>
        <w:t xml:space="preserve"> </w:t>
      </w:r>
      <w:sdt>
        <w:sdtPr>
          <w:rPr>
            <w:rFonts w:cstheme="minorHAnsi"/>
            <w:sz w:val="24"/>
            <w:szCs w:val="24"/>
            <w:lang w:val="en-US"/>
          </w:rPr>
          <w:id w:val="-911163044"/>
          <w:citation/>
        </w:sdtPr>
        <w:sdtEndPr/>
        <w:sdtContent>
          <w:r w:rsidR="00FD131C" w:rsidRPr="00FD131C">
            <w:rPr>
              <w:rFonts w:cstheme="minorHAnsi"/>
              <w:sz w:val="24"/>
              <w:szCs w:val="24"/>
              <w:lang w:val="en-US"/>
            </w:rPr>
            <w:fldChar w:fldCharType="begin"/>
          </w:r>
          <w:r w:rsidR="00FD131C" w:rsidRPr="00FD131C">
            <w:rPr>
              <w:rFonts w:cstheme="minorHAnsi"/>
              <w:sz w:val="24"/>
              <w:szCs w:val="24"/>
              <w:lang w:val="en-US"/>
            </w:rPr>
            <w:instrText xml:space="preserve"> CITATION Mar16 \l 1033 </w:instrText>
          </w:r>
          <w:r w:rsidR="00FD131C" w:rsidRPr="00FD131C">
            <w:rPr>
              <w:rFonts w:cstheme="minorHAnsi"/>
              <w:sz w:val="24"/>
              <w:szCs w:val="24"/>
              <w:lang w:val="en-US"/>
            </w:rPr>
            <w:fldChar w:fldCharType="separate"/>
          </w:r>
          <w:r w:rsidR="00E51248" w:rsidRPr="00E51248">
            <w:rPr>
              <w:rFonts w:cstheme="minorHAnsi"/>
              <w:noProof/>
              <w:sz w:val="24"/>
              <w:szCs w:val="24"/>
              <w:lang w:val="en-US"/>
            </w:rPr>
            <w:t>(Partington, 2015-2016)</w:t>
          </w:r>
          <w:r w:rsidR="00FD131C" w:rsidRPr="00FD131C">
            <w:rPr>
              <w:rFonts w:cstheme="minorHAnsi"/>
              <w:sz w:val="24"/>
              <w:szCs w:val="24"/>
              <w:lang w:val="en-US"/>
            </w:rPr>
            <w:fldChar w:fldCharType="end"/>
          </w:r>
        </w:sdtContent>
      </w:sdt>
      <w:r w:rsidR="001C5B84">
        <w:rPr>
          <w:rFonts w:cstheme="minorHAnsi"/>
          <w:sz w:val="24"/>
          <w:szCs w:val="24"/>
          <w:lang w:val="en-US"/>
        </w:rPr>
        <w:t>.</w:t>
      </w:r>
      <w:r w:rsidR="00FD53EA">
        <w:rPr>
          <w:rFonts w:cstheme="minorHAnsi"/>
          <w:sz w:val="24"/>
          <w:szCs w:val="24"/>
          <w:lang w:val="en-US"/>
        </w:rPr>
        <w:t>Through the process of interpreting statues</w:t>
      </w:r>
      <w:r w:rsidR="002917A4">
        <w:rPr>
          <w:rFonts w:cstheme="minorHAnsi"/>
          <w:sz w:val="24"/>
          <w:szCs w:val="24"/>
          <w:lang w:val="en-US"/>
        </w:rPr>
        <w:t xml:space="preserve"> potentially may not be as difficult to conduct</w:t>
      </w:r>
      <w:r w:rsidR="001A24A6">
        <w:rPr>
          <w:rFonts w:cstheme="minorHAnsi"/>
          <w:sz w:val="24"/>
          <w:szCs w:val="24"/>
          <w:lang w:val="en-US"/>
        </w:rPr>
        <w:t xml:space="preserve"> when developing the principles of the common law.</w:t>
      </w:r>
      <w:r w:rsidR="007F1A69">
        <w:rPr>
          <w:rFonts w:cstheme="minorHAnsi"/>
          <w:sz w:val="24"/>
          <w:szCs w:val="24"/>
          <w:lang w:val="en-US"/>
        </w:rPr>
        <w:t xml:space="preserve"> </w:t>
      </w:r>
      <w:r w:rsidR="00E7335D">
        <w:rPr>
          <w:rFonts w:cstheme="minorHAnsi"/>
          <w:sz w:val="24"/>
          <w:szCs w:val="24"/>
          <w:lang w:val="en-US"/>
        </w:rPr>
        <w:t>However,</w:t>
      </w:r>
      <w:r w:rsidR="007F1A69">
        <w:rPr>
          <w:rFonts w:cstheme="minorHAnsi"/>
          <w:sz w:val="24"/>
          <w:szCs w:val="24"/>
          <w:lang w:val="en-US"/>
        </w:rPr>
        <w:t xml:space="preserve"> </w:t>
      </w:r>
      <w:r w:rsidR="00835046">
        <w:rPr>
          <w:rFonts w:cstheme="minorHAnsi"/>
          <w:sz w:val="24"/>
          <w:szCs w:val="24"/>
          <w:lang w:val="en-US"/>
        </w:rPr>
        <w:t xml:space="preserve">this is because judges </w:t>
      </w:r>
      <w:r w:rsidR="00B13258">
        <w:rPr>
          <w:rFonts w:cstheme="minorHAnsi"/>
          <w:sz w:val="24"/>
          <w:szCs w:val="24"/>
          <w:lang w:val="en-US"/>
        </w:rPr>
        <w:t>must</w:t>
      </w:r>
      <w:r w:rsidR="00835046">
        <w:rPr>
          <w:rFonts w:cstheme="minorHAnsi"/>
          <w:sz w:val="24"/>
          <w:szCs w:val="24"/>
          <w:lang w:val="en-US"/>
        </w:rPr>
        <w:t xml:space="preserve"> follow clear guides given by the parliament </w:t>
      </w:r>
      <w:r w:rsidR="00082BE9">
        <w:rPr>
          <w:rFonts w:cstheme="minorHAnsi"/>
          <w:sz w:val="24"/>
          <w:szCs w:val="24"/>
          <w:lang w:val="en-US"/>
        </w:rPr>
        <w:t>for the legislative process.</w:t>
      </w:r>
      <w:r w:rsidR="001C5B84">
        <w:rPr>
          <w:rFonts w:cstheme="minorHAnsi"/>
          <w:sz w:val="24"/>
          <w:szCs w:val="24"/>
          <w:lang w:val="en-US"/>
        </w:rPr>
        <w:t xml:space="preserve"> </w:t>
      </w:r>
      <w:r w:rsidR="004555EE">
        <w:rPr>
          <w:rFonts w:cstheme="minorHAnsi"/>
          <w:sz w:val="24"/>
          <w:szCs w:val="24"/>
          <w:lang w:val="en-US"/>
        </w:rPr>
        <w:t>It allows the different statues that have their set law</w:t>
      </w:r>
      <w:r w:rsidR="00BE7CA6">
        <w:rPr>
          <w:rFonts w:cstheme="minorHAnsi"/>
          <w:sz w:val="24"/>
          <w:szCs w:val="24"/>
          <w:lang w:val="en-US"/>
        </w:rPr>
        <w:t>s to regulate the population. Due to there being many changes to original laws and new laws been made regularly</w:t>
      </w:r>
      <w:r w:rsidR="00242CCD">
        <w:rPr>
          <w:rFonts w:cstheme="minorHAnsi"/>
          <w:sz w:val="24"/>
          <w:szCs w:val="24"/>
          <w:lang w:val="en-US"/>
        </w:rPr>
        <w:t xml:space="preserve"> this means that the government will then have to re-apply these laws</w:t>
      </w:r>
      <w:r w:rsidR="005F7B58">
        <w:rPr>
          <w:rFonts w:cstheme="minorHAnsi"/>
          <w:sz w:val="24"/>
          <w:szCs w:val="24"/>
          <w:lang w:val="en-US"/>
        </w:rPr>
        <w:t xml:space="preserve"> to the </w:t>
      </w:r>
      <w:r w:rsidR="005E1212">
        <w:rPr>
          <w:rFonts w:cstheme="minorHAnsi"/>
          <w:sz w:val="24"/>
          <w:szCs w:val="24"/>
          <w:lang w:val="en-US"/>
        </w:rPr>
        <w:t>populations</w:t>
      </w:r>
      <w:r w:rsidR="00242CCD">
        <w:rPr>
          <w:rFonts w:cstheme="minorHAnsi"/>
          <w:sz w:val="24"/>
          <w:szCs w:val="24"/>
          <w:lang w:val="en-US"/>
        </w:rPr>
        <w:t>.</w:t>
      </w:r>
      <w:sdt>
        <w:sdtPr>
          <w:rPr>
            <w:rFonts w:cstheme="minorHAnsi"/>
            <w:sz w:val="24"/>
            <w:szCs w:val="24"/>
            <w:lang w:val="en-US"/>
          </w:rPr>
          <w:id w:val="-67342778"/>
          <w:citation/>
        </w:sdtPr>
        <w:sdtEndPr/>
        <w:sdtContent>
          <w:r w:rsidR="00567E9C">
            <w:rPr>
              <w:rFonts w:cstheme="minorHAnsi"/>
              <w:sz w:val="24"/>
              <w:szCs w:val="24"/>
              <w:lang w:val="en-US"/>
            </w:rPr>
            <w:fldChar w:fldCharType="begin"/>
          </w:r>
          <w:r w:rsidR="00567E9C">
            <w:rPr>
              <w:rFonts w:cstheme="minorHAnsi"/>
              <w:sz w:val="24"/>
              <w:szCs w:val="24"/>
              <w:lang w:val="en-US"/>
            </w:rPr>
            <w:instrText xml:space="preserve"> CITATION Slo13 \l 1033 </w:instrText>
          </w:r>
          <w:r w:rsidR="00567E9C">
            <w:rPr>
              <w:rFonts w:cstheme="minorHAnsi"/>
              <w:sz w:val="24"/>
              <w:szCs w:val="24"/>
              <w:lang w:val="en-US"/>
            </w:rPr>
            <w:fldChar w:fldCharType="separate"/>
          </w:r>
          <w:r w:rsidR="00E51248">
            <w:rPr>
              <w:rFonts w:cstheme="minorHAnsi"/>
              <w:noProof/>
              <w:sz w:val="24"/>
              <w:szCs w:val="24"/>
              <w:lang w:val="en-US"/>
            </w:rPr>
            <w:t xml:space="preserve"> </w:t>
          </w:r>
          <w:r w:rsidR="00E51248" w:rsidRPr="00E51248">
            <w:rPr>
              <w:rFonts w:cstheme="minorHAnsi"/>
              <w:noProof/>
              <w:sz w:val="24"/>
              <w:szCs w:val="24"/>
              <w:lang w:val="en-US"/>
            </w:rPr>
            <w:t>(Slorach, et al., 2013)</w:t>
          </w:r>
          <w:r w:rsidR="00567E9C">
            <w:rPr>
              <w:rFonts w:cstheme="minorHAnsi"/>
              <w:sz w:val="24"/>
              <w:szCs w:val="24"/>
              <w:lang w:val="en-US"/>
            </w:rPr>
            <w:fldChar w:fldCharType="end"/>
          </w:r>
        </w:sdtContent>
      </w:sdt>
      <w:r w:rsidR="00782BF7">
        <w:rPr>
          <w:rFonts w:cstheme="minorHAnsi"/>
          <w:sz w:val="24"/>
          <w:szCs w:val="24"/>
          <w:lang w:val="en-US"/>
        </w:rPr>
        <w:t>.</w:t>
      </w:r>
      <w:r w:rsidR="004B3489">
        <w:rPr>
          <w:rFonts w:cstheme="minorHAnsi"/>
          <w:sz w:val="24"/>
          <w:szCs w:val="24"/>
          <w:lang w:val="en-US"/>
        </w:rPr>
        <w:t xml:space="preserve"> An example of statutory interpretation is the case</w:t>
      </w:r>
      <w:r w:rsidR="00FA17F8">
        <w:rPr>
          <w:rFonts w:cstheme="minorHAnsi"/>
          <w:sz w:val="24"/>
          <w:szCs w:val="24"/>
          <w:lang w:val="en-US"/>
        </w:rPr>
        <w:t xml:space="preserve"> study of </w:t>
      </w:r>
      <w:r w:rsidR="00B13258">
        <w:rPr>
          <w:rFonts w:cstheme="minorHAnsi"/>
          <w:sz w:val="24"/>
          <w:szCs w:val="24"/>
          <w:lang w:val="en-US"/>
        </w:rPr>
        <w:t>Mr.</w:t>
      </w:r>
      <w:r w:rsidR="00FA17F8">
        <w:rPr>
          <w:rFonts w:cstheme="minorHAnsi"/>
          <w:sz w:val="24"/>
          <w:szCs w:val="24"/>
          <w:lang w:val="en-US"/>
        </w:rPr>
        <w:t xml:space="preserve"> Fitzpatrick which included the housing law</w:t>
      </w:r>
      <w:r w:rsidR="008F20D9">
        <w:rPr>
          <w:rFonts w:cstheme="minorHAnsi"/>
          <w:sz w:val="24"/>
          <w:szCs w:val="24"/>
          <w:lang w:val="en-US"/>
        </w:rPr>
        <w:t xml:space="preserve"> </w:t>
      </w:r>
      <w:r w:rsidR="00C02C6D">
        <w:rPr>
          <w:rFonts w:cstheme="minorHAnsi"/>
          <w:sz w:val="24"/>
          <w:szCs w:val="24"/>
          <w:lang w:val="en-US"/>
        </w:rPr>
        <w:t>(</w:t>
      </w:r>
      <w:r w:rsidR="007A1344">
        <w:rPr>
          <w:rFonts w:cstheme="minorHAnsi"/>
          <w:sz w:val="24"/>
          <w:szCs w:val="24"/>
          <w:lang w:val="en-US"/>
        </w:rPr>
        <w:t>Fitzpatrick v sterling housing association</w:t>
      </w:r>
      <w:r w:rsidR="00BA1151">
        <w:rPr>
          <w:rFonts w:cstheme="minorHAnsi"/>
          <w:sz w:val="24"/>
          <w:szCs w:val="24"/>
          <w:lang w:val="en-US"/>
        </w:rPr>
        <w:t xml:space="preserve"> </w:t>
      </w:r>
      <w:r w:rsidR="008F20D9">
        <w:rPr>
          <w:rFonts w:cstheme="minorHAnsi"/>
          <w:sz w:val="24"/>
          <w:szCs w:val="24"/>
          <w:lang w:val="en-US"/>
        </w:rPr>
        <w:t>[1999]).</w:t>
      </w:r>
      <w:r w:rsidR="00FA17F8">
        <w:rPr>
          <w:rFonts w:cstheme="minorHAnsi"/>
          <w:sz w:val="24"/>
          <w:szCs w:val="24"/>
          <w:lang w:val="en-US"/>
        </w:rPr>
        <w:t xml:space="preserve"> This case study is </w:t>
      </w:r>
      <w:r w:rsidR="00226E91">
        <w:rPr>
          <w:rFonts w:cstheme="minorHAnsi"/>
          <w:sz w:val="24"/>
          <w:szCs w:val="24"/>
          <w:lang w:val="en-US"/>
        </w:rPr>
        <w:t xml:space="preserve">where it is not clear what the housing </w:t>
      </w:r>
      <w:r w:rsidR="009B345E">
        <w:rPr>
          <w:rFonts w:cstheme="minorHAnsi"/>
          <w:sz w:val="24"/>
          <w:szCs w:val="24"/>
          <w:lang w:val="en-US"/>
        </w:rPr>
        <w:t xml:space="preserve">law meant. The law provided </w:t>
      </w:r>
      <w:r w:rsidR="00037DF3">
        <w:rPr>
          <w:rFonts w:cstheme="minorHAnsi"/>
          <w:sz w:val="24"/>
          <w:szCs w:val="24"/>
          <w:lang w:val="en-US"/>
        </w:rPr>
        <w:t xml:space="preserve">that an individual can pass his or her right to occupy one another’s premises </w:t>
      </w:r>
      <w:r w:rsidR="007E3173">
        <w:rPr>
          <w:rFonts w:cstheme="minorHAnsi"/>
          <w:sz w:val="24"/>
          <w:szCs w:val="24"/>
          <w:lang w:val="en-US"/>
        </w:rPr>
        <w:t>on death to a member of their family. However due to the law not being clear</w:t>
      </w:r>
      <w:r w:rsidR="00A47B5B">
        <w:rPr>
          <w:rFonts w:cstheme="minorHAnsi"/>
          <w:sz w:val="24"/>
          <w:szCs w:val="24"/>
          <w:lang w:val="en-US"/>
        </w:rPr>
        <w:t xml:space="preserve"> there was no specification to who would classify as a family member.</w:t>
      </w:r>
      <w:r w:rsidR="003326EC">
        <w:rPr>
          <w:rFonts w:cstheme="minorHAnsi"/>
          <w:sz w:val="24"/>
          <w:szCs w:val="24"/>
          <w:lang w:val="en-US"/>
        </w:rPr>
        <w:t xml:space="preserve"> In the 1940s the courts further stated it would only classify for blood relation then further on in the </w:t>
      </w:r>
      <w:r w:rsidR="0027537F">
        <w:rPr>
          <w:rFonts w:cstheme="minorHAnsi"/>
          <w:sz w:val="24"/>
          <w:szCs w:val="24"/>
          <w:lang w:val="en-US"/>
        </w:rPr>
        <w:t>19</w:t>
      </w:r>
      <w:r w:rsidR="004307C2">
        <w:rPr>
          <w:rFonts w:cstheme="minorHAnsi"/>
          <w:sz w:val="24"/>
          <w:szCs w:val="24"/>
          <w:lang w:val="en-US"/>
        </w:rPr>
        <w:t xml:space="preserve">99 the House of Lords made changes. A decision was made </w:t>
      </w:r>
      <w:r w:rsidR="00BB5A98">
        <w:rPr>
          <w:rFonts w:cstheme="minorHAnsi"/>
          <w:sz w:val="24"/>
          <w:szCs w:val="24"/>
          <w:lang w:val="en-US"/>
        </w:rPr>
        <w:t xml:space="preserve">that a homosexual partner of </w:t>
      </w:r>
      <w:r w:rsidR="00BA1151">
        <w:rPr>
          <w:rFonts w:cstheme="minorHAnsi"/>
          <w:sz w:val="24"/>
          <w:szCs w:val="24"/>
          <w:lang w:val="en-US"/>
        </w:rPr>
        <w:t>the</w:t>
      </w:r>
      <w:r w:rsidR="005044D1">
        <w:rPr>
          <w:rFonts w:cstheme="minorHAnsi"/>
          <w:sz w:val="24"/>
          <w:szCs w:val="24"/>
          <w:lang w:val="en-US"/>
        </w:rPr>
        <w:t xml:space="preserve"> individual who died could take over the tenancy</w:t>
      </w:r>
      <w:r w:rsidR="00BA1151" w:rsidRPr="00BA1151">
        <w:rPr>
          <w:rFonts w:cstheme="minorHAnsi"/>
          <w:sz w:val="24"/>
          <w:szCs w:val="24"/>
          <w:lang w:val="en-US"/>
        </w:rPr>
        <w:t xml:space="preserve"> </w:t>
      </w:r>
      <w:sdt>
        <w:sdtPr>
          <w:rPr>
            <w:rFonts w:cstheme="minorHAnsi"/>
            <w:sz w:val="24"/>
            <w:szCs w:val="24"/>
            <w:lang w:val="en-US"/>
          </w:rPr>
          <w:id w:val="1488524799"/>
          <w:citation/>
        </w:sdtPr>
        <w:sdtEndPr/>
        <w:sdtContent>
          <w:r w:rsidR="00BA1151">
            <w:rPr>
              <w:rFonts w:cstheme="minorHAnsi"/>
              <w:sz w:val="24"/>
              <w:szCs w:val="24"/>
              <w:lang w:val="en-US"/>
            </w:rPr>
            <w:fldChar w:fldCharType="begin"/>
          </w:r>
          <w:r w:rsidR="00BA1151">
            <w:rPr>
              <w:rFonts w:cstheme="minorHAnsi"/>
              <w:sz w:val="24"/>
              <w:szCs w:val="24"/>
              <w:lang w:val="en-US"/>
            </w:rPr>
            <w:instrText xml:space="preserve"> CITATION Jud99 \l 1033 </w:instrText>
          </w:r>
          <w:r w:rsidR="00BA1151">
            <w:rPr>
              <w:rFonts w:cstheme="minorHAnsi"/>
              <w:sz w:val="24"/>
              <w:szCs w:val="24"/>
              <w:lang w:val="en-US"/>
            </w:rPr>
            <w:fldChar w:fldCharType="separate"/>
          </w:r>
          <w:r w:rsidR="00E51248" w:rsidRPr="00E51248">
            <w:rPr>
              <w:rFonts w:cstheme="minorHAnsi"/>
              <w:noProof/>
              <w:sz w:val="24"/>
              <w:szCs w:val="24"/>
              <w:lang w:val="en-US"/>
            </w:rPr>
            <w:t>(Judgments -- Fitzpatrick (A. P.) v. Sterling Housing Association Ltd., 1999)</w:t>
          </w:r>
          <w:r w:rsidR="00BA1151">
            <w:rPr>
              <w:rFonts w:cstheme="minorHAnsi"/>
              <w:sz w:val="24"/>
              <w:szCs w:val="24"/>
              <w:lang w:val="en-US"/>
            </w:rPr>
            <w:fldChar w:fldCharType="end"/>
          </w:r>
        </w:sdtContent>
      </w:sdt>
      <w:r w:rsidR="00BA1151">
        <w:rPr>
          <w:rFonts w:cstheme="minorHAnsi"/>
          <w:sz w:val="24"/>
          <w:szCs w:val="24"/>
          <w:lang w:val="en-US"/>
        </w:rPr>
        <w:t>.</w:t>
      </w:r>
      <w:r w:rsidR="00E7535F">
        <w:rPr>
          <w:rFonts w:cstheme="minorHAnsi"/>
          <w:sz w:val="24"/>
          <w:szCs w:val="24"/>
          <w:lang w:val="en-US"/>
        </w:rPr>
        <w:t xml:space="preserve"> This case shows that </w:t>
      </w:r>
      <w:r w:rsidR="00BF6AC3">
        <w:rPr>
          <w:rFonts w:cstheme="minorHAnsi"/>
          <w:sz w:val="24"/>
          <w:szCs w:val="24"/>
          <w:lang w:val="en-US"/>
        </w:rPr>
        <w:t xml:space="preserve">the statue by the law was interpretated to show the changes that </w:t>
      </w:r>
      <w:r w:rsidR="005C2C08">
        <w:rPr>
          <w:rFonts w:cstheme="minorHAnsi"/>
          <w:sz w:val="24"/>
          <w:szCs w:val="24"/>
          <w:lang w:val="en-US"/>
        </w:rPr>
        <w:t>are</w:t>
      </w:r>
      <w:r w:rsidR="00BF6AC3">
        <w:rPr>
          <w:rFonts w:cstheme="minorHAnsi"/>
          <w:sz w:val="24"/>
          <w:szCs w:val="24"/>
          <w:lang w:val="en-US"/>
        </w:rPr>
        <w:t xml:space="preserve"> reflected </w:t>
      </w:r>
      <w:r w:rsidR="00E7335D">
        <w:rPr>
          <w:rFonts w:cstheme="minorHAnsi"/>
          <w:sz w:val="24"/>
          <w:szCs w:val="24"/>
          <w:lang w:val="en-US"/>
        </w:rPr>
        <w:t>in the different social practices and attitudes.</w:t>
      </w:r>
    </w:p>
    <w:p w14:paraId="51235FD4" w14:textId="298582E5" w:rsidR="00A34C64" w:rsidRPr="00A34C64" w:rsidRDefault="00E60963" w:rsidP="00EC5EC0">
      <w:pPr>
        <w:rPr>
          <w:rFonts w:cstheme="minorHAnsi"/>
          <w:sz w:val="24"/>
          <w:szCs w:val="24"/>
          <w:lang w:val="en-US"/>
        </w:rPr>
      </w:pPr>
      <w:r>
        <w:rPr>
          <w:rFonts w:cstheme="minorHAnsi"/>
          <w:sz w:val="32"/>
          <w:szCs w:val="32"/>
          <w:lang w:val="en-US"/>
        </w:rPr>
        <w:t xml:space="preserve"> </w:t>
      </w:r>
      <w:r w:rsidR="00555732">
        <w:rPr>
          <w:rFonts w:cstheme="minorHAnsi"/>
          <w:sz w:val="24"/>
          <w:szCs w:val="24"/>
          <w:lang w:val="en-US"/>
        </w:rPr>
        <w:t xml:space="preserve">Statutory interpretation </w:t>
      </w:r>
      <w:r w:rsidR="0012038B">
        <w:rPr>
          <w:rFonts w:cstheme="minorHAnsi"/>
          <w:sz w:val="24"/>
          <w:szCs w:val="24"/>
          <w:lang w:val="en-US"/>
        </w:rPr>
        <w:t xml:space="preserve">has been introduced to ensure the meanings of law in statue </w:t>
      </w:r>
      <w:r w:rsidR="000E3A0E">
        <w:rPr>
          <w:rFonts w:cstheme="minorHAnsi"/>
          <w:sz w:val="24"/>
          <w:szCs w:val="24"/>
          <w:lang w:val="en-US"/>
        </w:rPr>
        <w:t>have a clear understanding from all. However, over the years certain laws have not been made clear enough for the understanding of the population.</w:t>
      </w:r>
      <w:r w:rsidR="00013B45">
        <w:rPr>
          <w:rFonts w:cstheme="minorHAnsi"/>
          <w:sz w:val="24"/>
          <w:szCs w:val="24"/>
          <w:lang w:val="en-US"/>
        </w:rPr>
        <w:t xml:space="preserve"> </w:t>
      </w:r>
      <w:r w:rsidR="006A3C1E">
        <w:rPr>
          <w:rFonts w:cstheme="minorHAnsi"/>
          <w:sz w:val="24"/>
          <w:szCs w:val="24"/>
          <w:lang w:val="en-US"/>
        </w:rPr>
        <w:t xml:space="preserve">In today’s society the need for the interpretation of statute </w:t>
      </w:r>
      <w:r w:rsidR="00D42325">
        <w:rPr>
          <w:rFonts w:cstheme="minorHAnsi"/>
          <w:sz w:val="24"/>
          <w:szCs w:val="24"/>
          <w:lang w:val="en-US"/>
        </w:rPr>
        <w:t xml:space="preserve">when it comes to the failure of legislation in certain points of the law. </w:t>
      </w:r>
      <w:r w:rsidR="00343685">
        <w:rPr>
          <w:rFonts w:cstheme="minorHAnsi"/>
          <w:sz w:val="24"/>
          <w:szCs w:val="24"/>
          <w:lang w:val="en-US"/>
        </w:rPr>
        <w:t xml:space="preserve">This is where the piece of legislation could have been written in great detail </w:t>
      </w:r>
      <w:r w:rsidR="00DB67CB">
        <w:rPr>
          <w:rFonts w:cstheme="minorHAnsi"/>
          <w:sz w:val="24"/>
          <w:szCs w:val="24"/>
          <w:lang w:val="en-US"/>
        </w:rPr>
        <w:t xml:space="preserve">but </w:t>
      </w:r>
      <w:r w:rsidR="000D0A13">
        <w:rPr>
          <w:rFonts w:cstheme="minorHAnsi"/>
          <w:sz w:val="24"/>
          <w:szCs w:val="24"/>
          <w:lang w:val="en-US"/>
        </w:rPr>
        <w:t xml:space="preserve">missed out certain key points that are </w:t>
      </w:r>
      <w:r w:rsidR="00C7255D">
        <w:rPr>
          <w:rFonts w:cstheme="minorHAnsi"/>
          <w:sz w:val="24"/>
          <w:szCs w:val="24"/>
          <w:lang w:val="en-US"/>
        </w:rPr>
        <w:t>needed in the courts</w:t>
      </w:r>
      <w:r w:rsidR="00D2797C">
        <w:rPr>
          <w:rFonts w:cstheme="minorHAnsi"/>
          <w:sz w:val="24"/>
          <w:szCs w:val="24"/>
          <w:lang w:val="en-US"/>
        </w:rPr>
        <w:t xml:space="preserve">. This statute allows parliament to </w:t>
      </w:r>
      <w:r w:rsidR="001B29FB">
        <w:rPr>
          <w:rFonts w:cstheme="minorHAnsi"/>
          <w:sz w:val="24"/>
          <w:szCs w:val="24"/>
          <w:lang w:val="en-US"/>
        </w:rPr>
        <w:t>reinterpret legislation to ensure that there is a clear understanding</w:t>
      </w:r>
      <w:r w:rsidR="00DE12B8">
        <w:rPr>
          <w:rFonts w:cstheme="minorHAnsi"/>
          <w:sz w:val="24"/>
          <w:szCs w:val="24"/>
          <w:lang w:val="en-US"/>
        </w:rPr>
        <w:t xml:space="preserve"> </w:t>
      </w:r>
      <w:r w:rsidR="00DE12B8" w:rsidRPr="00DE12B8">
        <w:rPr>
          <w:rFonts w:cstheme="minorHAnsi"/>
          <w:sz w:val="24"/>
          <w:szCs w:val="24"/>
          <w:lang w:val="en-US"/>
        </w:rPr>
        <w:t>(Alison, 1969)</w:t>
      </w:r>
      <w:r w:rsidR="00DE12B8">
        <w:rPr>
          <w:rFonts w:cstheme="minorHAnsi"/>
          <w:sz w:val="24"/>
          <w:szCs w:val="24"/>
          <w:lang w:val="en-US"/>
        </w:rPr>
        <w:t>.</w:t>
      </w:r>
      <w:r w:rsidR="001229EB">
        <w:rPr>
          <w:rFonts w:cstheme="minorHAnsi"/>
          <w:sz w:val="24"/>
          <w:szCs w:val="24"/>
          <w:lang w:val="en-US"/>
        </w:rPr>
        <w:t xml:space="preserve"> </w:t>
      </w:r>
      <w:r w:rsidR="000C30B3">
        <w:rPr>
          <w:rFonts w:cstheme="minorHAnsi"/>
          <w:sz w:val="24"/>
          <w:szCs w:val="24"/>
          <w:lang w:val="en-US"/>
        </w:rPr>
        <w:t xml:space="preserve">By having </w:t>
      </w:r>
      <w:r w:rsidR="001229EB">
        <w:rPr>
          <w:rFonts w:cstheme="minorHAnsi"/>
          <w:sz w:val="24"/>
          <w:szCs w:val="24"/>
          <w:lang w:val="en-US"/>
        </w:rPr>
        <w:t>broad te</w:t>
      </w:r>
      <w:r w:rsidR="007F7E31">
        <w:rPr>
          <w:rFonts w:cstheme="minorHAnsi"/>
          <w:sz w:val="24"/>
          <w:szCs w:val="24"/>
          <w:lang w:val="en-US"/>
        </w:rPr>
        <w:t>r</w:t>
      </w:r>
      <w:r w:rsidR="001229EB">
        <w:rPr>
          <w:rFonts w:cstheme="minorHAnsi"/>
          <w:sz w:val="24"/>
          <w:szCs w:val="24"/>
          <w:lang w:val="en-US"/>
        </w:rPr>
        <w:t>m</w:t>
      </w:r>
      <w:r w:rsidR="000C30B3">
        <w:rPr>
          <w:rFonts w:cstheme="minorHAnsi"/>
          <w:sz w:val="24"/>
          <w:szCs w:val="24"/>
          <w:lang w:val="en-US"/>
        </w:rPr>
        <w:t xml:space="preserve">s to certain uses of vocabulary </w:t>
      </w:r>
      <w:r w:rsidR="008A06C8">
        <w:rPr>
          <w:rFonts w:cstheme="minorHAnsi"/>
          <w:sz w:val="24"/>
          <w:szCs w:val="24"/>
          <w:lang w:val="en-US"/>
        </w:rPr>
        <w:t xml:space="preserve">means that there is still uncertainty to where the case would lie that is </w:t>
      </w:r>
      <w:r w:rsidR="00CD4624">
        <w:rPr>
          <w:rFonts w:cstheme="minorHAnsi"/>
          <w:sz w:val="24"/>
          <w:szCs w:val="24"/>
          <w:lang w:val="en-US"/>
        </w:rPr>
        <w:t>being left to the judge</w:t>
      </w:r>
      <w:r w:rsidR="005F5BFD">
        <w:rPr>
          <w:rFonts w:cstheme="minorHAnsi"/>
          <w:sz w:val="24"/>
          <w:szCs w:val="24"/>
          <w:lang w:val="en-US"/>
        </w:rPr>
        <w:t>, which follows on to the</w:t>
      </w:r>
      <w:r w:rsidR="001229EB">
        <w:rPr>
          <w:rFonts w:cstheme="minorHAnsi"/>
          <w:sz w:val="24"/>
          <w:szCs w:val="24"/>
          <w:lang w:val="en-US"/>
        </w:rPr>
        <w:t xml:space="preserve"> ambiguity</w:t>
      </w:r>
      <w:r w:rsidR="005F5BFD">
        <w:rPr>
          <w:rFonts w:cstheme="minorHAnsi"/>
          <w:sz w:val="24"/>
          <w:szCs w:val="24"/>
          <w:lang w:val="en-US"/>
        </w:rPr>
        <w:t xml:space="preserve"> of the case being judged.</w:t>
      </w:r>
      <w:r w:rsidR="00546D1C">
        <w:rPr>
          <w:rFonts w:cstheme="minorHAnsi"/>
          <w:sz w:val="24"/>
          <w:szCs w:val="24"/>
          <w:lang w:val="en-US"/>
        </w:rPr>
        <w:t xml:space="preserve"> This again based on uncertainty on the meaning of</w:t>
      </w:r>
      <w:r w:rsidR="00731352">
        <w:rPr>
          <w:rFonts w:cstheme="minorHAnsi"/>
          <w:sz w:val="24"/>
          <w:szCs w:val="24"/>
          <w:lang w:val="en-US"/>
        </w:rPr>
        <w:t xml:space="preserve"> unclear laws that have been put in place.</w:t>
      </w:r>
      <w:r w:rsidR="00B8062D">
        <w:rPr>
          <w:rFonts w:cstheme="minorHAnsi"/>
          <w:sz w:val="24"/>
          <w:szCs w:val="24"/>
          <w:lang w:val="en-US"/>
        </w:rPr>
        <w:t xml:space="preserve"> Statutory interpretation </w:t>
      </w:r>
      <w:r w:rsidR="00B96AC9">
        <w:rPr>
          <w:rFonts w:cstheme="minorHAnsi"/>
          <w:sz w:val="24"/>
          <w:szCs w:val="24"/>
          <w:lang w:val="en-US"/>
        </w:rPr>
        <w:t xml:space="preserve">is necessary when involving </w:t>
      </w:r>
      <w:r w:rsidR="00C802AC">
        <w:rPr>
          <w:rFonts w:cstheme="minorHAnsi"/>
          <w:sz w:val="24"/>
          <w:szCs w:val="24"/>
          <w:lang w:val="en-US"/>
        </w:rPr>
        <w:t xml:space="preserve">drafting </w:t>
      </w:r>
      <w:r w:rsidR="0069483C">
        <w:rPr>
          <w:rFonts w:cstheme="minorHAnsi"/>
          <w:sz w:val="24"/>
          <w:szCs w:val="24"/>
          <w:lang w:val="en-US"/>
        </w:rPr>
        <w:t>error</w:t>
      </w:r>
      <w:r w:rsidR="00B96AC9">
        <w:rPr>
          <w:rFonts w:cstheme="minorHAnsi"/>
          <w:sz w:val="24"/>
          <w:szCs w:val="24"/>
          <w:lang w:val="en-US"/>
        </w:rPr>
        <w:t>s.</w:t>
      </w:r>
      <w:r w:rsidR="00FF1922">
        <w:rPr>
          <w:rFonts w:cstheme="minorHAnsi"/>
          <w:sz w:val="24"/>
          <w:szCs w:val="24"/>
          <w:lang w:val="en-US"/>
        </w:rPr>
        <w:t xml:space="preserve"> This is where the parliamentary council which would have drafted the original bill for the case </w:t>
      </w:r>
      <w:r w:rsidR="003D0009">
        <w:rPr>
          <w:rFonts w:cstheme="minorHAnsi"/>
          <w:sz w:val="24"/>
          <w:szCs w:val="24"/>
          <w:lang w:val="en-US"/>
        </w:rPr>
        <w:t xml:space="preserve">could have potentially made a mistake, </w:t>
      </w:r>
      <w:r w:rsidR="00D677CB">
        <w:rPr>
          <w:rFonts w:cstheme="minorHAnsi"/>
          <w:sz w:val="24"/>
          <w:szCs w:val="24"/>
          <w:lang w:val="en-US"/>
        </w:rPr>
        <w:t>furthermore,</w:t>
      </w:r>
      <w:r w:rsidR="003D0009">
        <w:rPr>
          <w:rFonts w:cstheme="minorHAnsi"/>
          <w:sz w:val="24"/>
          <w:szCs w:val="24"/>
          <w:lang w:val="en-US"/>
        </w:rPr>
        <w:t xml:space="preserve"> resulting in parliament not noticing the </w:t>
      </w:r>
      <w:r w:rsidR="003D0009">
        <w:rPr>
          <w:rFonts w:cstheme="minorHAnsi"/>
          <w:sz w:val="24"/>
          <w:szCs w:val="24"/>
          <w:lang w:val="en-US"/>
        </w:rPr>
        <w:lastRenderedPageBreak/>
        <w:t>mistake</w:t>
      </w:r>
      <w:r w:rsidR="0038612C">
        <w:rPr>
          <w:rFonts w:cstheme="minorHAnsi"/>
          <w:sz w:val="24"/>
          <w:szCs w:val="24"/>
          <w:lang w:val="en-US"/>
        </w:rPr>
        <w:t xml:space="preserve"> as the bill could have potentially been changed many times throughout the process of the case </w:t>
      </w:r>
      <w:r w:rsidR="0038612C" w:rsidRPr="0038612C">
        <w:rPr>
          <w:rFonts w:cstheme="minorHAnsi"/>
          <w:sz w:val="24"/>
          <w:szCs w:val="24"/>
          <w:lang w:val="en-US"/>
        </w:rPr>
        <w:t>(Commons, 1969)</w:t>
      </w:r>
      <w:r w:rsidR="00D14D2F">
        <w:rPr>
          <w:rFonts w:cstheme="minorHAnsi"/>
          <w:sz w:val="24"/>
          <w:szCs w:val="24"/>
          <w:lang w:val="en-US"/>
        </w:rPr>
        <w:t>.</w:t>
      </w:r>
      <w:r w:rsidR="00EF003A">
        <w:rPr>
          <w:rFonts w:cstheme="minorHAnsi"/>
          <w:sz w:val="24"/>
          <w:szCs w:val="24"/>
          <w:lang w:val="en-US"/>
        </w:rPr>
        <w:t xml:space="preserve"> There are many new development that have been made over the years with statues</w:t>
      </w:r>
      <w:r w:rsidR="00047633">
        <w:rPr>
          <w:rFonts w:cstheme="minorHAnsi"/>
          <w:sz w:val="24"/>
          <w:szCs w:val="24"/>
          <w:lang w:val="en-US"/>
        </w:rPr>
        <w:t>,</w:t>
      </w:r>
      <w:r w:rsidR="00EF003A">
        <w:rPr>
          <w:rFonts w:cstheme="minorHAnsi"/>
          <w:sz w:val="24"/>
          <w:szCs w:val="24"/>
          <w:lang w:val="en-US"/>
        </w:rPr>
        <w:t xml:space="preserve"> parliament, laws and the courts. </w:t>
      </w:r>
      <w:r w:rsidR="00DB3810">
        <w:rPr>
          <w:rFonts w:cstheme="minorHAnsi"/>
          <w:sz w:val="24"/>
          <w:szCs w:val="24"/>
          <w:lang w:val="en-US"/>
        </w:rPr>
        <w:t xml:space="preserve">Over the </w:t>
      </w:r>
      <w:r w:rsidR="00DC14E4">
        <w:rPr>
          <w:rFonts w:cstheme="minorHAnsi"/>
          <w:sz w:val="24"/>
          <w:szCs w:val="24"/>
          <w:lang w:val="en-US"/>
        </w:rPr>
        <w:t>years there are many areas in society that have changed technology is a large aspect of today’s society</w:t>
      </w:r>
      <w:r w:rsidR="00847AEB">
        <w:rPr>
          <w:rFonts w:cstheme="minorHAnsi"/>
          <w:sz w:val="24"/>
          <w:szCs w:val="24"/>
          <w:lang w:val="en-US"/>
        </w:rPr>
        <w:t>. In result of this, it can lead to law’s not being up to date for the statue and therefore needs to be interpret</w:t>
      </w:r>
      <w:r w:rsidR="001653D9">
        <w:rPr>
          <w:rFonts w:cstheme="minorHAnsi"/>
          <w:sz w:val="24"/>
          <w:szCs w:val="24"/>
          <w:lang w:val="en-US"/>
        </w:rPr>
        <w:t>. This is a vital need for statutory interpretation to ensure that the parliament stay up to date with all acts.</w:t>
      </w:r>
      <w:r w:rsidR="00047633">
        <w:rPr>
          <w:rFonts w:cstheme="minorHAnsi"/>
          <w:sz w:val="24"/>
          <w:szCs w:val="24"/>
          <w:lang w:val="en-US"/>
        </w:rPr>
        <w:t xml:space="preserve"> </w:t>
      </w:r>
      <w:r w:rsidR="00FD355D">
        <w:rPr>
          <w:rFonts w:cstheme="minorHAnsi"/>
          <w:sz w:val="24"/>
          <w:szCs w:val="24"/>
          <w:lang w:val="en-US"/>
        </w:rPr>
        <w:t xml:space="preserve">Following on from the changes in technology there have also been many changes to </w:t>
      </w:r>
      <w:r w:rsidR="00F349B6">
        <w:rPr>
          <w:rFonts w:cstheme="minorHAnsi"/>
          <w:sz w:val="24"/>
          <w:szCs w:val="24"/>
          <w:lang w:val="en-US"/>
        </w:rPr>
        <w:t xml:space="preserve">language over the years. Meaning of words could have potentially changed which again results in a lack of understanding and certainty in certain acts of </w:t>
      </w:r>
      <w:r w:rsidR="00E07096">
        <w:rPr>
          <w:rFonts w:cstheme="minorHAnsi"/>
          <w:sz w:val="24"/>
          <w:szCs w:val="24"/>
          <w:lang w:val="en-US"/>
        </w:rPr>
        <w:t>parliaments</w:t>
      </w:r>
      <w:r w:rsidR="00F349B6">
        <w:rPr>
          <w:rFonts w:cstheme="minorHAnsi"/>
          <w:sz w:val="24"/>
          <w:szCs w:val="24"/>
          <w:lang w:val="en-US"/>
        </w:rPr>
        <w:t xml:space="preserve"> and laws</w:t>
      </w:r>
      <w:r w:rsidR="00E07096">
        <w:rPr>
          <w:rFonts w:cstheme="minorHAnsi"/>
          <w:sz w:val="24"/>
          <w:szCs w:val="24"/>
          <w:lang w:val="en-US"/>
        </w:rPr>
        <w:t xml:space="preserve"> </w:t>
      </w:r>
      <w:r w:rsidR="007D39DD" w:rsidRPr="007D39DD">
        <w:rPr>
          <w:rFonts w:cstheme="minorHAnsi"/>
          <w:sz w:val="24"/>
          <w:szCs w:val="24"/>
          <w:lang w:val="en-US"/>
        </w:rPr>
        <w:t>(s.139 criminal justice act 1988)</w:t>
      </w:r>
      <w:r w:rsidR="00E07096">
        <w:rPr>
          <w:rFonts w:cstheme="minorHAnsi"/>
          <w:sz w:val="24"/>
          <w:szCs w:val="24"/>
          <w:lang w:val="en-US"/>
        </w:rPr>
        <w:t>.</w:t>
      </w:r>
    </w:p>
    <w:p w14:paraId="6B2C6668" w14:textId="2EAEF60C" w:rsidR="003F3AE7" w:rsidRPr="00A32DFD" w:rsidRDefault="00D35CC2" w:rsidP="003F3AE7">
      <w:pPr>
        <w:rPr>
          <w:rFonts w:cstheme="minorHAnsi"/>
          <w:sz w:val="24"/>
          <w:szCs w:val="24"/>
          <w:lang w:val="en-US"/>
        </w:rPr>
      </w:pPr>
      <w:r w:rsidRPr="00D35CC2">
        <w:rPr>
          <w:rFonts w:cstheme="minorHAnsi"/>
          <w:sz w:val="24"/>
          <w:szCs w:val="24"/>
          <w:lang w:val="en-US"/>
        </w:rPr>
        <w:t>The literal r</w:t>
      </w:r>
      <w:r w:rsidR="008A016D">
        <w:rPr>
          <w:rFonts w:cstheme="minorHAnsi"/>
          <w:sz w:val="24"/>
          <w:szCs w:val="24"/>
          <w:lang w:val="en-US"/>
        </w:rPr>
        <w:t>u</w:t>
      </w:r>
      <w:r w:rsidRPr="00D35CC2">
        <w:rPr>
          <w:rFonts w:cstheme="minorHAnsi"/>
          <w:sz w:val="24"/>
          <w:szCs w:val="24"/>
          <w:lang w:val="en-US"/>
        </w:rPr>
        <w:t>le</w:t>
      </w:r>
      <w:r w:rsidR="001C0D72">
        <w:rPr>
          <w:rFonts w:cstheme="minorHAnsi"/>
          <w:sz w:val="24"/>
          <w:szCs w:val="24"/>
          <w:lang w:val="en-US"/>
        </w:rPr>
        <w:t xml:space="preserve"> is an approach that is </w:t>
      </w:r>
      <w:r w:rsidR="00D95552">
        <w:rPr>
          <w:rFonts w:cstheme="minorHAnsi"/>
          <w:sz w:val="24"/>
          <w:szCs w:val="24"/>
          <w:lang w:val="en-US"/>
        </w:rPr>
        <w:t>in fav</w:t>
      </w:r>
      <w:r w:rsidR="00E25506">
        <w:rPr>
          <w:rFonts w:cstheme="minorHAnsi"/>
          <w:sz w:val="24"/>
          <w:szCs w:val="24"/>
          <w:lang w:val="en-US"/>
        </w:rPr>
        <w:t>our</w:t>
      </w:r>
      <w:r w:rsidR="00E46E63">
        <w:rPr>
          <w:rFonts w:cstheme="minorHAnsi"/>
          <w:sz w:val="24"/>
          <w:szCs w:val="24"/>
          <w:lang w:val="en-US"/>
        </w:rPr>
        <w:t xml:space="preserve"> by the judges</w:t>
      </w:r>
      <w:r w:rsidR="00DA04A3">
        <w:rPr>
          <w:rFonts w:cstheme="minorHAnsi"/>
          <w:sz w:val="24"/>
          <w:szCs w:val="24"/>
          <w:lang w:val="en-US"/>
        </w:rPr>
        <w:t xml:space="preserve"> and is always </w:t>
      </w:r>
      <w:r w:rsidR="002D43B8">
        <w:rPr>
          <w:rFonts w:cstheme="minorHAnsi"/>
          <w:sz w:val="24"/>
          <w:szCs w:val="24"/>
          <w:lang w:val="en-US"/>
        </w:rPr>
        <w:t>looked at first.</w:t>
      </w:r>
      <w:r w:rsidR="00AF356F">
        <w:rPr>
          <w:rFonts w:cstheme="minorHAnsi"/>
          <w:sz w:val="24"/>
          <w:szCs w:val="24"/>
          <w:lang w:val="en-US"/>
        </w:rPr>
        <w:t xml:space="preserve"> </w:t>
      </w:r>
      <w:r w:rsidR="002D43B8">
        <w:rPr>
          <w:rFonts w:cstheme="minorHAnsi"/>
          <w:sz w:val="24"/>
          <w:szCs w:val="24"/>
          <w:lang w:val="en-US"/>
        </w:rPr>
        <w:t>T</w:t>
      </w:r>
      <w:r w:rsidR="00AF356F">
        <w:rPr>
          <w:rFonts w:cstheme="minorHAnsi"/>
          <w:sz w:val="24"/>
          <w:szCs w:val="24"/>
          <w:lang w:val="en-US"/>
        </w:rPr>
        <w:t xml:space="preserve">his approach </w:t>
      </w:r>
      <w:r w:rsidR="00CB5B9F">
        <w:rPr>
          <w:rFonts w:cstheme="minorHAnsi"/>
          <w:sz w:val="24"/>
          <w:szCs w:val="24"/>
          <w:lang w:val="en-US"/>
        </w:rPr>
        <w:t>is a statue that should be given with a lateral meaning.</w:t>
      </w:r>
      <w:r w:rsidR="00FE7D86">
        <w:rPr>
          <w:rFonts w:cstheme="minorHAnsi"/>
          <w:sz w:val="24"/>
          <w:szCs w:val="24"/>
          <w:lang w:val="en-US"/>
        </w:rPr>
        <w:t xml:space="preserve"> This </w:t>
      </w:r>
      <w:r w:rsidR="007706A0">
        <w:rPr>
          <w:rFonts w:cstheme="minorHAnsi"/>
          <w:sz w:val="24"/>
          <w:szCs w:val="24"/>
          <w:lang w:val="en-US"/>
        </w:rPr>
        <w:t xml:space="preserve">rule applies the language </w:t>
      </w:r>
      <w:r w:rsidR="00CC5A1B">
        <w:rPr>
          <w:rFonts w:cstheme="minorHAnsi"/>
          <w:sz w:val="24"/>
          <w:szCs w:val="24"/>
          <w:lang w:val="en-US"/>
        </w:rPr>
        <w:t>of a statute using the ordinary word</w:t>
      </w:r>
      <w:r w:rsidR="00172FED">
        <w:rPr>
          <w:rFonts w:cstheme="minorHAnsi"/>
          <w:sz w:val="24"/>
          <w:szCs w:val="24"/>
          <w:lang w:val="en-US"/>
        </w:rPr>
        <w:t>s and their national meanings</w:t>
      </w:r>
      <w:r w:rsidR="009F390E">
        <w:rPr>
          <w:rFonts w:cstheme="minorHAnsi"/>
          <w:sz w:val="24"/>
          <w:szCs w:val="24"/>
          <w:lang w:val="en-US"/>
        </w:rPr>
        <w:t xml:space="preserve"> </w:t>
      </w:r>
      <w:sdt>
        <w:sdtPr>
          <w:rPr>
            <w:rFonts w:cstheme="minorHAnsi"/>
            <w:sz w:val="24"/>
            <w:szCs w:val="24"/>
            <w:lang w:val="en-US"/>
          </w:rPr>
          <w:id w:val="-1615746524"/>
          <w:citation/>
        </w:sdtPr>
        <w:sdtEndPr/>
        <w:sdtContent>
          <w:r w:rsidR="00A46349">
            <w:rPr>
              <w:rFonts w:cstheme="minorHAnsi"/>
              <w:sz w:val="24"/>
              <w:szCs w:val="24"/>
              <w:lang w:val="en-US"/>
            </w:rPr>
            <w:fldChar w:fldCharType="begin"/>
          </w:r>
          <w:r w:rsidR="00A46349">
            <w:rPr>
              <w:rFonts w:cstheme="minorHAnsi"/>
              <w:sz w:val="24"/>
              <w:szCs w:val="24"/>
            </w:rPr>
            <w:instrText xml:space="preserve"> CITATION Emi20 \l 2057 </w:instrText>
          </w:r>
          <w:r w:rsidR="00A46349">
            <w:rPr>
              <w:rFonts w:cstheme="minorHAnsi"/>
              <w:sz w:val="24"/>
              <w:szCs w:val="24"/>
              <w:lang w:val="en-US"/>
            </w:rPr>
            <w:fldChar w:fldCharType="separate"/>
          </w:r>
          <w:r w:rsidR="00E51248" w:rsidRPr="00E51248">
            <w:rPr>
              <w:rFonts w:cstheme="minorHAnsi"/>
              <w:noProof/>
              <w:sz w:val="24"/>
              <w:szCs w:val="24"/>
            </w:rPr>
            <w:t>(Allbon, 2020)</w:t>
          </w:r>
          <w:r w:rsidR="00A46349">
            <w:rPr>
              <w:rFonts w:cstheme="minorHAnsi"/>
              <w:sz w:val="24"/>
              <w:szCs w:val="24"/>
              <w:lang w:val="en-US"/>
            </w:rPr>
            <w:fldChar w:fldCharType="end"/>
          </w:r>
        </w:sdtContent>
      </w:sdt>
      <w:r w:rsidR="004A3030">
        <w:rPr>
          <w:rFonts w:cstheme="minorHAnsi"/>
          <w:sz w:val="24"/>
          <w:szCs w:val="24"/>
          <w:lang w:val="en-US"/>
        </w:rPr>
        <w:t>.</w:t>
      </w:r>
      <w:r w:rsidR="008A016D">
        <w:rPr>
          <w:rFonts w:cstheme="minorHAnsi"/>
          <w:sz w:val="24"/>
          <w:szCs w:val="24"/>
          <w:lang w:val="en-US"/>
        </w:rPr>
        <w:t xml:space="preserve"> An example of the literal rule is</w:t>
      </w:r>
      <w:r w:rsidR="00FA1F93">
        <w:rPr>
          <w:rFonts w:cstheme="minorHAnsi"/>
          <w:sz w:val="24"/>
          <w:szCs w:val="24"/>
          <w:lang w:val="en-US"/>
        </w:rPr>
        <w:t xml:space="preserve"> the</w:t>
      </w:r>
      <w:r w:rsidR="008A016D">
        <w:rPr>
          <w:rFonts w:cstheme="minorHAnsi"/>
          <w:sz w:val="24"/>
          <w:szCs w:val="24"/>
          <w:lang w:val="en-US"/>
        </w:rPr>
        <w:t xml:space="preserve"> </w:t>
      </w:r>
      <w:r w:rsidR="00CD7171" w:rsidRPr="00CD7171">
        <w:rPr>
          <w:rFonts w:cstheme="minorHAnsi"/>
          <w:sz w:val="24"/>
          <w:szCs w:val="24"/>
          <w:lang w:val="en-US"/>
        </w:rPr>
        <w:t>Lord Esher, R v Judge of the City of London Court (1982)</w:t>
      </w:r>
      <w:r w:rsidR="008A016D">
        <w:rPr>
          <w:rFonts w:cstheme="minorHAnsi"/>
          <w:sz w:val="24"/>
          <w:szCs w:val="24"/>
          <w:lang w:val="en-US"/>
        </w:rPr>
        <w:t>.</w:t>
      </w:r>
      <w:r w:rsidR="00873A5D">
        <w:rPr>
          <w:rFonts w:cstheme="minorHAnsi"/>
          <w:sz w:val="24"/>
          <w:szCs w:val="24"/>
          <w:lang w:val="en-US"/>
        </w:rPr>
        <w:t xml:space="preserve"> Lord Esher stated “if the words of the act are clear then you must follow them”</w:t>
      </w:r>
      <w:r w:rsidR="008377E9">
        <w:rPr>
          <w:rFonts w:cstheme="minorHAnsi"/>
          <w:sz w:val="24"/>
          <w:szCs w:val="24"/>
          <w:lang w:val="en-US"/>
        </w:rPr>
        <w:t>.</w:t>
      </w:r>
      <w:r w:rsidR="00D45107">
        <w:rPr>
          <w:rFonts w:cstheme="minorHAnsi"/>
          <w:sz w:val="24"/>
          <w:szCs w:val="24"/>
          <w:lang w:val="en-US"/>
        </w:rPr>
        <w:t xml:space="preserve">                  </w:t>
      </w:r>
      <w:r>
        <w:rPr>
          <w:rFonts w:cstheme="minorHAnsi"/>
          <w:sz w:val="24"/>
          <w:szCs w:val="24"/>
          <w:lang w:val="en-US"/>
        </w:rPr>
        <w:t>The golden rul</w:t>
      </w:r>
      <w:r w:rsidR="00611B7B">
        <w:rPr>
          <w:rFonts w:cstheme="minorHAnsi"/>
          <w:sz w:val="24"/>
          <w:szCs w:val="24"/>
          <w:lang w:val="en-US"/>
        </w:rPr>
        <w:t xml:space="preserve">e has the approach </w:t>
      </w:r>
      <w:r w:rsidR="006119DF">
        <w:rPr>
          <w:rFonts w:cstheme="minorHAnsi"/>
          <w:sz w:val="24"/>
          <w:szCs w:val="24"/>
          <w:lang w:val="en-US"/>
        </w:rPr>
        <w:t xml:space="preserve">that is based </w:t>
      </w:r>
      <w:r w:rsidR="001D3719">
        <w:rPr>
          <w:rFonts w:cstheme="minorHAnsi"/>
          <w:sz w:val="24"/>
          <w:szCs w:val="24"/>
          <w:lang w:val="en-US"/>
        </w:rPr>
        <w:t>on common sense</w:t>
      </w:r>
      <w:r w:rsidR="00C32620">
        <w:rPr>
          <w:rFonts w:cstheme="minorHAnsi"/>
          <w:sz w:val="24"/>
          <w:szCs w:val="24"/>
          <w:lang w:val="en-US"/>
        </w:rPr>
        <w:t xml:space="preserve">. It is known as </w:t>
      </w:r>
      <w:r w:rsidR="006274A0">
        <w:rPr>
          <w:rFonts w:cstheme="minorHAnsi"/>
          <w:sz w:val="24"/>
          <w:szCs w:val="24"/>
          <w:lang w:val="en-US"/>
        </w:rPr>
        <w:t>the seeking to give an eff</w:t>
      </w:r>
      <w:r w:rsidR="00741EFF">
        <w:rPr>
          <w:rFonts w:cstheme="minorHAnsi"/>
          <w:sz w:val="24"/>
          <w:szCs w:val="24"/>
          <w:lang w:val="en-US"/>
        </w:rPr>
        <w:t>ect to parliaments intention</w:t>
      </w:r>
      <w:r w:rsidR="00416257">
        <w:rPr>
          <w:rFonts w:cstheme="minorHAnsi"/>
          <w:sz w:val="24"/>
          <w:szCs w:val="24"/>
          <w:lang w:val="en-US"/>
        </w:rPr>
        <w:t>.</w:t>
      </w:r>
      <w:r w:rsidR="005057C9">
        <w:rPr>
          <w:rFonts w:cstheme="minorHAnsi"/>
          <w:sz w:val="24"/>
          <w:szCs w:val="24"/>
          <w:lang w:val="en-US"/>
        </w:rPr>
        <w:t xml:space="preserve"> This rule is known to “mitigate” any issues that </w:t>
      </w:r>
      <w:r w:rsidR="005F0DD5">
        <w:rPr>
          <w:rFonts w:cstheme="minorHAnsi"/>
          <w:sz w:val="24"/>
          <w:szCs w:val="24"/>
          <w:lang w:val="en-US"/>
        </w:rPr>
        <w:t>can occur from the literal rule</w:t>
      </w:r>
      <w:r w:rsidR="001952FD">
        <w:rPr>
          <w:rFonts w:cstheme="minorHAnsi"/>
          <w:noProof/>
          <w:sz w:val="24"/>
          <w:szCs w:val="24"/>
          <w:lang w:val="en-US"/>
        </w:rPr>
        <w:t xml:space="preserve">. </w:t>
      </w:r>
      <w:r w:rsidR="004830A3">
        <w:rPr>
          <w:rFonts w:cstheme="minorHAnsi"/>
          <w:noProof/>
          <w:sz w:val="24"/>
          <w:szCs w:val="24"/>
          <w:lang w:val="en-US"/>
        </w:rPr>
        <w:t>However, it can often be shown in the courts that even if the literal rule is clean the judges can still follow through with</w:t>
      </w:r>
      <w:r w:rsidR="001952FD">
        <w:rPr>
          <w:rFonts w:cstheme="minorHAnsi"/>
          <w:noProof/>
          <w:sz w:val="24"/>
          <w:szCs w:val="24"/>
          <w:lang w:val="en-US"/>
        </w:rPr>
        <w:t xml:space="preserve"> the golden rule </w:t>
      </w:r>
      <w:r w:rsidR="001952FD" w:rsidRPr="001952FD">
        <w:rPr>
          <w:rFonts w:cstheme="minorHAnsi"/>
          <w:noProof/>
          <w:sz w:val="24"/>
          <w:szCs w:val="24"/>
          <w:lang w:val="en-US"/>
        </w:rPr>
        <w:t>(Slorach, et al., 2013)</w:t>
      </w:r>
      <w:r w:rsidR="001952FD">
        <w:rPr>
          <w:rFonts w:cstheme="minorHAnsi"/>
          <w:noProof/>
          <w:sz w:val="24"/>
          <w:szCs w:val="24"/>
          <w:lang w:val="en-US"/>
        </w:rPr>
        <w:t>.</w:t>
      </w:r>
      <w:r w:rsidR="00927116">
        <w:rPr>
          <w:rFonts w:cstheme="minorHAnsi"/>
          <w:noProof/>
          <w:sz w:val="24"/>
          <w:szCs w:val="24"/>
          <w:lang w:val="en-US"/>
        </w:rPr>
        <w:t xml:space="preserve"> The golden rule justifies any uncertainty that there is </w:t>
      </w:r>
      <w:r w:rsidR="00340857">
        <w:rPr>
          <w:rFonts w:cstheme="minorHAnsi"/>
          <w:noProof/>
          <w:sz w:val="24"/>
          <w:szCs w:val="24"/>
          <w:lang w:val="en-US"/>
        </w:rPr>
        <w:t>following the literal rule, by giving a clearer understanding to parliament.</w:t>
      </w:r>
      <w:r w:rsidR="00BA5CCD">
        <w:rPr>
          <w:rFonts w:cstheme="minorHAnsi"/>
          <w:noProof/>
          <w:sz w:val="24"/>
          <w:szCs w:val="24"/>
          <w:lang w:val="en-US"/>
        </w:rPr>
        <w:t xml:space="preserve"> </w:t>
      </w:r>
      <w:r w:rsidR="00CA6773">
        <w:rPr>
          <w:rFonts w:cstheme="minorHAnsi"/>
          <w:noProof/>
          <w:sz w:val="24"/>
          <w:szCs w:val="24"/>
          <w:lang w:val="en-US"/>
        </w:rPr>
        <w:t>H</w:t>
      </w:r>
      <w:r w:rsidR="0038747C">
        <w:rPr>
          <w:rFonts w:cstheme="minorHAnsi"/>
          <w:noProof/>
          <w:sz w:val="24"/>
          <w:szCs w:val="24"/>
          <w:lang w:val="en-US"/>
        </w:rPr>
        <w:t xml:space="preserve">owever there has been obligations against </w:t>
      </w:r>
      <w:r w:rsidR="00CA6773">
        <w:rPr>
          <w:rFonts w:cstheme="minorHAnsi"/>
          <w:noProof/>
          <w:sz w:val="24"/>
          <w:szCs w:val="24"/>
          <w:lang w:val="en-US"/>
        </w:rPr>
        <w:t>this rule as there has been previous doubts within parliament to accuracy. An</w:t>
      </w:r>
      <w:r w:rsidR="00BA5CCD">
        <w:rPr>
          <w:rFonts w:cstheme="minorHAnsi"/>
          <w:noProof/>
          <w:sz w:val="24"/>
          <w:szCs w:val="24"/>
          <w:lang w:val="en-US"/>
        </w:rPr>
        <w:t xml:space="preserve"> example of the golden rule approach is seen in the case of Allen (1872)</w:t>
      </w:r>
      <w:r w:rsidR="000C0C9C">
        <w:rPr>
          <w:rFonts w:cstheme="minorHAnsi"/>
          <w:noProof/>
          <w:sz w:val="24"/>
          <w:szCs w:val="24"/>
          <w:lang w:val="en-US"/>
        </w:rPr>
        <w:t xml:space="preserve">. This case was where </w:t>
      </w:r>
      <w:r w:rsidR="00D45107">
        <w:rPr>
          <w:rFonts w:cstheme="minorHAnsi"/>
          <w:noProof/>
          <w:sz w:val="24"/>
          <w:szCs w:val="24"/>
          <w:lang w:val="en-US"/>
        </w:rPr>
        <w:t>a marriage would only be valid between a man and a women</w:t>
      </w:r>
      <w:r w:rsidR="00167C4B">
        <w:rPr>
          <w:rFonts w:cstheme="minorHAnsi"/>
          <w:noProof/>
          <w:sz w:val="24"/>
          <w:szCs w:val="24"/>
          <w:lang w:val="en-US"/>
        </w:rPr>
        <w:t xml:space="preserve">. Any individual who chose to have a second marriage </w:t>
      </w:r>
      <w:r w:rsidR="00BD08C5">
        <w:rPr>
          <w:rFonts w:cstheme="minorHAnsi"/>
          <w:noProof/>
          <w:sz w:val="24"/>
          <w:szCs w:val="24"/>
          <w:lang w:val="en-US"/>
        </w:rPr>
        <w:t>then the marriage would not be classed as valid</w:t>
      </w:r>
      <w:r w:rsidR="00EE76CD">
        <w:rPr>
          <w:rFonts w:cstheme="minorHAnsi"/>
          <w:noProof/>
          <w:sz w:val="24"/>
          <w:szCs w:val="24"/>
          <w:lang w:val="en-US"/>
        </w:rPr>
        <w:t xml:space="preserve"> (Offences Against the person act</w:t>
      </w:r>
      <w:r w:rsidR="006C6655">
        <w:rPr>
          <w:rFonts w:cstheme="minorHAnsi"/>
          <w:noProof/>
          <w:sz w:val="24"/>
          <w:szCs w:val="24"/>
          <w:lang w:val="en-US"/>
        </w:rPr>
        <w:t>, [1861]).</w:t>
      </w:r>
      <w:r w:rsidR="000F5186">
        <w:rPr>
          <w:rFonts w:cstheme="minorHAnsi"/>
          <w:sz w:val="24"/>
          <w:szCs w:val="24"/>
          <w:lang w:val="en-US"/>
        </w:rPr>
        <w:t xml:space="preserve">                                   </w:t>
      </w:r>
      <w:r w:rsidR="00CC16C9">
        <w:rPr>
          <w:rFonts w:cstheme="minorHAnsi"/>
          <w:sz w:val="24"/>
          <w:szCs w:val="24"/>
          <w:lang w:val="en-US"/>
        </w:rPr>
        <w:t xml:space="preserve">       </w:t>
      </w:r>
      <w:r w:rsidR="000F5186">
        <w:rPr>
          <w:rFonts w:cstheme="minorHAnsi"/>
          <w:sz w:val="24"/>
          <w:szCs w:val="24"/>
          <w:lang w:val="en-US"/>
        </w:rPr>
        <w:t xml:space="preserve">                                                                                   </w:t>
      </w:r>
      <w:r>
        <w:rPr>
          <w:rFonts w:cstheme="minorHAnsi"/>
          <w:sz w:val="24"/>
          <w:szCs w:val="24"/>
          <w:lang w:val="en-US"/>
        </w:rPr>
        <w:t>The mischief rule</w:t>
      </w:r>
      <w:r w:rsidR="000F5186">
        <w:rPr>
          <w:rFonts w:cstheme="minorHAnsi"/>
          <w:sz w:val="24"/>
          <w:szCs w:val="24"/>
          <w:lang w:val="en-US"/>
        </w:rPr>
        <w:t xml:space="preserve"> </w:t>
      </w:r>
      <w:r w:rsidR="00D45421">
        <w:rPr>
          <w:rFonts w:cstheme="minorHAnsi"/>
          <w:sz w:val="24"/>
          <w:szCs w:val="24"/>
          <w:lang w:val="en-US"/>
        </w:rPr>
        <w:t>came about from the case of Heydon’s back in the 16</w:t>
      </w:r>
      <w:r w:rsidR="00D45421" w:rsidRPr="00D45421">
        <w:rPr>
          <w:rFonts w:cstheme="minorHAnsi"/>
          <w:sz w:val="24"/>
          <w:szCs w:val="24"/>
          <w:vertAlign w:val="superscript"/>
          <w:lang w:val="en-US"/>
        </w:rPr>
        <w:t>th</w:t>
      </w:r>
      <w:r w:rsidR="00D45421">
        <w:rPr>
          <w:rFonts w:cstheme="minorHAnsi"/>
          <w:sz w:val="24"/>
          <w:szCs w:val="24"/>
          <w:lang w:val="en-US"/>
        </w:rPr>
        <w:t xml:space="preserve"> century</w:t>
      </w:r>
      <w:r w:rsidR="00B26E07">
        <w:rPr>
          <w:rFonts w:cstheme="minorHAnsi"/>
          <w:sz w:val="24"/>
          <w:szCs w:val="24"/>
          <w:lang w:val="en-US"/>
        </w:rPr>
        <w:t>.</w:t>
      </w:r>
      <w:r w:rsidR="008738DF">
        <w:rPr>
          <w:rFonts w:cstheme="minorHAnsi"/>
          <w:sz w:val="24"/>
          <w:szCs w:val="24"/>
          <w:lang w:val="en-US"/>
        </w:rPr>
        <w:t xml:space="preserve"> In this case it states that the mischief rule </w:t>
      </w:r>
      <w:r w:rsidR="00A25A99">
        <w:rPr>
          <w:rFonts w:cstheme="minorHAnsi"/>
          <w:sz w:val="24"/>
          <w:szCs w:val="24"/>
          <w:lang w:val="en-US"/>
        </w:rPr>
        <w:t>is where the judges will look at more than one factor. This rule is known to consider what the laws were before the statu</w:t>
      </w:r>
      <w:r w:rsidR="00054D23">
        <w:rPr>
          <w:rFonts w:cstheme="minorHAnsi"/>
          <w:sz w:val="24"/>
          <w:szCs w:val="24"/>
          <w:lang w:val="en-US"/>
        </w:rPr>
        <w:t xml:space="preserve">te had been passed, it will identify the problem that the statute is solving as well as displaying what the parliament are trying to accomplish </w:t>
      </w:r>
      <w:r w:rsidR="007671EF">
        <w:rPr>
          <w:rFonts w:cstheme="minorHAnsi"/>
          <w:sz w:val="24"/>
          <w:szCs w:val="24"/>
          <w:lang w:val="en-US"/>
        </w:rPr>
        <w:t>by using this rule</w:t>
      </w:r>
      <w:sdt>
        <w:sdtPr>
          <w:rPr>
            <w:rFonts w:cstheme="minorHAnsi"/>
            <w:sz w:val="24"/>
            <w:szCs w:val="24"/>
            <w:lang w:val="en-US"/>
          </w:rPr>
          <w:id w:val="-1743781476"/>
          <w:citation/>
        </w:sdtPr>
        <w:sdtEndPr/>
        <w:sdtContent>
          <w:r w:rsidR="00947BD1">
            <w:rPr>
              <w:rFonts w:cstheme="minorHAnsi"/>
              <w:sz w:val="24"/>
              <w:szCs w:val="24"/>
              <w:lang w:val="en-US"/>
            </w:rPr>
            <w:fldChar w:fldCharType="begin"/>
          </w:r>
          <w:r w:rsidR="00947BD1">
            <w:rPr>
              <w:rFonts w:cstheme="minorHAnsi"/>
              <w:sz w:val="24"/>
              <w:szCs w:val="24"/>
              <w:lang w:val="en-US"/>
            </w:rPr>
            <w:instrText xml:space="preserve"> CITATION Emi20 \l 1033 </w:instrText>
          </w:r>
          <w:r w:rsidR="00947BD1">
            <w:rPr>
              <w:rFonts w:cstheme="minorHAnsi"/>
              <w:sz w:val="24"/>
              <w:szCs w:val="24"/>
              <w:lang w:val="en-US"/>
            </w:rPr>
            <w:fldChar w:fldCharType="separate"/>
          </w:r>
          <w:r w:rsidR="00E51248">
            <w:rPr>
              <w:rFonts w:cstheme="minorHAnsi"/>
              <w:noProof/>
              <w:sz w:val="24"/>
              <w:szCs w:val="24"/>
              <w:lang w:val="en-US"/>
            </w:rPr>
            <w:t xml:space="preserve"> </w:t>
          </w:r>
          <w:r w:rsidR="00E51248" w:rsidRPr="00E51248">
            <w:rPr>
              <w:rFonts w:cstheme="minorHAnsi"/>
              <w:noProof/>
              <w:sz w:val="24"/>
              <w:szCs w:val="24"/>
              <w:lang w:val="en-US"/>
            </w:rPr>
            <w:t>(Allbon, 2020)</w:t>
          </w:r>
          <w:r w:rsidR="00947BD1">
            <w:rPr>
              <w:rFonts w:cstheme="minorHAnsi"/>
              <w:sz w:val="24"/>
              <w:szCs w:val="24"/>
              <w:lang w:val="en-US"/>
            </w:rPr>
            <w:fldChar w:fldCharType="end"/>
          </w:r>
        </w:sdtContent>
      </w:sdt>
      <w:r w:rsidR="00947BD1">
        <w:rPr>
          <w:rFonts w:cstheme="minorHAnsi"/>
          <w:sz w:val="24"/>
          <w:szCs w:val="24"/>
          <w:lang w:val="en-US"/>
        </w:rPr>
        <w:t>.</w:t>
      </w:r>
      <w:r w:rsidR="00050C2B">
        <w:rPr>
          <w:rFonts w:cstheme="minorHAnsi"/>
          <w:sz w:val="24"/>
          <w:szCs w:val="24"/>
          <w:lang w:val="en-US"/>
        </w:rPr>
        <w:t xml:space="preserve"> Within this case law it states that </w:t>
      </w:r>
      <w:r w:rsidR="00AF6BF1">
        <w:rPr>
          <w:rFonts w:cstheme="minorHAnsi"/>
          <w:sz w:val="24"/>
          <w:szCs w:val="24"/>
          <w:lang w:val="en-US"/>
        </w:rPr>
        <w:t>‘any ambiguity</w:t>
      </w:r>
      <w:r w:rsidR="00115408">
        <w:rPr>
          <w:rFonts w:cstheme="minorHAnsi"/>
          <w:sz w:val="24"/>
          <w:szCs w:val="24"/>
          <w:lang w:val="en-US"/>
        </w:rPr>
        <w:t>’</w:t>
      </w:r>
      <w:r w:rsidR="00F35842">
        <w:rPr>
          <w:rFonts w:cstheme="minorHAnsi"/>
          <w:sz w:val="24"/>
          <w:szCs w:val="24"/>
          <w:lang w:val="en-US"/>
        </w:rPr>
        <w:t xml:space="preserve"> within any act would need to be considered in all ways to ensure the correct intensions were received by parliament</w:t>
      </w:r>
      <w:r w:rsidR="00FA7739">
        <w:rPr>
          <w:rFonts w:cstheme="minorHAnsi"/>
          <w:sz w:val="24"/>
          <w:szCs w:val="24"/>
          <w:lang w:val="en-US"/>
        </w:rPr>
        <w:t xml:space="preserve"> (The law commission [1065]).</w:t>
      </w:r>
    </w:p>
    <w:p w14:paraId="2FF11E8B" w14:textId="77777777" w:rsidR="00EE2BC0" w:rsidRDefault="00C304D4" w:rsidP="003F3AE7">
      <w:pPr>
        <w:rPr>
          <w:rFonts w:cstheme="minorHAnsi"/>
          <w:sz w:val="24"/>
          <w:szCs w:val="24"/>
          <w:lang w:val="en-US"/>
        </w:rPr>
      </w:pPr>
      <w:r w:rsidRPr="00C304D4">
        <w:rPr>
          <w:rFonts w:cstheme="minorHAnsi"/>
          <w:sz w:val="24"/>
          <w:szCs w:val="24"/>
          <w:lang w:val="en-US"/>
        </w:rPr>
        <w:t>According to the l</w:t>
      </w:r>
      <w:r w:rsidR="00121E26">
        <w:rPr>
          <w:rFonts w:cstheme="minorHAnsi"/>
          <w:sz w:val="24"/>
          <w:szCs w:val="24"/>
          <w:lang w:val="en-US"/>
        </w:rPr>
        <w:t xml:space="preserve">aw commission </w:t>
      </w:r>
      <w:r w:rsidR="00A03BCA">
        <w:rPr>
          <w:rFonts w:cstheme="minorHAnsi"/>
          <w:sz w:val="24"/>
          <w:szCs w:val="24"/>
          <w:lang w:val="en-US"/>
        </w:rPr>
        <w:t xml:space="preserve">there have been </w:t>
      </w:r>
      <w:r w:rsidR="004E2598">
        <w:rPr>
          <w:rFonts w:cstheme="minorHAnsi"/>
          <w:sz w:val="24"/>
          <w:szCs w:val="24"/>
          <w:lang w:val="en-US"/>
        </w:rPr>
        <w:t>many problems for a number of years</w:t>
      </w:r>
      <w:r w:rsidR="00956EC9">
        <w:rPr>
          <w:rFonts w:cstheme="minorHAnsi"/>
          <w:sz w:val="24"/>
          <w:szCs w:val="24"/>
          <w:lang w:val="en-US"/>
        </w:rPr>
        <w:t xml:space="preserve">. In 1967 the commission proposed </w:t>
      </w:r>
      <w:r w:rsidR="004E4DAE">
        <w:rPr>
          <w:rFonts w:cstheme="minorHAnsi"/>
          <w:sz w:val="24"/>
          <w:szCs w:val="24"/>
          <w:lang w:val="en-US"/>
        </w:rPr>
        <w:t xml:space="preserve">that implements were needed to be made within the system </w:t>
      </w:r>
      <w:r w:rsidR="00D20499">
        <w:rPr>
          <w:rFonts w:cstheme="minorHAnsi"/>
          <w:sz w:val="24"/>
          <w:szCs w:val="24"/>
          <w:lang w:val="en-US"/>
        </w:rPr>
        <w:t>in order to reform statutory interpretation</w:t>
      </w:r>
      <w:r w:rsidR="003C275F">
        <w:rPr>
          <w:rFonts w:cstheme="minorHAnsi"/>
          <w:sz w:val="24"/>
          <w:szCs w:val="24"/>
          <w:lang w:val="en-US"/>
        </w:rPr>
        <w:t>.</w:t>
      </w:r>
      <w:r w:rsidR="003C5885">
        <w:rPr>
          <w:rFonts w:cstheme="minorHAnsi"/>
          <w:sz w:val="24"/>
          <w:szCs w:val="24"/>
          <w:lang w:val="en-US"/>
        </w:rPr>
        <w:t xml:space="preserve"> </w:t>
      </w:r>
      <w:r w:rsidR="00847CE0">
        <w:rPr>
          <w:rFonts w:cstheme="minorHAnsi"/>
          <w:sz w:val="24"/>
          <w:szCs w:val="24"/>
          <w:lang w:val="en-US"/>
        </w:rPr>
        <w:t>Following</w:t>
      </w:r>
      <w:r w:rsidR="00C222F8">
        <w:rPr>
          <w:rFonts w:cstheme="minorHAnsi"/>
          <w:sz w:val="24"/>
          <w:szCs w:val="24"/>
          <w:lang w:val="en-US"/>
        </w:rPr>
        <w:t xml:space="preserve"> from the research from the law commission</w:t>
      </w:r>
      <w:r w:rsidR="00A610A3">
        <w:rPr>
          <w:rFonts w:cstheme="minorHAnsi"/>
          <w:sz w:val="24"/>
          <w:szCs w:val="24"/>
          <w:lang w:val="en-US"/>
        </w:rPr>
        <w:t xml:space="preserve"> and Scottish </w:t>
      </w:r>
      <w:r w:rsidR="006C06D4">
        <w:rPr>
          <w:rFonts w:cstheme="minorHAnsi"/>
          <w:sz w:val="24"/>
          <w:szCs w:val="24"/>
          <w:lang w:val="en-US"/>
        </w:rPr>
        <w:t>commission</w:t>
      </w:r>
      <w:r w:rsidR="00C222F8">
        <w:rPr>
          <w:rFonts w:cstheme="minorHAnsi"/>
          <w:sz w:val="24"/>
          <w:szCs w:val="24"/>
          <w:lang w:val="en-US"/>
        </w:rPr>
        <w:t xml:space="preserve"> </w:t>
      </w:r>
      <w:r w:rsidR="00A610A3">
        <w:rPr>
          <w:rFonts w:cstheme="minorHAnsi"/>
          <w:sz w:val="24"/>
          <w:szCs w:val="24"/>
          <w:lang w:val="en-US"/>
        </w:rPr>
        <w:t>it states that</w:t>
      </w:r>
      <w:r w:rsidR="00847CE0">
        <w:rPr>
          <w:rFonts w:cstheme="minorHAnsi"/>
          <w:sz w:val="24"/>
          <w:szCs w:val="24"/>
          <w:lang w:val="en-US"/>
        </w:rPr>
        <w:t xml:space="preserve"> </w:t>
      </w:r>
      <w:r w:rsidR="00A610A3">
        <w:rPr>
          <w:rFonts w:cstheme="minorHAnsi"/>
          <w:sz w:val="24"/>
          <w:szCs w:val="24"/>
          <w:lang w:val="en-US"/>
        </w:rPr>
        <w:t xml:space="preserve">statutes </w:t>
      </w:r>
      <w:r w:rsidR="00524699">
        <w:rPr>
          <w:rFonts w:cstheme="minorHAnsi"/>
          <w:sz w:val="24"/>
          <w:szCs w:val="24"/>
          <w:lang w:val="en-US"/>
        </w:rPr>
        <w:t xml:space="preserve">should </w:t>
      </w:r>
      <w:r w:rsidR="00A921A9">
        <w:rPr>
          <w:rFonts w:cstheme="minorHAnsi"/>
          <w:sz w:val="24"/>
          <w:szCs w:val="24"/>
          <w:lang w:val="en-US"/>
        </w:rPr>
        <w:t xml:space="preserve">change the legislation to </w:t>
      </w:r>
      <w:r w:rsidR="0070601E">
        <w:rPr>
          <w:rFonts w:cstheme="minorHAnsi"/>
          <w:sz w:val="24"/>
          <w:szCs w:val="24"/>
          <w:lang w:val="en-US"/>
        </w:rPr>
        <w:t>be in less detail</w:t>
      </w:r>
      <w:r w:rsidR="00205435">
        <w:rPr>
          <w:rFonts w:cstheme="minorHAnsi"/>
          <w:sz w:val="24"/>
          <w:szCs w:val="24"/>
          <w:lang w:val="en-US"/>
        </w:rPr>
        <w:t xml:space="preserve"> in order to suit all cases</w:t>
      </w:r>
      <w:r w:rsidR="00A645D8">
        <w:rPr>
          <w:rFonts w:cstheme="minorHAnsi"/>
          <w:sz w:val="24"/>
          <w:szCs w:val="24"/>
          <w:lang w:val="en-US"/>
        </w:rPr>
        <w:t xml:space="preserve"> and judges.</w:t>
      </w:r>
      <w:r w:rsidR="00A55EDF">
        <w:rPr>
          <w:rFonts w:cstheme="minorHAnsi"/>
          <w:sz w:val="24"/>
          <w:szCs w:val="24"/>
          <w:lang w:val="en-US"/>
        </w:rPr>
        <w:t xml:space="preserve"> Due to several changes over the years with all the different laws</w:t>
      </w:r>
      <w:r w:rsidR="00A64E83">
        <w:rPr>
          <w:rFonts w:cstheme="minorHAnsi"/>
          <w:sz w:val="24"/>
          <w:szCs w:val="24"/>
          <w:lang w:val="en-US"/>
        </w:rPr>
        <w:t xml:space="preserve"> it is causing </w:t>
      </w:r>
      <w:r w:rsidR="005806C7">
        <w:rPr>
          <w:rFonts w:cstheme="minorHAnsi"/>
          <w:sz w:val="24"/>
          <w:szCs w:val="24"/>
          <w:lang w:val="en-US"/>
        </w:rPr>
        <w:t xml:space="preserve">confusion with the understanding </w:t>
      </w:r>
      <w:r w:rsidR="003655FA">
        <w:rPr>
          <w:rFonts w:cstheme="minorHAnsi"/>
          <w:sz w:val="24"/>
          <w:szCs w:val="24"/>
          <w:lang w:val="en-US"/>
        </w:rPr>
        <w:t>of</w:t>
      </w:r>
      <w:r w:rsidR="007D3A1B">
        <w:rPr>
          <w:rFonts w:cstheme="minorHAnsi"/>
          <w:sz w:val="24"/>
          <w:szCs w:val="24"/>
          <w:lang w:val="en-US"/>
        </w:rPr>
        <w:t xml:space="preserve"> laws today in the courts.</w:t>
      </w:r>
      <w:r w:rsidR="00DE2CF4">
        <w:rPr>
          <w:rFonts w:cstheme="minorHAnsi"/>
          <w:sz w:val="24"/>
          <w:szCs w:val="24"/>
          <w:lang w:val="en-US"/>
        </w:rPr>
        <w:t xml:space="preserve"> Therefore, leading to </w:t>
      </w:r>
      <w:r w:rsidR="00EE2BC0">
        <w:rPr>
          <w:rFonts w:cstheme="minorHAnsi"/>
          <w:sz w:val="24"/>
          <w:szCs w:val="24"/>
          <w:lang w:val="en-US"/>
        </w:rPr>
        <w:t>law makers not being clear enough.</w:t>
      </w:r>
      <w:r w:rsidR="000E530B">
        <w:rPr>
          <w:rFonts w:cstheme="minorHAnsi"/>
          <w:sz w:val="24"/>
          <w:szCs w:val="24"/>
          <w:lang w:val="en-US"/>
        </w:rPr>
        <w:t xml:space="preserve"> According to Sir David Renton </w:t>
      </w:r>
      <w:r w:rsidR="00D77C98">
        <w:rPr>
          <w:rFonts w:cstheme="minorHAnsi"/>
          <w:sz w:val="24"/>
          <w:szCs w:val="24"/>
          <w:lang w:val="en-US"/>
        </w:rPr>
        <w:t xml:space="preserve">he stated in a speech </w:t>
      </w:r>
      <w:r w:rsidR="001B5E1A">
        <w:rPr>
          <w:rFonts w:cstheme="minorHAnsi"/>
          <w:sz w:val="24"/>
          <w:szCs w:val="24"/>
          <w:lang w:val="en-US"/>
        </w:rPr>
        <w:t>“</w:t>
      </w:r>
      <w:r w:rsidR="0032586E">
        <w:rPr>
          <w:rFonts w:cstheme="minorHAnsi"/>
          <w:sz w:val="24"/>
          <w:szCs w:val="24"/>
          <w:lang w:val="en-US"/>
        </w:rPr>
        <w:t xml:space="preserve">failure to implement the </w:t>
      </w:r>
      <w:r w:rsidR="002C21BC">
        <w:rPr>
          <w:rFonts w:cstheme="minorHAnsi"/>
          <w:sz w:val="24"/>
          <w:szCs w:val="24"/>
          <w:lang w:val="en-US"/>
        </w:rPr>
        <w:t>report”</w:t>
      </w:r>
      <w:r w:rsidR="00BD7F64">
        <w:rPr>
          <w:rFonts w:cstheme="minorHAnsi"/>
          <w:sz w:val="24"/>
          <w:szCs w:val="24"/>
          <w:lang w:val="en-US"/>
        </w:rPr>
        <w:t>. He believes that there should be more consolidation in all form</w:t>
      </w:r>
      <w:r w:rsidR="008F7857">
        <w:rPr>
          <w:rFonts w:cstheme="minorHAnsi"/>
          <w:sz w:val="24"/>
          <w:szCs w:val="24"/>
          <w:lang w:val="en-US"/>
        </w:rPr>
        <w:t>s of legislation</w:t>
      </w:r>
      <w:r w:rsidR="00CC5082">
        <w:rPr>
          <w:rFonts w:cstheme="minorHAnsi"/>
          <w:sz w:val="24"/>
          <w:szCs w:val="24"/>
          <w:lang w:val="en-US"/>
        </w:rPr>
        <w:t xml:space="preserve">. The government </w:t>
      </w:r>
      <w:r w:rsidR="00CC5082">
        <w:rPr>
          <w:rFonts w:cstheme="minorHAnsi"/>
          <w:sz w:val="24"/>
          <w:szCs w:val="24"/>
          <w:lang w:val="en-US"/>
        </w:rPr>
        <w:lastRenderedPageBreak/>
        <w:t xml:space="preserve">later showed </w:t>
      </w:r>
      <w:r w:rsidR="008702F3">
        <w:rPr>
          <w:rFonts w:cstheme="minorHAnsi"/>
          <w:sz w:val="24"/>
          <w:szCs w:val="24"/>
          <w:lang w:val="en-US"/>
        </w:rPr>
        <w:t xml:space="preserve">a small increase in the number of draftsmen </w:t>
      </w:r>
      <w:r w:rsidR="00DA116B">
        <w:rPr>
          <w:rFonts w:cstheme="minorHAnsi"/>
          <w:sz w:val="24"/>
          <w:szCs w:val="24"/>
          <w:lang w:val="en-US"/>
        </w:rPr>
        <w:t xml:space="preserve">but parliament still continued to </w:t>
      </w:r>
      <w:r w:rsidR="005955D3">
        <w:rPr>
          <w:rFonts w:cstheme="minorHAnsi"/>
          <w:sz w:val="24"/>
          <w:szCs w:val="24"/>
          <w:lang w:val="en-US"/>
        </w:rPr>
        <w:t xml:space="preserve">produce the new laws with great </w:t>
      </w:r>
      <w:r w:rsidR="004E574D">
        <w:rPr>
          <w:rFonts w:cstheme="minorHAnsi"/>
          <w:sz w:val="24"/>
          <w:szCs w:val="24"/>
          <w:lang w:val="en-US"/>
        </w:rPr>
        <w:t>detail (Pearson.</w:t>
      </w:r>
      <w:r w:rsidR="00C05AB7">
        <w:rPr>
          <w:rFonts w:cstheme="minorHAnsi"/>
          <w:sz w:val="24"/>
          <w:szCs w:val="24"/>
          <w:lang w:val="en-US"/>
        </w:rPr>
        <w:t xml:space="preserve"> C, 2020).</w:t>
      </w:r>
    </w:p>
    <w:p w14:paraId="22F9B1F4" w14:textId="47C1594D" w:rsidR="00C05AB7" w:rsidRPr="00C05AB7" w:rsidRDefault="00C05AB7" w:rsidP="003F3AE7">
      <w:pPr>
        <w:rPr>
          <w:rFonts w:cstheme="minorHAnsi"/>
          <w:sz w:val="24"/>
          <w:szCs w:val="24"/>
          <w:lang w:val="en-US"/>
        </w:rPr>
      </w:pPr>
      <w:r w:rsidRPr="00C05AB7">
        <w:rPr>
          <w:rFonts w:cstheme="minorHAnsi"/>
          <w:sz w:val="24"/>
          <w:szCs w:val="24"/>
          <w:lang w:val="en-US"/>
        </w:rPr>
        <w:t>In conclusion</w:t>
      </w:r>
      <w:r w:rsidR="001C7232">
        <w:rPr>
          <w:rFonts w:cstheme="minorHAnsi"/>
          <w:sz w:val="24"/>
          <w:szCs w:val="24"/>
          <w:lang w:val="en-US"/>
        </w:rPr>
        <w:t xml:space="preserve"> from the research conducted </w:t>
      </w:r>
      <w:r w:rsidR="00755E9A">
        <w:rPr>
          <w:rFonts w:cstheme="minorHAnsi"/>
          <w:sz w:val="24"/>
          <w:szCs w:val="24"/>
          <w:lang w:val="en-US"/>
        </w:rPr>
        <w:t>it shows that</w:t>
      </w:r>
      <w:r w:rsidR="005E7F20">
        <w:rPr>
          <w:rFonts w:cstheme="minorHAnsi"/>
          <w:sz w:val="24"/>
          <w:szCs w:val="24"/>
          <w:lang w:val="en-US"/>
        </w:rPr>
        <w:t xml:space="preserve"> there are many misunderstandings of the principle of statutory interpretation</w:t>
      </w:r>
      <w:r w:rsidR="0044311A">
        <w:rPr>
          <w:rFonts w:cstheme="minorHAnsi"/>
          <w:sz w:val="24"/>
          <w:szCs w:val="24"/>
          <w:lang w:val="en-US"/>
        </w:rPr>
        <w:t xml:space="preserve">. </w:t>
      </w:r>
      <w:r w:rsidR="00EA668E">
        <w:rPr>
          <w:rFonts w:cstheme="minorHAnsi"/>
          <w:sz w:val="24"/>
          <w:szCs w:val="24"/>
          <w:lang w:val="en-US"/>
        </w:rPr>
        <w:t>According to Allbon</w:t>
      </w:r>
      <w:r w:rsidR="00BB335C">
        <w:rPr>
          <w:rFonts w:cstheme="minorHAnsi"/>
          <w:sz w:val="24"/>
          <w:szCs w:val="24"/>
          <w:lang w:val="en-US"/>
        </w:rPr>
        <w:t>, it shows that there are too many developments within the la</w:t>
      </w:r>
      <w:r w:rsidR="00BE58CA">
        <w:rPr>
          <w:rFonts w:cstheme="minorHAnsi"/>
          <w:sz w:val="24"/>
          <w:szCs w:val="24"/>
          <w:lang w:val="en-US"/>
        </w:rPr>
        <w:t>w causing too much confusion.</w:t>
      </w:r>
      <w:r w:rsidR="00D34E9D">
        <w:rPr>
          <w:rFonts w:cstheme="minorHAnsi"/>
          <w:sz w:val="24"/>
          <w:szCs w:val="24"/>
          <w:lang w:val="en-US"/>
        </w:rPr>
        <w:t xml:space="preserve"> </w:t>
      </w:r>
      <w:r w:rsidR="00236325">
        <w:rPr>
          <w:rFonts w:cstheme="minorHAnsi"/>
          <w:sz w:val="24"/>
          <w:szCs w:val="24"/>
          <w:lang w:val="en-US"/>
        </w:rPr>
        <w:t>Law makers</w:t>
      </w:r>
      <w:r w:rsidR="00CF2245">
        <w:rPr>
          <w:rFonts w:cstheme="minorHAnsi"/>
          <w:sz w:val="24"/>
          <w:szCs w:val="24"/>
          <w:lang w:val="en-US"/>
        </w:rPr>
        <w:t xml:space="preserve"> don’t display a clear understanding with the organisation of the statue. According to the government </w:t>
      </w:r>
      <w:r w:rsidR="00FE1209">
        <w:rPr>
          <w:rFonts w:cstheme="minorHAnsi"/>
          <w:sz w:val="24"/>
          <w:szCs w:val="24"/>
          <w:lang w:val="en-US"/>
        </w:rPr>
        <w:t xml:space="preserve">statutory interpretation </w:t>
      </w:r>
      <w:r w:rsidR="00BB22A9">
        <w:rPr>
          <w:rFonts w:cstheme="minorHAnsi"/>
          <w:sz w:val="24"/>
          <w:szCs w:val="24"/>
          <w:lang w:val="en-US"/>
        </w:rPr>
        <w:t xml:space="preserve">is the first step when developing new laws to ensure that </w:t>
      </w:r>
      <w:r w:rsidR="002B0C3E">
        <w:rPr>
          <w:rFonts w:cstheme="minorHAnsi"/>
          <w:sz w:val="24"/>
          <w:szCs w:val="24"/>
          <w:lang w:val="en-US"/>
        </w:rPr>
        <w:t>they are interpretated correctly.</w:t>
      </w:r>
      <w:r w:rsidR="00D05F05">
        <w:rPr>
          <w:rFonts w:cstheme="minorHAnsi"/>
          <w:sz w:val="24"/>
          <w:szCs w:val="24"/>
          <w:lang w:val="en-US"/>
        </w:rPr>
        <w:t xml:space="preserve"> Following from the supreme court</w:t>
      </w:r>
      <w:r w:rsidR="006D6724">
        <w:rPr>
          <w:rFonts w:cstheme="minorHAnsi"/>
          <w:sz w:val="24"/>
          <w:szCs w:val="24"/>
          <w:lang w:val="en-US"/>
        </w:rPr>
        <w:t xml:space="preserve"> ‘the intensions</w:t>
      </w:r>
      <w:r w:rsidR="00F920C4">
        <w:rPr>
          <w:rFonts w:cstheme="minorHAnsi"/>
          <w:sz w:val="24"/>
          <w:szCs w:val="24"/>
          <w:lang w:val="en-US"/>
        </w:rPr>
        <w:t>’</w:t>
      </w:r>
      <w:r w:rsidR="006D6724">
        <w:rPr>
          <w:rFonts w:cstheme="minorHAnsi"/>
          <w:sz w:val="24"/>
          <w:szCs w:val="24"/>
          <w:lang w:val="en-US"/>
        </w:rPr>
        <w:t xml:space="preserve"> appear to be under great </w:t>
      </w:r>
      <w:r w:rsidR="00190AF0">
        <w:rPr>
          <w:rFonts w:cstheme="minorHAnsi"/>
          <w:sz w:val="24"/>
          <w:szCs w:val="24"/>
          <w:lang w:val="en-US"/>
        </w:rPr>
        <w:t>pressure</w:t>
      </w:r>
      <w:r w:rsidR="00F920C4">
        <w:rPr>
          <w:rFonts w:cstheme="minorHAnsi"/>
          <w:sz w:val="24"/>
          <w:szCs w:val="24"/>
          <w:lang w:val="en-US"/>
        </w:rPr>
        <w:t xml:space="preserve"> therefore causing a larger strain on statute.</w:t>
      </w:r>
    </w:p>
    <w:p w14:paraId="779A0F53" w14:textId="77777777" w:rsidR="0037793A" w:rsidRDefault="0037793A" w:rsidP="003F3AE7">
      <w:pPr>
        <w:rPr>
          <w:rFonts w:cstheme="minorHAnsi"/>
          <w:sz w:val="24"/>
          <w:szCs w:val="24"/>
          <w:lang w:val="en-US"/>
        </w:rPr>
      </w:pPr>
    </w:p>
    <w:p w14:paraId="104BA872" w14:textId="77777777" w:rsidR="0037793A" w:rsidRDefault="0037793A" w:rsidP="003F3AE7">
      <w:pPr>
        <w:rPr>
          <w:rFonts w:cstheme="minorHAnsi"/>
          <w:sz w:val="24"/>
          <w:szCs w:val="24"/>
          <w:lang w:val="en-US"/>
        </w:rPr>
      </w:pPr>
    </w:p>
    <w:p w14:paraId="7A446609" w14:textId="77777777" w:rsidR="00DD41A3" w:rsidRPr="00ED3499" w:rsidRDefault="00DD41A3" w:rsidP="003F3AE7">
      <w:pPr>
        <w:rPr>
          <w:rFonts w:cstheme="minorHAnsi"/>
          <w:sz w:val="24"/>
          <w:szCs w:val="24"/>
          <w:lang w:val="en-US"/>
        </w:rPr>
      </w:pPr>
    </w:p>
    <w:sdt>
      <w:sdtPr>
        <w:rPr>
          <w:rFonts w:asciiTheme="minorHAnsi" w:eastAsiaTheme="minorHAnsi" w:hAnsiTheme="minorHAnsi" w:cstheme="minorHAnsi"/>
          <w:color w:val="auto"/>
          <w:sz w:val="22"/>
          <w:szCs w:val="22"/>
          <w:lang w:val="en-GB"/>
        </w:rPr>
        <w:id w:val="-717811547"/>
        <w:docPartObj>
          <w:docPartGallery w:val="Bibliographies"/>
          <w:docPartUnique/>
        </w:docPartObj>
      </w:sdtPr>
      <w:sdtEndPr>
        <w:rPr>
          <w:rFonts w:cstheme="minorBidi"/>
          <w:sz w:val="24"/>
          <w:szCs w:val="24"/>
        </w:rPr>
      </w:sdtEndPr>
      <w:sdtContent>
        <w:p w14:paraId="783267B7" w14:textId="07D0A6D1" w:rsidR="00B93F43" w:rsidRPr="00ED3499" w:rsidRDefault="00B93F43" w:rsidP="00ED3499">
          <w:pPr>
            <w:pStyle w:val="Heading1"/>
            <w:spacing w:line="276" w:lineRule="auto"/>
            <w:rPr>
              <w:rFonts w:asciiTheme="minorHAnsi" w:hAnsiTheme="minorHAnsi" w:cstheme="minorHAnsi"/>
              <w:b/>
              <w:bCs/>
              <w:color w:val="auto"/>
              <w:sz w:val="24"/>
              <w:szCs w:val="24"/>
              <w:u w:val="single"/>
            </w:rPr>
          </w:pPr>
          <w:r w:rsidRPr="00ED3499">
            <w:rPr>
              <w:rFonts w:asciiTheme="minorHAnsi" w:hAnsiTheme="minorHAnsi" w:cstheme="minorHAnsi"/>
              <w:b/>
              <w:bCs/>
              <w:color w:val="auto"/>
              <w:sz w:val="24"/>
              <w:szCs w:val="24"/>
              <w:u w:val="single"/>
            </w:rPr>
            <w:t>References</w:t>
          </w:r>
        </w:p>
        <w:sdt>
          <w:sdtPr>
            <w:rPr>
              <w:rFonts w:cstheme="minorHAnsi"/>
              <w:sz w:val="24"/>
              <w:szCs w:val="24"/>
            </w:rPr>
            <w:id w:val="-573587230"/>
            <w:bibliography/>
          </w:sdtPr>
          <w:sdtEndPr/>
          <w:sdtContent>
            <w:p w14:paraId="7CAF5FCE" w14:textId="294FA9BC" w:rsidR="00B93F43" w:rsidRPr="00ED3499" w:rsidRDefault="00B93F43" w:rsidP="00E51248">
              <w:pPr>
                <w:pStyle w:val="Bibliography"/>
                <w:spacing w:line="360" w:lineRule="auto"/>
                <w:rPr>
                  <w:rFonts w:cstheme="minorHAnsi"/>
                  <w:noProof/>
                  <w:sz w:val="24"/>
                  <w:szCs w:val="24"/>
                  <w:lang w:val="en-US"/>
                </w:rPr>
              </w:pPr>
              <w:r w:rsidRPr="00ED3499">
                <w:rPr>
                  <w:rFonts w:cstheme="minorHAnsi"/>
                  <w:noProof/>
                  <w:sz w:val="24"/>
                  <w:szCs w:val="24"/>
                  <w:lang w:val="en-US"/>
                </w:rPr>
                <w:t xml:space="preserve">Alison, 1969. </w:t>
              </w:r>
              <w:r w:rsidRPr="00ED3499">
                <w:rPr>
                  <w:rFonts w:cstheme="minorHAnsi"/>
                  <w:i/>
                  <w:iCs/>
                  <w:noProof/>
                  <w:sz w:val="24"/>
                  <w:szCs w:val="24"/>
                  <w:lang w:val="en-US"/>
                </w:rPr>
                <w:t xml:space="preserve">The need for statutory interpretation, </w:t>
              </w:r>
              <w:r w:rsidRPr="00ED3499">
                <w:rPr>
                  <w:rFonts w:cstheme="minorHAnsi"/>
                  <w:noProof/>
                  <w:sz w:val="24"/>
                  <w:szCs w:val="24"/>
                  <w:lang w:val="en-US"/>
                </w:rPr>
                <w:t>s.l.: gov.</w:t>
              </w:r>
              <w:r w:rsidR="007F1A12" w:rsidRPr="00ED3499">
                <w:rPr>
                  <w:rFonts w:cstheme="minorHAnsi"/>
                  <w:noProof/>
                  <w:sz w:val="24"/>
                  <w:szCs w:val="24"/>
                  <w:lang w:val="en-US"/>
                </w:rPr>
                <w:t xml:space="preserve"> [Accesssed 21</w:t>
              </w:r>
              <w:r w:rsidR="007F1A12" w:rsidRPr="00ED3499">
                <w:rPr>
                  <w:rFonts w:cstheme="minorHAnsi"/>
                  <w:noProof/>
                  <w:sz w:val="24"/>
                  <w:szCs w:val="24"/>
                  <w:vertAlign w:val="superscript"/>
                  <w:lang w:val="en-US"/>
                </w:rPr>
                <w:t>st</w:t>
              </w:r>
              <w:r w:rsidR="007F1A12" w:rsidRPr="00ED3499">
                <w:rPr>
                  <w:rFonts w:cstheme="minorHAnsi"/>
                  <w:noProof/>
                  <w:sz w:val="24"/>
                  <w:szCs w:val="24"/>
                  <w:lang w:val="en-US"/>
                </w:rPr>
                <w:t xml:space="preserve"> April 2022]</w:t>
              </w:r>
            </w:p>
            <w:p w14:paraId="6EFB6183" w14:textId="2D0F0EAE" w:rsidR="00B93F43" w:rsidRPr="00ED3499" w:rsidRDefault="00B93F43" w:rsidP="00E51248">
              <w:pPr>
                <w:pStyle w:val="Bibliography"/>
                <w:spacing w:line="360" w:lineRule="auto"/>
                <w:rPr>
                  <w:rFonts w:cstheme="minorHAnsi"/>
                  <w:noProof/>
                  <w:sz w:val="24"/>
                  <w:szCs w:val="24"/>
                  <w:lang w:val="en-US"/>
                </w:rPr>
              </w:pPr>
              <w:r w:rsidRPr="00ED3499">
                <w:rPr>
                  <w:rFonts w:cstheme="minorHAnsi"/>
                  <w:noProof/>
                  <w:sz w:val="24"/>
                  <w:szCs w:val="24"/>
                  <w:lang w:val="en-US"/>
                </w:rPr>
                <w:t xml:space="preserve">Allbon, E., 2020. </w:t>
              </w:r>
              <w:r w:rsidRPr="00ED3499">
                <w:rPr>
                  <w:rFonts w:cstheme="minorHAnsi"/>
                  <w:i/>
                  <w:iCs/>
                  <w:noProof/>
                  <w:sz w:val="24"/>
                  <w:szCs w:val="24"/>
                  <w:lang w:val="en-US"/>
                </w:rPr>
                <w:t xml:space="preserve">English legal system. </w:t>
              </w:r>
              <w:r w:rsidRPr="00ED3499">
                <w:rPr>
                  <w:rFonts w:cstheme="minorHAnsi"/>
                  <w:noProof/>
                  <w:sz w:val="24"/>
                  <w:szCs w:val="24"/>
                  <w:lang w:val="en-US"/>
                </w:rPr>
                <w:t>21st ed. Harlow UK: Perason Education</w:t>
              </w:r>
              <w:r w:rsidR="00CF082F" w:rsidRPr="00ED3499">
                <w:rPr>
                  <w:rFonts w:cstheme="minorHAnsi"/>
                  <w:noProof/>
                  <w:sz w:val="24"/>
                  <w:szCs w:val="24"/>
                  <w:lang w:val="en-US"/>
                </w:rPr>
                <w:t xml:space="preserve"> [Accessed </w:t>
              </w:r>
              <w:r w:rsidR="007F1A12" w:rsidRPr="00ED3499">
                <w:rPr>
                  <w:rFonts w:cstheme="minorHAnsi"/>
                  <w:noProof/>
                  <w:sz w:val="24"/>
                  <w:szCs w:val="24"/>
                  <w:lang w:val="en-US"/>
                </w:rPr>
                <w:t>24</w:t>
              </w:r>
              <w:r w:rsidR="007F1A12" w:rsidRPr="00ED3499">
                <w:rPr>
                  <w:rFonts w:cstheme="minorHAnsi"/>
                  <w:noProof/>
                  <w:sz w:val="24"/>
                  <w:szCs w:val="24"/>
                  <w:vertAlign w:val="superscript"/>
                  <w:lang w:val="en-US"/>
                </w:rPr>
                <w:t>th</w:t>
              </w:r>
              <w:r w:rsidR="007F1A12" w:rsidRPr="00ED3499">
                <w:rPr>
                  <w:rFonts w:cstheme="minorHAnsi"/>
                  <w:noProof/>
                  <w:sz w:val="24"/>
                  <w:szCs w:val="24"/>
                  <w:lang w:val="en-US"/>
                </w:rPr>
                <w:t xml:space="preserve"> April 2022]</w:t>
              </w:r>
            </w:p>
            <w:p w14:paraId="3CD8CC36" w14:textId="74C06819" w:rsidR="00B93F43" w:rsidRPr="00ED3499" w:rsidRDefault="00B93F43" w:rsidP="00E51248">
              <w:pPr>
                <w:pStyle w:val="Bibliography"/>
                <w:spacing w:line="360" w:lineRule="auto"/>
                <w:rPr>
                  <w:rFonts w:cstheme="minorHAnsi"/>
                  <w:noProof/>
                  <w:sz w:val="24"/>
                  <w:szCs w:val="24"/>
                  <w:lang w:val="en-US"/>
                </w:rPr>
              </w:pPr>
              <w:r w:rsidRPr="00ED3499">
                <w:rPr>
                  <w:rFonts w:cstheme="minorHAnsi"/>
                  <w:noProof/>
                  <w:sz w:val="24"/>
                  <w:szCs w:val="24"/>
                  <w:lang w:val="en-US"/>
                </w:rPr>
                <w:t xml:space="preserve">Clyde, o. S. o. H. L. N. o. B. L., n.d. </w:t>
              </w:r>
              <w:r w:rsidRPr="00ED3499">
                <w:rPr>
                  <w:rFonts w:cstheme="minorHAnsi"/>
                  <w:i/>
                  <w:iCs/>
                  <w:noProof/>
                  <w:sz w:val="24"/>
                  <w:szCs w:val="24"/>
                  <w:lang w:val="en-US"/>
                </w:rPr>
                <w:t xml:space="preserve">Judgments -- Fitzpatrick (A. P.) v. Sterling Housing Association Ltd.. </w:t>
              </w:r>
              <w:r w:rsidRPr="00ED3499">
                <w:rPr>
                  <w:rFonts w:cstheme="minorHAnsi"/>
                  <w:noProof/>
                  <w:sz w:val="24"/>
                  <w:szCs w:val="24"/>
                  <w:lang w:val="en-US"/>
                </w:rPr>
                <w:t>s.l., s.n.</w:t>
              </w:r>
              <w:r w:rsidR="0037793A" w:rsidRPr="00ED3499">
                <w:rPr>
                  <w:rFonts w:cstheme="minorHAnsi"/>
                  <w:noProof/>
                  <w:sz w:val="24"/>
                  <w:szCs w:val="24"/>
                  <w:lang w:val="en-US"/>
                </w:rPr>
                <w:t xml:space="preserve"> </w:t>
              </w:r>
              <w:r w:rsidR="00CF082F" w:rsidRPr="00ED3499">
                <w:rPr>
                  <w:rFonts w:cstheme="minorHAnsi"/>
                  <w:noProof/>
                  <w:sz w:val="24"/>
                  <w:szCs w:val="24"/>
                  <w:lang w:val="en-US"/>
                </w:rPr>
                <w:t>[Accessed : 20</w:t>
              </w:r>
              <w:r w:rsidR="00CF082F" w:rsidRPr="00ED3499">
                <w:rPr>
                  <w:rFonts w:cstheme="minorHAnsi"/>
                  <w:noProof/>
                  <w:sz w:val="24"/>
                  <w:szCs w:val="24"/>
                  <w:vertAlign w:val="superscript"/>
                  <w:lang w:val="en-US"/>
                </w:rPr>
                <w:t>th</w:t>
              </w:r>
              <w:r w:rsidR="00CF082F" w:rsidRPr="00ED3499">
                <w:rPr>
                  <w:rFonts w:cstheme="minorHAnsi"/>
                  <w:noProof/>
                  <w:sz w:val="24"/>
                  <w:szCs w:val="24"/>
                  <w:lang w:val="en-US"/>
                </w:rPr>
                <w:t xml:space="preserve"> April 2022]</w:t>
              </w:r>
            </w:p>
            <w:p w14:paraId="641F0390" w14:textId="77777777" w:rsidR="00B93F43" w:rsidRPr="00ED3499" w:rsidRDefault="00B93F43" w:rsidP="00E51248">
              <w:pPr>
                <w:pStyle w:val="Bibliography"/>
                <w:spacing w:line="360" w:lineRule="auto"/>
                <w:rPr>
                  <w:rFonts w:cstheme="minorHAnsi"/>
                  <w:noProof/>
                  <w:sz w:val="24"/>
                  <w:szCs w:val="24"/>
                  <w:lang w:val="en-US"/>
                </w:rPr>
              </w:pPr>
              <w:r w:rsidRPr="00ED3499">
                <w:rPr>
                  <w:rFonts w:cstheme="minorHAnsi"/>
                  <w:noProof/>
                  <w:sz w:val="24"/>
                  <w:szCs w:val="24"/>
                  <w:lang w:val="en-US"/>
                </w:rPr>
                <w:t xml:space="preserve">Commons, H. o., 1969. </w:t>
              </w:r>
              <w:r w:rsidRPr="00ED3499">
                <w:rPr>
                  <w:rFonts w:cstheme="minorHAnsi"/>
                  <w:i/>
                  <w:iCs/>
                  <w:noProof/>
                  <w:sz w:val="24"/>
                  <w:szCs w:val="24"/>
                  <w:lang w:val="en-US"/>
                </w:rPr>
                <w:t xml:space="preserve">The interpretation of statutes HC 256. </w:t>
              </w:r>
              <w:r w:rsidRPr="00ED3499">
                <w:rPr>
                  <w:rFonts w:cstheme="minorHAnsi"/>
                  <w:noProof/>
                  <w:sz w:val="24"/>
                  <w:szCs w:val="24"/>
                  <w:lang w:val="en-US"/>
                </w:rPr>
                <w:t xml:space="preserve">[Online] </w:t>
              </w:r>
              <w:r w:rsidRPr="00ED3499">
                <w:rPr>
                  <w:rFonts w:cstheme="minorHAnsi"/>
                  <w:noProof/>
                  <w:sz w:val="24"/>
                  <w:szCs w:val="24"/>
                  <w:lang w:val="en-US"/>
                </w:rPr>
                <w:br/>
                <w:t xml:space="preserve">Available at: </w:t>
              </w:r>
              <w:r w:rsidRPr="00ED3499">
                <w:rPr>
                  <w:rFonts w:cstheme="minorHAnsi"/>
                  <w:noProof/>
                  <w:sz w:val="24"/>
                  <w:szCs w:val="24"/>
                  <w:u w:val="single"/>
                  <w:lang w:val="en-US"/>
                </w:rPr>
                <w:t>https://assets.publishing.service.gov.uk/government/uploads/system/uploads/attachment_data/file/228894/0256.pdf</w:t>
              </w:r>
              <w:r w:rsidRPr="00ED3499">
                <w:rPr>
                  <w:rFonts w:cstheme="minorHAnsi"/>
                  <w:noProof/>
                  <w:sz w:val="24"/>
                  <w:szCs w:val="24"/>
                  <w:lang w:val="en-US"/>
                </w:rPr>
                <w:br/>
              </w:r>
              <w:bookmarkStart w:id="0" w:name="_Hlk102503374"/>
              <w:r w:rsidRPr="00ED3499">
                <w:rPr>
                  <w:rFonts w:cstheme="minorHAnsi"/>
                  <w:noProof/>
                  <w:sz w:val="24"/>
                  <w:szCs w:val="24"/>
                  <w:lang w:val="en-US"/>
                </w:rPr>
                <w:t>[Accessed 20 April 2022].</w:t>
              </w:r>
              <w:bookmarkEnd w:id="0"/>
            </w:p>
            <w:p w14:paraId="14D8A440" w14:textId="6E45B7F4" w:rsidR="00B93F43" w:rsidRPr="00ED3499" w:rsidRDefault="00B93F43" w:rsidP="00E51248">
              <w:pPr>
                <w:pStyle w:val="Bibliography"/>
                <w:spacing w:line="360" w:lineRule="auto"/>
                <w:rPr>
                  <w:rFonts w:cstheme="minorHAnsi"/>
                  <w:noProof/>
                  <w:sz w:val="24"/>
                  <w:szCs w:val="24"/>
                  <w:lang w:val="en-US"/>
                </w:rPr>
              </w:pPr>
              <w:r w:rsidRPr="00ED3499">
                <w:rPr>
                  <w:rFonts w:cstheme="minorHAnsi"/>
                  <w:noProof/>
                  <w:sz w:val="24"/>
                  <w:szCs w:val="24"/>
                  <w:lang w:val="en-US"/>
                </w:rPr>
                <w:t xml:space="preserve">Gov.uk, 1861. </w:t>
              </w:r>
              <w:r w:rsidRPr="00ED3499">
                <w:rPr>
                  <w:rFonts w:cstheme="minorHAnsi"/>
                  <w:i/>
                  <w:iCs/>
                  <w:noProof/>
                  <w:sz w:val="24"/>
                  <w:szCs w:val="24"/>
                  <w:lang w:val="en-US"/>
                </w:rPr>
                <w:t xml:space="preserve">Offences Against the person act, 1861, </w:t>
              </w:r>
              <w:r w:rsidRPr="00ED3499">
                <w:rPr>
                  <w:rFonts w:cstheme="minorHAnsi"/>
                  <w:noProof/>
                  <w:sz w:val="24"/>
                  <w:szCs w:val="24"/>
                  <w:lang w:val="en-US"/>
                </w:rPr>
                <w:t>s.l.: Gov.uk.</w:t>
              </w:r>
              <w:r w:rsidR="00550D15" w:rsidRPr="00ED3499">
                <w:rPr>
                  <w:rFonts w:cstheme="minorHAnsi"/>
                </w:rPr>
                <w:t xml:space="preserve"> </w:t>
              </w:r>
              <w:r w:rsidR="00550D15" w:rsidRPr="00ED3499">
                <w:rPr>
                  <w:rFonts w:cstheme="minorHAnsi"/>
                  <w:noProof/>
                  <w:sz w:val="24"/>
                  <w:szCs w:val="24"/>
                  <w:lang w:val="en-US"/>
                </w:rPr>
                <w:t>[Accessed 2</w:t>
              </w:r>
              <w:r w:rsidR="00550D15" w:rsidRPr="00ED3499">
                <w:rPr>
                  <w:rFonts w:cstheme="minorHAnsi"/>
                  <w:noProof/>
                  <w:sz w:val="24"/>
                  <w:szCs w:val="24"/>
                  <w:vertAlign w:val="superscript"/>
                  <w:lang w:val="en-US"/>
                </w:rPr>
                <w:t>nd</w:t>
              </w:r>
              <w:r w:rsidR="00550D15" w:rsidRPr="00ED3499">
                <w:rPr>
                  <w:rFonts w:cstheme="minorHAnsi"/>
                  <w:noProof/>
                  <w:sz w:val="24"/>
                  <w:szCs w:val="24"/>
                  <w:lang w:val="en-US"/>
                </w:rPr>
                <w:t xml:space="preserve"> April 2022].</w:t>
              </w:r>
            </w:p>
            <w:p w14:paraId="5621E52B" w14:textId="77777777" w:rsidR="00B93F43" w:rsidRPr="00ED3499" w:rsidRDefault="00B93F43" w:rsidP="00E51248">
              <w:pPr>
                <w:pStyle w:val="Bibliography"/>
                <w:spacing w:line="360" w:lineRule="auto"/>
                <w:rPr>
                  <w:rFonts w:cstheme="minorHAnsi"/>
                  <w:noProof/>
                  <w:sz w:val="24"/>
                  <w:szCs w:val="24"/>
                  <w:lang w:val="en-US"/>
                </w:rPr>
              </w:pPr>
              <w:r w:rsidRPr="00ED3499">
                <w:rPr>
                  <w:rFonts w:cstheme="minorHAnsi"/>
                  <w:noProof/>
                  <w:sz w:val="24"/>
                  <w:szCs w:val="24"/>
                  <w:lang w:val="en-US"/>
                </w:rPr>
                <w:t xml:space="preserve">Heaton, R., 2014. </w:t>
              </w:r>
              <w:r w:rsidRPr="00ED3499">
                <w:rPr>
                  <w:rFonts w:cstheme="minorHAnsi"/>
                  <w:i/>
                  <w:iCs/>
                  <w:noProof/>
                  <w:sz w:val="24"/>
                  <w:szCs w:val="24"/>
                  <w:lang w:val="en-US"/>
                </w:rPr>
                <w:t xml:space="preserve">Gov.UK. </w:t>
              </w:r>
              <w:r w:rsidRPr="00ED3499">
                <w:rPr>
                  <w:rFonts w:cstheme="minorHAnsi"/>
                  <w:noProof/>
                  <w:sz w:val="24"/>
                  <w:szCs w:val="24"/>
                  <w:lang w:val="en-US"/>
                </w:rPr>
                <w:t xml:space="preserve">[Online] </w:t>
              </w:r>
              <w:r w:rsidRPr="00ED3499">
                <w:rPr>
                  <w:rFonts w:cstheme="minorHAnsi"/>
                  <w:noProof/>
                  <w:sz w:val="24"/>
                  <w:szCs w:val="24"/>
                  <w:lang w:val="en-US"/>
                </w:rPr>
                <w:br/>
                <w:t xml:space="preserve">Available at: </w:t>
              </w:r>
              <w:r w:rsidRPr="00ED3499">
                <w:rPr>
                  <w:rFonts w:cstheme="minorHAnsi"/>
                  <w:noProof/>
                  <w:sz w:val="24"/>
                  <w:szCs w:val="24"/>
                  <w:u w:val="single"/>
                  <w:lang w:val="en-US"/>
                </w:rPr>
                <w:t>https://www.gov.uk/government/speeches/making-the-law-easier-for-users-the-role-of-statutes--2</w:t>
              </w:r>
              <w:r w:rsidRPr="00ED3499">
                <w:rPr>
                  <w:rFonts w:cstheme="minorHAnsi"/>
                  <w:noProof/>
                  <w:sz w:val="24"/>
                  <w:szCs w:val="24"/>
                  <w:lang w:val="en-US"/>
                </w:rPr>
                <w:br/>
                <w:t>[Accessed 20 April 2022].</w:t>
              </w:r>
            </w:p>
            <w:p w14:paraId="6D618C1E" w14:textId="316CBCCB" w:rsidR="00B93F43" w:rsidRPr="00ED3499" w:rsidRDefault="00B93F43" w:rsidP="00E51248">
              <w:pPr>
                <w:pStyle w:val="Bibliography"/>
                <w:spacing w:line="360" w:lineRule="auto"/>
                <w:rPr>
                  <w:rFonts w:cstheme="minorHAnsi"/>
                  <w:noProof/>
                  <w:sz w:val="24"/>
                  <w:szCs w:val="24"/>
                  <w:lang w:val="en-US"/>
                </w:rPr>
              </w:pPr>
              <w:r w:rsidRPr="00ED3499">
                <w:rPr>
                  <w:rFonts w:cstheme="minorHAnsi"/>
                  <w:i/>
                  <w:iCs/>
                  <w:noProof/>
                  <w:sz w:val="24"/>
                  <w:szCs w:val="24"/>
                  <w:lang w:val="en-US"/>
                </w:rPr>
                <w:t xml:space="preserve">Judgments -- Fitzpatrick (A. P.) v. Sterling Housing Association Ltd. </w:t>
              </w:r>
              <w:r w:rsidRPr="00ED3499">
                <w:rPr>
                  <w:rFonts w:cstheme="minorHAnsi"/>
                  <w:noProof/>
                  <w:sz w:val="24"/>
                  <w:szCs w:val="24"/>
                  <w:lang w:val="en-US"/>
                </w:rPr>
                <w:t xml:space="preserve">(1999) House of Lords. </w:t>
              </w:r>
              <w:r w:rsidR="00550D15" w:rsidRPr="00ED3499">
                <w:rPr>
                  <w:rFonts w:cstheme="minorHAnsi"/>
                  <w:noProof/>
                  <w:sz w:val="24"/>
                  <w:szCs w:val="24"/>
                  <w:lang w:val="en-US"/>
                </w:rPr>
                <w:t>[Accessed 8</w:t>
              </w:r>
              <w:r w:rsidR="00550D15" w:rsidRPr="00ED3499">
                <w:rPr>
                  <w:rFonts w:cstheme="minorHAnsi"/>
                  <w:noProof/>
                  <w:sz w:val="24"/>
                  <w:szCs w:val="24"/>
                  <w:vertAlign w:val="superscript"/>
                  <w:lang w:val="en-US"/>
                </w:rPr>
                <w:t>th</w:t>
              </w:r>
              <w:r w:rsidR="00550D15" w:rsidRPr="00ED3499">
                <w:rPr>
                  <w:rFonts w:cstheme="minorHAnsi"/>
                  <w:noProof/>
                  <w:sz w:val="24"/>
                  <w:szCs w:val="24"/>
                  <w:lang w:val="en-US"/>
                </w:rPr>
                <w:t xml:space="preserve"> April 2022].</w:t>
              </w:r>
            </w:p>
            <w:p w14:paraId="52495182" w14:textId="77777777" w:rsidR="00B93F43" w:rsidRPr="00ED3499" w:rsidRDefault="00B93F43" w:rsidP="00E51248">
              <w:pPr>
                <w:pStyle w:val="Bibliography"/>
                <w:spacing w:line="360" w:lineRule="auto"/>
                <w:rPr>
                  <w:rFonts w:cstheme="minorHAnsi"/>
                  <w:noProof/>
                  <w:sz w:val="24"/>
                  <w:szCs w:val="24"/>
                  <w:lang w:val="en-US"/>
                </w:rPr>
              </w:pPr>
              <w:r w:rsidRPr="00ED3499">
                <w:rPr>
                  <w:rFonts w:cstheme="minorHAnsi"/>
                  <w:noProof/>
                  <w:sz w:val="24"/>
                  <w:szCs w:val="24"/>
                  <w:lang w:val="en-US"/>
                </w:rPr>
                <w:lastRenderedPageBreak/>
                <w:t xml:space="preserve">legislation.gov, 1988. </w:t>
              </w:r>
              <w:r w:rsidRPr="00ED3499">
                <w:rPr>
                  <w:rFonts w:cstheme="minorHAnsi"/>
                  <w:i/>
                  <w:iCs/>
                  <w:noProof/>
                  <w:sz w:val="24"/>
                  <w:szCs w:val="24"/>
                  <w:lang w:val="en-US"/>
                </w:rPr>
                <w:t xml:space="preserve">Criminal Justice Act. </w:t>
              </w:r>
              <w:r w:rsidRPr="00ED3499">
                <w:rPr>
                  <w:rFonts w:cstheme="minorHAnsi"/>
                  <w:noProof/>
                  <w:sz w:val="24"/>
                  <w:szCs w:val="24"/>
                  <w:lang w:val="en-US"/>
                </w:rPr>
                <w:t xml:space="preserve">[Online] </w:t>
              </w:r>
              <w:r w:rsidRPr="00ED3499">
                <w:rPr>
                  <w:rFonts w:cstheme="minorHAnsi"/>
                  <w:noProof/>
                  <w:sz w:val="24"/>
                  <w:szCs w:val="24"/>
                  <w:lang w:val="en-US"/>
                </w:rPr>
                <w:br/>
                <w:t xml:space="preserve">Available at: </w:t>
              </w:r>
              <w:r w:rsidRPr="00ED3499">
                <w:rPr>
                  <w:rFonts w:cstheme="minorHAnsi"/>
                  <w:noProof/>
                  <w:sz w:val="24"/>
                  <w:szCs w:val="24"/>
                  <w:u w:val="single"/>
                  <w:lang w:val="en-US"/>
                </w:rPr>
                <w:t>https://www.legislation.gov.uk/ukpga/1988/33/contents</w:t>
              </w:r>
              <w:r w:rsidRPr="00ED3499">
                <w:rPr>
                  <w:rFonts w:cstheme="minorHAnsi"/>
                  <w:noProof/>
                  <w:sz w:val="24"/>
                  <w:szCs w:val="24"/>
                  <w:lang w:val="en-US"/>
                </w:rPr>
                <w:br/>
                <w:t>[Accessed 19 April 2022].</w:t>
              </w:r>
            </w:p>
            <w:p w14:paraId="61C8D6BE" w14:textId="2A44D60A" w:rsidR="00B93F43" w:rsidRPr="00ED3499" w:rsidRDefault="00B93F43" w:rsidP="00E51248">
              <w:pPr>
                <w:pStyle w:val="Bibliography"/>
                <w:spacing w:line="360" w:lineRule="auto"/>
                <w:rPr>
                  <w:rFonts w:cstheme="minorHAnsi"/>
                  <w:noProof/>
                  <w:sz w:val="24"/>
                  <w:szCs w:val="24"/>
                  <w:lang w:val="en-US"/>
                </w:rPr>
              </w:pPr>
              <w:r w:rsidRPr="00ED3499">
                <w:rPr>
                  <w:rFonts w:cstheme="minorHAnsi"/>
                  <w:noProof/>
                  <w:sz w:val="24"/>
                  <w:szCs w:val="24"/>
                  <w:lang w:val="en-US"/>
                </w:rPr>
                <w:t xml:space="preserve">Partington, M., 2015-2016. </w:t>
              </w:r>
              <w:r w:rsidRPr="00ED3499">
                <w:rPr>
                  <w:rFonts w:cstheme="minorHAnsi"/>
                  <w:i/>
                  <w:iCs/>
                  <w:noProof/>
                  <w:sz w:val="24"/>
                  <w:szCs w:val="24"/>
                  <w:lang w:val="en-US"/>
                </w:rPr>
                <w:t xml:space="preserve">Introduction to the English legal system. </w:t>
              </w:r>
              <w:r w:rsidRPr="00ED3499">
                <w:rPr>
                  <w:rFonts w:cstheme="minorHAnsi"/>
                  <w:noProof/>
                  <w:sz w:val="24"/>
                  <w:szCs w:val="24"/>
                  <w:lang w:val="en-US"/>
                </w:rPr>
                <w:t>10 ed. Oxford: Oxford University press.</w:t>
              </w:r>
              <w:r w:rsidR="007F1A12" w:rsidRPr="00ED3499">
                <w:rPr>
                  <w:rFonts w:cstheme="minorHAnsi"/>
                </w:rPr>
                <w:t xml:space="preserve"> </w:t>
              </w:r>
              <w:r w:rsidR="007F1A12" w:rsidRPr="00ED3499">
                <w:rPr>
                  <w:rFonts w:cstheme="minorHAnsi"/>
                  <w:noProof/>
                  <w:sz w:val="24"/>
                  <w:szCs w:val="24"/>
                  <w:lang w:val="en-US"/>
                </w:rPr>
                <w:t xml:space="preserve">[Accessed </w:t>
              </w:r>
              <w:r w:rsidR="00ED3499" w:rsidRPr="00ED3499">
                <w:rPr>
                  <w:rFonts w:cstheme="minorHAnsi"/>
                  <w:noProof/>
                  <w:sz w:val="24"/>
                  <w:szCs w:val="24"/>
                  <w:lang w:val="en-US"/>
                </w:rPr>
                <w:t>14</w:t>
              </w:r>
              <w:r w:rsidR="00ED3499" w:rsidRPr="00ED3499">
                <w:rPr>
                  <w:rFonts w:cstheme="minorHAnsi"/>
                  <w:noProof/>
                  <w:sz w:val="24"/>
                  <w:szCs w:val="24"/>
                  <w:vertAlign w:val="superscript"/>
                  <w:lang w:val="en-US"/>
                </w:rPr>
                <w:t>th</w:t>
              </w:r>
              <w:r w:rsidR="007F1A12" w:rsidRPr="00ED3499">
                <w:rPr>
                  <w:rFonts w:cstheme="minorHAnsi"/>
                  <w:noProof/>
                  <w:sz w:val="24"/>
                  <w:szCs w:val="24"/>
                  <w:lang w:val="en-US"/>
                </w:rPr>
                <w:t xml:space="preserve"> April 2022].</w:t>
              </w:r>
            </w:p>
            <w:p w14:paraId="70E33427" w14:textId="083F60F4" w:rsidR="00B93F43" w:rsidRPr="00ED3499" w:rsidRDefault="00B93F43" w:rsidP="00E51248">
              <w:pPr>
                <w:pStyle w:val="Bibliography"/>
                <w:spacing w:line="360" w:lineRule="auto"/>
                <w:rPr>
                  <w:rFonts w:cstheme="minorHAnsi"/>
                  <w:noProof/>
                  <w:sz w:val="24"/>
                  <w:szCs w:val="24"/>
                  <w:lang w:val="en-US"/>
                </w:rPr>
              </w:pPr>
              <w:r w:rsidRPr="00ED3499">
                <w:rPr>
                  <w:rFonts w:cstheme="minorHAnsi"/>
                  <w:noProof/>
                  <w:sz w:val="24"/>
                  <w:szCs w:val="24"/>
                  <w:lang w:val="en-US"/>
                </w:rPr>
                <w:t xml:space="preserve">Slorach, S., Embley, J., Goodchild, P. &amp; Shepard, C., 2013. </w:t>
              </w:r>
              <w:r w:rsidRPr="00ED3499">
                <w:rPr>
                  <w:rFonts w:cstheme="minorHAnsi"/>
                  <w:i/>
                  <w:iCs/>
                  <w:noProof/>
                  <w:sz w:val="24"/>
                  <w:szCs w:val="24"/>
                  <w:lang w:val="en-US"/>
                </w:rPr>
                <w:t xml:space="preserve">Legal system and skills. </w:t>
              </w:r>
              <w:r w:rsidRPr="00ED3499">
                <w:rPr>
                  <w:rFonts w:cstheme="minorHAnsi"/>
                  <w:noProof/>
                  <w:sz w:val="24"/>
                  <w:szCs w:val="24"/>
                  <w:lang w:val="en-US"/>
                </w:rPr>
                <w:t>Second ed. Oxford: Oxford university press.</w:t>
              </w:r>
              <w:r w:rsidR="007F1A12" w:rsidRPr="00ED3499">
                <w:rPr>
                  <w:rFonts w:cstheme="minorHAnsi"/>
                </w:rPr>
                <w:t xml:space="preserve"> </w:t>
              </w:r>
              <w:r w:rsidR="007F1A12" w:rsidRPr="00ED3499">
                <w:rPr>
                  <w:rFonts w:cstheme="minorHAnsi"/>
                  <w:noProof/>
                  <w:sz w:val="24"/>
                  <w:szCs w:val="24"/>
                  <w:lang w:val="en-US"/>
                </w:rPr>
                <w:t xml:space="preserve">[Accessed </w:t>
              </w:r>
              <w:r w:rsidR="00550D15" w:rsidRPr="00ED3499">
                <w:rPr>
                  <w:rFonts w:cstheme="minorHAnsi"/>
                  <w:noProof/>
                  <w:sz w:val="24"/>
                  <w:szCs w:val="24"/>
                  <w:lang w:val="en-US"/>
                </w:rPr>
                <w:t>14</w:t>
              </w:r>
              <w:r w:rsidR="00550D15" w:rsidRPr="00ED3499">
                <w:rPr>
                  <w:rFonts w:cstheme="minorHAnsi"/>
                  <w:noProof/>
                  <w:sz w:val="24"/>
                  <w:szCs w:val="24"/>
                  <w:vertAlign w:val="superscript"/>
                  <w:lang w:val="en-US"/>
                </w:rPr>
                <w:t>th</w:t>
              </w:r>
              <w:r w:rsidR="00550D15" w:rsidRPr="00ED3499">
                <w:rPr>
                  <w:rFonts w:cstheme="minorHAnsi"/>
                  <w:noProof/>
                  <w:sz w:val="24"/>
                  <w:szCs w:val="24"/>
                  <w:lang w:val="en-US"/>
                </w:rPr>
                <w:t xml:space="preserve"> </w:t>
              </w:r>
              <w:r w:rsidR="007F1A12" w:rsidRPr="00ED3499">
                <w:rPr>
                  <w:rFonts w:cstheme="minorHAnsi"/>
                  <w:noProof/>
                  <w:sz w:val="24"/>
                  <w:szCs w:val="24"/>
                  <w:lang w:val="en-US"/>
                </w:rPr>
                <w:t>April 2022].</w:t>
              </w:r>
            </w:p>
            <w:p w14:paraId="40C1D283" w14:textId="7BD98237" w:rsidR="00B93F43" w:rsidRPr="00B93F43" w:rsidRDefault="001E1B18" w:rsidP="00ED3499">
              <w:pPr>
                <w:spacing w:line="276" w:lineRule="auto"/>
                <w:rPr>
                  <w:sz w:val="24"/>
                  <w:szCs w:val="24"/>
                </w:rPr>
              </w:pPr>
            </w:p>
          </w:sdtContent>
        </w:sdt>
      </w:sdtContent>
    </w:sdt>
    <w:p w14:paraId="1B861C6B" w14:textId="177D15D1" w:rsidR="00B93F43" w:rsidRPr="00B93F43" w:rsidRDefault="00B93F43" w:rsidP="00ED3499">
      <w:pPr>
        <w:spacing w:line="276" w:lineRule="auto"/>
        <w:rPr>
          <w:rFonts w:cstheme="minorHAnsi"/>
          <w:sz w:val="24"/>
          <w:szCs w:val="24"/>
          <w:lang w:val="en-US"/>
        </w:rPr>
      </w:pPr>
    </w:p>
    <w:p w14:paraId="18577036" w14:textId="77777777" w:rsidR="006A0215" w:rsidRPr="00B93F43" w:rsidRDefault="006A0215" w:rsidP="00ED3499">
      <w:pPr>
        <w:spacing w:line="276" w:lineRule="auto"/>
        <w:rPr>
          <w:rFonts w:cstheme="minorHAnsi"/>
          <w:sz w:val="24"/>
          <w:szCs w:val="24"/>
          <w:lang w:val="en-US"/>
        </w:rPr>
      </w:pPr>
    </w:p>
    <w:p w14:paraId="5D35680F" w14:textId="6EC1AA06" w:rsidR="00CC16C9" w:rsidRDefault="00CC16C9" w:rsidP="00ED3499">
      <w:pPr>
        <w:pStyle w:val="Heading1"/>
        <w:spacing w:line="276" w:lineRule="auto"/>
      </w:pPr>
    </w:p>
    <w:p w14:paraId="35DE0CAD" w14:textId="77777777" w:rsidR="00EC5EC0" w:rsidRPr="00EC5EC0" w:rsidRDefault="00EC5EC0" w:rsidP="00ED3499">
      <w:pPr>
        <w:spacing w:line="276" w:lineRule="auto"/>
        <w:rPr>
          <w:sz w:val="32"/>
          <w:szCs w:val="32"/>
          <w:lang w:val="en-US"/>
        </w:rPr>
      </w:pPr>
    </w:p>
    <w:sectPr w:rsidR="00EC5EC0" w:rsidRPr="00EC5EC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71E04"/>
    <w:rsid w:val="00013B45"/>
    <w:rsid w:val="00024B6D"/>
    <w:rsid w:val="0003659C"/>
    <w:rsid w:val="00037DF3"/>
    <w:rsid w:val="00047633"/>
    <w:rsid w:val="00050C2B"/>
    <w:rsid w:val="00054D23"/>
    <w:rsid w:val="00082BE9"/>
    <w:rsid w:val="000B5D8A"/>
    <w:rsid w:val="000C0C9C"/>
    <w:rsid w:val="000C30B3"/>
    <w:rsid w:val="000D0A13"/>
    <w:rsid w:val="000D3318"/>
    <w:rsid w:val="000D399B"/>
    <w:rsid w:val="000D6780"/>
    <w:rsid w:val="000E3A0E"/>
    <w:rsid w:val="000E530B"/>
    <w:rsid w:val="000F5186"/>
    <w:rsid w:val="001028D1"/>
    <w:rsid w:val="00115408"/>
    <w:rsid w:val="0012038B"/>
    <w:rsid w:val="00121E26"/>
    <w:rsid w:val="001229EB"/>
    <w:rsid w:val="001303B4"/>
    <w:rsid w:val="00160313"/>
    <w:rsid w:val="001653D9"/>
    <w:rsid w:val="00167C4B"/>
    <w:rsid w:val="00172FED"/>
    <w:rsid w:val="00180D53"/>
    <w:rsid w:val="00190AF0"/>
    <w:rsid w:val="001952FD"/>
    <w:rsid w:val="001A0F82"/>
    <w:rsid w:val="001A24A6"/>
    <w:rsid w:val="001B29FB"/>
    <w:rsid w:val="001B5E1A"/>
    <w:rsid w:val="001C0D72"/>
    <w:rsid w:val="001C5B84"/>
    <w:rsid w:val="001C7232"/>
    <w:rsid w:val="001D0F0C"/>
    <w:rsid w:val="001D3719"/>
    <w:rsid w:val="001D52DC"/>
    <w:rsid w:val="001D78E6"/>
    <w:rsid w:val="001E1B18"/>
    <w:rsid w:val="00205435"/>
    <w:rsid w:val="00226E91"/>
    <w:rsid w:val="00236325"/>
    <w:rsid w:val="00242CCD"/>
    <w:rsid w:val="00257419"/>
    <w:rsid w:val="00271E04"/>
    <w:rsid w:val="002732BF"/>
    <w:rsid w:val="0027474F"/>
    <w:rsid w:val="0027537F"/>
    <w:rsid w:val="00281C6A"/>
    <w:rsid w:val="002917A4"/>
    <w:rsid w:val="0029204B"/>
    <w:rsid w:val="002B0C3E"/>
    <w:rsid w:val="002C21BC"/>
    <w:rsid w:val="002D43B8"/>
    <w:rsid w:val="002F0402"/>
    <w:rsid w:val="00306721"/>
    <w:rsid w:val="00312D4C"/>
    <w:rsid w:val="0032586E"/>
    <w:rsid w:val="003326EC"/>
    <w:rsid w:val="00340857"/>
    <w:rsid w:val="00343685"/>
    <w:rsid w:val="00345B69"/>
    <w:rsid w:val="003655FA"/>
    <w:rsid w:val="0037793A"/>
    <w:rsid w:val="00382C8A"/>
    <w:rsid w:val="0038612C"/>
    <w:rsid w:val="0038747C"/>
    <w:rsid w:val="003A260F"/>
    <w:rsid w:val="003A2C05"/>
    <w:rsid w:val="003A3780"/>
    <w:rsid w:val="003C275F"/>
    <w:rsid w:val="003C5885"/>
    <w:rsid w:val="003D0009"/>
    <w:rsid w:val="003F3AE7"/>
    <w:rsid w:val="00416257"/>
    <w:rsid w:val="004178C3"/>
    <w:rsid w:val="004307C2"/>
    <w:rsid w:val="0044311A"/>
    <w:rsid w:val="0045543B"/>
    <w:rsid w:val="004555EE"/>
    <w:rsid w:val="0047619F"/>
    <w:rsid w:val="004830A3"/>
    <w:rsid w:val="004A3030"/>
    <w:rsid w:val="004B3489"/>
    <w:rsid w:val="004E2598"/>
    <w:rsid w:val="004E4DAE"/>
    <w:rsid w:val="004E574D"/>
    <w:rsid w:val="005044D1"/>
    <w:rsid w:val="005057C9"/>
    <w:rsid w:val="00524699"/>
    <w:rsid w:val="00541E17"/>
    <w:rsid w:val="00546D1C"/>
    <w:rsid w:val="00550D15"/>
    <w:rsid w:val="00555732"/>
    <w:rsid w:val="00563289"/>
    <w:rsid w:val="00567E9C"/>
    <w:rsid w:val="005806C7"/>
    <w:rsid w:val="005955D3"/>
    <w:rsid w:val="005C2C08"/>
    <w:rsid w:val="005E1212"/>
    <w:rsid w:val="005E7F20"/>
    <w:rsid w:val="005F0DD5"/>
    <w:rsid w:val="005F5BFD"/>
    <w:rsid w:val="005F7B58"/>
    <w:rsid w:val="006119DF"/>
    <w:rsid w:val="00611B7B"/>
    <w:rsid w:val="006274A0"/>
    <w:rsid w:val="006354F0"/>
    <w:rsid w:val="0069483C"/>
    <w:rsid w:val="006A0215"/>
    <w:rsid w:val="006A3C1E"/>
    <w:rsid w:val="006C06D4"/>
    <w:rsid w:val="006C6655"/>
    <w:rsid w:val="006D6724"/>
    <w:rsid w:val="006F2081"/>
    <w:rsid w:val="0070601E"/>
    <w:rsid w:val="00722011"/>
    <w:rsid w:val="00731352"/>
    <w:rsid w:val="00741EFF"/>
    <w:rsid w:val="00755E9A"/>
    <w:rsid w:val="007671EF"/>
    <w:rsid w:val="007706A0"/>
    <w:rsid w:val="00782BF7"/>
    <w:rsid w:val="007A1344"/>
    <w:rsid w:val="007C100F"/>
    <w:rsid w:val="007D39DD"/>
    <w:rsid w:val="007D3A1B"/>
    <w:rsid w:val="007E3173"/>
    <w:rsid w:val="007F1A12"/>
    <w:rsid w:val="007F1A69"/>
    <w:rsid w:val="007F7E31"/>
    <w:rsid w:val="00835046"/>
    <w:rsid w:val="008366A0"/>
    <w:rsid w:val="008377E9"/>
    <w:rsid w:val="00847AEB"/>
    <w:rsid w:val="00847CE0"/>
    <w:rsid w:val="008702F3"/>
    <w:rsid w:val="008738DF"/>
    <w:rsid w:val="00873A5D"/>
    <w:rsid w:val="0089692E"/>
    <w:rsid w:val="008A016D"/>
    <w:rsid w:val="008A06C8"/>
    <w:rsid w:val="008C2FA6"/>
    <w:rsid w:val="008D2678"/>
    <w:rsid w:val="008F20D9"/>
    <w:rsid w:val="008F7857"/>
    <w:rsid w:val="00927116"/>
    <w:rsid w:val="0093739C"/>
    <w:rsid w:val="00947BD1"/>
    <w:rsid w:val="00956EC9"/>
    <w:rsid w:val="009B345E"/>
    <w:rsid w:val="009B401B"/>
    <w:rsid w:val="009F390E"/>
    <w:rsid w:val="00A03BCA"/>
    <w:rsid w:val="00A168EB"/>
    <w:rsid w:val="00A24240"/>
    <w:rsid w:val="00A25A99"/>
    <w:rsid w:val="00A25B7A"/>
    <w:rsid w:val="00A32DFD"/>
    <w:rsid w:val="00A34C64"/>
    <w:rsid w:val="00A46349"/>
    <w:rsid w:val="00A47B5B"/>
    <w:rsid w:val="00A51B03"/>
    <w:rsid w:val="00A55EDF"/>
    <w:rsid w:val="00A610A3"/>
    <w:rsid w:val="00A645D8"/>
    <w:rsid w:val="00A64E83"/>
    <w:rsid w:val="00A921A9"/>
    <w:rsid w:val="00AD4551"/>
    <w:rsid w:val="00AF356F"/>
    <w:rsid w:val="00AF6BF1"/>
    <w:rsid w:val="00B13258"/>
    <w:rsid w:val="00B26E07"/>
    <w:rsid w:val="00B71CEE"/>
    <w:rsid w:val="00B8062D"/>
    <w:rsid w:val="00B93F43"/>
    <w:rsid w:val="00B96AC9"/>
    <w:rsid w:val="00BA1151"/>
    <w:rsid w:val="00BA5CCD"/>
    <w:rsid w:val="00BB22A9"/>
    <w:rsid w:val="00BB335C"/>
    <w:rsid w:val="00BB5A98"/>
    <w:rsid w:val="00BD08C5"/>
    <w:rsid w:val="00BD7F64"/>
    <w:rsid w:val="00BE58CA"/>
    <w:rsid w:val="00BE7CA6"/>
    <w:rsid w:val="00BF6AC3"/>
    <w:rsid w:val="00C02C6D"/>
    <w:rsid w:val="00C05AB7"/>
    <w:rsid w:val="00C222F8"/>
    <w:rsid w:val="00C304D4"/>
    <w:rsid w:val="00C32620"/>
    <w:rsid w:val="00C7255D"/>
    <w:rsid w:val="00C802AC"/>
    <w:rsid w:val="00C93FE0"/>
    <w:rsid w:val="00CA5B85"/>
    <w:rsid w:val="00CA6773"/>
    <w:rsid w:val="00CB5B9F"/>
    <w:rsid w:val="00CC16C9"/>
    <w:rsid w:val="00CC5082"/>
    <w:rsid w:val="00CC5A1B"/>
    <w:rsid w:val="00CD4624"/>
    <w:rsid w:val="00CD7171"/>
    <w:rsid w:val="00CF082F"/>
    <w:rsid w:val="00CF2245"/>
    <w:rsid w:val="00D0303C"/>
    <w:rsid w:val="00D05E1B"/>
    <w:rsid w:val="00D05F05"/>
    <w:rsid w:val="00D1436E"/>
    <w:rsid w:val="00D14D2F"/>
    <w:rsid w:val="00D20499"/>
    <w:rsid w:val="00D2797C"/>
    <w:rsid w:val="00D34E9D"/>
    <w:rsid w:val="00D35CC2"/>
    <w:rsid w:val="00D42325"/>
    <w:rsid w:val="00D45107"/>
    <w:rsid w:val="00D45421"/>
    <w:rsid w:val="00D61A1D"/>
    <w:rsid w:val="00D666C2"/>
    <w:rsid w:val="00D677CB"/>
    <w:rsid w:val="00D77C98"/>
    <w:rsid w:val="00D87929"/>
    <w:rsid w:val="00D95552"/>
    <w:rsid w:val="00DA04A3"/>
    <w:rsid w:val="00DA116B"/>
    <w:rsid w:val="00DA6E18"/>
    <w:rsid w:val="00DB3810"/>
    <w:rsid w:val="00DB67CB"/>
    <w:rsid w:val="00DC14E4"/>
    <w:rsid w:val="00DD41A3"/>
    <w:rsid w:val="00DD74EF"/>
    <w:rsid w:val="00DE12B8"/>
    <w:rsid w:val="00DE2CF4"/>
    <w:rsid w:val="00DF6888"/>
    <w:rsid w:val="00E07096"/>
    <w:rsid w:val="00E178EA"/>
    <w:rsid w:val="00E25506"/>
    <w:rsid w:val="00E46E63"/>
    <w:rsid w:val="00E51248"/>
    <w:rsid w:val="00E60963"/>
    <w:rsid w:val="00E61DB7"/>
    <w:rsid w:val="00E7335D"/>
    <w:rsid w:val="00E7535F"/>
    <w:rsid w:val="00EA668E"/>
    <w:rsid w:val="00EA7761"/>
    <w:rsid w:val="00EC3D00"/>
    <w:rsid w:val="00EC5EC0"/>
    <w:rsid w:val="00ED3499"/>
    <w:rsid w:val="00EE1D3A"/>
    <w:rsid w:val="00EE20FB"/>
    <w:rsid w:val="00EE2BC0"/>
    <w:rsid w:val="00EE76CD"/>
    <w:rsid w:val="00EF003A"/>
    <w:rsid w:val="00F236B6"/>
    <w:rsid w:val="00F349B6"/>
    <w:rsid w:val="00F35842"/>
    <w:rsid w:val="00F7184D"/>
    <w:rsid w:val="00F920C4"/>
    <w:rsid w:val="00FA17F8"/>
    <w:rsid w:val="00FA1F93"/>
    <w:rsid w:val="00FA7739"/>
    <w:rsid w:val="00FB6DD8"/>
    <w:rsid w:val="00FD131C"/>
    <w:rsid w:val="00FD355D"/>
    <w:rsid w:val="00FD53EA"/>
    <w:rsid w:val="00FE1209"/>
    <w:rsid w:val="00FE7D86"/>
    <w:rsid w:val="00FF192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934F517"/>
  <w15:chartTrackingRefBased/>
  <w15:docId w15:val="{3C57BA36-C911-4BE0-BFFC-23FAD3AEE97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C16C9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C16C9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CC16C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28697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601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2060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09584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34684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471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5505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1422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5220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313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598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02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91121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44722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372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126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2376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73289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8870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5307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754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8531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164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2163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711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19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6140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Mar16</b:Tag>
    <b:SourceType>Book</b:SourceType>
    <b:Guid>{81A326C9-0243-466E-A19B-03253FC20E71}</b:Guid>
    <b:Title>Introduction to the English legal system</b:Title>
    <b:Year>2015-2016</b:Year>
    <b:Author>
      <b:Author>
        <b:NameList>
          <b:Person>
            <b:Last>Partington</b:Last>
            <b:First>Martin</b:First>
          </b:Person>
        </b:NameList>
      </b:Author>
    </b:Author>
    <b:City>Oxford</b:City>
    <b:Publisher>Oxford University press</b:Publisher>
    <b:Edition>10</b:Edition>
    <b:RefOrder>1</b:RefOrder>
  </b:Source>
  <b:Source>
    <b:Tag>Slo13</b:Tag>
    <b:SourceType>Book</b:SourceType>
    <b:Guid>{B4B64BB5-1756-4B4E-8BE7-FD2366ACE675}</b:Guid>
    <b:Title>Legal system and skills</b:Title>
    <b:Year>2013</b:Year>
    <b:City>Oxford</b:City>
    <b:Publisher>Oxford university press</b:Publisher>
    <b:Edition>Second </b:Edition>
    <b:Author>
      <b:Author>
        <b:NameList>
          <b:Person>
            <b:Last>Slorach</b:Last>
            <b:First>Scott</b:First>
          </b:Person>
          <b:Person>
            <b:Last>Embley</b:Last>
            <b:First>Judith</b:First>
          </b:Person>
          <b:Person>
            <b:Last>Goodchild</b:Last>
            <b:First>Peter </b:First>
          </b:Person>
          <b:Person>
            <b:Last>Shepard</b:Last>
            <b:First>Catherine</b:First>
          </b:Person>
        </b:NameList>
      </b:Author>
    </b:Author>
    <b:RefOrder>2</b:RefOrder>
  </b:Source>
  <b:Source>
    <b:Tag>ord</b:Tag>
    <b:SourceType>ConferenceProceedings</b:SourceType>
    <b:Guid>{0D58A834-6594-4F16-B575-78FABFDA9DB0}</b:Guid>
    <b:Title>Judgments -- Fitzpatrick (A. P.) v. Sterling Housing Association Ltd.</b:Title>
    <b:Author>
      <b:Author>
        <b:NameList>
          <b:Person>
            <b:Last>Clyde</b:Last>
            <b:First>ord</b:First>
            <b:Middle>Slynn of Hadley Lord Nicholls of Birkenhead Lord</b:Middle>
          </b:Person>
        </b:NameList>
      </b:Author>
    </b:Author>
    <b:RefOrder>5</b:RefOrder>
  </b:Source>
  <b:Source>
    <b:Tag>Jud99</b:Tag>
    <b:SourceType>Case</b:SourceType>
    <b:Guid>{522DAEF1-2270-41B4-9723-212506216ACE}</b:Guid>
    <b:Title>Judgments -- Fitzpatrick (A. P.) v. Sterling Housing Association Ltd.</b:Title>
    <b:Year>1999</b:Year>
    <b:Reporter>House of Lords</b:Reporter>
    <b:RefOrder>3</b:RefOrder>
  </b:Source>
  <b:Source>
    <b:Tag>Ali69</b:Tag>
    <b:SourceType>Report</b:SourceType>
    <b:Guid>{5E939D0A-79EF-48C6-B9D2-5D79BA3C5898}</b:Guid>
    <b:Title>The need for statutory interpretation</b:Title>
    <b:Year>1969</b:Year>
    <b:Pages>2</b:Pages>
    <b:Author>
      <b:Author>
        <b:NameList>
          <b:Person>
            <b:Last>Alison</b:Last>
          </b:Person>
        </b:NameList>
      </b:Author>
    </b:Author>
    <b:Publisher>gov</b:Publisher>
    <b:RefOrder>6</b:RefOrder>
  </b:Source>
  <b:Source>
    <b:Tag>leg88</b:Tag>
    <b:SourceType>InternetSite</b:SourceType>
    <b:Guid>{6FBF0731-7F29-4EC2-A6A4-3C3DD5428D2C}</b:Guid>
    <b:Title>Criminal Justice Act </b:Title>
    <b:Year>1988</b:Year>
    <b:YearAccessed>2022</b:YearAccessed>
    <b:MonthAccessed>April</b:MonthAccessed>
    <b:DayAccessed>19</b:DayAccessed>
    <b:URL>https://www.legislation.gov.uk/ukpga/1988/33/contents</b:URL>
    <b:Author>
      <b:Author>
        <b:NameList>
          <b:Person>
            <b:Last>legislation.gov</b:Last>
          </b:Person>
        </b:NameList>
      </b:Author>
    </b:Author>
    <b:RefOrder>7</b:RefOrder>
  </b:Source>
  <b:Source>
    <b:Tag>Hou69</b:Tag>
    <b:SourceType>InternetSite</b:SourceType>
    <b:Guid>{EA07F4CC-D6AD-4B79-B381-8901B984D1F2}</b:Guid>
    <b:Author>
      <b:Author>
        <b:NameList>
          <b:Person>
            <b:Last>Commons</b:Last>
            <b:First>House</b:First>
            <b:Middle>of</b:Middle>
          </b:Person>
        </b:NameList>
      </b:Author>
    </b:Author>
    <b:Title>The interpretation of statutes HC 256</b:Title>
    <b:Year>1969</b:Year>
    <b:YearAccessed>2022</b:YearAccessed>
    <b:MonthAccessed>April</b:MonthAccessed>
    <b:DayAccessed>20</b:DayAccessed>
    <b:URL>https://assets.publishing.service.gov.uk/government/uploads/system/uploads/attachment_data/file/228894/0256.pdf</b:URL>
    <b:RefOrder>8</b:RefOrder>
  </b:Source>
  <b:Source>
    <b:Tag>Emi20</b:Tag>
    <b:SourceType>Book</b:SourceType>
    <b:Guid>{3FF8CBE8-05A3-48D9-968A-F59BF8BFAC06}</b:Guid>
    <b:Title>English legal system</b:Title>
    <b:Year>2020</b:Year>
    <b:Author>
      <b:Author>
        <b:NameList>
          <b:Person>
            <b:Last>Allbon</b:Last>
            <b:First>Emily</b:First>
          </b:Person>
        </b:NameList>
      </b:Author>
    </b:Author>
    <b:City>Harlow UK</b:City>
    <b:Publisher>Perason Education</b:Publisher>
    <b:Edition>21st</b:Edition>
    <b:RefOrder>4</b:RefOrder>
  </b:Source>
  <b:Source>
    <b:Tag>Gov61</b:Tag>
    <b:SourceType>Report</b:SourceType>
    <b:Guid>{25F4F5AB-B0C4-4DDF-BEDE-B28E1F666F2A}</b:Guid>
    <b:Title>Offences Against the person act, 1861</b:Title>
    <b:Year>1861</b:Year>
    <b:Publisher>Gov.uk</b:Publisher>
    <b:Author>
      <b:Author>
        <b:NameList>
          <b:Person>
            <b:Last>Gov.uk</b:Last>
          </b:Person>
        </b:NameList>
      </b:Author>
    </b:Author>
    <b:RefOrder>9</b:RefOrder>
  </b:Source>
  <b:Source>
    <b:Tag>Ric14</b:Tag>
    <b:SourceType>InternetSite</b:SourceType>
    <b:Guid>{6BEABE15-F3E7-4898-AC4E-46A4B1856FA5}</b:Guid>
    <b:Title>Gov.UK</b:Title>
    <b:Year>2014</b:Year>
    <b:Author>
      <b:Author>
        <b:NameList>
          <b:Person>
            <b:Last>Heaton</b:Last>
            <b:First>Richard</b:First>
          </b:Person>
        </b:NameList>
      </b:Author>
    </b:Author>
    <b:YearAccessed>2022</b:YearAccessed>
    <b:MonthAccessed>April</b:MonthAccessed>
    <b:DayAccessed>20</b:DayAccessed>
    <b:URL>https://www.gov.uk/government/speeches/making-the-law-easier-for-users-the-role-of-statutes--2</b:URL>
    <b:RefOrder>10</b:RefOrder>
  </b:Source>
</b:Sources>
</file>

<file path=customXml/itemProps1.xml><?xml version="1.0" encoding="utf-8"?>
<ds:datastoreItem xmlns:ds="http://schemas.openxmlformats.org/officeDocument/2006/customXml" ds:itemID="{037C7AC9-67F0-4616-A0EF-7DCC01D57F9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1020</TotalTime>
  <Pages>4</Pages>
  <Words>1465</Words>
  <Characters>8353</Characters>
  <Application>Microsoft Office Word</Application>
  <DocSecurity>0</DocSecurity>
  <Lines>69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9799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Kirsty Jones</dc:creator>
  <cp:keywords/>
  <dc:description/>
  <cp:lastModifiedBy>Kirsty Jones</cp:lastModifiedBy>
  <cp:revision>269</cp:revision>
  <dcterms:created xsi:type="dcterms:W3CDTF">2022-04-28T08:48:00Z</dcterms:created>
  <dcterms:modified xsi:type="dcterms:W3CDTF">2022-05-03T21:50:00Z</dcterms:modified>
</cp:coreProperties>
</file>