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FDFBA6" w14:textId="626F3EBF" w:rsidR="00AF4039" w:rsidRPr="00ED5440" w:rsidRDefault="00AF4039" w:rsidP="00AF4039">
      <w:pPr>
        <w:spacing w:after="0" w:line="360" w:lineRule="auto"/>
        <w:jc w:val="both"/>
        <w:rPr>
          <w:rFonts w:ascii="Times New Roman" w:hAnsi="Times New Roman" w:cs="Times New Roman"/>
          <w:sz w:val="24"/>
          <w:szCs w:val="24"/>
        </w:rPr>
      </w:pPr>
      <w:r w:rsidRPr="00ED5440">
        <w:rPr>
          <w:rFonts w:ascii="Times New Roman" w:hAnsi="Times New Roman" w:cs="Times New Roman"/>
          <w:sz w:val="24"/>
          <w:szCs w:val="24"/>
        </w:rPr>
        <w:t xml:space="preserve">Describe and </w:t>
      </w:r>
      <w:r w:rsidR="00BB6282">
        <w:rPr>
          <w:rFonts w:ascii="Times New Roman" w:hAnsi="Times New Roman" w:cs="Times New Roman"/>
          <w:sz w:val="24"/>
          <w:szCs w:val="24"/>
        </w:rPr>
        <w:t>E</w:t>
      </w:r>
      <w:r w:rsidRPr="00ED5440">
        <w:rPr>
          <w:rFonts w:ascii="Times New Roman" w:hAnsi="Times New Roman" w:cs="Times New Roman"/>
          <w:sz w:val="24"/>
          <w:szCs w:val="24"/>
        </w:rPr>
        <w:t>xplore the Sociological Theory of Feminism.</w:t>
      </w:r>
    </w:p>
    <w:p w14:paraId="45AC070A" w14:textId="77777777" w:rsidR="00AF4039" w:rsidRPr="00ED5440" w:rsidRDefault="00AF4039" w:rsidP="00AF4039">
      <w:pPr>
        <w:spacing w:after="0" w:line="360" w:lineRule="auto"/>
        <w:jc w:val="both"/>
        <w:rPr>
          <w:rFonts w:ascii="Times New Roman" w:hAnsi="Times New Roman" w:cs="Times New Roman"/>
          <w:sz w:val="24"/>
          <w:szCs w:val="24"/>
        </w:rPr>
      </w:pPr>
    </w:p>
    <w:p w14:paraId="7396EE82" w14:textId="4B18D1CE" w:rsidR="00AF4039" w:rsidRPr="00ED5440" w:rsidRDefault="00AF4039" w:rsidP="00AF4039">
      <w:pPr>
        <w:spacing w:after="0" w:line="360" w:lineRule="auto"/>
        <w:jc w:val="both"/>
        <w:rPr>
          <w:rFonts w:ascii="Times New Roman" w:hAnsi="Times New Roman" w:cs="Times New Roman"/>
          <w:sz w:val="24"/>
          <w:szCs w:val="24"/>
        </w:rPr>
      </w:pPr>
      <w:r w:rsidRPr="00ED5440">
        <w:rPr>
          <w:rFonts w:ascii="Times New Roman" w:hAnsi="Times New Roman" w:cs="Times New Roman"/>
          <w:sz w:val="24"/>
          <w:szCs w:val="24"/>
        </w:rPr>
        <w:t>This essay will discuss the sociological theory of feminism, by introducing what is meant by a sociological theory and a definition of feminism, commenting on the linking of feminism to conflict theory. The essay notes that feminism can be split into a domestic</w:t>
      </w:r>
      <w:r w:rsidR="00BB6282">
        <w:rPr>
          <w:rFonts w:ascii="Times New Roman" w:hAnsi="Times New Roman" w:cs="Times New Roman"/>
          <w:sz w:val="24"/>
          <w:szCs w:val="24"/>
        </w:rPr>
        <w:t>, micro-,</w:t>
      </w:r>
      <w:r w:rsidRPr="00ED5440">
        <w:rPr>
          <w:rFonts w:ascii="Times New Roman" w:hAnsi="Times New Roman" w:cs="Times New Roman"/>
          <w:sz w:val="24"/>
          <w:szCs w:val="24"/>
        </w:rPr>
        <w:t xml:space="preserve"> and societal</w:t>
      </w:r>
      <w:r w:rsidR="00BB6282">
        <w:rPr>
          <w:rFonts w:ascii="Times New Roman" w:hAnsi="Times New Roman" w:cs="Times New Roman"/>
          <w:sz w:val="24"/>
          <w:szCs w:val="24"/>
        </w:rPr>
        <w:t>, macro-,</w:t>
      </w:r>
      <w:r w:rsidRPr="00ED5440">
        <w:rPr>
          <w:rFonts w:ascii="Times New Roman" w:hAnsi="Times New Roman" w:cs="Times New Roman"/>
          <w:sz w:val="24"/>
          <w:szCs w:val="24"/>
        </w:rPr>
        <w:t xml:space="preserve"> level</w:t>
      </w:r>
      <w:r w:rsidR="00BB6282">
        <w:rPr>
          <w:rFonts w:ascii="Times New Roman" w:hAnsi="Times New Roman" w:cs="Times New Roman"/>
          <w:sz w:val="24"/>
          <w:szCs w:val="24"/>
        </w:rPr>
        <w:t>s</w:t>
      </w:r>
      <w:r w:rsidRPr="00ED5440">
        <w:rPr>
          <w:rFonts w:ascii="Times New Roman" w:hAnsi="Times New Roman" w:cs="Times New Roman"/>
          <w:sz w:val="24"/>
          <w:szCs w:val="24"/>
        </w:rPr>
        <w:t xml:space="preserve"> of analysis and that language interaction can be linked to feminism. The essay will continue to discuss the historical perspective of inequalities between men and women in society and how the social movements have evolved to make society a more equal place for women, making note of the three feminist waves, concentrating mainly</w:t>
      </w:r>
      <w:r w:rsidR="00BB6282">
        <w:rPr>
          <w:rFonts w:ascii="Times New Roman" w:hAnsi="Times New Roman" w:cs="Times New Roman"/>
          <w:sz w:val="24"/>
          <w:szCs w:val="24"/>
        </w:rPr>
        <w:t xml:space="preserve"> on</w:t>
      </w:r>
      <w:r w:rsidRPr="00ED5440">
        <w:rPr>
          <w:rFonts w:ascii="Times New Roman" w:hAnsi="Times New Roman" w:cs="Times New Roman"/>
          <w:sz w:val="24"/>
          <w:szCs w:val="24"/>
        </w:rPr>
        <w:t xml:space="preserve"> the right to vote and equal opportunity for employment and wage</w:t>
      </w:r>
      <w:r w:rsidR="00BB6282">
        <w:rPr>
          <w:rFonts w:ascii="Times New Roman" w:hAnsi="Times New Roman" w:cs="Times New Roman"/>
          <w:sz w:val="24"/>
          <w:szCs w:val="24"/>
        </w:rPr>
        <w:t>s</w:t>
      </w:r>
      <w:r w:rsidRPr="00ED5440">
        <w:rPr>
          <w:rFonts w:ascii="Times New Roman" w:hAnsi="Times New Roman" w:cs="Times New Roman"/>
          <w:sz w:val="24"/>
          <w:szCs w:val="24"/>
        </w:rPr>
        <w:t>, to continue with a brief note on the possibility of a fourth wave and concluding by a brief comment that women are continued to be omitted from an equal society.</w:t>
      </w:r>
    </w:p>
    <w:p w14:paraId="0048F64E" w14:textId="77777777" w:rsidR="00AF4039" w:rsidRPr="00ED5440" w:rsidRDefault="00AF4039" w:rsidP="00AF4039">
      <w:pPr>
        <w:spacing w:after="0" w:line="360" w:lineRule="auto"/>
        <w:jc w:val="both"/>
        <w:rPr>
          <w:rFonts w:ascii="Times New Roman" w:hAnsi="Times New Roman" w:cs="Times New Roman"/>
          <w:sz w:val="24"/>
          <w:szCs w:val="24"/>
        </w:rPr>
      </w:pPr>
    </w:p>
    <w:p w14:paraId="0A1DB23B" w14:textId="77777777" w:rsidR="00AF4039" w:rsidRPr="00ED5440" w:rsidRDefault="00AF4039" w:rsidP="00AF4039">
      <w:pPr>
        <w:spacing w:after="0" w:line="360" w:lineRule="auto"/>
        <w:jc w:val="both"/>
        <w:rPr>
          <w:rFonts w:ascii="Times New Roman" w:hAnsi="Times New Roman" w:cs="Times New Roman"/>
          <w:sz w:val="24"/>
          <w:szCs w:val="24"/>
        </w:rPr>
      </w:pPr>
      <w:bookmarkStart w:id="0" w:name="_Hlk519801775"/>
      <w:r w:rsidRPr="00ED5440">
        <w:rPr>
          <w:rFonts w:ascii="Times New Roman" w:hAnsi="Times New Roman" w:cs="Times New Roman"/>
          <w:sz w:val="24"/>
          <w:szCs w:val="24"/>
        </w:rPr>
        <w:t xml:space="preserve">A sociological theory is described by </w:t>
      </w:r>
      <w:bookmarkStart w:id="1" w:name="_Hlk519890243"/>
      <w:r w:rsidRPr="00ED5440">
        <w:rPr>
          <w:rFonts w:ascii="Times New Roman" w:hAnsi="Times New Roman" w:cs="Times New Roman"/>
          <w:sz w:val="24"/>
          <w:szCs w:val="24"/>
        </w:rPr>
        <w:t xml:space="preserve">Browne (1998, p.1) as a ‘study of human groups and social life in modern societies’. Freedman (2001) comments that feminism is a difficult concept to define, as it has many diverse strands, although many of these strands have common similarities and characteristics. Merriam-Webster (2018) defines feminism as ‘the theory of the political, economic and social equality of the sexes’ which can be seen as an ‘organised activity on behalf of women’s rights’, with a feminist being the person ‘who believes that women are disadvantaged in society, and should have rights, power and status equal to those of men’ (Browne, 2011, p.536). </w:t>
      </w:r>
    </w:p>
    <w:p w14:paraId="304B3523" w14:textId="77777777" w:rsidR="00AF4039" w:rsidRPr="00ED5440" w:rsidRDefault="00AF4039" w:rsidP="00AF4039">
      <w:pPr>
        <w:spacing w:after="0" w:line="360" w:lineRule="auto"/>
        <w:jc w:val="both"/>
        <w:rPr>
          <w:rFonts w:ascii="Times New Roman" w:hAnsi="Times New Roman" w:cs="Times New Roman"/>
          <w:sz w:val="24"/>
          <w:szCs w:val="24"/>
        </w:rPr>
      </w:pPr>
    </w:p>
    <w:p w14:paraId="50424E4E" w14:textId="12359844" w:rsidR="00AF4039" w:rsidRPr="00ED5440" w:rsidRDefault="00AF4039" w:rsidP="00AF4039">
      <w:pPr>
        <w:spacing w:after="0" w:line="360" w:lineRule="auto"/>
        <w:jc w:val="both"/>
        <w:rPr>
          <w:rFonts w:ascii="Times New Roman" w:hAnsi="Times New Roman" w:cs="Times New Roman"/>
          <w:sz w:val="24"/>
          <w:szCs w:val="24"/>
        </w:rPr>
      </w:pPr>
      <w:r w:rsidRPr="00ED5440">
        <w:rPr>
          <w:rFonts w:ascii="Times New Roman" w:hAnsi="Times New Roman" w:cs="Times New Roman"/>
          <w:sz w:val="24"/>
          <w:szCs w:val="24"/>
        </w:rPr>
        <w:t>Browne (2011) notes that a feminist would argue that society was dominated by men, known as patriarchy, causing conflict between genders. Haralambos and Holborn (1995); Giddens and Sutton (2013) explains that feminism can be linked to conflict theory, work that can be traced back to Karl Marx (1818-1883) and Max Weber (1864-1920). Conflict theorist</w:t>
      </w:r>
      <w:r w:rsidR="00BB6282">
        <w:rPr>
          <w:rFonts w:ascii="Times New Roman" w:hAnsi="Times New Roman" w:cs="Times New Roman"/>
          <w:sz w:val="24"/>
          <w:szCs w:val="24"/>
        </w:rPr>
        <w:t>s</w:t>
      </w:r>
      <w:r w:rsidRPr="00ED5440">
        <w:rPr>
          <w:rFonts w:ascii="Times New Roman" w:hAnsi="Times New Roman" w:cs="Times New Roman"/>
          <w:sz w:val="24"/>
          <w:szCs w:val="24"/>
        </w:rPr>
        <w:t xml:space="preserve"> understand that society cannot work in harmony and peacefulness resulting in conflicts and social differences, especially with inequalities to wealth, power and status (Browne, 2011). Dillion (2010, p.316) comments that patriarchy can be traced back too many authors of texts, such as the Bible, resulting in the church only allowing ‘men to be popes, cardinals, bishops and priests’, and asserting that men had created and defined society. </w:t>
      </w:r>
    </w:p>
    <w:p w14:paraId="1AC2E5AF" w14:textId="77777777" w:rsidR="00AF4039" w:rsidRPr="00ED5440" w:rsidRDefault="00AF4039" w:rsidP="00AF4039">
      <w:pPr>
        <w:spacing w:after="0" w:line="360" w:lineRule="auto"/>
        <w:jc w:val="both"/>
        <w:rPr>
          <w:rFonts w:ascii="Times New Roman" w:hAnsi="Times New Roman" w:cs="Times New Roman"/>
          <w:sz w:val="24"/>
          <w:szCs w:val="24"/>
        </w:rPr>
      </w:pPr>
    </w:p>
    <w:p w14:paraId="41F2368D" w14:textId="77777777" w:rsidR="00AF4039" w:rsidRPr="00ED5440" w:rsidRDefault="00AF4039" w:rsidP="00AF4039">
      <w:pPr>
        <w:spacing w:after="0" w:line="360" w:lineRule="auto"/>
        <w:jc w:val="both"/>
        <w:rPr>
          <w:rFonts w:ascii="Times New Roman" w:hAnsi="Times New Roman" w:cs="Times New Roman"/>
          <w:sz w:val="24"/>
          <w:szCs w:val="24"/>
        </w:rPr>
      </w:pPr>
      <w:r w:rsidRPr="00ED5440">
        <w:rPr>
          <w:rFonts w:ascii="Times New Roman" w:hAnsi="Times New Roman" w:cs="Times New Roman"/>
          <w:sz w:val="24"/>
          <w:szCs w:val="24"/>
        </w:rPr>
        <w:t xml:space="preserve">Gender inequalities have been divided into micro- and macro-level of analysis within society. The micro-level has been applied to domestic life, whilst the macro-level has been applied to </w:t>
      </w:r>
      <w:r w:rsidRPr="00ED5440">
        <w:rPr>
          <w:rFonts w:ascii="Times New Roman" w:hAnsi="Times New Roman" w:cs="Times New Roman"/>
          <w:sz w:val="24"/>
          <w:szCs w:val="24"/>
        </w:rPr>
        <w:lastRenderedPageBreak/>
        <w:t>the larger structures in society, such as politics, education, religion, legal systems and within many other institutions (Johnson, 2008; Giddens and Sutton, 2017). Giddens and Sutton (2017, p.22) assert that ‘stereotyping and language interactions’ can be linked to feminism and gender inequalities, words used daily such as “mankind”, “chairman” and “man-made”, can lead many to believe that men are favoured over women, leaving women oppressed.  Giddens and Sutton (2017) comment that George Herbert Mead (1863-1931) was the philosopher whom studied and explored in the study of symbolic interaction. Best (2003) notes that symbolic interaction is a way to understand social action, due to the way humans observe behaviours, it is a process of socialisation.</w:t>
      </w:r>
    </w:p>
    <w:p w14:paraId="0423A01C" w14:textId="77777777" w:rsidR="00AF4039" w:rsidRPr="00ED5440" w:rsidRDefault="00AF4039" w:rsidP="00AF4039">
      <w:pPr>
        <w:spacing w:after="0" w:line="360" w:lineRule="auto"/>
        <w:jc w:val="both"/>
        <w:rPr>
          <w:rFonts w:ascii="Times New Roman" w:hAnsi="Times New Roman" w:cs="Times New Roman"/>
          <w:sz w:val="24"/>
          <w:szCs w:val="24"/>
        </w:rPr>
      </w:pPr>
    </w:p>
    <w:p w14:paraId="65C20053" w14:textId="77777777" w:rsidR="00AF4039" w:rsidRPr="00ED5440" w:rsidRDefault="00AF4039" w:rsidP="00AF4039">
      <w:pPr>
        <w:spacing w:after="0" w:line="360" w:lineRule="auto"/>
        <w:jc w:val="both"/>
        <w:rPr>
          <w:rFonts w:ascii="Times New Roman" w:hAnsi="Times New Roman" w:cs="Times New Roman"/>
          <w:sz w:val="24"/>
          <w:szCs w:val="24"/>
        </w:rPr>
      </w:pPr>
      <w:r w:rsidRPr="00ED5440">
        <w:rPr>
          <w:rFonts w:ascii="Times New Roman" w:hAnsi="Times New Roman" w:cs="Times New Roman"/>
          <w:sz w:val="24"/>
          <w:szCs w:val="24"/>
        </w:rPr>
        <w:t>Feminism can be traced back to religious roots of the 12</w:t>
      </w:r>
      <w:r w:rsidRPr="00ED5440">
        <w:rPr>
          <w:rFonts w:ascii="Times New Roman" w:hAnsi="Times New Roman" w:cs="Times New Roman"/>
          <w:sz w:val="24"/>
          <w:szCs w:val="24"/>
          <w:vertAlign w:val="superscript"/>
        </w:rPr>
        <w:t>th</w:t>
      </w:r>
      <w:r w:rsidRPr="00ED5440">
        <w:rPr>
          <w:rFonts w:ascii="Times New Roman" w:hAnsi="Times New Roman" w:cs="Times New Roman"/>
          <w:sz w:val="24"/>
          <w:szCs w:val="24"/>
        </w:rPr>
        <w:t xml:space="preserve"> century, when Nun Hildergard of Bingen wrote and composed music and was given encouragement to pursue this pastime by Bernard of Clairvaux, one of many leading churchmen, this led to Hildergard of Bingen having the right to travel through Europe and preaching frequently in Germany (Walters, 2005).  Walters (2005) continues to explain that feminism as a word, only appeared in the English language in the late 19</w:t>
      </w:r>
      <w:r w:rsidRPr="00ED5440">
        <w:rPr>
          <w:rFonts w:ascii="Times New Roman" w:hAnsi="Times New Roman" w:cs="Times New Roman"/>
          <w:sz w:val="24"/>
          <w:szCs w:val="24"/>
          <w:vertAlign w:val="superscript"/>
        </w:rPr>
        <w:t>th</w:t>
      </w:r>
      <w:r w:rsidRPr="00ED5440">
        <w:rPr>
          <w:rFonts w:ascii="Times New Roman" w:hAnsi="Times New Roman" w:cs="Times New Roman"/>
          <w:sz w:val="24"/>
          <w:szCs w:val="24"/>
        </w:rPr>
        <w:t xml:space="preserve"> century from the French. </w:t>
      </w:r>
    </w:p>
    <w:p w14:paraId="5E936C28" w14:textId="77777777" w:rsidR="00AF4039" w:rsidRPr="00ED5440" w:rsidRDefault="00AF4039" w:rsidP="00AF4039">
      <w:pPr>
        <w:spacing w:after="0" w:line="360" w:lineRule="auto"/>
        <w:jc w:val="both"/>
        <w:rPr>
          <w:rFonts w:ascii="Times New Roman" w:hAnsi="Times New Roman" w:cs="Times New Roman"/>
          <w:sz w:val="24"/>
          <w:szCs w:val="24"/>
        </w:rPr>
      </w:pPr>
    </w:p>
    <w:p w14:paraId="58A92BF9" w14:textId="77777777" w:rsidR="00AF4039" w:rsidRPr="00ED5440" w:rsidRDefault="00AF4039" w:rsidP="00AF4039">
      <w:pPr>
        <w:spacing w:after="0" w:line="360" w:lineRule="auto"/>
        <w:jc w:val="both"/>
        <w:rPr>
          <w:rFonts w:ascii="Times New Roman" w:hAnsi="Times New Roman" w:cs="Times New Roman"/>
          <w:sz w:val="24"/>
          <w:szCs w:val="24"/>
        </w:rPr>
      </w:pPr>
      <w:r w:rsidRPr="00ED5440">
        <w:rPr>
          <w:rFonts w:ascii="Times New Roman" w:hAnsi="Times New Roman" w:cs="Times New Roman"/>
          <w:sz w:val="24"/>
          <w:szCs w:val="24"/>
        </w:rPr>
        <w:t>Feminists believe that the social movement can be split into three waves (Giddens and Sutton, 2017), by means of the first wave focusing on the fight for women to vote, the second wave focusing on gender issues and the right to employment and equal pay for women and the third phase continuing for equality across many various areas including equal pay for men and women (Dorey-Stein, 2018).</w:t>
      </w:r>
    </w:p>
    <w:p w14:paraId="6D08C972" w14:textId="77777777" w:rsidR="00AF4039" w:rsidRPr="00ED5440" w:rsidRDefault="00AF4039" w:rsidP="00AF4039">
      <w:pPr>
        <w:spacing w:after="0" w:line="360" w:lineRule="auto"/>
        <w:jc w:val="both"/>
        <w:rPr>
          <w:rFonts w:ascii="Times New Roman" w:hAnsi="Times New Roman" w:cs="Times New Roman"/>
          <w:sz w:val="24"/>
          <w:szCs w:val="24"/>
        </w:rPr>
      </w:pPr>
    </w:p>
    <w:p w14:paraId="0524FA07" w14:textId="1775E86B" w:rsidR="00AF4039" w:rsidRPr="00ED5440" w:rsidRDefault="00AF4039" w:rsidP="00AF4039">
      <w:pPr>
        <w:spacing w:after="0" w:line="360" w:lineRule="auto"/>
        <w:jc w:val="both"/>
        <w:rPr>
          <w:rFonts w:ascii="Times New Roman" w:hAnsi="Times New Roman" w:cs="Times New Roman"/>
          <w:sz w:val="24"/>
          <w:szCs w:val="24"/>
        </w:rPr>
      </w:pPr>
      <w:r w:rsidRPr="00ED5440">
        <w:rPr>
          <w:rFonts w:ascii="Times New Roman" w:hAnsi="Times New Roman" w:cs="Times New Roman"/>
          <w:sz w:val="24"/>
          <w:szCs w:val="24"/>
        </w:rPr>
        <w:t>Walters (2005) asserts that the first feminist wave can be trailed back to the 18</w:t>
      </w:r>
      <w:r w:rsidRPr="00ED5440">
        <w:rPr>
          <w:rFonts w:ascii="Times New Roman" w:hAnsi="Times New Roman" w:cs="Times New Roman"/>
          <w:sz w:val="24"/>
          <w:szCs w:val="24"/>
          <w:vertAlign w:val="superscript"/>
        </w:rPr>
        <w:t>th</w:t>
      </w:r>
      <w:r w:rsidRPr="00ED5440">
        <w:rPr>
          <w:rFonts w:ascii="Times New Roman" w:hAnsi="Times New Roman" w:cs="Times New Roman"/>
          <w:sz w:val="24"/>
          <w:szCs w:val="24"/>
        </w:rPr>
        <w:t xml:space="preserve"> century to the writings of Mary Wollstonecraft (1759-1797), she had advocated for women’s rights, although noted that women had been treated unfairly due to being uneducated, although believed that both genders should have been treated equally. Smith (2002) asserts that a women’s life, during the early 18</w:t>
      </w:r>
      <w:r w:rsidRPr="00ED5440">
        <w:rPr>
          <w:rFonts w:ascii="Times New Roman" w:hAnsi="Times New Roman" w:cs="Times New Roman"/>
          <w:sz w:val="24"/>
          <w:szCs w:val="24"/>
          <w:vertAlign w:val="superscript"/>
        </w:rPr>
        <w:t>th</w:t>
      </w:r>
      <w:r w:rsidRPr="00ED5440">
        <w:rPr>
          <w:rFonts w:ascii="Times New Roman" w:hAnsi="Times New Roman" w:cs="Times New Roman"/>
          <w:sz w:val="24"/>
          <w:szCs w:val="24"/>
        </w:rPr>
        <w:t xml:space="preserve"> century, revolved around being controlled by men, whether they would have been fathers or brothers, and once married to a husband, women had been given little responsibilities or the right to choices, and having their primary role as being a wife and rearing children. A husband owned his wife, along with any of her personal possessions or inheritance she had received by law. If a woman decided to remain single, they would be subjected to teasing and pitied by their community and within society, many would</w:t>
      </w:r>
      <w:r w:rsidR="00BB6282">
        <w:rPr>
          <w:rFonts w:ascii="Times New Roman" w:hAnsi="Times New Roman" w:cs="Times New Roman"/>
          <w:sz w:val="24"/>
          <w:szCs w:val="24"/>
        </w:rPr>
        <w:t xml:space="preserve"> therefore</w:t>
      </w:r>
      <w:r w:rsidRPr="00ED5440">
        <w:rPr>
          <w:rFonts w:ascii="Times New Roman" w:hAnsi="Times New Roman" w:cs="Times New Roman"/>
          <w:sz w:val="24"/>
          <w:szCs w:val="24"/>
        </w:rPr>
        <w:t xml:space="preserve"> join the convent. </w:t>
      </w:r>
    </w:p>
    <w:p w14:paraId="76988953" w14:textId="77777777" w:rsidR="00AF4039" w:rsidRPr="00ED5440" w:rsidRDefault="00AF4039" w:rsidP="00AF4039">
      <w:pPr>
        <w:spacing w:after="0" w:line="360" w:lineRule="auto"/>
        <w:jc w:val="both"/>
        <w:rPr>
          <w:rFonts w:ascii="Times New Roman" w:hAnsi="Times New Roman" w:cs="Times New Roman"/>
          <w:sz w:val="24"/>
          <w:szCs w:val="24"/>
        </w:rPr>
      </w:pPr>
    </w:p>
    <w:p w14:paraId="54D92A7D" w14:textId="21621E20" w:rsidR="00AF4039" w:rsidRPr="00ED5440" w:rsidRDefault="00AF4039" w:rsidP="00AF4039">
      <w:pPr>
        <w:spacing w:after="0" w:line="360" w:lineRule="auto"/>
        <w:jc w:val="both"/>
        <w:rPr>
          <w:rFonts w:ascii="Times New Roman" w:hAnsi="Times New Roman" w:cs="Times New Roman"/>
          <w:sz w:val="24"/>
          <w:szCs w:val="24"/>
        </w:rPr>
      </w:pPr>
      <w:r w:rsidRPr="00ED5440">
        <w:rPr>
          <w:rFonts w:ascii="Times New Roman" w:hAnsi="Times New Roman" w:cs="Times New Roman"/>
          <w:sz w:val="24"/>
          <w:szCs w:val="24"/>
        </w:rPr>
        <w:lastRenderedPageBreak/>
        <w:t>Dorey-Stein (2018) comments that women grasped the thought of needing to possess equal rights to men during the 19</w:t>
      </w:r>
      <w:r w:rsidRPr="00ED5440">
        <w:rPr>
          <w:rFonts w:ascii="Times New Roman" w:hAnsi="Times New Roman" w:cs="Times New Roman"/>
          <w:sz w:val="24"/>
          <w:szCs w:val="24"/>
          <w:vertAlign w:val="superscript"/>
        </w:rPr>
        <w:t>th</w:t>
      </w:r>
      <w:r w:rsidRPr="00ED5440">
        <w:rPr>
          <w:rFonts w:ascii="Times New Roman" w:hAnsi="Times New Roman" w:cs="Times New Roman"/>
          <w:sz w:val="24"/>
          <w:szCs w:val="24"/>
        </w:rPr>
        <w:t xml:space="preserve"> and 20</w:t>
      </w:r>
      <w:r w:rsidRPr="00ED5440">
        <w:rPr>
          <w:rFonts w:ascii="Times New Roman" w:hAnsi="Times New Roman" w:cs="Times New Roman"/>
          <w:sz w:val="24"/>
          <w:szCs w:val="24"/>
          <w:vertAlign w:val="superscript"/>
        </w:rPr>
        <w:t>th</w:t>
      </w:r>
      <w:r w:rsidRPr="00ED5440">
        <w:rPr>
          <w:rFonts w:ascii="Times New Roman" w:hAnsi="Times New Roman" w:cs="Times New Roman"/>
          <w:sz w:val="24"/>
          <w:szCs w:val="24"/>
        </w:rPr>
        <w:t xml:space="preserve"> centuries, to achieve this, women were required to gain the right to be able to vote at political elections. Parliament.uk (No Date b) comment that the campaign for the right to vote, was campaigned for by two groups the “suffragists”, whom campaigned peacefully, and the “suffragettes”, whom campaigned for the right to vote in any method they felt was achievable, this included acts of unlawfulness and violence, resulting in public attention. Historic England (No Date) note</w:t>
      </w:r>
      <w:r w:rsidR="00BB6282">
        <w:rPr>
          <w:rFonts w:ascii="Times New Roman" w:hAnsi="Times New Roman" w:cs="Times New Roman"/>
          <w:sz w:val="24"/>
          <w:szCs w:val="24"/>
        </w:rPr>
        <w:t>s</w:t>
      </w:r>
      <w:r w:rsidRPr="00ED5440">
        <w:rPr>
          <w:rFonts w:ascii="Times New Roman" w:hAnsi="Times New Roman" w:cs="Times New Roman"/>
          <w:sz w:val="24"/>
          <w:szCs w:val="24"/>
        </w:rPr>
        <w:t xml:space="preserve"> that in 1867 ‘early campaigns were initiated by the London Society for Women’s Suffrage (LNSWS) … and the Manchester National Society for Women’s Suffrage (MNSWS)’. Women from local areas began to join the suffrage, and the MNSWS were able to expand their campaign further away from Manchester, and eventually campaigned throughout the whole North of England. The MNSWS joined many other societies around the country, including the LNSWS, and later formed the National Union of Women’s Suffrage Societies (NUWSS), this strengthened the suffrage campaign (Historic England, No Date). </w:t>
      </w:r>
    </w:p>
    <w:p w14:paraId="2A3FE8A2" w14:textId="77777777" w:rsidR="00AF4039" w:rsidRPr="00ED5440" w:rsidRDefault="00AF4039" w:rsidP="00AF4039">
      <w:pPr>
        <w:spacing w:after="0" w:line="360" w:lineRule="auto"/>
        <w:jc w:val="both"/>
        <w:rPr>
          <w:rFonts w:ascii="Times New Roman" w:hAnsi="Times New Roman" w:cs="Times New Roman"/>
          <w:sz w:val="24"/>
          <w:szCs w:val="24"/>
        </w:rPr>
      </w:pPr>
    </w:p>
    <w:p w14:paraId="70CC65EA" w14:textId="77913D5D" w:rsidR="00AF4039" w:rsidRPr="00ED5440" w:rsidRDefault="00AF4039" w:rsidP="00AF4039">
      <w:pPr>
        <w:spacing w:after="0" w:line="360" w:lineRule="auto"/>
        <w:jc w:val="both"/>
        <w:rPr>
          <w:rFonts w:ascii="Times New Roman" w:hAnsi="Times New Roman" w:cs="Times New Roman"/>
          <w:sz w:val="24"/>
          <w:szCs w:val="24"/>
        </w:rPr>
      </w:pPr>
      <w:r w:rsidRPr="00ED5440">
        <w:rPr>
          <w:rFonts w:ascii="Times New Roman" w:hAnsi="Times New Roman" w:cs="Times New Roman"/>
          <w:sz w:val="24"/>
          <w:szCs w:val="24"/>
        </w:rPr>
        <w:t xml:space="preserve">National Archives (No Date); Trueman (2015a) comment that the NUWSS was founded by Millicent Fawcett in 1897. The </w:t>
      </w:r>
      <w:bookmarkStart w:id="2" w:name="_Hlk519892948"/>
      <w:r w:rsidRPr="00ED5440">
        <w:rPr>
          <w:rFonts w:ascii="Times New Roman" w:hAnsi="Times New Roman" w:cs="Times New Roman"/>
          <w:sz w:val="24"/>
          <w:szCs w:val="24"/>
        </w:rPr>
        <w:t>Fawcett Society (No Date</w:t>
      </w:r>
      <w:bookmarkEnd w:id="2"/>
      <w:r w:rsidRPr="00ED5440">
        <w:rPr>
          <w:rFonts w:ascii="Times New Roman" w:hAnsi="Times New Roman" w:cs="Times New Roman"/>
          <w:sz w:val="24"/>
          <w:szCs w:val="24"/>
        </w:rPr>
        <w:t>) assert that Millicent Fawcett devoted all her time to the suffrage, with her first task being to organise the first petition.  Trueman (2015a) notes that Millicent Fawcett carried out peaceful protests and believed that acts of violence could have been detrimental to the campaign, with questions possibly raised of the sanity of protestors who carried out dangerous acts whilst campaigning. Millicent Fawcett believed that as women had to adhere to the laws and pay equal taxes like the men, then in turn, women had the right to be included in creating the laws</w:t>
      </w:r>
      <w:r w:rsidR="00BB6282">
        <w:rPr>
          <w:rFonts w:ascii="Times New Roman" w:hAnsi="Times New Roman" w:cs="Times New Roman"/>
          <w:sz w:val="24"/>
          <w:szCs w:val="24"/>
        </w:rPr>
        <w:t xml:space="preserve"> (Fawcett Society, No Date).</w:t>
      </w:r>
    </w:p>
    <w:p w14:paraId="6C6EC4C1" w14:textId="77777777" w:rsidR="00AF4039" w:rsidRPr="00ED5440" w:rsidRDefault="00AF4039" w:rsidP="00AF4039">
      <w:pPr>
        <w:spacing w:after="0" w:line="360" w:lineRule="auto"/>
        <w:jc w:val="both"/>
        <w:rPr>
          <w:rFonts w:ascii="Times New Roman" w:hAnsi="Times New Roman" w:cs="Times New Roman"/>
          <w:sz w:val="24"/>
          <w:szCs w:val="24"/>
        </w:rPr>
      </w:pPr>
    </w:p>
    <w:p w14:paraId="707F1EF7" w14:textId="77777777" w:rsidR="00AF4039" w:rsidRPr="00ED5440" w:rsidRDefault="00AF4039" w:rsidP="00AF4039">
      <w:pPr>
        <w:spacing w:after="0" w:line="360" w:lineRule="auto"/>
        <w:jc w:val="both"/>
        <w:rPr>
          <w:rFonts w:ascii="Times New Roman" w:hAnsi="Times New Roman" w:cs="Times New Roman"/>
          <w:sz w:val="24"/>
          <w:szCs w:val="24"/>
        </w:rPr>
      </w:pPr>
      <w:r w:rsidRPr="00ED5440">
        <w:rPr>
          <w:rFonts w:ascii="Times New Roman" w:hAnsi="Times New Roman" w:cs="Times New Roman"/>
          <w:sz w:val="24"/>
          <w:szCs w:val="24"/>
        </w:rPr>
        <w:t xml:space="preserve">In 1903, Emmeline Pankhurst and her daughters Christabel and Sylvia, formed the Women’s Social and Political Union (MSPU), and resulted in the union being accepted as the “suffragettes”, they considered that any way was possible, whether it was law abiding or not, to successfully win the right to vote (Trueman, 2015a). Historic England (No Date); Trueman (2015a) agreed that in 1905, Christabel Pankhurst and Annie Kenney disturbed a political meeting, in Manchester, between Winston Churchill and Sir Edward Grey, both members of the Liberal Party. The women demanded to know the opinions of the men, on whether women should have the right to vote, with both men in dismay neither replied to the women, this resulted in the women exhibiting banners “Vote for Women” whilst continuing to demand an answer. This performance finalised with both Christabel and Annie having to be removed from </w:t>
      </w:r>
      <w:r w:rsidRPr="00ED5440">
        <w:rPr>
          <w:rFonts w:ascii="Times New Roman" w:hAnsi="Times New Roman" w:cs="Times New Roman"/>
          <w:sz w:val="24"/>
          <w:szCs w:val="24"/>
        </w:rPr>
        <w:lastRenderedPageBreak/>
        <w:t>the meeting and arrested. With the women refusing to pay the fines sanctioned, they had to be imprisoned. Upon their release, along with continued protest marches, the acts of violence increased, with members of the MSPU burning Churches and empty buildings, windows being smashed along Oxford Street and sailing up the river Thames in protest.  Approximately 1000 suffragettes were arrested and imprisoned.  The NUWSS continued to protest peacefully, whilst the Suffragettes continued to cause mayhem in prison, they began to starve themselves in protest, and once they were to weak the government  allowed them to be release, aware that they would not be able to re-join the suffragettes campaigns for some time, although this did not beat the suffragettes, they regained their strength and fought back. With a re-occurring circle of events of protesting, being re-arrested, to starving again and being released countless number of times.  This resulted in the suffragettes becoming more violent and preforming further acts, and in 1913 at the June Derby, Emily Wilding Davison, committed suicide in an attempt of suffrage campaigning. This made many men question the acts of the suffragettes, and whether they should have the right to vote, when educated women were killing themselves, what else could they do. Some acts had been seen to be detrimental to the cause (Trueman, 2015a).</w:t>
      </w:r>
    </w:p>
    <w:p w14:paraId="57D3D780" w14:textId="77777777" w:rsidR="00AF4039" w:rsidRPr="00ED5440" w:rsidRDefault="00AF4039" w:rsidP="00AF4039">
      <w:pPr>
        <w:spacing w:after="0" w:line="360" w:lineRule="auto"/>
        <w:jc w:val="both"/>
        <w:rPr>
          <w:rFonts w:ascii="Times New Roman" w:hAnsi="Times New Roman" w:cs="Times New Roman"/>
          <w:sz w:val="24"/>
          <w:szCs w:val="24"/>
        </w:rPr>
      </w:pPr>
    </w:p>
    <w:p w14:paraId="74FF2762" w14:textId="0E31BA25" w:rsidR="00AF4039" w:rsidRPr="00ED5440" w:rsidRDefault="00AF4039" w:rsidP="00AF4039">
      <w:pPr>
        <w:spacing w:after="0" w:line="360" w:lineRule="auto"/>
        <w:jc w:val="both"/>
        <w:rPr>
          <w:rFonts w:ascii="Times New Roman" w:hAnsi="Times New Roman" w:cs="Times New Roman"/>
          <w:sz w:val="24"/>
          <w:szCs w:val="24"/>
        </w:rPr>
      </w:pPr>
      <w:r w:rsidRPr="00ED5440">
        <w:rPr>
          <w:rFonts w:ascii="Times New Roman" w:hAnsi="Times New Roman" w:cs="Times New Roman"/>
          <w:sz w:val="24"/>
          <w:szCs w:val="24"/>
        </w:rPr>
        <w:t xml:space="preserve">Due to the commencement of World War One, the suffragette campaigning had to be put on hold (Dyer, 2016), with Historic England (No Date); Trueman (2015a) noting that Emily </w:t>
      </w:r>
      <w:r w:rsidR="009D24F6" w:rsidRPr="00ED5440">
        <w:rPr>
          <w:rFonts w:ascii="Times New Roman" w:hAnsi="Times New Roman" w:cs="Times New Roman"/>
          <w:sz w:val="24"/>
          <w:szCs w:val="24"/>
        </w:rPr>
        <w:t>Pankhurst</w:t>
      </w:r>
      <w:r w:rsidRPr="00ED5440">
        <w:rPr>
          <w:rFonts w:ascii="Times New Roman" w:hAnsi="Times New Roman" w:cs="Times New Roman"/>
          <w:sz w:val="24"/>
          <w:szCs w:val="24"/>
        </w:rPr>
        <w:t xml:space="preserve"> having ordered the suffragettes to stand down from all campaigning, and to concentrate on helping with the war effort. Parliament.uk (No Date c) assert</w:t>
      </w:r>
      <w:r w:rsidR="00BB6282">
        <w:rPr>
          <w:rFonts w:ascii="Times New Roman" w:hAnsi="Times New Roman" w:cs="Times New Roman"/>
          <w:sz w:val="24"/>
          <w:szCs w:val="24"/>
        </w:rPr>
        <w:t>s</w:t>
      </w:r>
      <w:r w:rsidRPr="00ED5440">
        <w:rPr>
          <w:rFonts w:ascii="Times New Roman" w:hAnsi="Times New Roman" w:cs="Times New Roman"/>
          <w:sz w:val="24"/>
          <w:szCs w:val="24"/>
        </w:rPr>
        <w:t xml:space="preserve"> that women, approximately two million, had occupied male roles of employment due to the war. Despite the fact that women had proven their capability of working in male dominant positions, women were given the opportunity to continue with employment but did not have an equal wage to their male counterparts, this was due to beliefs that women were worth less than men. This then lead to women believing that their right to vote had strengthened. Historic England (No Date) comment that many soldiers had lost their right to vote after the war whilst Trueman (2015a) asserts that women’s work during the war had proved vital in achieving the rights women had fought long for. Dillion (2010) notes that women of 30 year of age had been granted the right to vote with Holmes (2018) expanding to describe that the women were of middle class and aristocratic backgrounds. This had been achieved through the Representation of the People Act 1918 (Parliament.uk, No Date a). </w:t>
      </w:r>
      <w:bookmarkEnd w:id="0"/>
      <w:r w:rsidRPr="00ED5440">
        <w:rPr>
          <w:rFonts w:ascii="Times New Roman" w:hAnsi="Times New Roman" w:cs="Times New Roman"/>
          <w:sz w:val="24"/>
          <w:szCs w:val="24"/>
        </w:rPr>
        <w:t>Walters (2005) comments that women gaining the right to vote was also a recognition to full citizenship rights. Parliament.uk (No Date d</w:t>
      </w:r>
      <w:r w:rsidR="00BB6282">
        <w:rPr>
          <w:rFonts w:ascii="Times New Roman" w:hAnsi="Times New Roman" w:cs="Times New Roman"/>
          <w:sz w:val="24"/>
          <w:szCs w:val="24"/>
        </w:rPr>
        <w:t>)</w:t>
      </w:r>
      <w:r w:rsidRPr="00ED5440">
        <w:rPr>
          <w:rFonts w:ascii="Times New Roman" w:hAnsi="Times New Roman" w:cs="Times New Roman"/>
          <w:sz w:val="24"/>
          <w:szCs w:val="24"/>
        </w:rPr>
        <w:t xml:space="preserve">; </w:t>
      </w:r>
      <w:proofErr w:type="spellStart"/>
      <w:r w:rsidRPr="00ED5440">
        <w:rPr>
          <w:rFonts w:ascii="Times New Roman" w:hAnsi="Times New Roman" w:cs="Times New Roman"/>
          <w:sz w:val="24"/>
          <w:szCs w:val="24"/>
        </w:rPr>
        <w:t>Trueman</w:t>
      </w:r>
      <w:proofErr w:type="spellEnd"/>
      <w:r w:rsidRPr="00ED5440">
        <w:rPr>
          <w:rFonts w:ascii="Times New Roman" w:hAnsi="Times New Roman" w:cs="Times New Roman"/>
          <w:sz w:val="24"/>
          <w:szCs w:val="24"/>
        </w:rPr>
        <w:t xml:space="preserve"> (2015b) both state that women got to vote at the equal age of men at 21 years of age with </w:t>
      </w:r>
      <w:r w:rsidRPr="00ED5440">
        <w:rPr>
          <w:rFonts w:ascii="Times New Roman" w:hAnsi="Times New Roman" w:cs="Times New Roman"/>
          <w:sz w:val="24"/>
          <w:szCs w:val="24"/>
        </w:rPr>
        <w:lastRenderedPageBreak/>
        <w:t>Parliament.uk (No Date d) explaining that this was achieved through the Equal Franchise Act 1928 which had been granted to almost double the number of women that could vote from 1918.  Parliament.uk (No Date a) notes that the voting age was lowered to both men and women equally to the age of 18 in 1969 and ten years later, in 1979, Margaret Thatcher became the first female prime minister for the United Kingdom (Dillon, 2010).</w:t>
      </w:r>
    </w:p>
    <w:p w14:paraId="7B96CB4A" w14:textId="77777777" w:rsidR="00AF4039" w:rsidRPr="00ED5440" w:rsidRDefault="00AF4039" w:rsidP="00AF4039">
      <w:pPr>
        <w:spacing w:after="0" w:line="360" w:lineRule="auto"/>
        <w:jc w:val="both"/>
        <w:rPr>
          <w:rFonts w:ascii="Times New Roman" w:hAnsi="Times New Roman" w:cs="Times New Roman"/>
          <w:sz w:val="24"/>
          <w:szCs w:val="24"/>
        </w:rPr>
      </w:pPr>
    </w:p>
    <w:p w14:paraId="6301DD47" w14:textId="77777777" w:rsidR="00AF4039" w:rsidRPr="00ED5440" w:rsidRDefault="00AF4039" w:rsidP="00AF4039">
      <w:pPr>
        <w:spacing w:after="0" w:line="360" w:lineRule="auto"/>
        <w:jc w:val="both"/>
        <w:rPr>
          <w:rFonts w:ascii="Times New Roman" w:hAnsi="Times New Roman" w:cs="Times New Roman"/>
          <w:sz w:val="24"/>
          <w:szCs w:val="24"/>
        </w:rPr>
      </w:pPr>
      <w:r w:rsidRPr="00ED5440">
        <w:rPr>
          <w:rFonts w:ascii="Times New Roman" w:hAnsi="Times New Roman" w:cs="Times New Roman"/>
          <w:sz w:val="24"/>
          <w:szCs w:val="24"/>
        </w:rPr>
        <w:t xml:space="preserve">Dorey-Stein (2018) asserts that the second wave of feminism began after World War Two with Hannam (No Date) noting that it can be known as the Women’s Liberation Movement (WLM).  The Political Studies Association (PSA) (No Date) comments that a phrase ‘the person is political’ was used frequently, with Buchanan (2010) believing that it was due to women continuing to feel unequal against men in every way possible.  Schaefer (2011) suggests that this movement had been encouraged by writers Betty Friedan, Kate Millett and Simone de Beauvoir, whom expressed that patriarchy continued and resulted in women struggling with self-identity and self-worth. Valk (2008 cited in Giddens and Sutton, 2017, p.642) asserts that during the 1960s and 1970s the movement widened within civil rights, and included ‘students, black people’s movements, lesbian and gay movements, and disabled movements’. </w:t>
      </w:r>
    </w:p>
    <w:p w14:paraId="5992CF53" w14:textId="77777777" w:rsidR="00AF4039" w:rsidRPr="00ED5440" w:rsidRDefault="00AF4039" w:rsidP="00AF4039">
      <w:pPr>
        <w:spacing w:after="0" w:line="360" w:lineRule="auto"/>
        <w:jc w:val="both"/>
        <w:rPr>
          <w:rFonts w:ascii="Times New Roman" w:hAnsi="Times New Roman" w:cs="Times New Roman"/>
          <w:sz w:val="24"/>
          <w:szCs w:val="24"/>
        </w:rPr>
      </w:pPr>
    </w:p>
    <w:p w14:paraId="70287785" w14:textId="4158CFCD" w:rsidR="00AF4039" w:rsidRPr="00ED5440" w:rsidRDefault="00AF4039" w:rsidP="00AF4039">
      <w:pPr>
        <w:spacing w:after="0" w:line="360" w:lineRule="auto"/>
        <w:jc w:val="both"/>
        <w:rPr>
          <w:rFonts w:ascii="Times New Roman" w:hAnsi="Times New Roman" w:cs="Times New Roman"/>
          <w:sz w:val="24"/>
          <w:szCs w:val="24"/>
        </w:rPr>
      </w:pPr>
      <w:r w:rsidRPr="00ED5440">
        <w:rPr>
          <w:rFonts w:ascii="Times New Roman" w:hAnsi="Times New Roman" w:cs="Times New Roman"/>
          <w:sz w:val="24"/>
          <w:szCs w:val="24"/>
        </w:rPr>
        <w:t>The second wave movement challenged many stereotypical views that ‘a woman’s place was in the home’ (Browne, 1998, p.111). Johnson (2008, p.429) notes that men are ‘more independent, competitive and aggressive by nature’ and women are more suited to being housewives as they ‘are seen as more dependant, emotional and nurturing’.  Browne (2011, p.86) comments that ‘women perform more housework and childcare in the family than men’, resulting in women having limited options to enter full-time employment with negative effects on mental and physical health. Oakley (1974 cited in Giddens and Sutton, 2013) notes that industrialization provided inventions and facilities which made the chores of a woman in the home easier, together with Browne (1998) asserting that compulsory education was strengthened within the Education Act 1944, resulting in women spending less time having to take care of children meaning that women could then obtain employment. Diamond (2009) asserts that encouragement and opportunities had been presented to women</w:t>
      </w:r>
      <w:r w:rsidR="00BB6282">
        <w:rPr>
          <w:rFonts w:ascii="Times New Roman" w:hAnsi="Times New Roman" w:cs="Times New Roman"/>
          <w:sz w:val="24"/>
          <w:szCs w:val="24"/>
        </w:rPr>
        <w:t xml:space="preserve">, although </w:t>
      </w:r>
      <w:r w:rsidRPr="00ED5440">
        <w:rPr>
          <w:rFonts w:ascii="Times New Roman" w:hAnsi="Times New Roman" w:cs="Times New Roman"/>
          <w:sz w:val="24"/>
          <w:szCs w:val="24"/>
        </w:rPr>
        <w:t xml:space="preserve">with inadequate provisions of social support in place, in the form of adequate maternity leave and pay, flexible working hours and the availability of childcare support. Haralambos and Holborn (2000) comment that creating equal opportunities within employment, resulted in legislation, namely the Equal Pay Act 1970, to safeguard women’s wages and protect against discrimination. </w:t>
      </w:r>
    </w:p>
    <w:p w14:paraId="5B7E1762" w14:textId="77777777" w:rsidR="00AF4039" w:rsidRPr="00ED5440" w:rsidRDefault="00AF4039" w:rsidP="00AF4039">
      <w:pPr>
        <w:spacing w:after="0" w:line="360" w:lineRule="auto"/>
        <w:jc w:val="both"/>
        <w:rPr>
          <w:rFonts w:ascii="Times New Roman" w:hAnsi="Times New Roman" w:cs="Times New Roman"/>
          <w:sz w:val="24"/>
          <w:szCs w:val="24"/>
        </w:rPr>
      </w:pPr>
      <w:r w:rsidRPr="00ED5440">
        <w:rPr>
          <w:rFonts w:ascii="Times New Roman" w:hAnsi="Times New Roman" w:cs="Times New Roman"/>
          <w:sz w:val="24"/>
          <w:szCs w:val="24"/>
        </w:rPr>
        <w:lastRenderedPageBreak/>
        <w:t>Wyre (2009, p1) asserts that the third wave feminism developed in the 1980s and 90s and gave emphasis to women ‘having it all’, meaning they wanted freedom to have a career whilst being a mother and enjoying other aspects of life. Dorey-Stein (2018) assert that third wave feminists continued to fight to abolish the inequalities of wage differences between men and women and for women to have reproductive rights. Giddens and Sutton (2017, p. 643) comments that the ‘third-wave feminism is even more diverse then late second-wave reforms’.</w:t>
      </w:r>
    </w:p>
    <w:p w14:paraId="0F54045D" w14:textId="77777777" w:rsidR="00AF4039" w:rsidRPr="00ED5440" w:rsidRDefault="00AF4039" w:rsidP="00AF4039">
      <w:pPr>
        <w:spacing w:after="0" w:line="360" w:lineRule="auto"/>
        <w:jc w:val="both"/>
        <w:rPr>
          <w:rFonts w:ascii="Times New Roman" w:hAnsi="Times New Roman" w:cs="Times New Roman"/>
          <w:sz w:val="24"/>
          <w:szCs w:val="24"/>
        </w:rPr>
      </w:pPr>
    </w:p>
    <w:p w14:paraId="25381DA2" w14:textId="77777777" w:rsidR="00AF4039" w:rsidRPr="00ED5440" w:rsidRDefault="00AF4039" w:rsidP="00AF4039">
      <w:pPr>
        <w:spacing w:after="0" w:line="360" w:lineRule="auto"/>
        <w:jc w:val="both"/>
        <w:rPr>
          <w:rFonts w:ascii="Times New Roman" w:hAnsi="Times New Roman" w:cs="Times New Roman"/>
          <w:sz w:val="24"/>
          <w:szCs w:val="24"/>
        </w:rPr>
      </w:pPr>
      <w:r w:rsidRPr="00ED5440">
        <w:rPr>
          <w:rFonts w:ascii="Times New Roman" w:hAnsi="Times New Roman" w:cs="Times New Roman"/>
          <w:sz w:val="24"/>
          <w:szCs w:val="24"/>
        </w:rPr>
        <w:t>Close the Gap (No Date) comment that wage inequality continues between men and women’s earnings, whilst Emmerson and Joyce (2018) assert that ‘the gender wage gap has not fallen very much at all in the last fifteen years’. The Equal Opportunities Commissions (EOC) (No Date) asserts that promoting equality at the workplace has been highly important in the United Kingdom. The Equality and Human Rights Commission (No Date) assert that the Equality Act 2010 had been implemented ‘to protect the rights of individuals and advance equality of opportunity for all’, the Equality Act 2010 was the amalgamation of many previous acts that had been in place to protect against discrimination at the workplace.</w:t>
      </w:r>
    </w:p>
    <w:p w14:paraId="74D58C04" w14:textId="77777777" w:rsidR="00AF4039" w:rsidRPr="00ED5440" w:rsidRDefault="00AF4039" w:rsidP="00AF4039">
      <w:pPr>
        <w:spacing w:after="0" w:line="360" w:lineRule="auto"/>
        <w:jc w:val="both"/>
        <w:rPr>
          <w:rFonts w:ascii="Times New Roman" w:hAnsi="Times New Roman" w:cs="Times New Roman"/>
          <w:sz w:val="24"/>
          <w:szCs w:val="24"/>
        </w:rPr>
      </w:pPr>
    </w:p>
    <w:p w14:paraId="3F697030" w14:textId="77777777" w:rsidR="00AF4039" w:rsidRPr="00ED5440" w:rsidRDefault="00AF4039" w:rsidP="00AF4039">
      <w:pPr>
        <w:spacing w:after="0" w:line="360" w:lineRule="auto"/>
        <w:jc w:val="both"/>
        <w:rPr>
          <w:rFonts w:ascii="Times New Roman" w:hAnsi="Times New Roman" w:cs="Times New Roman"/>
          <w:sz w:val="24"/>
          <w:szCs w:val="24"/>
        </w:rPr>
      </w:pPr>
      <w:r w:rsidRPr="00ED5440">
        <w:rPr>
          <w:rFonts w:ascii="Times New Roman" w:hAnsi="Times New Roman" w:cs="Times New Roman"/>
          <w:sz w:val="24"/>
          <w:szCs w:val="24"/>
        </w:rPr>
        <w:t xml:space="preserve">Britain, as a developed country, accomplished many triumphs due to the women’s movements during the twentieth century and prior to this, the first two waves (Giddens and Sutton, 2017). Saul (2003) believes that feminism is now outdated due to the fact that many women have successfully entered the professions and roles that men had only previously occupied, and therefore women believe that the battle was won. Tasker and Negra (2007, cited in Giddens and Sutton, 2017) comment that many had argued that Britain had moved into a phase called post-feminism or that feminism is now inactive.  </w:t>
      </w:r>
    </w:p>
    <w:p w14:paraId="4B01A94B" w14:textId="77777777" w:rsidR="00AF4039" w:rsidRPr="00ED5440" w:rsidRDefault="00AF4039" w:rsidP="00AF4039">
      <w:pPr>
        <w:spacing w:after="0" w:line="360" w:lineRule="auto"/>
        <w:jc w:val="both"/>
        <w:rPr>
          <w:rFonts w:ascii="Times New Roman" w:hAnsi="Times New Roman" w:cs="Times New Roman"/>
          <w:sz w:val="24"/>
          <w:szCs w:val="24"/>
        </w:rPr>
      </w:pPr>
    </w:p>
    <w:p w14:paraId="19C88381" w14:textId="77777777" w:rsidR="00AF4039" w:rsidRPr="00ED5440" w:rsidRDefault="00AF4039" w:rsidP="00AF4039">
      <w:pPr>
        <w:spacing w:after="0" w:line="360" w:lineRule="auto"/>
        <w:jc w:val="both"/>
        <w:rPr>
          <w:rFonts w:ascii="Times New Roman" w:hAnsi="Times New Roman" w:cs="Times New Roman"/>
          <w:sz w:val="24"/>
          <w:szCs w:val="24"/>
        </w:rPr>
      </w:pPr>
      <w:r w:rsidRPr="00ED5440">
        <w:rPr>
          <w:rFonts w:ascii="Times New Roman" w:hAnsi="Times New Roman" w:cs="Times New Roman"/>
          <w:sz w:val="24"/>
          <w:szCs w:val="24"/>
        </w:rPr>
        <w:t xml:space="preserve">Schuster (2013) notes that third wave feminism did not fade but rather it changed. Shanahan (2018) believes that the fourth wave ‘sparked in the early 2010’s’, which was promoted by modern technology, for instance the internet and the usage of social media (Shanahan, 2018; PSA, No Date).  Diamond (2009) asserts that the fourth wave is a continuance due to the unfished matters of the previous three waves, and that many inequalities continue to exist in today’s society within personal and political areas. PSA (No Date) asserts that the internet has enabled a wider gathering of feminists and allowed for both discussions and activism to continue and develop further. Although, the PSA (No Date) acknowledges that many online activists are of the younger generation, and Schuster (2013) asserts that many older generation </w:t>
      </w:r>
      <w:r w:rsidRPr="00ED5440">
        <w:rPr>
          <w:rFonts w:ascii="Times New Roman" w:hAnsi="Times New Roman" w:cs="Times New Roman"/>
          <w:sz w:val="24"/>
          <w:szCs w:val="24"/>
        </w:rPr>
        <w:lastRenderedPageBreak/>
        <w:t xml:space="preserve">feminists can be omitted from discussions and activism as they are not users of modern technology. </w:t>
      </w:r>
    </w:p>
    <w:p w14:paraId="3C69BCDC" w14:textId="77777777" w:rsidR="00AF4039" w:rsidRPr="00ED5440" w:rsidRDefault="00AF4039" w:rsidP="00AF4039">
      <w:pPr>
        <w:spacing w:after="0" w:line="360" w:lineRule="auto"/>
        <w:jc w:val="both"/>
        <w:rPr>
          <w:rFonts w:ascii="Times New Roman" w:hAnsi="Times New Roman" w:cs="Times New Roman"/>
          <w:sz w:val="24"/>
          <w:szCs w:val="24"/>
        </w:rPr>
      </w:pPr>
    </w:p>
    <w:p w14:paraId="3F7F2B53" w14:textId="0728C551" w:rsidR="00AF4039" w:rsidRPr="00ED5440" w:rsidRDefault="00AF4039" w:rsidP="00AF4039">
      <w:pPr>
        <w:spacing w:after="0" w:line="360" w:lineRule="auto"/>
        <w:jc w:val="both"/>
        <w:rPr>
          <w:rFonts w:ascii="Times New Roman" w:hAnsi="Times New Roman" w:cs="Times New Roman"/>
          <w:sz w:val="24"/>
          <w:szCs w:val="24"/>
        </w:rPr>
      </w:pPr>
      <w:r w:rsidRPr="00ED5440">
        <w:rPr>
          <w:rFonts w:ascii="Times New Roman" w:hAnsi="Times New Roman" w:cs="Times New Roman"/>
          <w:sz w:val="24"/>
          <w:szCs w:val="24"/>
        </w:rPr>
        <w:t xml:space="preserve">Abbot </w:t>
      </w:r>
      <w:r w:rsidRPr="00ED5440">
        <w:rPr>
          <w:rFonts w:ascii="Times New Roman" w:hAnsi="Times New Roman" w:cs="Times New Roman"/>
          <w:i/>
          <w:sz w:val="24"/>
          <w:szCs w:val="24"/>
        </w:rPr>
        <w:t>et al.</w:t>
      </w:r>
      <w:r w:rsidRPr="00ED5440">
        <w:rPr>
          <w:rFonts w:ascii="Times New Roman" w:hAnsi="Times New Roman" w:cs="Times New Roman"/>
          <w:sz w:val="24"/>
          <w:szCs w:val="24"/>
        </w:rPr>
        <w:t xml:space="preserve"> (2005, cited in Giddens and Sutton, 2017) asserts that domination by men continues in society even though many political engagements did positively effect and initiate equality in numerous areas of life. Browne (2011) comments that women continue to have the majority of the responsibilities within the home and with children alongside working full-time, should there be an illness or an elderly family requiring care, it would be the woman who would sacrifice their occupations. Ho</w:t>
      </w:r>
      <w:r w:rsidR="00BB6282">
        <w:rPr>
          <w:rFonts w:ascii="Times New Roman" w:hAnsi="Times New Roman" w:cs="Times New Roman"/>
          <w:sz w:val="24"/>
          <w:szCs w:val="24"/>
        </w:rPr>
        <w:t>l</w:t>
      </w:r>
      <w:bookmarkStart w:id="3" w:name="_GoBack"/>
      <w:bookmarkEnd w:id="3"/>
      <w:r w:rsidRPr="00ED5440">
        <w:rPr>
          <w:rFonts w:ascii="Times New Roman" w:hAnsi="Times New Roman" w:cs="Times New Roman"/>
          <w:sz w:val="24"/>
          <w:szCs w:val="24"/>
        </w:rPr>
        <w:t xml:space="preserve">mes (2018) </w:t>
      </w:r>
      <w:bookmarkEnd w:id="1"/>
      <w:r w:rsidRPr="00ED5440">
        <w:rPr>
          <w:rFonts w:ascii="Times New Roman" w:hAnsi="Times New Roman" w:cs="Times New Roman"/>
          <w:sz w:val="24"/>
          <w:szCs w:val="24"/>
        </w:rPr>
        <w:t xml:space="preserve">believes that even after 100 years, women continue to struggle for equality. </w:t>
      </w:r>
    </w:p>
    <w:p w14:paraId="0CADDC1B" w14:textId="77777777" w:rsidR="00AF4039" w:rsidRPr="00ED5440" w:rsidRDefault="00AF4039" w:rsidP="00AF4039">
      <w:pPr>
        <w:spacing w:after="0" w:line="360" w:lineRule="auto"/>
        <w:jc w:val="both"/>
        <w:rPr>
          <w:rFonts w:ascii="Times New Roman" w:hAnsi="Times New Roman" w:cs="Times New Roman"/>
          <w:sz w:val="24"/>
          <w:szCs w:val="24"/>
        </w:rPr>
      </w:pPr>
    </w:p>
    <w:p w14:paraId="04E1C031" w14:textId="77777777" w:rsidR="00AF4039" w:rsidRPr="00AF4039" w:rsidRDefault="00AF4039" w:rsidP="00AF4039">
      <w:pPr>
        <w:spacing w:after="0" w:line="360" w:lineRule="auto"/>
        <w:jc w:val="both"/>
        <w:rPr>
          <w:rFonts w:ascii="Times New Roman" w:hAnsi="Times New Roman" w:cs="Times New Roman"/>
          <w:sz w:val="24"/>
          <w:szCs w:val="24"/>
        </w:rPr>
      </w:pPr>
      <w:r w:rsidRPr="00ED5440">
        <w:rPr>
          <w:rFonts w:ascii="Times New Roman" w:hAnsi="Times New Roman" w:cs="Times New Roman"/>
          <w:sz w:val="24"/>
          <w:szCs w:val="24"/>
        </w:rPr>
        <w:t>To conclude this essay, based on the sociological theory of feminism, it was noted that a theory was a study based on people within society, and noted that feminism can be difficult to define, although many agreed that there had been a number of similarities, it is principally rooted on the study of gender inequalities, linking to conflict theory. The essay stated that domestic life and societal structures can be split in micro- and macro-levels of analysis, retrospectively, whilst language interaction was also linked to feminism with masculine words being used daily. Continuing to explore that feminism was able to be traced back to religious roots, as early as the 12</w:t>
      </w:r>
      <w:r w:rsidRPr="00ED5440">
        <w:rPr>
          <w:rFonts w:ascii="Times New Roman" w:hAnsi="Times New Roman" w:cs="Times New Roman"/>
          <w:sz w:val="24"/>
          <w:szCs w:val="24"/>
          <w:vertAlign w:val="superscript"/>
        </w:rPr>
        <w:t>th</w:t>
      </w:r>
      <w:r w:rsidRPr="00ED5440">
        <w:rPr>
          <w:rFonts w:ascii="Times New Roman" w:hAnsi="Times New Roman" w:cs="Times New Roman"/>
          <w:sz w:val="24"/>
          <w:szCs w:val="24"/>
        </w:rPr>
        <w:t xml:space="preserve"> century, with the first wave of feminism focusing on women’s rights from the 18</w:t>
      </w:r>
      <w:r w:rsidRPr="00ED5440">
        <w:rPr>
          <w:rFonts w:ascii="Times New Roman" w:hAnsi="Times New Roman" w:cs="Times New Roman"/>
          <w:sz w:val="24"/>
          <w:szCs w:val="24"/>
          <w:vertAlign w:val="superscript"/>
        </w:rPr>
        <w:t>th</w:t>
      </w:r>
      <w:r w:rsidRPr="00ED5440">
        <w:rPr>
          <w:rFonts w:ascii="Times New Roman" w:hAnsi="Times New Roman" w:cs="Times New Roman"/>
          <w:sz w:val="24"/>
          <w:szCs w:val="24"/>
        </w:rPr>
        <w:t xml:space="preserve"> century and campaigning by the suffragettes for women to have the right to vote. World War One allowed women to prove that they were needed and could uphold equal positions to men in male dominated areas, along with a number of soldiers then unable to vote, this resulted in </w:t>
      </w:r>
      <w:r w:rsidRPr="00AF4039">
        <w:rPr>
          <w:rFonts w:ascii="Times New Roman" w:hAnsi="Times New Roman" w:cs="Times New Roman"/>
          <w:sz w:val="24"/>
          <w:szCs w:val="24"/>
        </w:rPr>
        <w:t>women gaining the right to vote by 1918.</w:t>
      </w:r>
    </w:p>
    <w:p w14:paraId="6396DD1C" w14:textId="77777777" w:rsidR="00AF4039" w:rsidRPr="00AF4039" w:rsidRDefault="00AF4039" w:rsidP="00AF4039">
      <w:pPr>
        <w:spacing w:after="0" w:line="360" w:lineRule="auto"/>
        <w:jc w:val="both"/>
        <w:rPr>
          <w:rFonts w:ascii="Times New Roman" w:hAnsi="Times New Roman" w:cs="Times New Roman"/>
          <w:sz w:val="24"/>
          <w:szCs w:val="24"/>
        </w:rPr>
      </w:pPr>
    </w:p>
    <w:p w14:paraId="2DAD55B0" w14:textId="6E8738D7" w:rsidR="00AF4039" w:rsidRPr="00AF4039" w:rsidRDefault="00AF4039" w:rsidP="00AF4039">
      <w:pPr>
        <w:spacing w:after="0" w:line="360" w:lineRule="auto"/>
        <w:jc w:val="both"/>
        <w:rPr>
          <w:rFonts w:ascii="Times New Roman" w:hAnsi="Times New Roman" w:cs="Times New Roman"/>
          <w:sz w:val="24"/>
          <w:szCs w:val="24"/>
        </w:rPr>
      </w:pPr>
      <w:r w:rsidRPr="00AF4039">
        <w:rPr>
          <w:rFonts w:ascii="Times New Roman" w:hAnsi="Times New Roman" w:cs="Times New Roman"/>
          <w:sz w:val="24"/>
          <w:szCs w:val="24"/>
        </w:rPr>
        <w:t xml:space="preserve">The essay discussed that the second wave of feminism was established after </w:t>
      </w:r>
      <w:r w:rsidR="009D24F6" w:rsidRPr="00AF4039">
        <w:rPr>
          <w:rFonts w:ascii="Times New Roman" w:hAnsi="Times New Roman" w:cs="Times New Roman"/>
          <w:sz w:val="24"/>
          <w:szCs w:val="24"/>
        </w:rPr>
        <w:t>World</w:t>
      </w:r>
      <w:r w:rsidRPr="00AF4039">
        <w:rPr>
          <w:rFonts w:ascii="Times New Roman" w:hAnsi="Times New Roman" w:cs="Times New Roman"/>
          <w:sz w:val="24"/>
          <w:szCs w:val="24"/>
        </w:rPr>
        <w:t xml:space="preserve"> War Two and focused on women’s liberation based on various publications by female writers, and the notion that women continued to feel oppressed and dominated by a male society, as women were only seen as housewives, and therefore caused the rise for the fight for further rights to employment and changes in legislation to have equal wages to men. Furthermore, continuing to note that the third wave of feminism arose due to women wanting to have everything, equality in all aspects of life, although being equal in the workplace was an ongoing challenge, feminists continued to fight, and changes within legislation with the introduction of the Equality Act 2010, hoped that inequality and discrimination at the workplace would be eliminated.</w:t>
      </w:r>
    </w:p>
    <w:p w14:paraId="2F22A353" w14:textId="463E94FF" w:rsidR="009F6CDB" w:rsidRPr="00AF4039" w:rsidRDefault="00AF4039" w:rsidP="00AF4039">
      <w:pPr>
        <w:spacing w:after="0" w:line="360" w:lineRule="auto"/>
        <w:jc w:val="both"/>
        <w:rPr>
          <w:rFonts w:ascii="Times New Roman" w:hAnsi="Times New Roman" w:cs="Times New Roman"/>
          <w:sz w:val="24"/>
          <w:szCs w:val="24"/>
        </w:rPr>
      </w:pPr>
      <w:r w:rsidRPr="00AF4039">
        <w:rPr>
          <w:rFonts w:ascii="Times New Roman" w:hAnsi="Times New Roman" w:cs="Times New Roman"/>
          <w:sz w:val="24"/>
          <w:szCs w:val="24"/>
        </w:rPr>
        <w:lastRenderedPageBreak/>
        <w:t>It is evident that feminism can be split into the first, second and third waves, gaining many successful movements for rights and equality, with many believing that feminism had ended after the third wave. A brief mention of a possibility of a fourth wave of feminism continuing within society, by the means of online discussions and activism, although many believe that this is based on a younger generation, where the older generation have been excluded. The discussion concluded by noting that men continue to dominate, while women continue to strive for complete equality, and therefore, the question must be asked, will full equality between men and women ever be reached?</w:t>
      </w:r>
    </w:p>
    <w:p w14:paraId="69E6C26A" w14:textId="54BD5D29" w:rsidR="00AF4039" w:rsidRPr="00AF4039" w:rsidRDefault="00AF4039" w:rsidP="00AF4039">
      <w:pPr>
        <w:spacing w:after="0" w:line="360" w:lineRule="auto"/>
        <w:jc w:val="both"/>
        <w:rPr>
          <w:rFonts w:ascii="Times New Roman" w:hAnsi="Times New Roman" w:cs="Times New Roman"/>
          <w:sz w:val="24"/>
          <w:szCs w:val="24"/>
        </w:rPr>
      </w:pPr>
    </w:p>
    <w:p w14:paraId="7FABC302" w14:textId="7B65311D" w:rsidR="00AF4039" w:rsidRPr="00AF4039" w:rsidRDefault="00AF4039" w:rsidP="00AF4039">
      <w:pPr>
        <w:spacing w:after="0" w:line="360" w:lineRule="auto"/>
        <w:jc w:val="both"/>
        <w:rPr>
          <w:rFonts w:ascii="Times New Roman" w:hAnsi="Times New Roman" w:cs="Times New Roman"/>
          <w:sz w:val="24"/>
          <w:szCs w:val="24"/>
        </w:rPr>
      </w:pPr>
    </w:p>
    <w:p w14:paraId="741A1C72" w14:textId="28C22572" w:rsidR="00AF4039" w:rsidRPr="00AF4039" w:rsidRDefault="00AF4039" w:rsidP="00AF4039">
      <w:pPr>
        <w:spacing w:after="0" w:line="360" w:lineRule="auto"/>
        <w:jc w:val="both"/>
        <w:rPr>
          <w:rFonts w:ascii="Times New Roman" w:hAnsi="Times New Roman" w:cs="Times New Roman"/>
          <w:sz w:val="24"/>
          <w:szCs w:val="24"/>
        </w:rPr>
      </w:pPr>
    </w:p>
    <w:p w14:paraId="3B234CC6" w14:textId="544510E9" w:rsidR="00AF4039" w:rsidRPr="00AF4039" w:rsidRDefault="00AF4039" w:rsidP="00AF4039">
      <w:pPr>
        <w:spacing w:after="0" w:line="360" w:lineRule="auto"/>
        <w:jc w:val="both"/>
        <w:rPr>
          <w:rFonts w:ascii="Times New Roman" w:hAnsi="Times New Roman" w:cs="Times New Roman"/>
          <w:sz w:val="24"/>
          <w:szCs w:val="24"/>
        </w:rPr>
      </w:pPr>
    </w:p>
    <w:p w14:paraId="78A69155" w14:textId="29227027" w:rsidR="00AF4039" w:rsidRPr="00AF4039" w:rsidRDefault="00AF4039" w:rsidP="00AF4039">
      <w:pPr>
        <w:spacing w:after="0" w:line="360" w:lineRule="auto"/>
        <w:jc w:val="both"/>
        <w:rPr>
          <w:rFonts w:ascii="Times New Roman" w:hAnsi="Times New Roman" w:cs="Times New Roman"/>
          <w:sz w:val="24"/>
          <w:szCs w:val="24"/>
        </w:rPr>
      </w:pPr>
    </w:p>
    <w:p w14:paraId="29354ED4" w14:textId="7D1DD981" w:rsidR="00AF4039" w:rsidRPr="00AF4039" w:rsidRDefault="00AF4039" w:rsidP="00AF4039">
      <w:pPr>
        <w:spacing w:after="0" w:line="360" w:lineRule="auto"/>
        <w:jc w:val="both"/>
        <w:rPr>
          <w:rFonts w:ascii="Times New Roman" w:hAnsi="Times New Roman" w:cs="Times New Roman"/>
          <w:sz w:val="24"/>
          <w:szCs w:val="24"/>
        </w:rPr>
      </w:pPr>
    </w:p>
    <w:p w14:paraId="7D2E166E" w14:textId="6C1F81CE" w:rsidR="00AF4039" w:rsidRPr="00AF4039" w:rsidRDefault="00AF4039" w:rsidP="00AF4039">
      <w:pPr>
        <w:spacing w:after="0" w:line="360" w:lineRule="auto"/>
        <w:jc w:val="both"/>
        <w:rPr>
          <w:rFonts w:ascii="Times New Roman" w:hAnsi="Times New Roman" w:cs="Times New Roman"/>
          <w:sz w:val="24"/>
          <w:szCs w:val="24"/>
        </w:rPr>
      </w:pPr>
    </w:p>
    <w:p w14:paraId="0FC3A1D1" w14:textId="5F238AA4" w:rsidR="00AF4039" w:rsidRPr="00AF4039" w:rsidRDefault="00AF4039" w:rsidP="00AF4039">
      <w:pPr>
        <w:spacing w:after="0" w:line="360" w:lineRule="auto"/>
        <w:jc w:val="both"/>
        <w:rPr>
          <w:rFonts w:ascii="Times New Roman" w:hAnsi="Times New Roman" w:cs="Times New Roman"/>
          <w:sz w:val="24"/>
          <w:szCs w:val="24"/>
        </w:rPr>
      </w:pPr>
    </w:p>
    <w:p w14:paraId="718AACDC" w14:textId="70167AB7" w:rsidR="00AF4039" w:rsidRPr="00AF4039" w:rsidRDefault="00AF4039" w:rsidP="00AF4039">
      <w:pPr>
        <w:spacing w:after="0" w:line="360" w:lineRule="auto"/>
        <w:jc w:val="both"/>
        <w:rPr>
          <w:rFonts w:ascii="Times New Roman" w:hAnsi="Times New Roman" w:cs="Times New Roman"/>
          <w:sz w:val="24"/>
          <w:szCs w:val="24"/>
        </w:rPr>
      </w:pPr>
    </w:p>
    <w:p w14:paraId="296EB5FE" w14:textId="1748A053" w:rsidR="00AF4039" w:rsidRPr="00AF4039" w:rsidRDefault="00AF4039" w:rsidP="00AF4039">
      <w:pPr>
        <w:spacing w:after="0" w:line="360" w:lineRule="auto"/>
        <w:jc w:val="both"/>
        <w:rPr>
          <w:rFonts w:ascii="Times New Roman" w:hAnsi="Times New Roman" w:cs="Times New Roman"/>
          <w:sz w:val="24"/>
          <w:szCs w:val="24"/>
        </w:rPr>
      </w:pPr>
    </w:p>
    <w:p w14:paraId="583B5BD4" w14:textId="783EBF62" w:rsidR="00AF4039" w:rsidRPr="00AF4039" w:rsidRDefault="00AF4039" w:rsidP="00AF4039">
      <w:pPr>
        <w:spacing w:after="0" w:line="360" w:lineRule="auto"/>
        <w:jc w:val="both"/>
        <w:rPr>
          <w:rFonts w:ascii="Times New Roman" w:hAnsi="Times New Roman" w:cs="Times New Roman"/>
          <w:sz w:val="24"/>
          <w:szCs w:val="24"/>
        </w:rPr>
      </w:pPr>
    </w:p>
    <w:p w14:paraId="1A411DF9" w14:textId="4F27873D" w:rsidR="00AF4039" w:rsidRPr="00AF4039" w:rsidRDefault="00AF4039" w:rsidP="00AF4039">
      <w:pPr>
        <w:spacing w:after="0" w:line="360" w:lineRule="auto"/>
        <w:jc w:val="both"/>
        <w:rPr>
          <w:rFonts w:ascii="Times New Roman" w:hAnsi="Times New Roman" w:cs="Times New Roman"/>
          <w:sz w:val="24"/>
          <w:szCs w:val="24"/>
        </w:rPr>
      </w:pPr>
    </w:p>
    <w:p w14:paraId="3A7C0853" w14:textId="435837D6" w:rsidR="00AF4039" w:rsidRPr="00AF4039" w:rsidRDefault="00AF4039" w:rsidP="00AF4039">
      <w:pPr>
        <w:spacing w:after="0" w:line="360" w:lineRule="auto"/>
        <w:jc w:val="both"/>
        <w:rPr>
          <w:rFonts w:ascii="Times New Roman" w:hAnsi="Times New Roman" w:cs="Times New Roman"/>
          <w:sz w:val="24"/>
          <w:szCs w:val="24"/>
        </w:rPr>
      </w:pPr>
    </w:p>
    <w:p w14:paraId="2A62E4DC" w14:textId="2EF296C7" w:rsidR="00AF4039" w:rsidRPr="00AF4039" w:rsidRDefault="00AF4039" w:rsidP="00AF4039">
      <w:pPr>
        <w:spacing w:after="0" w:line="360" w:lineRule="auto"/>
        <w:jc w:val="both"/>
        <w:rPr>
          <w:rFonts w:ascii="Times New Roman" w:hAnsi="Times New Roman" w:cs="Times New Roman"/>
          <w:sz w:val="24"/>
          <w:szCs w:val="24"/>
        </w:rPr>
      </w:pPr>
    </w:p>
    <w:p w14:paraId="2B8F1561" w14:textId="2B33EFD9" w:rsidR="00AF4039" w:rsidRPr="00AF4039" w:rsidRDefault="00AF4039" w:rsidP="00AF4039">
      <w:pPr>
        <w:spacing w:after="0" w:line="360" w:lineRule="auto"/>
        <w:jc w:val="both"/>
        <w:rPr>
          <w:rFonts w:ascii="Times New Roman" w:hAnsi="Times New Roman" w:cs="Times New Roman"/>
          <w:sz w:val="24"/>
          <w:szCs w:val="24"/>
        </w:rPr>
      </w:pPr>
    </w:p>
    <w:p w14:paraId="028527DC" w14:textId="4956D619" w:rsidR="00AF4039" w:rsidRPr="00AF4039" w:rsidRDefault="00AF4039" w:rsidP="00AF4039">
      <w:pPr>
        <w:spacing w:after="0" w:line="360" w:lineRule="auto"/>
        <w:jc w:val="both"/>
        <w:rPr>
          <w:rFonts w:ascii="Times New Roman" w:hAnsi="Times New Roman" w:cs="Times New Roman"/>
          <w:sz w:val="24"/>
          <w:szCs w:val="24"/>
        </w:rPr>
      </w:pPr>
    </w:p>
    <w:p w14:paraId="23605940" w14:textId="424CA066" w:rsidR="00AF4039" w:rsidRPr="00AF4039" w:rsidRDefault="00AF4039" w:rsidP="00AF4039">
      <w:pPr>
        <w:spacing w:after="0" w:line="360" w:lineRule="auto"/>
        <w:jc w:val="both"/>
        <w:rPr>
          <w:rFonts w:ascii="Times New Roman" w:hAnsi="Times New Roman" w:cs="Times New Roman"/>
          <w:sz w:val="24"/>
          <w:szCs w:val="24"/>
        </w:rPr>
      </w:pPr>
    </w:p>
    <w:p w14:paraId="10B25315" w14:textId="242A00EE" w:rsidR="00AF4039" w:rsidRPr="00AF4039" w:rsidRDefault="00AF4039" w:rsidP="00AF4039">
      <w:pPr>
        <w:spacing w:after="0" w:line="360" w:lineRule="auto"/>
        <w:jc w:val="both"/>
        <w:rPr>
          <w:rFonts w:ascii="Times New Roman" w:hAnsi="Times New Roman" w:cs="Times New Roman"/>
          <w:sz w:val="24"/>
          <w:szCs w:val="24"/>
        </w:rPr>
      </w:pPr>
    </w:p>
    <w:p w14:paraId="7A727C0E" w14:textId="150E1DE0" w:rsidR="00AF4039" w:rsidRPr="00AF4039" w:rsidRDefault="00AF4039" w:rsidP="00AF4039">
      <w:pPr>
        <w:spacing w:after="0" w:line="360" w:lineRule="auto"/>
        <w:jc w:val="both"/>
        <w:rPr>
          <w:rFonts w:ascii="Times New Roman" w:hAnsi="Times New Roman" w:cs="Times New Roman"/>
          <w:sz w:val="24"/>
          <w:szCs w:val="24"/>
        </w:rPr>
      </w:pPr>
    </w:p>
    <w:p w14:paraId="599CC65B" w14:textId="6E7282CC" w:rsidR="00AF4039" w:rsidRPr="00AF4039" w:rsidRDefault="00AF4039" w:rsidP="00AF4039">
      <w:pPr>
        <w:spacing w:after="0" w:line="360" w:lineRule="auto"/>
        <w:jc w:val="both"/>
        <w:rPr>
          <w:rFonts w:ascii="Times New Roman" w:hAnsi="Times New Roman" w:cs="Times New Roman"/>
          <w:sz w:val="24"/>
          <w:szCs w:val="24"/>
        </w:rPr>
      </w:pPr>
    </w:p>
    <w:p w14:paraId="3A10C1F9" w14:textId="2FEE3CA8" w:rsidR="00AF4039" w:rsidRPr="00AF4039" w:rsidRDefault="00AF4039" w:rsidP="00AF4039">
      <w:pPr>
        <w:spacing w:after="0" w:line="360" w:lineRule="auto"/>
        <w:jc w:val="both"/>
        <w:rPr>
          <w:rFonts w:ascii="Times New Roman" w:hAnsi="Times New Roman" w:cs="Times New Roman"/>
          <w:sz w:val="24"/>
          <w:szCs w:val="24"/>
        </w:rPr>
      </w:pPr>
    </w:p>
    <w:p w14:paraId="6199D2A5" w14:textId="6532E712" w:rsidR="00AF4039" w:rsidRPr="00AF4039" w:rsidRDefault="00AF4039" w:rsidP="00AF4039">
      <w:pPr>
        <w:spacing w:after="0" w:line="360" w:lineRule="auto"/>
        <w:jc w:val="both"/>
        <w:rPr>
          <w:rFonts w:ascii="Times New Roman" w:hAnsi="Times New Roman" w:cs="Times New Roman"/>
          <w:sz w:val="24"/>
          <w:szCs w:val="24"/>
        </w:rPr>
      </w:pPr>
    </w:p>
    <w:p w14:paraId="6CD7834A" w14:textId="22D4A159" w:rsidR="00AF4039" w:rsidRPr="00AF4039" w:rsidRDefault="00AF4039" w:rsidP="00AF4039">
      <w:pPr>
        <w:spacing w:after="0" w:line="360" w:lineRule="auto"/>
        <w:jc w:val="both"/>
        <w:rPr>
          <w:rFonts w:ascii="Times New Roman" w:hAnsi="Times New Roman" w:cs="Times New Roman"/>
          <w:sz w:val="24"/>
          <w:szCs w:val="24"/>
        </w:rPr>
      </w:pPr>
    </w:p>
    <w:p w14:paraId="523EA9B9" w14:textId="4902089B" w:rsidR="00AF4039" w:rsidRPr="00AF4039" w:rsidRDefault="00AF4039" w:rsidP="00AF4039">
      <w:pPr>
        <w:spacing w:after="0" w:line="360" w:lineRule="auto"/>
        <w:jc w:val="both"/>
        <w:rPr>
          <w:rFonts w:ascii="Times New Roman" w:hAnsi="Times New Roman" w:cs="Times New Roman"/>
          <w:sz w:val="24"/>
          <w:szCs w:val="24"/>
        </w:rPr>
      </w:pPr>
    </w:p>
    <w:p w14:paraId="71BEF6CC" w14:textId="460EF734" w:rsidR="00AF4039" w:rsidRPr="00AF4039" w:rsidRDefault="00AF4039" w:rsidP="00AF4039">
      <w:pPr>
        <w:spacing w:after="0" w:line="360" w:lineRule="auto"/>
        <w:jc w:val="both"/>
        <w:rPr>
          <w:rFonts w:ascii="Times New Roman" w:hAnsi="Times New Roman" w:cs="Times New Roman"/>
          <w:sz w:val="24"/>
          <w:szCs w:val="24"/>
        </w:rPr>
      </w:pPr>
    </w:p>
    <w:p w14:paraId="472E72E9" w14:textId="5BFB397F" w:rsidR="00AF4039" w:rsidRPr="00AF4039" w:rsidRDefault="00AF4039" w:rsidP="00AF4039">
      <w:pPr>
        <w:spacing w:after="0" w:line="360" w:lineRule="auto"/>
        <w:jc w:val="both"/>
        <w:rPr>
          <w:rFonts w:ascii="Times New Roman" w:hAnsi="Times New Roman" w:cs="Times New Roman"/>
          <w:sz w:val="24"/>
          <w:szCs w:val="24"/>
        </w:rPr>
      </w:pPr>
    </w:p>
    <w:p w14:paraId="2EEC499F" w14:textId="77777777" w:rsidR="00AF4039" w:rsidRDefault="00AF4039" w:rsidP="00AF4039">
      <w:pPr>
        <w:spacing w:after="0" w:line="240" w:lineRule="auto"/>
        <w:rPr>
          <w:rFonts w:ascii="Times New Roman" w:hAnsi="Times New Roman" w:cs="Times New Roman"/>
          <w:sz w:val="24"/>
          <w:szCs w:val="24"/>
        </w:rPr>
      </w:pPr>
      <w:r w:rsidRPr="006061AF">
        <w:rPr>
          <w:rFonts w:ascii="Times New Roman" w:hAnsi="Times New Roman" w:cs="Times New Roman"/>
          <w:sz w:val="24"/>
          <w:szCs w:val="24"/>
        </w:rPr>
        <w:lastRenderedPageBreak/>
        <w:t>References.</w:t>
      </w:r>
    </w:p>
    <w:p w14:paraId="39D111EF" w14:textId="77777777" w:rsidR="00AF4039" w:rsidRDefault="00AF4039" w:rsidP="00AF4039">
      <w:pPr>
        <w:spacing w:after="0" w:line="240" w:lineRule="auto"/>
        <w:rPr>
          <w:rFonts w:ascii="Times New Roman" w:hAnsi="Times New Roman" w:cs="Times New Roman"/>
          <w:sz w:val="24"/>
          <w:szCs w:val="24"/>
        </w:rPr>
      </w:pPr>
    </w:p>
    <w:p w14:paraId="24A9C801"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Best, S. (2003) </w:t>
      </w:r>
      <w:r w:rsidRPr="007D17CD">
        <w:rPr>
          <w:rFonts w:ascii="Times New Roman" w:hAnsi="Times New Roman" w:cs="Times New Roman"/>
          <w:i/>
          <w:sz w:val="24"/>
          <w:szCs w:val="24"/>
        </w:rPr>
        <w:t>A beginner’s guide to social theory</w:t>
      </w:r>
      <w:r w:rsidRPr="007D17CD">
        <w:rPr>
          <w:rFonts w:ascii="Times New Roman" w:hAnsi="Times New Roman" w:cs="Times New Roman"/>
          <w:sz w:val="24"/>
          <w:szCs w:val="24"/>
        </w:rPr>
        <w:t>. London: SAGE Publications Ltd.</w:t>
      </w:r>
    </w:p>
    <w:p w14:paraId="206AA176" w14:textId="77777777" w:rsidR="00AF4039" w:rsidRDefault="00AF4039" w:rsidP="00AF4039">
      <w:pPr>
        <w:spacing w:after="0" w:line="240" w:lineRule="auto"/>
        <w:ind w:left="360"/>
        <w:rPr>
          <w:rFonts w:ascii="Times New Roman" w:hAnsi="Times New Roman" w:cs="Times New Roman"/>
          <w:sz w:val="24"/>
          <w:szCs w:val="24"/>
        </w:rPr>
      </w:pPr>
    </w:p>
    <w:p w14:paraId="35C0F034"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Browne, K. (1998) </w:t>
      </w:r>
      <w:r w:rsidRPr="007D17CD">
        <w:rPr>
          <w:rFonts w:ascii="Times New Roman" w:hAnsi="Times New Roman" w:cs="Times New Roman"/>
          <w:i/>
          <w:sz w:val="24"/>
          <w:szCs w:val="24"/>
        </w:rPr>
        <w:t>An Introduction to Sociology</w:t>
      </w:r>
      <w:r w:rsidRPr="007D17CD">
        <w:rPr>
          <w:rFonts w:ascii="Times New Roman" w:hAnsi="Times New Roman" w:cs="Times New Roman"/>
          <w:sz w:val="24"/>
          <w:szCs w:val="24"/>
        </w:rPr>
        <w:t>. 2</w:t>
      </w:r>
      <w:r w:rsidRPr="007D17CD">
        <w:rPr>
          <w:rFonts w:ascii="Times New Roman" w:hAnsi="Times New Roman" w:cs="Times New Roman"/>
          <w:sz w:val="24"/>
          <w:szCs w:val="24"/>
          <w:vertAlign w:val="superscript"/>
        </w:rPr>
        <w:t>nd</w:t>
      </w:r>
      <w:r w:rsidRPr="007D17CD">
        <w:rPr>
          <w:rFonts w:ascii="Times New Roman" w:hAnsi="Times New Roman" w:cs="Times New Roman"/>
          <w:sz w:val="24"/>
          <w:szCs w:val="24"/>
        </w:rPr>
        <w:t xml:space="preserve"> edn. Cambridge: Polity Press.</w:t>
      </w:r>
    </w:p>
    <w:p w14:paraId="45CBC78B" w14:textId="77777777" w:rsidR="00AF4039" w:rsidRDefault="00AF4039" w:rsidP="00AF4039">
      <w:pPr>
        <w:spacing w:after="0" w:line="240" w:lineRule="auto"/>
        <w:rPr>
          <w:rFonts w:ascii="Times New Roman" w:hAnsi="Times New Roman" w:cs="Times New Roman"/>
          <w:sz w:val="24"/>
          <w:szCs w:val="24"/>
        </w:rPr>
      </w:pPr>
    </w:p>
    <w:p w14:paraId="35B2F25E"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Browne, K. (2011) </w:t>
      </w:r>
      <w:r w:rsidRPr="007D17CD">
        <w:rPr>
          <w:rFonts w:ascii="Times New Roman" w:hAnsi="Times New Roman" w:cs="Times New Roman"/>
          <w:i/>
          <w:sz w:val="24"/>
          <w:szCs w:val="24"/>
        </w:rPr>
        <w:t>An Introduction to Sociology.</w:t>
      </w:r>
      <w:r w:rsidRPr="007D17CD">
        <w:rPr>
          <w:rFonts w:ascii="Times New Roman" w:hAnsi="Times New Roman" w:cs="Times New Roman"/>
          <w:sz w:val="24"/>
          <w:szCs w:val="24"/>
        </w:rPr>
        <w:t xml:space="preserve"> 4</w:t>
      </w:r>
      <w:r w:rsidRPr="007D17CD">
        <w:rPr>
          <w:rFonts w:ascii="Times New Roman" w:hAnsi="Times New Roman" w:cs="Times New Roman"/>
          <w:sz w:val="24"/>
          <w:szCs w:val="24"/>
          <w:vertAlign w:val="superscript"/>
        </w:rPr>
        <w:t>th</w:t>
      </w:r>
      <w:r w:rsidRPr="007D17CD">
        <w:rPr>
          <w:rFonts w:ascii="Times New Roman" w:hAnsi="Times New Roman" w:cs="Times New Roman"/>
          <w:sz w:val="24"/>
          <w:szCs w:val="24"/>
        </w:rPr>
        <w:t xml:space="preserve"> edn. Cambridge: Polity Press.</w:t>
      </w:r>
    </w:p>
    <w:p w14:paraId="2D08D5F1" w14:textId="77777777" w:rsidR="00AF4039" w:rsidRDefault="00AF4039" w:rsidP="00AF4039">
      <w:pPr>
        <w:spacing w:after="0" w:line="240" w:lineRule="auto"/>
        <w:rPr>
          <w:rFonts w:ascii="Times New Roman" w:hAnsi="Times New Roman" w:cs="Times New Roman"/>
          <w:sz w:val="24"/>
          <w:szCs w:val="24"/>
        </w:rPr>
      </w:pPr>
    </w:p>
    <w:p w14:paraId="47045791"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Buchanan (2010) </w:t>
      </w:r>
      <w:r w:rsidRPr="007D17CD">
        <w:rPr>
          <w:rFonts w:ascii="Times New Roman" w:hAnsi="Times New Roman" w:cs="Times New Roman"/>
          <w:i/>
          <w:sz w:val="24"/>
          <w:szCs w:val="24"/>
        </w:rPr>
        <w:t>A Dictionary of Critical Theory</w:t>
      </w:r>
      <w:r w:rsidRPr="007D17CD">
        <w:rPr>
          <w:rFonts w:ascii="Times New Roman" w:hAnsi="Times New Roman" w:cs="Times New Roman"/>
          <w:sz w:val="24"/>
          <w:szCs w:val="24"/>
        </w:rPr>
        <w:t>. Oxford: Oxford University Press.</w:t>
      </w:r>
    </w:p>
    <w:p w14:paraId="0CA0276D" w14:textId="77777777" w:rsidR="00AF4039" w:rsidRDefault="00AF4039" w:rsidP="00AF4039">
      <w:pPr>
        <w:spacing w:after="0" w:line="240" w:lineRule="auto"/>
        <w:rPr>
          <w:rFonts w:ascii="Times New Roman" w:hAnsi="Times New Roman" w:cs="Times New Roman"/>
          <w:sz w:val="24"/>
          <w:szCs w:val="24"/>
        </w:rPr>
      </w:pPr>
    </w:p>
    <w:p w14:paraId="77153A97"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Close the Gap (No Date) </w:t>
      </w:r>
      <w:r w:rsidRPr="007D17CD">
        <w:rPr>
          <w:rFonts w:ascii="Times New Roman" w:hAnsi="Times New Roman" w:cs="Times New Roman"/>
          <w:i/>
          <w:sz w:val="24"/>
          <w:szCs w:val="24"/>
        </w:rPr>
        <w:t>The Pay Gap</w:t>
      </w:r>
      <w:r w:rsidRPr="007D17CD">
        <w:rPr>
          <w:rFonts w:ascii="Times New Roman" w:hAnsi="Times New Roman" w:cs="Times New Roman"/>
          <w:sz w:val="24"/>
          <w:szCs w:val="24"/>
        </w:rPr>
        <w:t>. Available at: https://www.closethegap.org.uk/content/gap/ (Accessed on: 26 July 2018).</w:t>
      </w:r>
    </w:p>
    <w:p w14:paraId="0475A354" w14:textId="77777777" w:rsidR="00AF4039" w:rsidRDefault="00AF4039" w:rsidP="00AF4039">
      <w:pPr>
        <w:spacing w:after="0" w:line="240" w:lineRule="auto"/>
        <w:ind w:left="360"/>
        <w:rPr>
          <w:rFonts w:ascii="Times New Roman" w:hAnsi="Times New Roman" w:cs="Times New Roman"/>
          <w:sz w:val="24"/>
          <w:szCs w:val="24"/>
        </w:rPr>
      </w:pPr>
    </w:p>
    <w:p w14:paraId="3007735B" w14:textId="77777777" w:rsidR="00AF4039" w:rsidRDefault="00AF4039" w:rsidP="00AF4039">
      <w:pPr>
        <w:spacing w:after="0" w:line="240" w:lineRule="auto"/>
        <w:ind w:left="360"/>
        <w:rPr>
          <w:rFonts w:ascii="Times New Roman" w:hAnsi="Times New Roman" w:cs="Times New Roman"/>
          <w:sz w:val="24"/>
          <w:szCs w:val="24"/>
        </w:rPr>
      </w:pPr>
      <w:r>
        <w:rPr>
          <w:rFonts w:ascii="Times New Roman" w:hAnsi="Times New Roman" w:cs="Times New Roman"/>
          <w:sz w:val="24"/>
          <w:szCs w:val="24"/>
        </w:rPr>
        <w:t xml:space="preserve">Diamond, D. (2009) ‘The Fourth Wave of Feminism: Psychoanalytic Perspectives’, </w:t>
      </w:r>
      <w:r w:rsidRPr="00F43E56">
        <w:rPr>
          <w:rFonts w:ascii="Times New Roman" w:hAnsi="Times New Roman" w:cs="Times New Roman"/>
          <w:i/>
          <w:sz w:val="24"/>
          <w:szCs w:val="24"/>
        </w:rPr>
        <w:t>Studies in Gender and Sexuality,</w:t>
      </w:r>
      <w:r>
        <w:rPr>
          <w:rFonts w:ascii="Times New Roman" w:hAnsi="Times New Roman" w:cs="Times New Roman"/>
          <w:sz w:val="24"/>
          <w:szCs w:val="24"/>
        </w:rPr>
        <w:t xml:space="preserve"> 10, pp. 213-223. Doi: 10.1080/15240650903228187.</w:t>
      </w:r>
    </w:p>
    <w:p w14:paraId="28E1397C" w14:textId="77777777" w:rsidR="00AF4039" w:rsidRDefault="00AF4039" w:rsidP="00AF4039">
      <w:pPr>
        <w:spacing w:after="0" w:line="240" w:lineRule="auto"/>
        <w:ind w:left="360"/>
        <w:rPr>
          <w:rFonts w:ascii="Times New Roman" w:hAnsi="Times New Roman" w:cs="Times New Roman"/>
          <w:sz w:val="24"/>
          <w:szCs w:val="24"/>
        </w:rPr>
      </w:pPr>
    </w:p>
    <w:p w14:paraId="63671233"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Dillion, M. (2010) </w:t>
      </w:r>
      <w:r w:rsidRPr="007D17CD">
        <w:rPr>
          <w:rFonts w:ascii="Times New Roman" w:hAnsi="Times New Roman" w:cs="Times New Roman"/>
          <w:i/>
          <w:sz w:val="24"/>
          <w:szCs w:val="24"/>
        </w:rPr>
        <w:t>Introduction to Sociological Theory: Theories, Concepts, and their Applicability to the Twenty-first Century.</w:t>
      </w:r>
      <w:r w:rsidRPr="007D17CD">
        <w:rPr>
          <w:rFonts w:ascii="Times New Roman" w:hAnsi="Times New Roman" w:cs="Times New Roman"/>
          <w:sz w:val="24"/>
          <w:szCs w:val="24"/>
        </w:rPr>
        <w:t xml:space="preserve"> Chichester: Wiley-Blackwell.</w:t>
      </w:r>
    </w:p>
    <w:p w14:paraId="04322BA9" w14:textId="77777777" w:rsidR="00AF4039" w:rsidRDefault="00AF4039" w:rsidP="00AF4039">
      <w:pPr>
        <w:spacing w:after="0" w:line="240" w:lineRule="auto"/>
        <w:rPr>
          <w:rFonts w:ascii="Times New Roman" w:hAnsi="Times New Roman" w:cs="Times New Roman"/>
          <w:sz w:val="24"/>
          <w:szCs w:val="24"/>
        </w:rPr>
      </w:pPr>
    </w:p>
    <w:p w14:paraId="13C1B2E9"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Dorey-Stein, C. (2018) </w:t>
      </w:r>
      <w:r w:rsidRPr="007D17CD">
        <w:rPr>
          <w:rFonts w:ascii="Times New Roman" w:hAnsi="Times New Roman" w:cs="Times New Roman"/>
          <w:i/>
          <w:sz w:val="24"/>
          <w:szCs w:val="24"/>
        </w:rPr>
        <w:t>A Brief History: The Three Waves of Feminism</w:t>
      </w:r>
      <w:r w:rsidRPr="007D17CD">
        <w:rPr>
          <w:rFonts w:ascii="Times New Roman" w:hAnsi="Times New Roman" w:cs="Times New Roman"/>
          <w:sz w:val="24"/>
          <w:szCs w:val="24"/>
        </w:rPr>
        <w:t xml:space="preserve">. Available at: https://www.progressivewomensleadership.com/a-brief-history-the-three-waves-of-feminism (Accessed on 12 July 2018). </w:t>
      </w:r>
    </w:p>
    <w:p w14:paraId="08F9572F" w14:textId="77777777" w:rsidR="00AF4039" w:rsidRDefault="00AF4039" w:rsidP="00AF4039">
      <w:pPr>
        <w:spacing w:after="0" w:line="240" w:lineRule="auto"/>
        <w:rPr>
          <w:rFonts w:ascii="Times New Roman" w:hAnsi="Times New Roman" w:cs="Times New Roman"/>
          <w:sz w:val="24"/>
          <w:szCs w:val="24"/>
        </w:rPr>
      </w:pPr>
    </w:p>
    <w:p w14:paraId="609264F0"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Dyer, H. (2016) </w:t>
      </w:r>
      <w:r w:rsidRPr="007D17CD">
        <w:rPr>
          <w:rFonts w:ascii="Times New Roman" w:hAnsi="Times New Roman" w:cs="Times New Roman"/>
          <w:i/>
          <w:sz w:val="24"/>
          <w:szCs w:val="24"/>
        </w:rPr>
        <w:t>Little Book of Feminism.</w:t>
      </w:r>
      <w:r w:rsidRPr="007D17CD">
        <w:rPr>
          <w:rFonts w:ascii="Times New Roman" w:hAnsi="Times New Roman" w:cs="Times New Roman"/>
          <w:sz w:val="24"/>
          <w:szCs w:val="24"/>
        </w:rPr>
        <w:t xml:space="preserve"> Chichester: Summersdale Publishers.</w:t>
      </w:r>
    </w:p>
    <w:p w14:paraId="6B37343C" w14:textId="77777777" w:rsidR="00AF4039" w:rsidRDefault="00AF4039" w:rsidP="00AF4039">
      <w:pPr>
        <w:spacing w:after="0" w:line="240" w:lineRule="auto"/>
        <w:ind w:left="360"/>
        <w:rPr>
          <w:rFonts w:ascii="Times New Roman" w:hAnsi="Times New Roman" w:cs="Times New Roman"/>
          <w:sz w:val="24"/>
          <w:szCs w:val="24"/>
        </w:rPr>
      </w:pPr>
    </w:p>
    <w:p w14:paraId="3FDBD4F6"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Emmerson, C. and Joyce, R. (2018) </w:t>
      </w:r>
      <w:r w:rsidRPr="007D17CD">
        <w:rPr>
          <w:rFonts w:ascii="Times New Roman" w:hAnsi="Times New Roman" w:cs="Times New Roman"/>
          <w:i/>
          <w:sz w:val="24"/>
          <w:szCs w:val="24"/>
        </w:rPr>
        <w:t>The gender wage gap and new employers reporting requirements</w:t>
      </w:r>
      <w:r w:rsidRPr="007D17CD">
        <w:rPr>
          <w:rFonts w:ascii="Times New Roman" w:hAnsi="Times New Roman" w:cs="Times New Roman"/>
          <w:sz w:val="24"/>
          <w:szCs w:val="24"/>
        </w:rPr>
        <w:t xml:space="preserve">. Available at: https://www.ifs.org.uk/publications/12888 (Accessed on: 26 July 2018). </w:t>
      </w:r>
    </w:p>
    <w:p w14:paraId="6F85C23F" w14:textId="77777777" w:rsidR="00AF4039" w:rsidRDefault="00AF4039" w:rsidP="00AF4039">
      <w:pPr>
        <w:spacing w:after="0" w:line="240" w:lineRule="auto"/>
        <w:rPr>
          <w:rFonts w:ascii="Times New Roman" w:hAnsi="Times New Roman" w:cs="Times New Roman"/>
          <w:sz w:val="24"/>
          <w:szCs w:val="24"/>
        </w:rPr>
      </w:pPr>
    </w:p>
    <w:p w14:paraId="7979E5C4" w14:textId="77777777" w:rsidR="00AF4039" w:rsidRDefault="00AF4039" w:rsidP="00AF4039">
      <w:pPr>
        <w:spacing w:after="0" w:line="240" w:lineRule="auto"/>
        <w:ind w:left="360"/>
        <w:rPr>
          <w:rFonts w:ascii="Times New Roman" w:hAnsi="Times New Roman" w:cs="Times New Roman"/>
          <w:sz w:val="24"/>
          <w:szCs w:val="24"/>
        </w:rPr>
      </w:pPr>
      <w:r>
        <w:rPr>
          <w:rFonts w:ascii="Times New Roman" w:hAnsi="Times New Roman" w:cs="Times New Roman"/>
          <w:sz w:val="24"/>
          <w:szCs w:val="24"/>
        </w:rPr>
        <w:t xml:space="preserve">Equal Opportunities Commission (No Date) </w:t>
      </w:r>
      <w:r w:rsidRPr="00FB60C3">
        <w:rPr>
          <w:rFonts w:ascii="Times New Roman" w:hAnsi="Times New Roman" w:cs="Times New Roman"/>
          <w:i/>
          <w:sz w:val="24"/>
          <w:szCs w:val="24"/>
        </w:rPr>
        <w:t>What Does Equal Opportunities Mean?</w:t>
      </w:r>
      <w:r>
        <w:rPr>
          <w:rFonts w:ascii="Times New Roman" w:hAnsi="Times New Roman" w:cs="Times New Roman"/>
          <w:sz w:val="24"/>
          <w:szCs w:val="24"/>
        </w:rPr>
        <w:t xml:space="preserve"> Available at: </w:t>
      </w:r>
      <w:r w:rsidRPr="00FB60C3">
        <w:rPr>
          <w:rFonts w:ascii="Times New Roman" w:hAnsi="Times New Roman" w:cs="Times New Roman"/>
          <w:sz w:val="24"/>
          <w:szCs w:val="24"/>
        </w:rPr>
        <w:t>https://eoc.org.uk/</w:t>
      </w:r>
      <w:r>
        <w:rPr>
          <w:rFonts w:ascii="Times New Roman" w:hAnsi="Times New Roman" w:cs="Times New Roman"/>
          <w:sz w:val="24"/>
          <w:szCs w:val="24"/>
        </w:rPr>
        <w:t xml:space="preserve"> (Accessed on: 27 July 2018)&gt;</w:t>
      </w:r>
    </w:p>
    <w:p w14:paraId="54708C35" w14:textId="77777777" w:rsidR="00AF4039" w:rsidRDefault="00AF4039" w:rsidP="00AF4039">
      <w:pPr>
        <w:spacing w:after="0" w:line="240" w:lineRule="auto"/>
        <w:ind w:left="360"/>
        <w:rPr>
          <w:rFonts w:ascii="Times New Roman" w:hAnsi="Times New Roman" w:cs="Times New Roman"/>
          <w:sz w:val="24"/>
          <w:szCs w:val="24"/>
        </w:rPr>
      </w:pPr>
    </w:p>
    <w:p w14:paraId="7CBFBEC4" w14:textId="77777777" w:rsidR="00AF4039" w:rsidRDefault="00AF4039" w:rsidP="00AF4039">
      <w:pPr>
        <w:spacing w:after="0" w:line="240" w:lineRule="auto"/>
        <w:ind w:left="360"/>
        <w:rPr>
          <w:rFonts w:ascii="Times New Roman" w:hAnsi="Times New Roman" w:cs="Times New Roman"/>
          <w:sz w:val="24"/>
          <w:szCs w:val="24"/>
        </w:rPr>
      </w:pPr>
      <w:r>
        <w:rPr>
          <w:rFonts w:ascii="Times New Roman" w:hAnsi="Times New Roman" w:cs="Times New Roman"/>
          <w:sz w:val="24"/>
          <w:szCs w:val="24"/>
        </w:rPr>
        <w:t xml:space="preserve">Equality and Human Rights Commission (2017) </w:t>
      </w:r>
      <w:r w:rsidRPr="00A639B7">
        <w:rPr>
          <w:rFonts w:ascii="Times New Roman" w:hAnsi="Times New Roman" w:cs="Times New Roman"/>
          <w:i/>
          <w:sz w:val="24"/>
          <w:szCs w:val="24"/>
        </w:rPr>
        <w:t>What is the Equality Act?</w:t>
      </w:r>
      <w:r>
        <w:rPr>
          <w:rFonts w:ascii="Times New Roman" w:hAnsi="Times New Roman" w:cs="Times New Roman"/>
          <w:sz w:val="24"/>
          <w:szCs w:val="24"/>
        </w:rPr>
        <w:t xml:space="preserve"> Available at: </w:t>
      </w:r>
      <w:r w:rsidRPr="00A639B7">
        <w:rPr>
          <w:rFonts w:ascii="Times New Roman" w:hAnsi="Times New Roman" w:cs="Times New Roman"/>
          <w:sz w:val="24"/>
          <w:szCs w:val="24"/>
        </w:rPr>
        <w:t>https://www.equalityhumanrights.com/en/equality-act-2010/what-equality-act</w:t>
      </w:r>
      <w:r>
        <w:rPr>
          <w:rFonts w:ascii="Times New Roman" w:hAnsi="Times New Roman" w:cs="Times New Roman"/>
          <w:sz w:val="24"/>
          <w:szCs w:val="24"/>
        </w:rPr>
        <w:t xml:space="preserve"> (Accessed on: 27 July 2018).</w:t>
      </w:r>
    </w:p>
    <w:p w14:paraId="63066C86" w14:textId="77777777" w:rsidR="00AF4039" w:rsidRDefault="00AF4039" w:rsidP="00AF4039">
      <w:pPr>
        <w:spacing w:after="0" w:line="240" w:lineRule="auto"/>
        <w:ind w:left="360"/>
        <w:rPr>
          <w:rFonts w:ascii="Times New Roman" w:hAnsi="Times New Roman" w:cs="Times New Roman"/>
          <w:sz w:val="24"/>
          <w:szCs w:val="24"/>
        </w:rPr>
      </w:pPr>
    </w:p>
    <w:p w14:paraId="087E2C52"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Fawcett Society (No Date) </w:t>
      </w:r>
      <w:r w:rsidRPr="007D17CD">
        <w:rPr>
          <w:rFonts w:ascii="Times New Roman" w:hAnsi="Times New Roman" w:cs="Times New Roman"/>
          <w:i/>
          <w:sz w:val="24"/>
          <w:szCs w:val="24"/>
        </w:rPr>
        <w:t>Our History</w:t>
      </w:r>
      <w:r w:rsidRPr="007D17CD">
        <w:rPr>
          <w:rFonts w:ascii="Times New Roman" w:hAnsi="Times New Roman" w:cs="Times New Roman"/>
          <w:sz w:val="24"/>
          <w:szCs w:val="24"/>
        </w:rPr>
        <w:t xml:space="preserve">. Available at: https://www.fawcettsociety.org.uk/our-history (Accessed on: 20 July 2018). </w:t>
      </w:r>
    </w:p>
    <w:p w14:paraId="6B76FEE2" w14:textId="77777777" w:rsidR="00AF4039" w:rsidRDefault="00AF4039" w:rsidP="00AF4039">
      <w:pPr>
        <w:spacing w:after="0" w:line="240" w:lineRule="auto"/>
        <w:rPr>
          <w:rFonts w:ascii="Times New Roman" w:hAnsi="Times New Roman" w:cs="Times New Roman"/>
          <w:sz w:val="24"/>
          <w:szCs w:val="24"/>
        </w:rPr>
      </w:pPr>
    </w:p>
    <w:p w14:paraId="4F1D0DAD"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Freedman, J. (2001) </w:t>
      </w:r>
      <w:r w:rsidRPr="007D17CD">
        <w:rPr>
          <w:rFonts w:ascii="Times New Roman" w:hAnsi="Times New Roman" w:cs="Times New Roman"/>
          <w:i/>
          <w:sz w:val="24"/>
          <w:szCs w:val="24"/>
        </w:rPr>
        <w:t>Concepts in the Social Sciences: Feminism.</w:t>
      </w:r>
      <w:r w:rsidRPr="007D17CD">
        <w:rPr>
          <w:rFonts w:ascii="Times New Roman" w:hAnsi="Times New Roman" w:cs="Times New Roman"/>
          <w:sz w:val="24"/>
          <w:szCs w:val="24"/>
        </w:rPr>
        <w:t xml:space="preserve"> Buckingham: Open University Press.</w:t>
      </w:r>
    </w:p>
    <w:p w14:paraId="28A27D24" w14:textId="77777777" w:rsidR="00AF4039" w:rsidRDefault="00AF4039" w:rsidP="00AF4039">
      <w:pPr>
        <w:spacing w:after="0" w:line="240" w:lineRule="auto"/>
        <w:rPr>
          <w:rFonts w:ascii="Times New Roman" w:hAnsi="Times New Roman" w:cs="Times New Roman"/>
          <w:sz w:val="24"/>
          <w:szCs w:val="24"/>
        </w:rPr>
      </w:pPr>
    </w:p>
    <w:p w14:paraId="7CA79901"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Giddens, A. and Sutton, P.W. (2013) </w:t>
      </w:r>
      <w:r w:rsidRPr="007D17CD">
        <w:rPr>
          <w:rFonts w:ascii="Times New Roman" w:hAnsi="Times New Roman" w:cs="Times New Roman"/>
          <w:i/>
          <w:sz w:val="24"/>
          <w:szCs w:val="24"/>
        </w:rPr>
        <w:t>Sociology</w:t>
      </w:r>
      <w:r w:rsidRPr="007D17CD">
        <w:rPr>
          <w:rFonts w:ascii="Times New Roman" w:hAnsi="Times New Roman" w:cs="Times New Roman"/>
          <w:sz w:val="24"/>
          <w:szCs w:val="24"/>
        </w:rPr>
        <w:t>. 7</w:t>
      </w:r>
      <w:r w:rsidRPr="007D17CD">
        <w:rPr>
          <w:rFonts w:ascii="Times New Roman" w:hAnsi="Times New Roman" w:cs="Times New Roman"/>
          <w:sz w:val="24"/>
          <w:szCs w:val="24"/>
          <w:vertAlign w:val="superscript"/>
        </w:rPr>
        <w:t>th</w:t>
      </w:r>
      <w:r w:rsidRPr="007D17CD">
        <w:rPr>
          <w:rFonts w:ascii="Times New Roman" w:hAnsi="Times New Roman" w:cs="Times New Roman"/>
          <w:sz w:val="24"/>
          <w:szCs w:val="24"/>
        </w:rPr>
        <w:t xml:space="preserve"> edn. Cambridge: Polity Press.</w:t>
      </w:r>
    </w:p>
    <w:p w14:paraId="44A5ADC7" w14:textId="77777777" w:rsidR="00AF4039" w:rsidRDefault="00AF4039" w:rsidP="00AF4039">
      <w:pPr>
        <w:spacing w:after="0" w:line="240" w:lineRule="auto"/>
        <w:rPr>
          <w:rFonts w:ascii="Times New Roman" w:hAnsi="Times New Roman" w:cs="Times New Roman"/>
          <w:sz w:val="24"/>
          <w:szCs w:val="24"/>
        </w:rPr>
      </w:pPr>
    </w:p>
    <w:p w14:paraId="23089338"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Giddens, A. and Sutton, P.W. (2017) </w:t>
      </w:r>
      <w:r w:rsidRPr="007D17CD">
        <w:rPr>
          <w:rFonts w:ascii="Times New Roman" w:hAnsi="Times New Roman" w:cs="Times New Roman"/>
          <w:i/>
          <w:sz w:val="24"/>
          <w:szCs w:val="24"/>
        </w:rPr>
        <w:t>Sociology</w:t>
      </w:r>
      <w:r w:rsidRPr="007D17CD">
        <w:rPr>
          <w:rFonts w:ascii="Times New Roman" w:hAnsi="Times New Roman" w:cs="Times New Roman"/>
          <w:sz w:val="24"/>
          <w:szCs w:val="24"/>
        </w:rPr>
        <w:t>. 8</w:t>
      </w:r>
      <w:r w:rsidRPr="007D17CD">
        <w:rPr>
          <w:rFonts w:ascii="Times New Roman" w:hAnsi="Times New Roman" w:cs="Times New Roman"/>
          <w:sz w:val="24"/>
          <w:szCs w:val="24"/>
          <w:vertAlign w:val="superscript"/>
        </w:rPr>
        <w:t>th</w:t>
      </w:r>
      <w:r w:rsidRPr="007D17CD">
        <w:rPr>
          <w:rFonts w:ascii="Times New Roman" w:hAnsi="Times New Roman" w:cs="Times New Roman"/>
          <w:sz w:val="24"/>
          <w:szCs w:val="24"/>
        </w:rPr>
        <w:t xml:space="preserve"> edn. Cambridge: Polity Press.</w:t>
      </w:r>
    </w:p>
    <w:p w14:paraId="1B04A2B6" w14:textId="77777777" w:rsidR="00AF4039" w:rsidRDefault="00AF4039" w:rsidP="00AF4039">
      <w:pPr>
        <w:tabs>
          <w:tab w:val="left" w:pos="3863"/>
        </w:tabs>
        <w:spacing w:after="0" w:line="240" w:lineRule="auto"/>
        <w:rPr>
          <w:rFonts w:ascii="Times New Roman" w:hAnsi="Times New Roman" w:cs="Times New Roman"/>
          <w:sz w:val="24"/>
          <w:szCs w:val="24"/>
        </w:rPr>
      </w:pPr>
    </w:p>
    <w:p w14:paraId="1BE2F204" w14:textId="77777777" w:rsidR="00AF4039" w:rsidRPr="007D17CD" w:rsidRDefault="00AF4039" w:rsidP="00AF4039">
      <w:pPr>
        <w:tabs>
          <w:tab w:val="left" w:pos="3863"/>
        </w:tabs>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Hannam, J. </w:t>
      </w:r>
      <w:r w:rsidRPr="00F43E56">
        <w:rPr>
          <w:rFonts w:ascii="Times New Roman" w:hAnsi="Times New Roman" w:cs="Times New Roman"/>
          <w:i/>
          <w:sz w:val="24"/>
          <w:szCs w:val="24"/>
        </w:rPr>
        <w:t>Making History: Women’s history, feminist history</w:t>
      </w:r>
      <w:r w:rsidRPr="007D17CD">
        <w:rPr>
          <w:rFonts w:ascii="Times New Roman" w:hAnsi="Times New Roman" w:cs="Times New Roman"/>
          <w:sz w:val="24"/>
          <w:szCs w:val="24"/>
        </w:rPr>
        <w:t>. Available at: http://history.ac.uk/making history/resources/articles/womens_histry.html (Accessed on 12 July 2018).</w:t>
      </w:r>
    </w:p>
    <w:p w14:paraId="6C6B4B62" w14:textId="77777777" w:rsidR="00AF4039" w:rsidRDefault="00AF4039" w:rsidP="00AF4039">
      <w:pPr>
        <w:tabs>
          <w:tab w:val="left" w:pos="3863"/>
        </w:tabs>
        <w:spacing w:after="0" w:line="240" w:lineRule="auto"/>
        <w:rPr>
          <w:rFonts w:ascii="Times New Roman" w:hAnsi="Times New Roman" w:cs="Times New Roman"/>
          <w:sz w:val="24"/>
          <w:szCs w:val="24"/>
        </w:rPr>
      </w:pPr>
    </w:p>
    <w:p w14:paraId="6B37D6D3" w14:textId="77777777" w:rsidR="00AF4039" w:rsidRPr="007D17CD" w:rsidRDefault="00AF4039" w:rsidP="00AF4039">
      <w:pPr>
        <w:tabs>
          <w:tab w:val="left" w:pos="3863"/>
        </w:tabs>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lastRenderedPageBreak/>
        <w:t xml:space="preserve">Haralambos, M. and Holborn, M. (1995) </w:t>
      </w:r>
      <w:r w:rsidRPr="007D17CD">
        <w:rPr>
          <w:rFonts w:ascii="Times New Roman" w:hAnsi="Times New Roman" w:cs="Times New Roman"/>
          <w:i/>
          <w:sz w:val="24"/>
          <w:szCs w:val="24"/>
        </w:rPr>
        <w:t>Sociology: Themes and Perspectives</w:t>
      </w:r>
      <w:r w:rsidRPr="007D17CD">
        <w:rPr>
          <w:rFonts w:ascii="Times New Roman" w:hAnsi="Times New Roman" w:cs="Times New Roman"/>
          <w:sz w:val="24"/>
          <w:szCs w:val="24"/>
        </w:rPr>
        <w:t>. 4</w:t>
      </w:r>
      <w:r w:rsidRPr="007D17CD">
        <w:rPr>
          <w:rFonts w:ascii="Times New Roman" w:hAnsi="Times New Roman" w:cs="Times New Roman"/>
          <w:sz w:val="24"/>
          <w:szCs w:val="24"/>
          <w:vertAlign w:val="superscript"/>
        </w:rPr>
        <w:t>th</w:t>
      </w:r>
      <w:r w:rsidRPr="007D17CD">
        <w:rPr>
          <w:rFonts w:ascii="Times New Roman" w:hAnsi="Times New Roman" w:cs="Times New Roman"/>
          <w:sz w:val="24"/>
          <w:szCs w:val="24"/>
        </w:rPr>
        <w:t xml:space="preserve"> edn. London: HarperCollins Publishers.</w:t>
      </w:r>
    </w:p>
    <w:p w14:paraId="58394FF7" w14:textId="77777777" w:rsidR="00AF4039" w:rsidRDefault="00AF4039" w:rsidP="00AF4039">
      <w:pPr>
        <w:spacing w:after="0" w:line="240" w:lineRule="auto"/>
        <w:rPr>
          <w:rFonts w:ascii="Times New Roman" w:hAnsi="Times New Roman" w:cs="Times New Roman"/>
          <w:sz w:val="24"/>
          <w:szCs w:val="24"/>
        </w:rPr>
      </w:pPr>
    </w:p>
    <w:p w14:paraId="29BDA58D" w14:textId="25E404CB"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Haralambos, M, and Holborn, M. (2000) </w:t>
      </w:r>
      <w:r w:rsidRPr="007D17CD">
        <w:rPr>
          <w:rFonts w:ascii="Times New Roman" w:hAnsi="Times New Roman" w:cs="Times New Roman"/>
          <w:i/>
          <w:sz w:val="24"/>
          <w:szCs w:val="24"/>
        </w:rPr>
        <w:t>Sociology: Themes and Perspectives</w:t>
      </w:r>
      <w:r w:rsidRPr="007D17CD">
        <w:rPr>
          <w:rFonts w:ascii="Times New Roman" w:hAnsi="Times New Roman" w:cs="Times New Roman"/>
          <w:sz w:val="24"/>
          <w:szCs w:val="24"/>
        </w:rPr>
        <w:t>. 5</w:t>
      </w:r>
      <w:r w:rsidRPr="007D17CD">
        <w:rPr>
          <w:rFonts w:ascii="Times New Roman" w:hAnsi="Times New Roman" w:cs="Times New Roman"/>
          <w:sz w:val="24"/>
          <w:szCs w:val="24"/>
          <w:vertAlign w:val="superscript"/>
        </w:rPr>
        <w:t>th</w:t>
      </w:r>
      <w:r w:rsidRPr="007D17CD">
        <w:rPr>
          <w:rFonts w:ascii="Times New Roman" w:hAnsi="Times New Roman" w:cs="Times New Roman"/>
          <w:sz w:val="24"/>
          <w:szCs w:val="24"/>
        </w:rPr>
        <w:t xml:space="preserve"> edn. London: HarperCollins Publishers.</w:t>
      </w:r>
    </w:p>
    <w:p w14:paraId="6B84DE7F" w14:textId="77777777" w:rsidR="00AF4039" w:rsidRDefault="00AF4039" w:rsidP="00AF4039">
      <w:pPr>
        <w:spacing w:after="0" w:line="240" w:lineRule="auto"/>
        <w:rPr>
          <w:rFonts w:ascii="Times New Roman" w:hAnsi="Times New Roman" w:cs="Times New Roman"/>
          <w:sz w:val="24"/>
          <w:szCs w:val="24"/>
        </w:rPr>
      </w:pPr>
    </w:p>
    <w:p w14:paraId="6358AAE4"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Historic England (No Date) </w:t>
      </w:r>
      <w:r w:rsidRPr="007D17CD">
        <w:rPr>
          <w:rFonts w:ascii="Times New Roman" w:hAnsi="Times New Roman" w:cs="Times New Roman"/>
          <w:i/>
          <w:sz w:val="24"/>
          <w:szCs w:val="24"/>
        </w:rPr>
        <w:t>The Long Road to Women’s Suffrage.</w:t>
      </w:r>
      <w:r w:rsidRPr="007D17CD">
        <w:rPr>
          <w:rFonts w:ascii="Times New Roman" w:hAnsi="Times New Roman" w:cs="Times New Roman"/>
          <w:sz w:val="24"/>
          <w:szCs w:val="24"/>
        </w:rPr>
        <w:t xml:space="preserve"> Available at: https://historicengland.org.uk/research/inclusive-heritage/womens-history/suffrage/the-road-to-suffrage/ (Accessed on: 20 July 2018).</w:t>
      </w:r>
    </w:p>
    <w:p w14:paraId="5BA0D74D" w14:textId="77777777" w:rsidR="00AF4039" w:rsidRDefault="00AF4039" w:rsidP="00AF4039">
      <w:pPr>
        <w:spacing w:after="0" w:line="240" w:lineRule="auto"/>
        <w:rPr>
          <w:rFonts w:ascii="Times New Roman" w:hAnsi="Times New Roman" w:cs="Times New Roman"/>
          <w:sz w:val="24"/>
          <w:szCs w:val="24"/>
        </w:rPr>
      </w:pPr>
    </w:p>
    <w:p w14:paraId="44708315"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Holmes, R. (2018) </w:t>
      </w:r>
      <w:r w:rsidRPr="007D17CD">
        <w:rPr>
          <w:rFonts w:ascii="Times New Roman" w:hAnsi="Times New Roman" w:cs="Times New Roman"/>
          <w:i/>
          <w:sz w:val="24"/>
          <w:szCs w:val="24"/>
        </w:rPr>
        <w:t>Which branch of feminism won women the vote? We all did</w:t>
      </w:r>
      <w:r w:rsidRPr="007D17CD">
        <w:rPr>
          <w:rFonts w:ascii="Times New Roman" w:hAnsi="Times New Roman" w:cs="Times New Roman"/>
          <w:sz w:val="24"/>
          <w:szCs w:val="24"/>
        </w:rPr>
        <w:t xml:space="preserve">. Available at: https://www.theguardian.com/commentisfree/2018/feb/06/feminism-women-vote-suffragette-democracy-protests-political-theatre </w:t>
      </w:r>
      <w:bookmarkStart w:id="4" w:name="_Hlk519891957"/>
      <w:r w:rsidRPr="007D17CD">
        <w:rPr>
          <w:rFonts w:ascii="Times New Roman" w:hAnsi="Times New Roman" w:cs="Times New Roman"/>
          <w:sz w:val="24"/>
          <w:szCs w:val="24"/>
        </w:rPr>
        <w:t xml:space="preserve">(Accessed on 12 July 2018). </w:t>
      </w:r>
      <w:bookmarkEnd w:id="4"/>
    </w:p>
    <w:p w14:paraId="2B619BDD" w14:textId="77777777" w:rsidR="00AF4039" w:rsidRDefault="00AF4039" w:rsidP="00AF4039">
      <w:pPr>
        <w:spacing w:after="0" w:line="240" w:lineRule="auto"/>
        <w:rPr>
          <w:rFonts w:ascii="Times New Roman" w:hAnsi="Times New Roman" w:cs="Times New Roman"/>
          <w:sz w:val="24"/>
          <w:szCs w:val="24"/>
        </w:rPr>
      </w:pPr>
    </w:p>
    <w:p w14:paraId="5AA541F4" w14:textId="7717B80D"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Johnson, D.P. (2008) </w:t>
      </w:r>
      <w:r w:rsidRPr="00F43E56">
        <w:rPr>
          <w:rFonts w:ascii="Times New Roman" w:hAnsi="Times New Roman" w:cs="Times New Roman"/>
          <w:i/>
          <w:sz w:val="24"/>
          <w:szCs w:val="24"/>
        </w:rPr>
        <w:t>Contemporary Sociological Theory: An Integrated Multi-Level Approach</w:t>
      </w:r>
      <w:r w:rsidRPr="007D17CD">
        <w:rPr>
          <w:rFonts w:ascii="Times New Roman" w:hAnsi="Times New Roman" w:cs="Times New Roman"/>
          <w:sz w:val="24"/>
          <w:szCs w:val="24"/>
        </w:rPr>
        <w:t>. New York: Springer.</w:t>
      </w:r>
    </w:p>
    <w:p w14:paraId="10E01139" w14:textId="77777777" w:rsidR="00AF4039" w:rsidRDefault="00AF4039" w:rsidP="00AF4039">
      <w:pPr>
        <w:spacing w:after="0" w:line="240" w:lineRule="auto"/>
        <w:rPr>
          <w:rFonts w:ascii="Times New Roman" w:hAnsi="Times New Roman" w:cs="Times New Roman"/>
          <w:sz w:val="24"/>
          <w:szCs w:val="24"/>
        </w:rPr>
      </w:pPr>
    </w:p>
    <w:p w14:paraId="7F017A8A"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Merriam-Webster. (2018) </w:t>
      </w:r>
      <w:r w:rsidRPr="007D17CD">
        <w:rPr>
          <w:rFonts w:ascii="Times New Roman" w:hAnsi="Times New Roman" w:cs="Times New Roman"/>
          <w:i/>
          <w:sz w:val="24"/>
          <w:szCs w:val="24"/>
        </w:rPr>
        <w:t>Definition of Feminism</w:t>
      </w:r>
      <w:r w:rsidRPr="007D17CD">
        <w:rPr>
          <w:rFonts w:ascii="Times New Roman" w:hAnsi="Times New Roman" w:cs="Times New Roman"/>
          <w:sz w:val="24"/>
          <w:szCs w:val="24"/>
        </w:rPr>
        <w:t>. Available at: https://merriam-webster.com/dictionary/feminism (Accessed on 8 July 2018).</w:t>
      </w:r>
    </w:p>
    <w:p w14:paraId="76C7013B" w14:textId="77777777" w:rsidR="00AF4039" w:rsidRDefault="00AF4039" w:rsidP="00AF4039">
      <w:pPr>
        <w:spacing w:after="0" w:line="240" w:lineRule="auto"/>
        <w:rPr>
          <w:rFonts w:ascii="Times New Roman" w:hAnsi="Times New Roman" w:cs="Times New Roman"/>
          <w:sz w:val="24"/>
          <w:szCs w:val="24"/>
        </w:rPr>
      </w:pPr>
    </w:p>
    <w:p w14:paraId="4B873370"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National Archives (No Date) </w:t>
      </w:r>
      <w:r w:rsidRPr="007D17CD">
        <w:rPr>
          <w:rFonts w:ascii="Times New Roman" w:hAnsi="Times New Roman" w:cs="Times New Roman"/>
          <w:i/>
          <w:sz w:val="24"/>
          <w:szCs w:val="24"/>
        </w:rPr>
        <w:t>Gaining Women’s Suffrage</w:t>
      </w:r>
      <w:r w:rsidRPr="007D17CD">
        <w:rPr>
          <w:rFonts w:ascii="Times New Roman" w:hAnsi="Times New Roman" w:cs="Times New Roman"/>
          <w:sz w:val="24"/>
          <w:szCs w:val="24"/>
        </w:rPr>
        <w:t xml:space="preserve">. Available at: http://www.nationalarchives.gov.uk/education/britain1906to1918/g4/background.htm (Accessed on: 20 July 2018). </w:t>
      </w:r>
    </w:p>
    <w:p w14:paraId="1CCD2509" w14:textId="77777777" w:rsidR="00AF4039" w:rsidRDefault="00AF4039" w:rsidP="00AF4039">
      <w:pPr>
        <w:spacing w:after="0" w:line="240" w:lineRule="auto"/>
        <w:rPr>
          <w:rFonts w:ascii="Times New Roman" w:hAnsi="Times New Roman" w:cs="Times New Roman"/>
          <w:sz w:val="24"/>
          <w:szCs w:val="24"/>
        </w:rPr>
      </w:pPr>
    </w:p>
    <w:p w14:paraId="0512797A"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Parliament.uk (No Date a)</w:t>
      </w:r>
      <w:r w:rsidRPr="007D17CD">
        <w:rPr>
          <w:rFonts w:ascii="Times New Roman" w:hAnsi="Times New Roman" w:cs="Times New Roman"/>
          <w:i/>
          <w:sz w:val="24"/>
          <w:szCs w:val="24"/>
        </w:rPr>
        <w:t xml:space="preserve"> Key Dates</w:t>
      </w:r>
      <w:r w:rsidRPr="007D17CD">
        <w:rPr>
          <w:rFonts w:ascii="Times New Roman" w:hAnsi="Times New Roman" w:cs="Times New Roman"/>
          <w:sz w:val="24"/>
          <w:szCs w:val="24"/>
        </w:rPr>
        <w:t>. Available at: https://www.parliament.uk/about/living-heritage/transformingsociety/electionsvoting/womenvote/keydates/ (Accessed on 18 July 2018).</w:t>
      </w:r>
    </w:p>
    <w:p w14:paraId="30CB016E" w14:textId="77777777" w:rsidR="00AF4039" w:rsidRDefault="00AF4039" w:rsidP="00AF4039">
      <w:pPr>
        <w:spacing w:after="0" w:line="240" w:lineRule="auto"/>
        <w:rPr>
          <w:rFonts w:ascii="Times New Roman" w:hAnsi="Times New Roman" w:cs="Times New Roman"/>
          <w:sz w:val="24"/>
          <w:szCs w:val="24"/>
        </w:rPr>
      </w:pPr>
    </w:p>
    <w:p w14:paraId="7702B711"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Parliament.uk (No Date b) </w:t>
      </w:r>
      <w:r w:rsidRPr="007D17CD">
        <w:rPr>
          <w:rFonts w:ascii="Times New Roman" w:hAnsi="Times New Roman" w:cs="Times New Roman"/>
          <w:i/>
          <w:sz w:val="24"/>
          <w:szCs w:val="24"/>
        </w:rPr>
        <w:t>The campaign for the right to vote</w:t>
      </w:r>
      <w:r w:rsidRPr="007D17CD">
        <w:rPr>
          <w:rFonts w:ascii="Times New Roman" w:hAnsi="Times New Roman" w:cs="Times New Roman"/>
          <w:sz w:val="24"/>
          <w:szCs w:val="24"/>
        </w:rPr>
        <w:t>. Available at: https://www.parliament.uk/about/living-heritage/transformingsociety/electionsvoting/womenvote/overview/campaign/ (Accessed on 18 July 2018).</w:t>
      </w:r>
    </w:p>
    <w:p w14:paraId="3E360CC6" w14:textId="77777777" w:rsidR="00AF4039" w:rsidRDefault="00AF4039" w:rsidP="00AF4039">
      <w:pPr>
        <w:spacing w:after="0" w:line="240" w:lineRule="auto"/>
        <w:rPr>
          <w:rFonts w:ascii="Times New Roman" w:hAnsi="Times New Roman" w:cs="Times New Roman"/>
          <w:sz w:val="24"/>
          <w:szCs w:val="24"/>
        </w:rPr>
      </w:pPr>
    </w:p>
    <w:p w14:paraId="3A94DCAD"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Parliament.uk (No Date c) </w:t>
      </w:r>
      <w:r w:rsidRPr="007D17CD">
        <w:rPr>
          <w:rFonts w:ascii="Times New Roman" w:hAnsi="Times New Roman" w:cs="Times New Roman"/>
          <w:i/>
          <w:sz w:val="24"/>
          <w:szCs w:val="24"/>
        </w:rPr>
        <w:t>Suffrage in wartime</w:t>
      </w:r>
      <w:r w:rsidRPr="007D17CD">
        <w:rPr>
          <w:rFonts w:ascii="Times New Roman" w:hAnsi="Times New Roman" w:cs="Times New Roman"/>
          <w:sz w:val="24"/>
          <w:szCs w:val="24"/>
        </w:rPr>
        <w:t>. Available at: https://www.parliament.uk/about/living-heritage/transformingsociety/electionsvoting/womenvote/overview/suffragetteswartime/ (Accessed on 18 July 2018).</w:t>
      </w:r>
    </w:p>
    <w:p w14:paraId="7BE29D07" w14:textId="77777777" w:rsidR="00AF4039" w:rsidRDefault="00AF4039" w:rsidP="00AF4039">
      <w:pPr>
        <w:spacing w:after="0" w:line="240" w:lineRule="auto"/>
        <w:rPr>
          <w:rFonts w:ascii="Times New Roman" w:hAnsi="Times New Roman" w:cs="Times New Roman"/>
          <w:sz w:val="24"/>
          <w:szCs w:val="24"/>
        </w:rPr>
      </w:pPr>
    </w:p>
    <w:p w14:paraId="3FAF20FC"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Parliament.uk (No Date d) </w:t>
      </w:r>
      <w:r w:rsidRPr="007D17CD">
        <w:rPr>
          <w:rFonts w:ascii="Times New Roman" w:hAnsi="Times New Roman" w:cs="Times New Roman"/>
          <w:i/>
          <w:sz w:val="24"/>
          <w:szCs w:val="24"/>
        </w:rPr>
        <w:t>Women get the vote</w:t>
      </w:r>
      <w:r w:rsidRPr="007D17CD">
        <w:rPr>
          <w:rFonts w:ascii="Times New Roman" w:hAnsi="Times New Roman" w:cs="Times New Roman"/>
          <w:sz w:val="24"/>
          <w:szCs w:val="24"/>
        </w:rPr>
        <w:t>. Available at: https://www.parliament.uk/about/living-heritage/transformingsociety/electionsvoting/womenvote/overview/thevote/ (Accessed on 18 July 2018).</w:t>
      </w:r>
    </w:p>
    <w:p w14:paraId="3C913EBC" w14:textId="77777777" w:rsidR="00AF4039" w:rsidRDefault="00AF4039" w:rsidP="00AF4039">
      <w:pPr>
        <w:spacing w:after="0" w:line="240" w:lineRule="auto"/>
        <w:rPr>
          <w:rFonts w:ascii="Times New Roman" w:hAnsi="Times New Roman" w:cs="Times New Roman"/>
          <w:sz w:val="24"/>
          <w:szCs w:val="24"/>
        </w:rPr>
      </w:pPr>
    </w:p>
    <w:p w14:paraId="2B208E4F"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Saul, J.M. (2003) </w:t>
      </w:r>
      <w:r w:rsidRPr="00F43E56">
        <w:rPr>
          <w:rFonts w:ascii="Times New Roman" w:hAnsi="Times New Roman" w:cs="Times New Roman"/>
          <w:i/>
          <w:sz w:val="24"/>
          <w:szCs w:val="24"/>
        </w:rPr>
        <w:t>Feminism: Issues &amp; Arguments</w:t>
      </w:r>
      <w:r w:rsidRPr="007D17CD">
        <w:rPr>
          <w:rFonts w:ascii="Times New Roman" w:hAnsi="Times New Roman" w:cs="Times New Roman"/>
          <w:sz w:val="24"/>
          <w:szCs w:val="24"/>
        </w:rPr>
        <w:t>. Oxford: Oxford University Press.</w:t>
      </w:r>
    </w:p>
    <w:p w14:paraId="1B0048A4" w14:textId="77777777" w:rsidR="00AF4039" w:rsidRDefault="00AF4039" w:rsidP="00AF4039">
      <w:pPr>
        <w:spacing w:after="0" w:line="240" w:lineRule="auto"/>
        <w:rPr>
          <w:rFonts w:ascii="Times New Roman" w:hAnsi="Times New Roman" w:cs="Times New Roman"/>
          <w:sz w:val="24"/>
          <w:szCs w:val="24"/>
        </w:rPr>
      </w:pPr>
    </w:p>
    <w:p w14:paraId="74EF6A2E" w14:textId="77777777" w:rsidR="00AF4039"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Schaefer, R.T. (2011) </w:t>
      </w:r>
      <w:r w:rsidRPr="007D17CD">
        <w:rPr>
          <w:rFonts w:ascii="Times New Roman" w:hAnsi="Times New Roman" w:cs="Times New Roman"/>
          <w:i/>
          <w:sz w:val="24"/>
          <w:szCs w:val="24"/>
        </w:rPr>
        <w:t>Sociology A Brief Introduction</w:t>
      </w:r>
      <w:r w:rsidRPr="007D17CD">
        <w:rPr>
          <w:rFonts w:ascii="Times New Roman" w:hAnsi="Times New Roman" w:cs="Times New Roman"/>
          <w:sz w:val="24"/>
          <w:szCs w:val="24"/>
        </w:rPr>
        <w:t>. 9</w:t>
      </w:r>
      <w:r w:rsidRPr="007D17CD">
        <w:rPr>
          <w:rFonts w:ascii="Times New Roman" w:hAnsi="Times New Roman" w:cs="Times New Roman"/>
          <w:sz w:val="24"/>
          <w:szCs w:val="24"/>
          <w:vertAlign w:val="superscript"/>
        </w:rPr>
        <w:t>th</w:t>
      </w:r>
      <w:r w:rsidRPr="007D17CD">
        <w:rPr>
          <w:rFonts w:ascii="Times New Roman" w:hAnsi="Times New Roman" w:cs="Times New Roman"/>
          <w:sz w:val="24"/>
          <w:szCs w:val="24"/>
        </w:rPr>
        <w:t xml:space="preserve"> edn. New York: McGraw-Hill Higher Education.</w:t>
      </w:r>
    </w:p>
    <w:p w14:paraId="1FC9662B" w14:textId="77777777" w:rsidR="00AF4039" w:rsidRDefault="00AF4039" w:rsidP="00AF4039">
      <w:pPr>
        <w:spacing w:after="0" w:line="240" w:lineRule="auto"/>
        <w:ind w:left="360"/>
        <w:rPr>
          <w:rFonts w:ascii="Times New Roman" w:hAnsi="Times New Roman" w:cs="Times New Roman"/>
          <w:sz w:val="24"/>
          <w:szCs w:val="24"/>
        </w:rPr>
      </w:pPr>
    </w:p>
    <w:p w14:paraId="0C61320D" w14:textId="77777777" w:rsidR="00AF4039" w:rsidRDefault="00AF4039" w:rsidP="00AF4039">
      <w:pPr>
        <w:spacing w:after="0" w:line="240" w:lineRule="auto"/>
        <w:ind w:left="360"/>
        <w:rPr>
          <w:rFonts w:ascii="Times New Roman" w:hAnsi="Times New Roman" w:cs="Times New Roman"/>
          <w:sz w:val="24"/>
          <w:szCs w:val="24"/>
        </w:rPr>
      </w:pPr>
      <w:r>
        <w:rPr>
          <w:rFonts w:ascii="Times New Roman" w:hAnsi="Times New Roman" w:cs="Times New Roman"/>
          <w:sz w:val="24"/>
          <w:szCs w:val="24"/>
        </w:rPr>
        <w:lastRenderedPageBreak/>
        <w:t xml:space="preserve">Schuster, J. (2013) ‘Invisible feminists? Social media and young women’s political participation’, </w:t>
      </w:r>
      <w:r w:rsidRPr="005C721E">
        <w:rPr>
          <w:rFonts w:ascii="Times New Roman" w:hAnsi="Times New Roman" w:cs="Times New Roman"/>
          <w:i/>
          <w:sz w:val="24"/>
          <w:szCs w:val="24"/>
        </w:rPr>
        <w:t>Political Science</w:t>
      </w:r>
      <w:r>
        <w:rPr>
          <w:rFonts w:ascii="Times New Roman" w:hAnsi="Times New Roman" w:cs="Times New Roman"/>
          <w:sz w:val="24"/>
          <w:szCs w:val="24"/>
        </w:rPr>
        <w:t>, 65(1) pp. 8-24. Doi: 10.1177/0032318713486474.</w:t>
      </w:r>
    </w:p>
    <w:p w14:paraId="07C9D991" w14:textId="77777777" w:rsidR="00AF4039" w:rsidRPr="007D17CD" w:rsidRDefault="00AF4039" w:rsidP="00AF4039">
      <w:pPr>
        <w:spacing w:after="0" w:line="240" w:lineRule="auto"/>
        <w:ind w:left="360"/>
        <w:rPr>
          <w:rFonts w:ascii="Times New Roman" w:hAnsi="Times New Roman" w:cs="Times New Roman"/>
          <w:sz w:val="24"/>
          <w:szCs w:val="24"/>
        </w:rPr>
      </w:pPr>
    </w:p>
    <w:p w14:paraId="65AC5608" w14:textId="77777777" w:rsidR="00AF4039" w:rsidRPr="007D17CD" w:rsidRDefault="00AF4039" w:rsidP="00AF4039">
      <w:pPr>
        <w:spacing w:after="0" w:line="240" w:lineRule="auto"/>
        <w:ind w:left="360"/>
        <w:rPr>
          <w:rFonts w:ascii="Times New Roman" w:hAnsi="Times New Roman" w:cs="Times New Roman"/>
          <w:sz w:val="24"/>
          <w:szCs w:val="24"/>
        </w:rPr>
      </w:pPr>
      <w:r>
        <w:rPr>
          <w:rFonts w:ascii="Times New Roman" w:hAnsi="Times New Roman" w:cs="Times New Roman"/>
          <w:sz w:val="24"/>
          <w:szCs w:val="24"/>
        </w:rPr>
        <w:t xml:space="preserve">Shanahan, J (2018) </w:t>
      </w:r>
      <w:r w:rsidRPr="006F0A93">
        <w:rPr>
          <w:rFonts w:ascii="Times New Roman" w:hAnsi="Times New Roman" w:cs="Times New Roman"/>
          <w:i/>
          <w:sz w:val="24"/>
          <w:szCs w:val="24"/>
        </w:rPr>
        <w:t>Fourth Wave Feminism and its political implications</w:t>
      </w:r>
      <w:r>
        <w:rPr>
          <w:rFonts w:ascii="Times New Roman" w:hAnsi="Times New Roman" w:cs="Times New Roman"/>
          <w:sz w:val="24"/>
          <w:szCs w:val="24"/>
        </w:rPr>
        <w:t xml:space="preserve">. Available at: </w:t>
      </w:r>
      <w:r w:rsidRPr="006F0A93">
        <w:rPr>
          <w:rFonts w:ascii="Times New Roman" w:hAnsi="Times New Roman" w:cs="Times New Roman"/>
          <w:sz w:val="24"/>
          <w:szCs w:val="24"/>
        </w:rPr>
        <w:t>https://search.proquest.com/docview/206290986?accountid=130472</w:t>
      </w:r>
      <w:r>
        <w:rPr>
          <w:rFonts w:ascii="Times New Roman" w:hAnsi="Times New Roman" w:cs="Times New Roman"/>
          <w:sz w:val="24"/>
          <w:szCs w:val="24"/>
        </w:rPr>
        <w:t xml:space="preserve"> (Accessed on 27 July 2018). </w:t>
      </w:r>
    </w:p>
    <w:p w14:paraId="1F6D6041" w14:textId="77777777" w:rsidR="00AF4039" w:rsidRDefault="00AF4039" w:rsidP="00AF4039">
      <w:pPr>
        <w:spacing w:after="0" w:line="240" w:lineRule="auto"/>
        <w:rPr>
          <w:rFonts w:ascii="Times New Roman" w:hAnsi="Times New Roman" w:cs="Times New Roman"/>
          <w:sz w:val="24"/>
          <w:szCs w:val="24"/>
        </w:rPr>
      </w:pPr>
    </w:p>
    <w:p w14:paraId="42124DF1" w14:textId="77777777" w:rsidR="00AF4039"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Smith, K. (2002) </w:t>
      </w:r>
      <w:r w:rsidRPr="007D17CD">
        <w:rPr>
          <w:rFonts w:ascii="Times New Roman" w:hAnsi="Times New Roman" w:cs="Times New Roman"/>
          <w:i/>
          <w:sz w:val="24"/>
          <w:szCs w:val="24"/>
        </w:rPr>
        <w:t>Historical Brief – Lives of Women in the early 1800s</w:t>
      </w:r>
      <w:r w:rsidRPr="007D17CD">
        <w:rPr>
          <w:rFonts w:ascii="Times New Roman" w:hAnsi="Times New Roman" w:cs="Times New Roman"/>
          <w:sz w:val="24"/>
          <w:szCs w:val="24"/>
        </w:rPr>
        <w:t>. Available at: https://staff.washington.edu/cgiacomi/courses/english200/historicalbriefs/women.html (Accessed on: 18 July 2018).</w:t>
      </w:r>
    </w:p>
    <w:p w14:paraId="5344F675" w14:textId="77777777" w:rsidR="00AF4039" w:rsidRDefault="00AF4039" w:rsidP="00AF4039">
      <w:pPr>
        <w:spacing w:after="0" w:line="240" w:lineRule="auto"/>
        <w:ind w:left="360"/>
        <w:rPr>
          <w:rFonts w:ascii="Times New Roman" w:hAnsi="Times New Roman" w:cs="Times New Roman"/>
          <w:sz w:val="24"/>
          <w:szCs w:val="24"/>
        </w:rPr>
      </w:pPr>
    </w:p>
    <w:p w14:paraId="17AFD387" w14:textId="77777777" w:rsidR="00AF4039" w:rsidRPr="007D17CD" w:rsidRDefault="00AF4039" w:rsidP="00AF4039">
      <w:pPr>
        <w:spacing w:after="0" w:line="240" w:lineRule="auto"/>
        <w:ind w:left="360"/>
        <w:rPr>
          <w:rFonts w:ascii="Times New Roman" w:hAnsi="Times New Roman" w:cs="Times New Roman"/>
          <w:sz w:val="24"/>
          <w:szCs w:val="24"/>
        </w:rPr>
      </w:pPr>
      <w:r>
        <w:rPr>
          <w:rFonts w:ascii="Times New Roman" w:hAnsi="Times New Roman" w:cs="Times New Roman"/>
          <w:sz w:val="24"/>
          <w:szCs w:val="24"/>
        </w:rPr>
        <w:t xml:space="preserve">The Political Studies Association (No Date) </w:t>
      </w:r>
      <w:r w:rsidRPr="00DE1AED">
        <w:rPr>
          <w:rFonts w:ascii="Times New Roman" w:hAnsi="Times New Roman" w:cs="Times New Roman"/>
          <w:i/>
          <w:sz w:val="24"/>
          <w:szCs w:val="24"/>
        </w:rPr>
        <w:t>Feminism: A Fourth Wave?</w:t>
      </w:r>
      <w:r>
        <w:rPr>
          <w:rFonts w:ascii="Times New Roman" w:hAnsi="Times New Roman" w:cs="Times New Roman"/>
          <w:sz w:val="24"/>
          <w:szCs w:val="24"/>
        </w:rPr>
        <w:t xml:space="preserve"> Available at: </w:t>
      </w:r>
      <w:r w:rsidRPr="00DE1AED">
        <w:rPr>
          <w:rFonts w:ascii="Times New Roman" w:hAnsi="Times New Roman" w:cs="Times New Roman"/>
          <w:sz w:val="24"/>
          <w:szCs w:val="24"/>
        </w:rPr>
        <w:t>https://www.psa.ac.uk/insight-plus/feminism-fourth-wave</w:t>
      </w:r>
      <w:r>
        <w:rPr>
          <w:rFonts w:ascii="Times New Roman" w:hAnsi="Times New Roman" w:cs="Times New Roman"/>
          <w:sz w:val="24"/>
          <w:szCs w:val="24"/>
        </w:rPr>
        <w:t xml:space="preserve"> (Accessed on 27 July 2018). </w:t>
      </w:r>
    </w:p>
    <w:p w14:paraId="4F52A088" w14:textId="77777777" w:rsidR="00AF4039" w:rsidRDefault="00AF4039" w:rsidP="00AF4039">
      <w:pPr>
        <w:spacing w:after="0" w:line="240" w:lineRule="auto"/>
        <w:rPr>
          <w:rFonts w:ascii="Times New Roman" w:hAnsi="Times New Roman" w:cs="Times New Roman"/>
          <w:sz w:val="24"/>
          <w:szCs w:val="24"/>
        </w:rPr>
      </w:pPr>
    </w:p>
    <w:p w14:paraId="2FE56DFB"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Trueman, C. (2015a) </w:t>
      </w:r>
      <w:r w:rsidRPr="007D17CD">
        <w:rPr>
          <w:rFonts w:ascii="Times New Roman" w:hAnsi="Times New Roman" w:cs="Times New Roman"/>
          <w:i/>
          <w:sz w:val="24"/>
          <w:szCs w:val="24"/>
        </w:rPr>
        <w:t>Suffragettes</w:t>
      </w:r>
      <w:r w:rsidRPr="007D17CD">
        <w:rPr>
          <w:rFonts w:ascii="Times New Roman" w:hAnsi="Times New Roman" w:cs="Times New Roman"/>
          <w:sz w:val="24"/>
          <w:szCs w:val="24"/>
        </w:rPr>
        <w:t>. Available at: https://www.historylearningsite.co.uk/the-role-of-british-women-in-the-twentieth-century/suffragettes/ (Accessed on: 20 July 2018).</w:t>
      </w:r>
    </w:p>
    <w:p w14:paraId="0FB8F13B" w14:textId="77777777" w:rsidR="00AF4039" w:rsidRDefault="00AF4039" w:rsidP="00AF4039">
      <w:pPr>
        <w:spacing w:after="0" w:line="240" w:lineRule="auto"/>
        <w:rPr>
          <w:rFonts w:ascii="Times New Roman" w:hAnsi="Times New Roman" w:cs="Times New Roman"/>
          <w:sz w:val="24"/>
          <w:szCs w:val="24"/>
        </w:rPr>
      </w:pPr>
    </w:p>
    <w:p w14:paraId="450B1D01" w14:textId="77777777" w:rsidR="00AF4039"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Trueman, C. (2015b) </w:t>
      </w:r>
      <w:r w:rsidRPr="007D17CD">
        <w:rPr>
          <w:rFonts w:ascii="Times New Roman" w:hAnsi="Times New Roman" w:cs="Times New Roman"/>
          <w:i/>
          <w:sz w:val="24"/>
          <w:szCs w:val="24"/>
        </w:rPr>
        <w:t>The 1918 Representation of the People Act.</w:t>
      </w:r>
      <w:r w:rsidRPr="007D17CD">
        <w:rPr>
          <w:rFonts w:ascii="Times New Roman" w:hAnsi="Times New Roman" w:cs="Times New Roman"/>
          <w:sz w:val="24"/>
          <w:szCs w:val="24"/>
        </w:rPr>
        <w:t xml:space="preserve"> Available at: https://www.historylearningsite.co.uk/the-role-of-british-women-in-the-twentieth-century/the-1918-representation-of-the-people-act-2/ (Accessed on: 20 July 2018).</w:t>
      </w:r>
    </w:p>
    <w:p w14:paraId="56648E85" w14:textId="77777777" w:rsidR="00AF4039" w:rsidRDefault="00AF4039" w:rsidP="00AF4039">
      <w:pPr>
        <w:spacing w:after="0" w:line="240" w:lineRule="auto"/>
        <w:rPr>
          <w:rFonts w:ascii="Times New Roman" w:hAnsi="Times New Roman" w:cs="Times New Roman"/>
          <w:sz w:val="24"/>
          <w:szCs w:val="24"/>
        </w:rPr>
      </w:pPr>
    </w:p>
    <w:p w14:paraId="6ABC7861" w14:textId="77777777" w:rsidR="00AF4039" w:rsidRPr="007D17CD"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Walters, M. (2005) </w:t>
      </w:r>
      <w:r w:rsidRPr="007D17CD">
        <w:rPr>
          <w:rFonts w:ascii="Times New Roman" w:hAnsi="Times New Roman" w:cs="Times New Roman"/>
          <w:i/>
          <w:sz w:val="24"/>
          <w:szCs w:val="24"/>
        </w:rPr>
        <w:t>Feminism: A very short introduction</w:t>
      </w:r>
      <w:r w:rsidRPr="007D17CD">
        <w:rPr>
          <w:rFonts w:ascii="Times New Roman" w:hAnsi="Times New Roman" w:cs="Times New Roman"/>
          <w:sz w:val="24"/>
          <w:szCs w:val="24"/>
        </w:rPr>
        <w:t>. Oxford: Oxford University Press.</w:t>
      </w:r>
    </w:p>
    <w:p w14:paraId="5B6308F0" w14:textId="77777777" w:rsidR="00AF4039" w:rsidRDefault="00AF4039" w:rsidP="00AF4039">
      <w:pPr>
        <w:spacing w:after="0" w:line="240" w:lineRule="auto"/>
        <w:rPr>
          <w:rFonts w:ascii="Times New Roman" w:hAnsi="Times New Roman" w:cs="Times New Roman"/>
          <w:sz w:val="24"/>
          <w:szCs w:val="24"/>
        </w:rPr>
      </w:pPr>
    </w:p>
    <w:p w14:paraId="015AC804" w14:textId="77777777" w:rsidR="00AF4039" w:rsidRDefault="00AF4039" w:rsidP="00AF4039">
      <w:pPr>
        <w:spacing w:after="0" w:line="240" w:lineRule="auto"/>
        <w:ind w:left="360"/>
        <w:rPr>
          <w:rFonts w:ascii="Times New Roman" w:hAnsi="Times New Roman" w:cs="Times New Roman"/>
          <w:sz w:val="24"/>
          <w:szCs w:val="24"/>
        </w:rPr>
      </w:pPr>
      <w:r w:rsidRPr="007D17CD">
        <w:rPr>
          <w:rFonts w:ascii="Times New Roman" w:hAnsi="Times New Roman" w:cs="Times New Roman"/>
          <w:sz w:val="24"/>
          <w:szCs w:val="24"/>
        </w:rPr>
        <w:t xml:space="preserve">Wyre, H. (2009) ‘The Fourth Wave of Feminism: Psychoanalytic Perspective Introductory Remarks’, </w:t>
      </w:r>
      <w:r w:rsidRPr="007D17CD">
        <w:rPr>
          <w:rFonts w:ascii="Times New Roman" w:hAnsi="Times New Roman" w:cs="Times New Roman"/>
          <w:i/>
          <w:sz w:val="24"/>
          <w:szCs w:val="24"/>
        </w:rPr>
        <w:t>Studies in Gender and Sexuality</w:t>
      </w:r>
      <w:r w:rsidRPr="007D17CD">
        <w:rPr>
          <w:rFonts w:ascii="Times New Roman" w:hAnsi="Times New Roman" w:cs="Times New Roman"/>
          <w:sz w:val="24"/>
          <w:szCs w:val="24"/>
        </w:rPr>
        <w:t>, 10, pp. 185-189. Doi: 10.1080/1524065093227999.</w:t>
      </w:r>
    </w:p>
    <w:p w14:paraId="12B7F95A" w14:textId="77777777" w:rsidR="00AF4039" w:rsidRPr="007D17CD" w:rsidRDefault="00AF4039" w:rsidP="00AF4039">
      <w:pPr>
        <w:spacing w:after="0" w:line="240" w:lineRule="auto"/>
        <w:ind w:left="360"/>
        <w:rPr>
          <w:rFonts w:ascii="Times New Roman" w:hAnsi="Times New Roman" w:cs="Times New Roman"/>
          <w:sz w:val="24"/>
          <w:szCs w:val="24"/>
        </w:rPr>
      </w:pPr>
    </w:p>
    <w:p w14:paraId="4FD9A9B5" w14:textId="77777777" w:rsidR="00AF4039" w:rsidRDefault="00AF4039" w:rsidP="00AF4039">
      <w:pPr>
        <w:spacing w:after="0" w:line="360" w:lineRule="auto"/>
      </w:pPr>
    </w:p>
    <w:sectPr w:rsidR="00AF40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95B1CF" w14:textId="77777777" w:rsidR="006041AE" w:rsidRDefault="006041AE" w:rsidP="00AF4039">
      <w:pPr>
        <w:spacing w:after="0" w:line="240" w:lineRule="auto"/>
      </w:pPr>
      <w:r>
        <w:separator/>
      </w:r>
    </w:p>
  </w:endnote>
  <w:endnote w:type="continuationSeparator" w:id="0">
    <w:p w14:paraId="104E7DE1" w14:textId="77777777" w:rsidR="006041AE" w:rsidRDefault="006041AE" w:rsidP="00AF40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2C0CF7" w14:textId="77777777" w:rsidR="006041AE" w:rsidRDefault="006041AE" w:rsidP="00AF4039">
      <w:pPr>
        <w:spacing w:after="0" w:line="240" w:lineRule="auto"/>
      </w:pPr>
      <w:r>
        <w:separator/>
      </w:r>
    </w:p>
  </w:footnote>
  <w:footnote w:type="continuationSeparator" w:id="0">
    <w:p w14:paraId="289E2CD1" w14:textId="77777777" w:rsidR="006041AE" w:rsidRDefault="006041AE" w:rsidP="00AF40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039"/>
    <w:rsid w:val="006041AE"/>
    <w:rsid w:val="009D24F6"/>
    <w:rsid w:val="009F6CDB"/>
    <w:rsid w:val="00AF4039"/>
    <w:rsid w:val="00BB6282"/>
    <w:rsid w:val="00C017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9F727"/>
  <w15:chartTrackingRefBased/>
  <w15:docId w15:val="{D084454F-35C9-4ADD-A0A3-1ED57EDA6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F403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40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4039"/>
  </w:style>
  <w:style w:type="paragraph" w:styleId="Footer">
    <w:name w:val="footer"/>
    <w:basedOn w:val="Normal"/>
    <w:link w:val="FooterChar"/>
    <w:uiPriority w:val="99"/>
    <w:unhideWhenUsed/>
    <w:rsid w:val="00AF40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40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3778</Words>
  <Characters>21535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John (2302532)</dc:creator>
  <cp:keywords/>
  <dc:description/>
  <cp:lastModifiedBy>Hannah John (2302532)</cp:lastModifiedBy>
  <cp:revision>3</cp:revision>
  <dcterms:created xsi:type="dcterms:W3CDTF">2018-07-29T18:37:00Z</dcterms:created>
  <dcterms:modified xsi:type="dcterms:W3CDTF">2018-07-30T21:39:00Z</dcterms:modified>
</cp:coreProperties>
</file>