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527629349"/>
        <w:docPartObj>
          <w:docPartGallery w:val="Cover Pages"/>
          <w:docPartUnique/>
        </w:docPartObj>
      </w:sdtPr>
      <w:sdtEndPr>
        <w:rPr>
          <w:rFonts w:asciiTheme="majorHAnsi" w:eastAsiaTheme="majorEastAsia" w:hAnsiTheme="majorHAnsi" w:cstheme="majorBidi"/>
          <w:caps/>
          <w:color w:val="5B9BD5" w:themeColor="accent1"/>
          <w:sz w:val="72"/>
          <w:szCs w:val="72"/>
        </w:rPr>
      </w:sdtEndPr>
      <w:sdtContent>
        <w:p w14:paraId="2C2DCB8C" w14:textId="4DC9C196" w:rsidR="00A51C4E" w:rsidRDefault="00A51C4E">
          <w:pPr>
            <w:pStyle w:val="NoSpacing"/>
            <w:rPr>
              <w:sz w:val="2"/>
            </w:rPr>
          </w:pPr>
        </w:p>
        <w:p w14:paraId="73E686F5" w14:textId="774FD0B9" w:rsidR="00A51C4E" w:rsidRDefault="00336474">
          <w:r>
            <w:rPr>
              <w:noProof/>
            </w:rPr>
            <mc:AlternateContent>
              <mc:Choice Requires="wps">
                <w:drawing>
                  <wp:anchor distT="0" distB="0" distL="114300" distR="114300" simplePos="0" relativeHeight="251661312" behindDoc="0" locked="0" layoutInCell="1" allowOverlap="1" wp14:anchorId="6DD461AF" wp14:editId="2E3BCFA6">
                    <wp:simplePos x="0" y="0"/>
                    <wp:positionH relativeFrom="page">
                      <wp:posOffset>885825</wp:posOffset>
                    </wp:positionH>
                    <wp:positionV relativeFrom="margin">
                      <wp:posOffset>914400</wp:posOffset>
                    </wp:positionV>
                    <wp:extent cx="5943600" cy="268224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2682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5"/>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B6015E1" w14:textId="18331233" w:rsidR="00A51C4E" w:rsidRPr="00A51C4E" w:rsidRDefault="00A51C4E" w:rsidP="00336474">
                                    <w:pPr>
                                      <w:pStyle w:val="NoSpacing"/>
                                      <w:jc w:val="center"/>
                                      <w:rPr>
                                        <w:rFonts w:asciiTheme="majorHAnsi" w:eastAsiaTheme="majorEastAsia" w:hAnsiTheme="majorHAnsi" w:cstheme="majorBidi"/>
                                        <w:caps/>
                                        <w:color w:val="4472C4" w:themeColor="accent5"/>
                                        <w:sz w:val="56"/>
                                        <w:szCs w:val="56"/>
                                      </w:rPr>
                                    </w:pPr>
                                    <w:r w:rsidRPr="00A51C4E">
                                      <w:rPr>
                                        <w:rFonts w:asciiTheme="majorHAnsi" w:eastAsiaTheme="majorEastAsia" w:hAnsiTheme="majorHAnsi" w:cstheme="majorBidi"/>
                                        <w:caps/>
                                        <w:color w:val="4472C4" w:themeColor="accent5"/>
                                        <w:sz w:val="56"/>
                                        <w:szCs w:val="56"/>
                                      </w:rPr>
                                      <w:t xml:space="preserve">Assignement </w:t>
                                    </w:r>
                                    <w:r w:rsidR="00A66F1E">
                                      <w:rPr>
                                        <w:rFonts w:asciiTheme="majorHAnsi" w:eastAsiaTheme="majorEastAsia" w:hAnsiTheme="majorHAnsi" w:cstheme="majorBidi"/>
                                        <w:caps/>
                                        <w:color w:val="4472C4" w:themeColor="accent5"/>
                                        <w:sz w:val="56"/>
                                        <w:szCs w:val="56"/>
                                      </w:rPr>
                                      <w:t>1</w:t>
                                    </w:r>
                                  </w:p>
                                </w:sdtContent>
                              </w:sdt>
                              <w:p w14:paraId="4034276A" w14:textId="0BA60753" w:rsidR="00A51C4E" w:rsidRPr="00A51C4E" w:rsidRDefault="00000000" w:rsidP="00336474">
                                <w:pPr>
                                  <w:pStyle w:val="NoSpacing"/>
                                  <w:spacing w:before="120"/>
                                  <w:jc w:val="center"/>
                                  <w:rPr>
                                    <w:color w:val="5B9BD5" w:themeColor="accent1"/>
                                    <w:sz w:val="44"/>
                                    <w:szCs w:val="44"/>
                                  </w:rPr>
                                </w:pPr>
                                <w:sdt>
                                  <w:sdtPr>
                                    <w:rPr>
                                      <w:rFonts w:ascii="Times New Roman" w:eastAsia="Calibri" w:hAnsi="Times New Roman" w:cs="Times New Roman"/>
                                      <w:b/>
                                      <w:color w:val="70AD47" w:themeColor="accent6"/>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A66F1E">
                                      <w:rPr>
                                        <w:rFonts w:ascii="Times New Roman" w:eastAsia="Calibri" w:hAnsi="Times New Roman" w:cs="Times New Roman"/>
                                        <w:b/>
                                        <w:color w:val="70AD47" w:themeColor="accent6"/>
                                        <w:sz w:val="44"/>
                                        <w:szCs w:val="44"/>
                                      </w:rPr>
                                      <w:t xml:space="preserve">Probate </w:t>
                                    </w:r>
                                    <w:r w:rsidR="00A51C4E" w:rsidRPr="00A51C4E">
                                      <w:rPr>
                                        <w:rFonts w:ascii="Times New Roman" w:eastAsia="Calibri" w:hAnsi="Times New Roman" w:cs="Times New Roman"/>
                                        <w:b/>
                                        <w:color w:val="70AD47" w:themeColor="accent6"/>
                                        <w:sz w:val="44"/>
                                        <w:szCs w:val="44"/>
                                      </w:rPr>
                                      <w:t>Practice</w:t>
                                    </w:r>
                                  </w:sdtContent>
                                </w:sdt>
                              </w:p>
                              <w:p w14:paraId="2BD8DCB5" w14:textId="3B61B4DE" w:rsidR="00A51C4E" w:rsidRDefault="00A51C4E"/>
                              <w:p w14:paraId="6CE1AAFC" w14:textId="6F894AE0" w:rsidR="00336474" w:rsidRDefault="00336474"/>
                              <w:p w14:paraId="010A6CB0" w14:textId="07F8526A" w:rsidR="00336474" w:rsidRDefault="00336474"/>
                              <w:p w14:paraId="5C7E6202" w14:textId="7782C03A" w:rsidR="00336474" w:rsidRDefault="00336474"/>
                              <w:p w14:paraId="6E155CF7" w14:textId="449C5F26" w:rsidR="00336474" w:rsidRDefault="00336474"/>
                              <w:p w14:paraId="3DFB128A" w14:textId="64031AE3" w:rsidR="00336474" w:rsidRDefault="00336474"/>
                              <w:p w14:paraId="662B5FBD" w14:textId="77777777" w:rsidR="00336474" w:rsidRDefault="003364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6DD461AF" id="_x0000_t202" coordsize="21600,21600" o:spt="202" path="m,l,21600r21600,l21600,xe">
                    <v:stroke joinstyle="miter"/>
                    <v:path gradientshapeok="t" o:connecttype="rect"/>
                  </v:shapetype>
                  <v:shape id="Text Box 62" o:spid="_x0000_s1026" type="#_x0000_t202" style="position:absolute;margin-left:69.75pt;margin-top:1in;width:468pt;height:211.2pt;z-index:25166131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" filled="f" stroked="f" strokeweight=".5pt">
                    <v:textbox>
                      <w:txbxContent>
                        <w:sdt>
                          <w:sdtPr>
                            <w:rPr>
                              <w:rFonts w:asciiTheme="majorHAnsi" w:eastAsiaTheme="majorEastAsia" w:hAnsiTheme="majorHAnsi" w:cstheme="majorBidi"/>
                              <w:caps/>
                              <w:color w:val="4472C4" w:themeColor="accent5"/>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B6015E1" w14:textId="18331233" w:rsidR="00A51C4E" w:rsidRPr="00A51C4E" w:rsidRDefault="00A51C4E" w:rsidP="00336474">
                              <w:pPr>
                                <w:pStyle w:val="NoSpacing"/>
                                <w:jc w:val="center"/>
                                <w:rPr>
                                  <w:rFonts w:asciiTheme="majorHAnsi" w:eastAsiaTheme="majorEastAsia" w:hAnsiTheme="majorHAnsi" w:cstheme="majorBidi"/>
                                  <w:caps/>
                                  <w:color w:val="4472C4" w:themeColor="accent5"/>
                                  <w:sz w:val="56"/>
                                  <w:szCs w:val="56"/>
                                </w:rPr>
                              </w:pPr>
                              <w:r w:rsidRPr="00A51C4E">
                                <w:rPr>
                                  <w:rFonts w:asciiTheme="majorHAnsi" w:eastAsiaTheme="majorEastAsia" w:hAnsiTheme="majorHAnsi" w:cstheme="majorBidi"/>
                                  <w:caps/>
                                  <w:color w:val="4472C4" w:themeColor="accent5"/>
                                  <w:sz w:val="56"/>
                                  <w:szCs w:val="56"/>
                                </w:rPr>
                                <w:t xml:space="preserve">Assignement </w:t>
                              </w:r>
                              <w:r w:rsidR="00A66F1E">
                                <w:rPr>
                                  <w:rFonts w:asciiTheme="majorHAnsi" w:eastAsiaTheme="majorEastAsia" w:hAnsiTheme="majorHAnsi" w:cstheme="majorBidi"/>
                                  <w:caps/>
                                  <w:color w:val="4472C4" w:themeColor="accent5"/>
                                  <w:sz w:val="56"/>
                                  <w:szCs w:val="56"/>
                                </w:rPr>
                                <w:t>1</w:t>
                              </w:r>
                            </w:p>
                          </w:sdtContent>
                        </w:sdt>
                        <w:p w14:paraId="4034276A" w14:textId="0BA60753" w:rsidR="00A51C4E" w:rsidRPr="00A51C4E" w:rsidRDefault="00000000" w:rsidP="00336474">
                          <w:pPr>
                            <w:pStyle w:val="NoSpacing"/>
                            <w:spacing w:before="120"/>
                            <w:jc w:val="center"/>
                            <w:rPr>
                              <w:color w:val="5B9BD5" w:themeColor="accent1"/>
                              <w:sz w:val="44"/>
                              <w:szCs w:val="44"/>
                            </w:rPr>
                          </w:pPr>
                          <w:sdt>
                            <w:sdtPr>
                              <w:rPr>
                                <w:rFonts w:ascii="Times New Roman" w:eastAsia="Calibri" w:hAnsi="Times New Roman" w:cs="Times New Roman"/>
                                <w:b/>
                                <w:color w:val="70AD47" w:themeColor="accent6"/>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A66F1E">
                                <w:rPr>
                                  <w:rFonts w:ascii="Times New Roman" w:eastAsia="Calibri" w:hAnsi="Times New Roman" w:cs="Times New Roman"/>
                                  <w:b/>
                                  <w:color w:val="70AD47" w:themeColor="accent6"/>
                                  <w:sz w:val="44"/>
                                  <w:szCs w:val="44"/>
                                </w:rPr>
                                <w:t xml:space="preserve">Probate </w:t>
                              </w:r>
                              <w:r w:rsidR="00A51C4E" w:rsidRPr="00A51C4E">
                                <w:rPr>
                                  <w:rFonts w:ascii="Times New Roman" w:eastAsia="Calibri" w:hAnsi="Times New Roman" w:cs="Times New Roman"/>
                                  <w:b/>
                                  <w:color w:val="70AD47" w:themeColor="accent6"/>
                                  <w:sz w:val="44"/>
                                  <w:szCs w:val="44"/>
                                </w:rPr>
                                <w:t>Practice</w:t>
                              </w:r>
                            </w:sdtContent>
                          </w:sdt>
                        </w:p>
                        <w:p w14:paraId="2BD8DCB5" w14:textId="3B61B4DE" w:rsidR="00A51C4E" w:rsidRDefault="00A51C4E"/>
                        <w:p w14:paraId="6CE1AAFC" w14:textId="6F894AE0" w:rsidR="00336474" w:rsidRDefault="00336474"/>
                        <w:p w14:paraId="010A6CB0" w14:textId="07F8526A" w:rsidR="00336474" w:rsidRDefault="00336474"/>
                        <w:p w14:paraId="5C7E6202" w14:textId="7782C03A" w:rsidR="00336474" w:rsidRDefault="00336474"/>
                        <w:p w14:paraId="6E155CF7" w14:textId="449C5F26" w:rsidR="00336474" w:rsidRDefault="00336474"/>
                        <w:p w14:paraId="3DFB128A" w14:textId="64031AE3" w:rsidR="00336474" w:rsidRDefault="00336474"/>
                        <w:p w14:paraId="662B5FBD" w14:textId="77777777" w:rsidR="00336474" w:rsidRDefault="00336474"/>
                      </w:txbxContent>
                    </v:textbox>
                    <w10:wrap anchorx="page" anchory="margin"/>
                  </v:shape>
                </w:pict>
              </mc:Fallback>
            </mc:AlternateContent>
          </w:r>
          <w:r>
            <w:rPr>
              <w:noProof/>
            </w:rPr>
            <w:drawing>
              <wp:inline distT="0" distB="0" distL="0" distR="0" wp14:anchorId="04172E96" wp14:editId="0862E565">
                <wp:extent cx="1809750" cy="723900"/>
                <wp:effectExtent l="142875" t="66675" r="161925" b="47625"/>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00A51C4E">
            <w:rPr>
              <w:noProof/>
              <w:color w:val="5B9BD5" w:themeColor="accent1"/>
              <w:sz w:val="36"/>
              <w:szCs w:val="36"/>
            </w:rPr>
            <mc:AlternateContent>
              <mc:Choice Requires="wpg">
                <w:drawing>
                  <wp:anchor distT="0" distB="0" distL="114300" distR="114300" simplePos="0" relativeHeight="251660288" behindDoc="1" locked="0" layoutInCell="1" allowOverlap="1" wp14:anchorId="2CEDB3B4" wp14:editId="229E9A9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1B8059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A51C4E">
            <w:rPr>
              <w:noProof/>
            </w:rPr>
            <mc:AlternateContent>
              <mc:Choice Requires="wps">
                <w:drawing>
                  <wp:anchor distT="0" distB="0" distL="114300" distR="114300" simplePos="0" relativeHeight="251659264" behindDoc="0" locked="0" layoutInCell="1" allowOverlap="1" wp14:anchorId="2F522184" wp14:editId="7CDC9AA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97E55E" w14:textId="2FB49F46" w:rsidR="00A51C4E" w:rsidRDefault="00000000">
                                <w:pPr>
                                  <w:pStyle w:val="NoSpacing"/>
                                  <w:jc w:val="right"/>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A51C4E">
                                      <w:rPr>
                                        <w:color w:val="5B9BD5" w:themeColor="accent1"/>
                                        <w:sz w:val="36"/>
                                        <w:szCs w:val="36"/>
                                      </w:rPr>
                                      <w:t xml:space="preserve">     </w:t>
                                    </w:r>
                                  </w:sdtContent>
                                </w:sdt>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13472A48" w14:textId="22100424" w:rsidR="00A51C4E" w:rsidRDefault="00A51C4E" w:rsidP="00A51C4E">
                                    <w:pPr>
                                      <w:pStyle w:val="NoSpacing"/>
                                      <w:rPr>
                                        <w:color w:val="5B9BD5" w:themeColor="accent1"/>
                                        <w:sz w:val="36"/>
                                        <w:szCs w:val="36"/>
                                      </w:rPr>
                                    </w:pPr>
                                    <w:r>
                                      <w:rPr>
                                        <w:color w:val="5B9BD5"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F522184"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997E55E" w14:textId="2FB49F46" w:rsidR="00A51C4E" w:rsidRDefault="00000000">
                          <w:pPr>
                            <w:pStyle w:val="NoSpacing"/>
                            <w:jc w:val="right"/>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A51C4E">
                                <w:rPr>
                                  <w:color w:val="5B9BD5" w:themeColor="accent1"/>
                                  <w:sz w:val="36"/>
                                  <w:szCs w:val="36"/>
                                </w:rPr>
                                <w:t xml:space="preserve">     </w:t>
                              </w:r>
                            </w:sdtContent>
                          </w:sdt>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13472A48" w14:textId="22100424" w:rsidR="00A51C4E" w:rsidRDefault="00A51C4E" w:rsidP="00A51C4E">
                              <w:pPr>
                                <w:pStyle w:val="NoSpacing"/>
                                <w:rPr>
                                  <w:color w:val="5B9BD5" w:themeColor="accent1"/>
                                  <w:sz w:val="36"/>
                                  <w:szCs w:val="36"/>
                                </w:rPr>
                              </w:pPr>
                              <w:r>
                                <w:rPr>
                                  <w:color w:val="5B9BD5" w:themeColor="accent1"/>
                                  <w:sz w:val="36"/>
                                  <w:szCs w:val="36"/>
                                </w:rPr>
                                <w:t xml:space="preserve">     </w:t>
                              </w:r>
                            </w:p>
                          </w:sdtContent>
                        </w:sdt>
                      </w:txbxContent>
                    </v:textbox>
                    <w10:wrap anchorx="page" anchory="margin"/>
                  </v:shape>
                </w:pict>
              </mc:Fallback>
            </mc:AlternateContent>
          </w:r>
        </w:p>
        <w:p w14:paraId="228787EF" w14:textId="5BDAE353" w:rsidR="00A51C4E" w:rsidRDefault="00A51C4E">
          <w:pPr>
            <w:rPr>
              <w:rFonts w:asciiTheme="majorHAnsi" w:eastAsiaTheme="majorEastAsia" w:hAnsiTheme="majorHAnsi" w:cstheme="majorBidi"/>
              <w:caps/>
              <w:color w:val="5B9BD5" w:themeColor="accent1"/>
              <w:sz w:val="72"/>
              <w:szCs w:val="72"/>
              <w:lang w:val="en-US"/>
            </w:rPr>
          </w:pPr>
        </w:p>
        <w:p w14:paraId="0B76F013" w14:textId="25B258AE" w:rsidR="00A51C4E" w:rsidRDefault="00A51C4E" w:rsidP="00336474">
          <w:pPr>
            <w:rPr>
              <w:rFonts w:asciiTheme="majorHAnsi" w:eastAsiaTheme="majorEastAsia" w:hAnsiTheme="majorHAnsi" w:cstheme="majorBidi"/>
              <w:caps/>
              <w:color w:val="5B9BD5" w:themeColor="accent1"/>
              <w:sz w:val="72"/>
              <w:szCs w:val="72"/>
              <w:lang w:val="en-US"/>
            </w:rPr>
          </w:pPr>
        </w:p>
        <w:p w14:paraId="22ECDBCC" w14:textId="77777777" w:rsidR="00A51C4E" w:rsidRPr="00A51C4E" w:rsidRDefault="00A51C4E" w:rsidP="00A51C4E">
          <w:pPr>
            <w:jc w:val="center"/>
            <w:rPr>
              <w:rFonts w:ascii="Arial" w:hAnsi="Arial" w:cs="Arial"/>
              <w:b/>
              <w:color w:val="7030A0"/>
            </w:rPr>
          </w:pPr>
          <w:r w:rsidRPr="00A51C4E">
            <w:rPr>
              <w:rFonts w:ascii="Arial" w:hAnsi="Arial" w:cs="Arial"/>
              <w:b/>
              <w:color w:val="7030A0"/>
            </w:rPr>
            <w:t>Student Name: MD ROSHID AHMED</w:t>
          </w:r>
        </w:p>
        <w:p w14:paraId="73B8EA16" w14:textId="77777777" w:rsidR="00A51C4E" w:rsidRPr="00A51C4E" w:rsidRDefault="00A51C4E" w:rsidP="00A51C4E">
          <w:pPr>
            <w:jc w:val="center"/>
            <w:rPr>
              <w:rFonts w:ascii="Arial" w:hAnsi="Arial" w:cs="Arial"/>
              <w:b/>
              <w:color w:val="7030A0"/>
            </w:rPr>
          </w:pPr>
          <w:r w:rsidRPr="00A51C4E">
            <w:rPr>
              <w:rFonts w:ascii="Arial" w:hAnsi="Arial" w:cs="Arial"/>
              <w:b/>
              <w:color w:val="7030A0"/>
            </w:rPr>
            <w:t>Student ID: 1922561</w:t>
          </w:r>
        </w:p>
        <w:p w14:paraId="17F94B0D" w14:textId="445C9833" w:rsidR="00A51C4E" w:rsidRPr="00A51C4E" w:rsidRDefault="00A51C4E" w:rsidP="00A51C4E">
          <w:pPr>
            <w:jc w:val="center"/>
            <w:rPr>
              <w:rFonts w:ascii="Arial" w:hAnsi="Arial" w:cs="Arial"/>
              <w:b/>
              <w:color w:val="7030A0"/>
            </w:rPr>
          </w:pPr>
          <w:r w:rsidRPr="00A51C4E">
            <w:rPr>
              <w:rFonts w:ascii="Arial" w:hAnsi="Arial" w:cs="Arial"/>
              <w:b/>
              <w:color w:val="7030A0"/>
            </w:rPr>
            <w:t xml:space="preserve">Course Lecturer: </w:t>
          </w:r>
          <w:r w:rsidR="00BE3A5E">
            <w:rPr>
              <w:rFonts w:ascii="Arial" w:hAnsi="Arial" w:cs="Arial"/>
              <w:b/>
              <w:color w:val="7030A0"/>
            </w:rPr>
            <w:t>James Drew</w:t>
          </w:r>
        </w:p>
        <w:p w14:paraId="51C0EB57" w14:textId="02AAD632" w:rsidR="00A51C4E" w:rsidRPr="00A51C4E" w:rsidRDefault="00A51C4E" w:rsidP="00A51C4E">
          <w:pPr>
            <w:jc w:val="center"/>
            <w:rPr>
              <w:rFonts w:ascii="Arial" w:hAnsi="Arial" w:cs="Arial"/>
              <w:b/>
              <w:color w:val="7030A0"/>
            </w:rPr>
          </w:pPr>
          <w:r w:rsidRPr="00A51C4E">
            <w:rPr>
              <w:rFonts w:ascii="Arial" w:hAnsi="Arial" w:cs="Arial"/>
              <w:b/>
              <w:color w:val="7030A0"/>
            </w:rPr>
            <w:t xml:space="preserve">Course Module: </w:t>
          </w:r>
          <w:r w:rsidR="00BE3A5E">
            <w:rPr>
              <w:rFonts w:ascii="Arial" w:hAnsi="Arial" w:cs="Arial"/>
              <w:b/>
              <w:color w:val="7030A0"/>
            </w:rPr>
            <w:t>Probate</w:t>
          </w:r>
          <w:r w:rsidRPr="00A51C4E">
            <w:rPr>
              <w:rFonts w:ascii="Arial" w:hAnsi="Arial" w:cs="Arial"/>
              <w:b/>
              <w:color w:val="7030A0"/>
            </w:rPr>
            <w:t xml:space="preserve"> Practice</w:t>
          </w:r>
        </w:p>
        <w:p w14:paraId="71115C97" w14:textId="04566248" w:rsidR="00A51C4E" w:rsidRPr="00A51C4E" w:rsidRDefault="00A51C4E" w:rsidP="00A51C4E">
          <w:pPr>
            <w:jc w:val="center"/>
            <w:rPr>
              <w:rFonts w:ascii="Arial" w:hAnsi="Arial" w:cs="Arial"/>
              <w:b/>
              <w:color w:val="7030A0"/>
            </w:rPr>
          </w:pPr>
          <w:r w:rsidRPr="00A51C4E">
            <w:rPr>
              <w:rFonts w:ascii="Arial" w:hAnsi="Arial" w:cs="Arial"/>
              <w:b/>
              <w:color w:val="7030A0"/>
            </w:rPr>
            <w:t>Course Code: BMLW</w:t>
          </w:r>
          <w:r w:rsidR="00BE3A5E">
            <w:rPr>
              <w:rFonts w:ascii="Arial" w:hAnsi="Arial" w:cs="Arial"/>
              <w:b/>
              <w:color w:val="7030A0"/>
            </w:rPr>
            <w:t>6004</w:t>
          </w:r>
        </w:p>
        <w:p w14:paraId="421A13F4" w14:textId="5D408530" w:rsidR="00A51C4E" w:rsidRPr="00A51C4E" w:rsidRDefault="00A51C4E" w:rsidP="00A51C4E">
          <w:pPr>
            <w:jc w:val="center"/>
            <w:rPr>
              <w:rFonts w:ascii="Arial" w:hAnsi="Arial" w:cs="Arial"/>
              <w:b/>
              <w:color w:val="7030A0"/>
            </w:rPr>
          </w:pPr>
          <w:r w:rsidRPr="00A51C4E">
            <w:rPr>
              <w:rFonts w:ascii="Arial" w:hAnsi="Arial" w:cs="Arial"/>
              <w:b/>
              <w:color w:val="7030A0"/>
            </w:rPr>
            <w:t xml:space="preserve">Submission Date: </w:t>
          </w:r>
          <w:r w:rsidR="00BE3A5E">
            <w:rPr>
              <w:rFonts w:ascii="Arial" w:hAnsi="Arial" w:cs="Arial"/>
              <w:b/>
              <w:color w:val="7030A0"/>
            </w:rPr>
            <w:t>24</w:t>
          </w:r>
          <w:r w:rsidR="00BE3A5E" w:rsidRPr="00BE3A5E">
            <w:rPr>
              <w:rFonts w:ascii="Arial" w:hAnsi="Arial" w:cs="Arial"/>
              <w:b/>
              <w:color w:val="7030A0"/>
              <w:vertAlign w:val="superscript"/>
            </w:rPr>
            <w:t>th</w:t>
          </w:r>
          <w:r w:rsidR="00BE3A5E">
            <w:rPr>
              <w:rFonts w:ascii="Arial" w:hAnsi="Arial" w:cs="Arial"/>
              <w:b/>
              <w:color w:val="7030A0"/>
            </w:rPr>
            <w:t xml:space="preserve"> March 2023</w:t>
          </w:r>
        </w:p>
        <w:p w14:paraId="7D7C3E4B" w14:textId="77777777" w:rsidR="00A51C4E" w:rsidRDefault="00A51C4E" w:rsidP="00A51C4E">
          <w:pPr>
            <w:pStyle w:val="NoSpacing"/>
            <w:spacing w:line="360" w:lineRule="auto"/>
            <w:rPr>
              <w:color w:val="FFFFFF" w:themeColor="background1"/>
            </w:rPr>
          </w:pPr>
        </w:p>
        <w:p w14:paraId="0C3D274F" w14:textId="60C89E8A" w:rsidR="00A51C4E" w:rsidRDefault="00A51C4E">
          <w:pPr>
            <w:rPr>
              <w:rFonts w:asciiTheme="majorHAnsi" w:eastAsiaTheme="majorEastAsia" w:hAnsiTheme="majorHAnsi" w:cstheme="majorBidi"/>
              <w:caps/>
              <w:color w:val="5B9BD5" w:themeColor="accent1"/>
              <w:sz w:val="72"/>
              <w:szCs w:val="72"/>
              <w:lang w:val="en-US"/>
            </w:rPr>
          </w:pPr>
          <w:r>
            <w:rPr>
              <w:rFonts w:asciiTheme="majorHAnsi" w:eastAsiaTheme="majorEastAsia" w:hAnsiTheme="majorHAnsi" w:cstheme="majorBidi"/>
              <w:caps/>
              <w:color w:val="5B9BD5" w:themeColor="accent1"/>
              <w:sz w:val="72"/>
              <w:szCs w:val="72"/>
              <w:lang w:val="en-US"/>
            </w:rPr>
            <w:br w:type="page"/>
          </w:r>
        </w:p>
      </w:sdtContent>
    </w:sdt>
    <w:p w14:paraId="6909ABE8" w14:textId="77777777" w:rsidR="00083C50" w:rsidRPr="00083C50" w:rsidRDefault="00083C50" w:rsidP="00083C50">
      <w:pPr>
        <w:keepNext/>
        <w:keepLines/>
        <w:pBdr>
          <w:top w:val="nil"/>
          <w:left w:val="nil"/>
          <w:bottom w:val="nil"/>
          <w:right w:val="nil"/>
          <w:between w:val="nil"/>
        </w:pBdr>
        <w:spacing w:before="240" w:after="0"/>
        <w:jc w:val="center"/>
        <w:rPr>
          <w:rFonts w:ascii="Times New Roman" w:hAnsi="Times New Roman" w:cs="Times New Roman"/>
          <w:b/>
          <w:color w:val="000000"/>
          <w:sz w:val="28"/>
          <w:szCs w:val="28"/>
        </w:rPr>
      </w:pPr>
      <w:r w:rsidRPr="00083C50">
        <w:rPr>
          <w:rFonts w:ascii="Times New Roman" w:hAnsi="Times New Roman" w:cs="Times New Roman"/>
          <w:b/>
          <w:color w:val="000000"/>
          <w:sz w:val="28"/>
          <w:szCs w:val="28"/>
        </w:rPr>
        <w:lastRenderedPageBreak/>
        <w:t>Table of Contents</w:t>
      </w:r>
    </w:p>
    <w:sdt>
      <w:sdtPr>
        <w:rPr>
          <w:rFonts w:ascii="Times New Roman" w:hAnsi="Times New Roman" w:cs="Times New Roman"/>
          <w:sz w:val="28"/>
          <w:szCs w:val="28"/>
        </w:rPr>
        <w:id w:val="-840155970"/>
        <w:docPartObj>
          <w:docPartGallery w:val="Table of Contents"/>
          <w:docPartUnique/>
        </w:docPartObj>
      </w:sdtPr>
      <w:sdtContent>
        <w:p w14:paraId="3314CFB4" w14:textId="24B8578B" w:rsidR="00083C50" w:rsidRPr="00CD5A02" w:rsidRDefault="00083C50" w:rsidP="00083C50">
          <w:pPr>
            <w:pBdr>
              <w:top w:val="nil"/>
              <w:left w:val="nil"/>
              <w:bottom w:val="nil"/>
              <w:right w:val="nil"/>
              <w:between w:val="nil"/>
            </w:pBdr>
            <w:tabs>
              <w:tab w:val="right" w:pos="9350"/>
            </w:tabs>
            <w:spacing w:after="100"/>
            <w:rPr>
              <w:rFonts w:ascii="Times New Roman" w:eastAsia="Calibri" w:hAnsi="Times New Roman" w:cs="Times New Roman"/>
              <w:color w:val="4472C4" w:themeColor="accent5"/>
              <w:sz w:val="24"/>
              <w:szCs w:val="24"/>
            </w:rPr>
          </w:pPr>
          <w:r w:rsidRPr="00083C50">
            <w:rPr>
              <w:rFonts w:ascii="Times New Roman" w:hAnsi="Times New Roman" w:cs="Times New Roman"/>
              <w:sz w:val="28"/>
              <w:szCs w:val="28"/>
            </w:rPr>
            <w:fldChar w:fldCharType="begin"/>
          </w:r>
          <w:r w:rsidRPr="00083C50">
            <w:rPr>
              <w:rFonts w:ascii="Times New Roman" w:hAnsi="Times New Roman" w:cs="Times New Roman"/>
              <w:sz w:val="28"/>
              <w:szCs w:val="28"/>
            </w:rPr>
            <w:instrText xml:space="preserve"> TOC \h \u \z </w:instrText>
          </w:r>
          <w:r w:rsidRPr="00083C50">
            <w:rPr>
              <w:rFonts w:ascii="Times New Roman" w:hAnsi="Times New Roman" w:cs="Times New Roman"/>
              <w:sz w:val="28"/>
              <w:szCs w:val="28"/>
            </w:rPr>
            <w:fldChar w:fldCharType="separate"/>
          </w:r>
          <w:hyperlink w:anchor="_gjdgxs">
            <w:r w:rsidRPr="00CD5A02">
              <w:rPr>
                <w:rFonts w:ascii="Times New Roman" w:hAnsi="Times New Roman" w:cs="Times New Roman"/>
                <w:color w:val="4472C4" w:themeColor="accent5"/>
                <w:sz w:val="24"/>
                <w:szCs w:val="24"/>
              </w:rPr>
              <w:t>Introduction</w:t>
            </w:r>
            <w:r w:rsidRPr="00CD5A02">
              <w:rPr>
                <w:rFonts w:ascii="Times New Roman" w:hAnsi="Times New Roman" w:cs="Times New Roman"/>
                <w:color w:val="4472C4" w:themeColor="accent5"/>
                <w:sz w:val="24"/>
                <w:szCs w:val="24"/>
              </w:rPr>
              <w:tab/>
            </w:r>
            <w:r w:rsidR="008F74AB">
              <w:rPr>
                <w:rFonts w:ascii="Times New Roman" w:hAnsi="Times New Roman" w:cs="Times New Roman"/>
                <w:color w:val="4472C4" w:themeColor="accent5"/>
                <w:sz w:val="24"/>
                <w:szCs w:val="24"/>
              </w:rPr>
              <w:t>2</w:t>
            </w:r>
          </w:hyperlink>
        </w:p>
        <w:p w14:paraId="4070FFDC" w14:textId="3CED4FC1" w:rsidR="00083C50" w:rsidRPr="00CD5A02" w:rsidRDefault="00000000" w:rsidP="00083C50">
          <w:pPr>
            <w:pBdr>
              <w:top w:val="nil"/>
              <w:left w:val="nil"/>
              <w:bottom w:val="nil"/>
              <w:right w:val="nil"/>
              <w:between w:val="nil"/>
            </w:pBdr>
            <w:tabs>
              <w:tab w:val="right" w:pos="9350"/>
            </w:tabs>
            <w:spacing w:after="100"/>
            <w:rPr>
              <w:rFonts w:ascii="Times New Roman" w:eastAsia="Calibri" w:hAnsi="Times New Roman" w:cs="Times New Roman"/>
              <w:color w:val="4472C4" w:themeColor="accent5"/>
              <w:sz w:val="24"/>
              <w:szCs w:val="24"/>
            </w:rPr>
          </w:pPr>
          <w:hyperlink w:anchor="_30j0zll">
            <w:r w:rsidR="00083C50" w:rsidRPr="00CD5A02">
              <w:rPr>
                <w:rFonts w:ascii="Times New Roman" w:hAnsi="Times New Roman" w:cs="Times New Roman"/>
                <w:color w:val="4472C4" w:themeColor="accent5"/>
                <w:sz w:val="24"/>
                <w:szCs w:val="24"/>
              </w:rPr>
              <w:t>Wills as a testamentary instrument</w:t>
            </w:r>
            <w:r w:rsidR="00083C50" w:rsidRPr="00CD5A02">
              <w:rPr>
                <w:rFonts w:ascii="Times New Roman" w:hAnsi="Times New Roman" w:cs="Times New Roman"/>
                <w:color w:val="4472C4" w:themeColor="accent5"/>
                <w:sz w:val="24"/>
                <w:szCs w:val="24"/>
              </w:rPr>
              <w:tab/>
            </w:r>
            <w:r w:rsidR="008F74AB">
              <w:rPr>
                <w:rFonts w:ascii="Times New Roman" w:hAnsi="Times New Roman" w:cs="Times New Roman"/>
                <w:color w:val="4472C4" w:themeColor="accent5"/>
                <w:sz w:val="24"/>
                <w:szCs w:val="24"/>
              </w:rPr>
              <w:t>2-3</w:t>
            </w:r>
          </w:hyperlink>
        </w:p>
        <w:p w14:paraId="4A148219" w14:textId="26B35C05" w:rsidR="00083C50" w:rsidRPr="00CD5A02" w:rsidRDefault="00000000" w:rsidP="00083C50">
          <w:pPr>
            <w:pBdr>
              <w:top w:val="nil"/>
              <w:left w:val="nil"/>
              <w:bottom w:val="nil"/>
              <w:right w:val="nil"/>
              <w:between w:val="nil"/>
            </w:pBdr>
            <w:tabs>
              <w:tab w:val="right" w:pos="9350"/>
            </w:tabs>
            <w:spacing w:after="100"/>
            <w:rPr>
              <w:rFonts w:ascii="Times New Roman" w:eastAsia="Calibri" w:hAnsi="Times New Roman" w:cs="Times New Roman"/>
              <w:color w:val="4472C4" w:themeColor="accent5"/>
              <w:sz w:val="24"/>
              <w:szCs w:val="24"/>
            </w:rPr>
          </w:pPr>
          <w:hyperlink w:anchor="_1fob9te">
            <w:r w:rsidR="00083C50" w:rsidRPr="00CD5A02">
              <w:rPr>
                <w:rFonts w:ascii="Times New Roman" w:hAnsi="Times New Roman" w:cs="Times New Roman"/>
                <w:color w:val="4472C4" w:themeColor="accent5"/>
                <w:sz w:val="24"/>
                <w:szCs w:val="24"/>
              </w:rPr>
              <w:t>Probate</w:t>
            </w:r>
            <w:r w:rsidR="00083C50" w:rsidRPr="00CD5A02">
              <w:rPr>
                <w:rFonts w:ascii="Times New Roman" w:hAnsi="Times New Roman" w:cs="Times New Roman"/>
                <w:color w:val="4472C4" w:themeColor="accent5"/>
                <w:sz w:val="24"/>
                <w:szCs w:val="24"/>
              </w:rPr>
              <w:tab/>
            </w:r>
          </w:hyperlink>
          <w:r w:rsidR="008F74AB">
            <w:rPr>
              <w:rFonts w:ascii="Times New Roman" w:hAnsi="Times New Roman" w:cs="Times New Roman"/>
              <w:color w:val="4472C4" w:themeColor="accent5"/>
              <w:sz w:val="24"/>
              <w:szCs w:val="24"/>
            </w:rPr>
            <w:t>3</w:t>
          </w:r>
        </w:p>
        <w:p w14:paraId="0FCFD77F" w14:textId="5B07E91D" w:rsidR="00083C50" w:rsidRPr="00CD5A02" w:rsidRDefault="00000000" w:rsidP="00083C50">
          <w:pPr>
            <w:pBdr>
              <w:top w:val="nil"/>
              <w:left w:val="nil"/>
              <w:bottom w:val="nil"/>
              <w:right w:val="nil"/>
              <w:between w:val="nil"/>
            </w:pBdr>
            <w:tabs>
              <w:tab w:val="right" w:pos="9350"/>
            </w:tabs>
            <w:spacing w:after="100"/>
            <w:rPr>
              <w:rFonts w:ascii="Times New Roman" w:eastAsia="Calibri" w:hAnsi="Times New Roman" w:cs="Times New Roman"/>
              <w:color w:val="4472C4" w:themeColor="accent5"/>
              <w:sz w:val="24"/>
              <w:szCs w:val="24"/>
            </w:rPr>
          </w:pPr>
          <w:hyperlink w:anchor="_3znysh7">
            <w:r w:rsidR="00083C50" w:rsidRPr="00CD5A02">
              <w:rPr>
                <w:rFonts w:ascii="Times New Roman" w:hAnsi="Times New Roman" w:cs="Times New Roman"/>
                <w:color w:val="4472C4" w:themeColor="accent5"/>
                <w:sz w:val="24"/>
                <w:szCs w:val="24"/>
              </w:rPr>
              <w:t>Golden Rule and the determination of Testamentary Capacity</w:t>
            </w:r>
            <w:r w:rsidR="00083C50" w:rsidRPr="00CD5A02">
              <w:rPr>
                <w:rFonts w:ascii="Times New Roman" w:hAnsi="Times New Roman" w:cs="Times New Roman"/>
                <w:color w:val="4472C4" w:themeColor="accent5"/>
                <w:sz w:val="24"/>
                <w:szCs w:val="24"/>
              </w:rPr>
              <w:tab/>
            </w:r>
            <w:r w:rsidR="008F74AB">
              <w:rPr>
                <w:rFonts w:ascii="Times New Roman" w:hAnsi="Times New Roman" w:cs="Times New Roman"/>
                <w:color w:val="4472C4" w:themeColor="accent5"/>
                <w:sz w:val="24"/>
                <w:szCs w:val="24"/>
              </w:rPr>
              <w:t>3-4</w:t>
            </w:r>
          </w:hyperlink>
        </w:p>
        <w:p w14:paraId="338AD185" w14:textId="32244592" w:rsidR="00083C50" w:rsidRPr="00CD5A02" w:rsidRDefault="00000000" w:rsidP="00083C50">
          <w:pPr>
            <w:pBdr>
              <w:top w:val="nil"/>
              <w:left w:val="nil"/>
              <w:bottom w:val="nil"/>
              <w:right w:val="nil"/>
              <w:between w:val="nil"/>
            </w:pBdr>
            <w:tabs>
              <w:tab w:val="right" w:pos="9350"/>
            </w:tabs>
            <w:spacing w:after="100"/>
            <w:rPr>
              <w:rFonts w:ascii="Times New Roman" w:eastAsia="Calibri" w:hAnsi="Times New Roman" w:cs="Times New Roman"/>
              <w:color w:val="4472C4" w:themeColor="accent5"/>
              <w:sz w:val="24"/>
              <w:szCs w:val="24"/>
            </w:rPr>
          </w:pPr>
          <w:hyperlink w:anchor="_2et92p0">
            <w:r w:rsidR="00083C50" w:rsidRPr="00CD5A02">
              <w:rPr>
                <w:rFonts w:ascii="Times New Roman" w:hAnsi="Times New Roman" w:cs="Times New Roman"/>
                <w:color w:val="4472C4" w:themeColor="accent5"/>
                <w:sz w:val="24"/>
                <w:szCs w:val="24"/>
              </w:rPr>
              <w:t>Undue Influence mixed with lack of Testamentary Capacity</w:t>
            </w:r>
            <w:r w:rsidR="00083C50" w:rsidRPr="00CD5A02">
              <w:rPr>
                <w:rFonts w:ascii="Times New Roman" w:hAnsi="Times New Roman" w:cs="Times New Roman"/>
                <w:color w:val="4472C4" w:themeColor="accent5"/>
                <w:sz w:val="24"/>
                <w:szCs w:val="24"/>
              </w:rPr>
              <w:tab/>
            </w:r>
            <w:r w:rsidR="008F74AB">
              <w:rPr>
                <w:rFonts w:ascii="Times New Roman" w:hAnsi="Times New Roman" w:cs="Times New Roman"/>
                <w:color w:val="4472C4" w:themeColor="accent5"/>
                <w:sz w:val="24"/>
                <w:szCs w:val="24"/>
              </w:rPr>
              <w:t>4</w:t>
            </w:r>
          </w:hyperlink>
        </w:p>
        <w:p w14:paraId="6F949F80" w14:textId="41060454" w:rsidR="00083C50" w:rsidRPr="00CD5A02" w:rsidRDefault="00000000" w:rsidP="00083C50">
          <w:pPr>
            <w:pBdr>
              <w:top w:val="nil"/>
              <w:left w:val="nil"/>
              <w:bottom w:val="nil"/>
              <w:right w:val="nil"/>
              <w:between w:val="nil"/>
            </w:pBdr>
            <w:tabs>
              <w:tab w:val="right" w:pos="9350"/>
            </w:tabs>
            <w:spacing w:after="100"/>
            <w:rPr>
              <w:rFonts w:ascii="Times New Roman" w:eastAsia="Calibri" w:hAnsi="Times New Roman" w:cs="Times New Roman"/>
              <w:color w:val="4472C4" w:themeColor="accent5"/>
              <w:sz w:val="24"/>
              <w:szCs w:val="24"/>
            </w:rPr>
          </w:pPr>
          <w:hyperlink w:anchor="_tyjcwt">
            <w:r w:rsidR="00083C50" w:rsidRPr="00CD5A02">
              <w:rPr>
                <w:rFonts w:ascii="Times New Roman" w:hAnsi="Times New Roman" w:cs="Times New Roman"/>
                <w:color w:val="4472C4" w:themeColor="accent5"/>
                <w:sz w:val="24"/>
                <w:szCs w:val="24"/>
              </w:rPr>
              <w:t>Personal Representatives, Trustees and Mismanagement of Investments</w:t>
            </w:r>
            <w:r w:rsidR="00083C50" w:rsidRPr="00CD5A02">
              <w:rPr>
                <w:rFonts w:ascii="Times New Roman" w:hAnsi="Times New Roman" w:cs="Times New Roman"/>
                <w:color w:val="4472C4" w:themeColor="accent5"/>
                <w:sz w:val="24"/>
                <w:szCs w:val="24"/>
              </w:rPr>
              <w:tab/>
            </w:r>
          </w:hyperlink>
          <w:r w:rsidR="008F74AB">
            <w:rPr>
              <w:rFonts w:ascii="Times New Roman" w:hAnsi="Times New Roman" w:cs="Times New Roman"/>
              <w:color w:val="4472C4" w:themeColor="accent5"/>
              <w:sz w:val="24"/>
              <w:szCs w:val="24"/>
            </w:rPr>
            <w:t>5</w:t>
          </w:r>
        </w:p>
        <w:p w14:paraId="33B7D694" w14:textId="7F7D5A1B" w:rsidR="00083C50" w:rsidRPr="00CD5A02" w:rsidRDefault="00000000" w:rsidP="00083C50">
          <w:pPr>
            <w:pBdr>
              <w:top w:val="nil"/>
              <w:left w:val="nil"/>
              <w:bottom w:val="nil"/>
              <w:right w:val="nil"/>
              <w:between w:val="nil"/>
            </w:pBdr>
            <w:tabs>
              <w:tab w:val="right" w:pos="9350"/>
            </w:tabs>
            <w:spacing w:after="100"/>
            <w:rPr>
              <w:rFonts w:ascii="Times New Roman" w:eastAsia="Calibri" w:hAnsi="Times New Roman" w:cs="Times New Roman"/>
              <w:color w:val="4472C4" w:themeColor="accent5"/>
              <w:sz w:val="24"/>
              <w:szCs w:val="24"/>
            </w:rPr>
          </w:pPr>
          <w:hyperlink w:anchor="_3dy6vkm">
            <w:r w:rsidR="00083C50" w:rsidRPr="00CD5A02">
              <w:rPr>
                <w:rFonts w:ascii="Times New Roman" w:hAnsi="Times New Roman" w:cs="Times New Roman"/>
                <w:color w:val="4472C4" w:themeColor="accent5"/>
                <w:sz w:val="24"/>
                <w:szCs w:val="24"/>
              </w:rPr>
              <w:t>Invalid or Incorrect Execution of Will due to not sufficing Attestation Clause</w:t>
            </w:r>
            <w:r w:rsidR="00083C50" w:rsidRPr="00CD5A02">
              <w:rPr>
                <w:rFonts w:ascii="Times New Roman" w:hAnsi="Times New Roman" w:cs="Times New Roman"/>
                <w:color w:val="4472C4" w:themeColor="accent5"/>
                <w:sz w:val="24"/>
                <w:szCs w:val="24"/>
              </w:rPr>
              <w:tab/>
            </w:r>
            <w:r w:rsidR="00CD5A02" w:rsidRPr="00CD5A02">
              <w:rPr>
                <w:rFonts w:ascii="Times New Roman" w:hAnsi="Times New Roman" w:cs="Times New Roman"/>
                <w:color w:val="4472C4" w:themeColor="accent5"/>
                <w:sz w:val="24"/>
                <w:szCs w:val="24"/>
              </w:rPr>
              <w:t>5-6</w:t>
            </w:r>
          </w:hyperlink>
        </w:p>
        <w:p w14:paraId="2EAFC6F4" w14:textId="492E4310" w:rsidR="00083C50" w:rsidRPr="00CD5A02" w:rsidRDefault="00000000" w:rsidP="00083C50">
          <w:pPr>
            <w:pBdr>
              <w:top w:val="nil"/>
              <w:left w:val="nil"/>
              <w:bottom w:val="nil"/>
              <w:right w:val="nil"/>
              <w:between w:val="nil"/>
            </w:pBdr>
            <w:tabs>
              <w:tab w:val="right" w:pos="9350"/>
            </w:tabs>
            <w:spacing w:after="100"/>
            <w:rPr>
              <w:rFonts w:ascii="Times New Roman" w:eastAsia="Calibri" w:hAnsi="Times New Roman" w:cs="Times New Roman"/>
              <w:color w:val="4472C4" w:themeColor="accent5"/>
              <w:sz w:val="24"/>
              <w:szCs w:val="24"/>
            </w:rPr>
          </w:pPr>
          <w:hyperlink w:anchor="_1t3h5sf">
            <w:r w:rsidR="00083C50" w:rsidRPr="00CD5A02">
              <w:rPr>
                <w:rFonts w:ascii="Times New Roman" w:hAnsi="Times New Roman" w:cs="Times New Roman"/>
                <w:color w:val="4472C4" w:themeColor="accent5"/>
                <w:sz w:val="24"/>
                <w:szCs w:val="24"/>
              </w:rPr>
              <w:t>When Mutual Wills can be challenged</w:t>
            </w:r>
            <w:r w:rsidR="00083C50" w:rsidRPr="00CD5A02">
              <w:rPr>
                <w:rFonts w:ascii="Times New Roman" w:hAnsi="Times New Roman" w:cs="Times New Roman"/>
                <w:color w:val="4472C4" w:themeColor="accent5"/>
                <w:sz w:val="24"/>
                <w:szCs w:val="24"/>
              </w:rPr>
              <w:tab/>
            </w:r>
            <w:r w:rsidR="00CD5A02" w:rsidRPr="00CD5A02">
              <w:rPr>
                <w:rFonts w:ascii="Times New Roman" w:hAnsi="Times New Roman" w:cs="Times New Roman"/>
                <w:color w:val="4472C4" w:themeColor="accent5"/>
                <w:sz w:val="24"/>
                <w:szCs w:val="24"/>
              </w:rPr>
              <w:t>6</w:t>
            </w:r>
          </w:hyperlink>
        </w:p>
        <w:p w14:paraId="28705AA8" w14:textId="5C732258" w:rsidR="00083C50" w:rsidRPr="00CD5A02" w:rsidRDefault="00000000" w:rsidP="00083C50">
          <w:pPr>
            <w:pBdr>
              <w:top w:val="nil"/>
              <w:left w:val="nil"/>
              <w:bottom w:val="nil"/>
              <w:right w:val="nil"/>
              <w:between w:val="nil"/>
            </w:pBdr>
            <w:tabs>
              <w:tab w:val="right" w:pos="9350"/>
            </w:tabs>
            <w:spacing w:after="100"/>
            <w:rPr>
              <w:rFonts w:ascii="Times New Roman" w:eastAsia="Calibri" w:hAnsi="Times New Roman" w:cs="Times New Roman"/>
              <w:color w:val="4472C4" w:themeColor="accent5"/>
              <w:sz w:val="24"/>
              <w:szCs w:val="24"/>
            </w:rPr>
          </w:pPr>
          <w:hyperlink w:anchor="_4d34og8">
            <w:r w:rsidR="00083C50" w:rsidRPr="00CD5A02">
              <w:rPr>
                <w:rFonts w:ascii="Times New Roman" w:hAnsi="Times New Roman" w:cs="Times New Roman"/>
                <w:color w:val="4472C4" w:themeColor="accent5"/>
                <w:sz w:val="24"/>
                <w:szCs w:val="24"/>
              </w:rPr>
              <w:t>Conclusion</w:t>
            </w:r>
            <w:r w:rsidR="00083C50" w:rsidRPr="00CD5A02">
              <w:rPr>
                <w:rFonts w:ascii="Times New Roman" w:hAnsi="Times New Roman" w:cs="Times New Roman"/>
                <w:color w:val="4472C4" w:themeColor="accent5"/>
                <w:sz w:val="24"/>
                <w:szCs w:val="24"/>
              </w:rPr>
              <w:tab/>
            </w:r>
          </w:hyperlink>
          <w:r w:rsidR="00CD5A02" w:rsidRPr="00CD5A02">
            <w:rPr>
              <w:rFonts w:ascii="Times New Roman" w:hAnsi="Times New Roman" w:cs="Times New Roman"/>
              <w:color w:val="4472C4" w:themeColor="accent5"/>
              <w:sz w:val="24"/>
              <w:szCs w:val="24"/>
            </w:rPr>
            <w:t>7</w:t>
          </w:r>
        </w:p>
        <w:p w14:paraId="7952949A" w14:textId="1CDE90AA" w:rsidR="00083C50" w:rsidRPr="00CD5A02" w:rsidRDefault="00000000" w:rsidP="00083C50">
          <w:pPr>
            <w:pBdr>
              <w:top w:val="nil"/>
              <w:left w:val="nil"/>
              <w:bottom w:val="nil"/>
              <w:right w:val="nil"/>
              <w:between w:val="nil"/>
            </w:pBdr>
            <w:tabs>
              <w:tab w:val="right" w:pos="9350"/>
            </w:tabs>
            <w:spacing w:after="100"/>
            <w:rPr>
              <w:rFonts w:ascii="Times New Roman" w:eastAsia="Calibri" w:hAnsi="Times New Roman" w:cs="Times New Roman"/>
              <w:color w:val="4472C4" w:themeColor="accent5"/>
              <w:sz w:val="24"/>
              <w:szCs w:val="24"/>
            </w:rPr>
          </w:pPr>
          <w:hyperlink w:anchor="_2s8eyo1">
            <w:r w:rsidR="00083C50" w:rsidRPr="00CD5A02">
              <w:rPr>
                <w:rFonts w:ascii="Times New Roman" w:hAnsi="Times New Roman" w:cs="Times New Roman"/>
                <w:color w:val="4472C4" w:themeColor="accent5"/>
                <w:sz w:val="24"/>
                <w:szCs w:val="24"/>
              </w:rPr>
              <w:t>Reference List</w:t>
            </w:r>
            <w:r w:rsidR="00083C50" w:rsidRPr="00CD5A02">
              <w:rPr>
                <w:rFonts w:ascii="Times New Roman" w:hAnsi="Times New Roman" w:cs="Times New Roman"/>
                <w:color w:val="4472C4" w:themeColor="accent5"/>
                <w:sz w:val="24"/>
                <w:szCs w:val="24"/>
              </w:rPr>
              <w:tab/>
            </w:r>
            <w:r w:rsidR="00CD5A02" w:rsidRPr="00CD5A02">
              <w:rPr>
                <w:rFonts w:ascii="Times New Roman" w:hAnsi="Times New Roman" w:cs="Times New Roman"/>
                <w:color w:val="4472C4" w:themeColor="accent5"/>
                <w:sz w:val="24"/>
                <w:szCs w:val="24"/>
              </w:rPr>
              <w:t>8-10</w:t>
            </w:r>
          </w:hyperlink>
        </w:p>
        <w:p w14:paraId="701BD346" w14:textId="77777777" w:rsidR="00083C50" w:rsidRPr="00083C50" w:rsidRDefault="00083C50" w:rsidP="00083C50">
          <w:pPr>
            <w:rPr>
              <w:rFonts w:ascii="Times New Roman" w:hAnsi="Times New Roman" w:cs="Times New Roman"/>
              <w:sz w:val="28"/>
              <w:szCs w:val="28"/>
            </w:rPr>
          </w:pPr>
          <w:r w:rsidRPr="00083C50">
            <w:rPr>
              <w:rFonts w:ascii="Times New Roman" w:hAnsi="Times New Roman" w:cs="Times New Roman"/>
              <w:sz w:val="28"/>
              <w:szCs w:val="28"/>
            </w:rPr>
            <w:fldChar w:fldCharType="end"/>
          </w:r>
        </w:p>
      </w:sdtContent>
    </w:sdt>
    <w:p w14:paraId="76852408" w14:textId="77777777" w:rsidR="00083C50" w:rsidRPr="00083C50" w:rsidRDefault="00083C50" w:rsidP="00083C50">
      <w:pPr>
        <w:jc w:val="center"/>
        <w:rPr>
          <w:rFonts w:ascii="Times New Roman" w:hAnsi="Times New Roman" w:cs="Times New Roman"/>
          <w:b/>
          <w:sz w:val="28"/>
          <w:szCs w:val="28"/>
        </w:rPr>
      </w:pPr>
      <w:r w:rsidRPr="00083C50">
        <w:rPr>
          <w:rFonts w:ascii="Times New Roman" w:hAnsi="Times New Roman" w:cs="Times New Roman"/>
          <w:b/>
          <w:sz w:val="28"/>
          <w:szCs w:val="28"/>
        </w:rPr>
        <w:t xml:space="preserve"> </w:t>
      </w:r>
      <w:r w:rsidRPr="00083C50">
        <w:rPr>
          <w:rFonts w:ascii="Times New Roman" w:hAnsi="Times New Roman" w:cs="Times New Roman"/>
          <w:sz w:val="28"/>
          <w:szCs w:val="28"/>
        </w:rPr>
        <w:br w:type="page"/>
      </w:r>
    </w:p>
    <w:p w14:paraId="6CC42DA1" w14:textId="77777777" w:rsidR="00083C50" w:rsidRPr="00083C50" w:rsidRDefault="00083C50" w:rsidP="00083C50">
      <w:pPr>
        <w:pStyle w:val="Heading1"/>
        <w:rPr>
          <w:rFonts w:ascii="Times New Roman" w:hAnsi="Times New Roman" w:cs="Times New Roman"/>
          <w:sz w:val="28"/>
          <w:szCs w:val="28"/>
        </w:rPr>
      </w:pPr>
      <w:bookmarkStart w:id="0" w:name="_gjdgxs" w:colFirst="0" w:colLast="0"/>
      <w:bookmarkEnd w:id="0"/>
      <w:r w:rsidRPr="00083C50">
        <w:rPr>
          <w:rFonts w:ascii="Times New Roman" w:hAnsi="Times New Roman" w:cs="Times New Roman"/>
          <w:sz w:val="28"/>
          <w:szCs w:val="28"/>
        </w:rPr>
        <w:lastRenderedPageBreak/>
        <w:t xml:space="preserve">Introduction </w:t>
      </w:r>
    </w:p>
    <w:p w14:paraId="3D177AE4" w14:textId="4438556D" w:rsidR="00083C50" w:rsidRPr="00083C50" w:rsidRDefault="00083C50" w:rsidP="00083C50">
      <w:pPr>
        <w:jc w:val="both"/>
        <w:rPr>
          <w:rFonts w:ascii="Times New Roman" w:hAnsi="Times New Roman" w:cs="Times New Roman"/>
          <w:sz w:val="28"/>
          <w:szCs w:val="28"/>
        </w:rPr>
      </w:pPr>
      <w:r w:rsidRPr="00083C50">
        <w:rPr>
          <w:rFonts w:ascii="Times New Roman" w:hAnsi="Times New Roman" w:cs="Times New Roman"/>
          <w:sz w:val="28"/>
          <w:szCs w:val="28"/>
        </w:rPr>
        <w:t xml:space="preserve">It can be anticipated that challenges to wills due to insufficient testamentary capacity or undue </w:t>
      </w:r>
      <w:r w:rsidR="00754CF1">
        <w:rPr>
          <w:rFonts w:ascii="Times New Roman" w:hAnsi="Times New Roman" w:cs="Times New Roman"/>
          <w:sz w:val="28"/>
          <w:szCs w:val="28"/>
        </w:rPr>
        <w:t xml:space="preserve">influence, </w:t>
      </w:r>
      <w:r w:rsidRPr="00083C50">
        <w:rPr>
          <w:rFonts w:ascii="Times New Roman" w:hAnsi="Times New Roman" w:cs="Times New Roman"/>
          <w:sz w:val="28"/>
          <w:szCs w:val="28"/>
        </w:rPr>
        <w:t xml:space="preserve">will be rising in the coming years amongst the next generation (Shulman et al 2009). The evaluation of testamentary capacity at the time of drafting of a will could significantly impact the resolution of challenges as aforesaid. Thus, there would likely be an upsurge in the demands for professional or expert assessment of testamentary capacity (Shulman et al 2009). Procedures pertaining to intestacy can be quite prolonged, time consuming and tedious. Wills provide clear instructions so that a Probate can be acquired by the beneficiaries after the demise of the testator. The testamentary instrument of wills alleviates the processes of </w:t>
      </w:r>
      <w:r w:rsidR="00C90411" w:rsidRPr="00083C50">
        <w:rPr>
          <w:rFonts w:ascii="Times New Roman" w:hAnsi="Times New Roman" w:cs="Times New Roman"/>
          <w:sz w:val="28"/>
          <w:szCs w:val="28"/>
        </w:rPr>
        <w:t>intestacy,</w:t>
      </w:r>
      <w:r w:rsidRPr="00083C50">
        <w:rPr>
          <w:rFonts w:ascii="Times New Roman" w:hAnsi="Times New Roman" w:cs="Times New Roman"/>
          <w:sz w:val="28"/>
          <w:szCs w:val="28"/>
        </w:rPr>
        <w:t xml:space="preserve"> and the rights of the properties are conferred in accordance </w:t>
      </w:r>
      <w:r w:rsidR="00E94820" w:rsidRPr="00083C50">
        <w:rPr>
          <w:rFonts w:ascii="Times New Roman" w:hAnsi="Times New Roman" w:cs="Times New Roman"/>
          <w:sz w:val="28"/>
          <w:szCs w:val="28"/>
        </w:rPr>
        <w:t>with</w:t>
      </w:r>
      <w:r w:rsidRPr="00083C50">
        <w:rPr>
          <w:rFonts w:ascii="Times New Roman" w:hAnsi="Times New Roman" w:cs="Times New Roman"/>
          <w:sz w:val="28"/>
          <w:szCs w:val="28"/>
        </w:rPr>
        <w:t xml:space="preserve"> the wishes of the testator. More than often disputes arise in the process of acquiring probate wherein parties who are the beneficiaries are at loggerheads. Other times, wills are challenged on the basis of a possible right to inheritance. There are even in scenarios where the will itself is </w:t>
      </w:r>
      <w:r w:rsidRPr="00083C50">
        <w:rPr>
          <w:rFonts w:ascii="Times New Roman" w:hAnsi="Times New Roman" w:cs="Times New Roman"/>
          <w:i/>
          <w:sz w:val="28"/>
          <w:szCs w:val="28"/>
        </w:rPr>
        <w:t xml:space="preserve">ultra vires </w:t>
      </w:r>
      <w:r w:rsidRPr="00083C50">
        <w:rPr>
          <w:rFonts w:ascii="Times New Roman" w:hAnsi="Times New Roman" w:cs="Times New Roman"/>
          <w:sz w:val="28"/>
          <w:szCs w:val="28"/>
        </w:rPr>
        <w:t>of pertinent applicable legislation such as the Trustee Act of 1925, Trustee Act of 2000 or the Wills Act of 1837. In this paper, a multitude of ways through which a will’s validity can be challenged will be</w:t>
      </w:r>
      <w:r w:rsidR="00C8558A">
        <w:rPr>
          <w:rFonts w:ascii="Times New Roman" w:hAnsi="Times New Roman" w:cs="Times New Roman"/>
          <w:sz w:val="28"/>
          <w:szCs w:val="28"/>
        </w:rPr>
        <w:t xml:space="preserve"> critically</w:t>
      </w:r>
      <w:r w:rsidRPr="00083C50">
        <w:rPr>
          <w:rFonts w:ascii="Times New Roman" w:hAnsi="Times New Roman" w:cs="Times New Roman"/>
          <w:sz w:val="28"/>
          <w:szCs w:val="28"/>
        </w:rPr>
        <w:t xml:space="preserve"> assessed.  </w:t>
      </w:r>
    </w:p>
    <w:p w14:paraId="48D24AFA" w14:textId="77777777" w:rsidR="00083C50" w:rsidRPr="00083C50" w:rsidRDefault="00083C50" w:rsidP="00083C50">
      <w:pPr>
        <w:pStyle w:val="Heading1"/>
        <w:rPr>
          <w:rFonts w:ascii="Times New Roman" w:hAnsi="Times New Roman" w:cs="Times New Roman"/>
          <w:sz w:val="28"/>
          <w:szCs w:val="28"/>
        </w:rPr>
      </w:pPr>
      <w:bookmarkStart w:id="1" w:name="_30j0zll" w:colFirst="0" w:colLast="0"/>
      <w:bookmarkEnd w:id="1"/>
      <w:r w:rsidRPr="00083C50">
        <w:rPr>
          <w:rFonts w:ascii="Times New Roman" w:hAnsi="Times New Roman" w:cs="Times New Roman"/>
          <w:sz w:val="28"/>
          <w:szCs w:val="28"/>
        </w:rPr>
        <w:t>Wills as a testamentary instrument</w:t>
      </w:r>
    </w:p>
    <w:p w14:paraId="469343F8" w14:textId="77777777" w:rsidR="00083C50" w:rsidRPr="00083C50" w:rsidRDefault="00083C50" w:rsidP="00083C50">
      <w:pPr>
        <w:jc w:val="both"/>
        <w:rPr>
          <w:rFonts w:ascii="Times New Roman" w:hAnsi="Times New Roman" w:cs="Times New Roman"/>
          <w:sz w:val="28"/>
          <w:szCs w:val="28"/>
        </w:rPr>
      </w:pPr>
      <w:r w:rsidRPr="00083C50">
        <w:rPr>
          <w:rFonts w:ascii="Times New Roman" w:hAnsi="Times New Roman" w:cs="Times New Roman"/>
          <w:sz w:val="28"/>
          <w:szCs w:val="28"/>
        </w:rPr>
        <w:t>The definition for wills can be found under the Wills Act of 1837. Section 1 of the Act defines a will as "a testamentary disposition, either of real or personal property, which is to take effect after the death of the testator." Section 9 of the Wills Act 1837 is the provision that sets out the procedural requirements for the creation of a valid will in England and Wales. Specifically, it states that:</w:t>
      </w:r>
    </w:p>
    <w:p w14:paraId="1AA35132" w14:textId="77777777" w:rsidR="00083C50" w:rsidRPr="00FA49E7" w:rsidRDefault="00083C50" w:rsidP="00083C50">
      <w:pPr>
        <w:pStyle w:val="ListParagraph"/>
        <w:numPr>
          <w:ilvl w:val="0"/>
          <w:numId w:val="7"/>
        </w:numPr>
        <w:spacing w:after="160" w:line="480" w:lineRule="auto"/>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49E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will must be written and signed by the testator or by someone else in their presence and by their direction.</w:t>
      </w:r>
    </w:p>
    <w:p w14:paraId="066EA550" w14:textId="77777777" w:rsidR="00083C50" w:rsidRPr="00FA49E7" w:rsidRDefault="00083C50" w:rsidP="00083C50">
      <w:pPr>
        <w:pStyle w:val="ListParagraph"/>
        <w:numPr>
          <w:ilvl w:val="0"/>
          <w:numId w:val="7"/>
        </w:numPr>
        <w:spacing w:after="160" w:line="480" w:lineRule="auto"/>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49E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signature must be made or acknowledged by a testator in the presence of two or more witnesses present at the same time.”</w:t>
      </w:r>
    </w:p>
    <w:p w14:paraId="5DC89FBD" w14:textId="20E69668" w:rsidR="00083C50" w:rsidRPr="00FA49E7" w:rsidRDefault="00083C50" w:rsidP="00083C50">
      <w:pPr>
        <w:pStyle w:val="ListParagraph"/>
        <w:numPr>
          <w:ilvl w:val="0"/>
          <w:numId w:val="7"/>
        </w:numPr>
        <w:spacing w:after="160" w:line="480" w:lineRule="auto"/>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49E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Each witness must either attest and sign the will or acknowledge their signature in the presence of the testator.</w:t>
      </w:r>
    </w:p>
    <w:p w14:paraId="4924CADA" w14:textId="2386FA71" w:rsidR="00BE1762" w:rsidRPr="00BE1762" w:rsidRDefault="00BE1762" w:rsidP="00BE1762">
      <w:pPr>
        <w:tabs>
          <w:tab w:val="left" w:pos="7080"/>
        </w:tabs>
        <w:rPr>
          <w:lang w:eastAsia="en-GB"/>
        </w:rPr>
      </w:pPr>
      <w:r>
        <w:rPr>
          <w:lang w:eastAsia="en-GB"/>
        </w:rPr>
        <w:tab/>
      </w:r>
    </w:p>
    <w:p w14:paraId="74A4FFE8" w14:textId="77777777" w:rsidR="00083C50" w:rsidRPr="00083C50" w:rsidRDefault="00083C50" w:rsidP="00083C50">
      <w:pPr>
        <w:jc w:val="both"/>
        <w:rPr>
          <w:rFonts w:ascii="Times New Roman" w:hAnsi="Times New Roman" w:cs="Times New Roman"/>
          <w:sz w:val="28"/>
          <w:szCs w:val="28"/>
        </w:rPr>
      </w:pPr>
      <w:r w:rsidRPr="00083C50">
        <w:rPr>
          <w:rFonts w:ascii="Times New Roman" w:hAnsi="Times New Roman" w:cs="Times New Roman"/>
          <w:sz w:val="28"/>
          <w:szCs w:val="28"/>
        </w:rPr>
        <w:lastRenderedPageBreak/>
        <w:t>This provision is important because it helps to ensure that a testator's wishes regarding the distribution of their estate are properly recorded and carried out. By requiring that a will be in writing and signed in the presence of witnesses, the law seeks to prevent fraud, coercion, or mistake in the creation of a will. If a will does not comply with the formal requirements set out in Section 9 of the Wills Act 1837, it may be declared invalid by a court.</w:t>
      </w:r>
    </w:p>
    <w:p w14:paraId="78FA56D9" w14:textId="77777777" w:rsidR="00083C50" w:rsidRPr="00083C50" w:rsidRDefault="00083C50" w:rsidP="00083C50">
      <w:pPr>
        <w:pStyle w:val="Heading1"/>
        <w:rPr>
          <w:rFonts w:ascii="Times New Roman" w:hAnsi="Times New Roman" w:cs="Times New Roman"/>
          <w:sz w:val="28"/>
          <w:szCs w:val="28"/>
        </w:rPr>
      </w:pPr>
      <w:bookmarkStart w:id="2" w:name="_1fob9te" w:colFirst="0" w:colLast="0"/>
      <w:bookmarkEnd w:id="2"/>
      <w:r w:rsidRPr="00083C50">
        <w:rPr>
          <w:rFonts w:ascii="Times New Roman" w:hAnsi="Times New Roman" w:cs="Times New Roman"/>
          <w:sz w:val="28"/>
          <w:szCs w:val="28"/>
        </w:rPr>
        <w:t>Probate</w:t>
      </w:r>
    </w:p>
    <w:p w14:paraId="36E2AE81" w14:textId="77777777" w:rsidR="00083C50" w:rsidRPr="00083C50" w:rsidRDefault="00083C50" w:rsidP="00083C50">
      <w:pPr>
        <w:jc w:val="both"/>
        <w:rPr>
          <w:rFonts w:ascii="Times New Roman" w:hAnsi="Times New Roman" w:cs="Times New Roman"/>
          <w:sz w:val="28"/>
          <w:szCs w:val="28"/>
        </w:rPr>
      </w:pPr>
      <w:r w:rsidRPr="00083C50">
        <w:rPr>
          <w:rFonts w:ascii="Times New Roman" w:hAnsi="Times New Roman" w:cs="Times New Roman"/>
          <w:sz w:val="28"/>
          <w:szCs w:val="28"/>
        </w:rPr>
        <w:t>The law relating to probate is primarily governed by the Non-Contentious Probate Rules 1987, which are made under the authority of the Senior Courts Act 1981. Rule 2 of the Non-Contentious Probate Rules 1987 provides that the grant of probate is the executors named in a will made by a deceased person, also known as the testator, may be granted an official certificate by a court that has the jurisdiction to oversee the matter. The certificate is issued only after the will has been proved and registered according to the guidelines outlined in this section of the Schedule. These guidelines declare the will to be valid, thus enabling the court to grant the certificate to the designated executors.</w:t>
      </w:r>
    </w:p>
    <w:p w14:paraId="314D6574" w14:textId="77777777" w:rsidR="00083C50" w:rsidRPr="00083C50" w:rsidRDefault="00083C50" w:rsidP="00083C50">
      <w:pPr>
        <w:jc w:val="both"/>
        <w:rPr>
          <w:rFonts w:ascii="Times New Roman" w:hAnsi="Times New Roman" w:cs="Times New Roman"/>
          <w:sz w:val="28"/>
          <w:szCs w:val="28"/>
        </w:rPr>
      </w:pPr>
      <w:r w:rsidRPr="00083C50">
        <w:rPr>
          <w:rFonts w:ascii="Times New Roman" w:hAnsi="Times New Roman" w:cs="Times New Roman"/>
          <w:sz w:val="28"/>
          <w:szCs w:val="28"/>
        </w:rPr>
        <w:t xml:space="preserve">Case law on probate concerns the interpretation and application of the Non-Contentious Probate Rules 1987, alongside the Wills Act of 1837 or 1963. The case of Hawes v Burgess [2013] EWCA </w:t>
      </w:r>
      <w:proofErr w:type="spellStart"/>
      <w:r w:rsidRPr="00083C50">
        <w:rPr>
          <w:rFonts w:ascii="Times New Roman" w:hAnsi="Times New Roman" w:cs="Times New Roman"/>
          <w:sz w:val="28"/>
          <w:szCs w:val="28"/>
        </w:rPr>
        <w:t>Civ</w:t>
      </w:r>
      <w:proofErr w:type="spellEnd"/>
      <w:r w:rsidRPr="00083C50">
        <w:rPr>
          <w:rFonts w:ascii="Times New Roman" w:hAnsi="Times New Roman" w:cs="Times New Roman"/>
          <w:sz w:val="28"/>
          <w:szCs w:val="28"/>
        </w:rPr>
        <w:t xml:space="preserve"> 74, concerned a dispute over the validity of a will and the application of the test for testamentary capacity. The court considered the circumstances under which a will can be considered valid despite the testator suffering from dementia. The determination made by the trial judge that the final will of the deceased person, which excluded her son, was not valid and hence, her previous will that distributed her assets equally among her three children was still effective, was affirmed by the Court of Appeal.</w:t>
      </w:r>
    </w:p>
    <w:p w14:paraId="0139DDC6" w14:textId="77777777" w:rsidR="00083C50" w:rsidRPr="00083C50" w:rsidRDefault="00083C50" w:rsidP="00083C50">
      <w:pPr>
        <w:pStyle w:val="Heading1"/>
        <w:rPr>
          <w:rFonts w:ascii="Times New Roman" w:hAnsi="Times New Roman" w:cs="Times New Roman"/>
          <w:sz w:val="28"/>
          <w:szCs w:val="28"/>
        </w:rPr>
      </w:pPr>
      <w:bookmarkStart w:id="3" w:name="_3znysh7" w:colFirst="0" w:colLast="0"/>
      <w:bookmarkEnd w:id="3"/>
      <w:r w:rsidRPr="00083C50">
        <w:rPr>
          <w:rFonts w:ascii="Times New Roman" w:hAnsi="Times New Roman" w:cs="Times New Roman"/>
          <w:sz w:val="28"/>
          <w:szCs w:val="28"/>
        </w:rPr>
        <w:t>Golden Rule and the determination of Testamentary Capacity</w:t>
      </w:r>
    </w:p>
    <w:p w14:paraId="23FDA51C" w14:textId="77777777" w:rsidR="00083C50" w:rsidRPr="00083C50" w:rsidRDefault="00083C50" w:rsidP="00083C50">
      <w:pPr>
        <w:jc w:val="both"/>
        <w:rPr>
          <w:rFonts w:ascii="Times New Roman" w:hAnsi="Times New Roman" w:cs="Times New Roman"/>
          <w:sz w:val="28"/>
          <w:szCs w:val="28"/>
        </w:rPr>
      </w:pPr>
      <w:r w:rsidRPr="00083C50">
        <w:rPr>
          <w:rFonts w:ascii="Times New Roman" w:hAnsi="Times New Roman" w:cs="Times New Roman"/>
          <w:sz w:val="28"/>
          <w:szCs w:val="28"/>
        </w:rPr>
        <w:t xml:space="preserve">Whilst the determination of testamentary capacity is one of the legal concepts that ultimately falls under the purview of the court, expert opinions from the medical or psychological fields may be considered in the decision-making process (Shulman et al 2009). </w:t>
      </w:r>
    </w:p>
    <w:p w14:paraId="54B3F525" w14:textId="77777777" w:rsidR="00083C50" w:rsidRPr="00083C50" w:rsidRDefault="00083C50" w:rsidP="00083C50">
      <w:pPr>
        <w:jc w:val="both"/>
        <w:rPr>
          <w:rFonts w:ascii="Times New Roman" w:hAnsi="Times New Roman" w:cs="Times New Roman"/>
          <w:sz w:val="28"/>
          <w:szCs w:val="28"/>
        </w:rPr>
      </w:pPr>
      <w:r w:rsidRPr="00083C50">
        <w:rPr>
          <w:rFonts w:ascii="Times New Roman" w:hAnsi="Times New Roman" w:cs="Times New Roman"/>
          <w:sz w:val="28"/>
          <w:szCs w:val="28"/>
        </w:rPr>
        <w:t xml:space="preserve">In the UK, there is the legal of testamentary capacity. It refers to a person's ability to understand the nature and effect of making a will. This is ultimately determined by the court, although expert medical or psychological opinion may be considered. However, as highlighted by </w:t>
      </w:r>
      <w:proofErr w:type="spellStart"/>
      <w:r w:rsidRPr="00083C50">
        <w:rPr>
          <w:rFonts w:ascii="Times New Roman" w:hAnsi="Times New Roman" w:cs="Times New Roman"/>
          <w:sz w:val="28"/>
          <w:szCs w:val="28"/>
        </w:rPr>
        <w:t>Moye</w:t>
      </w:r>
      <w:proofErr w:type="spellEnd"/>
      <w:r w:rsidRPr="00083C50">
        <w:rPr>
          <w:rFonts w:ascii="Times New Roman" w:hAnsi="Times New Roman" w:cs="Times New Roman"/>
          <w:sz w:val="28"/>
          <w:szCs w:val="28"/>
        </w:rPr>
        <w:t xml:space="preserve"> and Marson (2007), there is a need for increasing education amongst clinicians who may be asked to assist the courts in such determinations. In fact, in the UK, Mr. Justice (later Lord) Templeman formulated what is known as the "golden rule" in Kenward v. Adams (1975) </w:t>
      </w:r>
      <w:r w:rsidRPr="00083C50">
        <w:rPr>
          <w:rFonts w:ascii="Times New Roman" w:hAnsi="Times New Roman" w:cs="Times New Roman"/>
          <w:sz w:val="28"/>
          <w:szCs w:val="28"/>
        </w:rPr>
        <w:lastRenderedPageBreak/>
        <w:t xml:space="preserve">(Charles Cooper 2013). This rule recommends that in the case of an aged or seriously ill testator, a medical practitioner should witness or approve the making of a </w:t>
      </w:r>
      <w:proofErr w:type="gramStart"/>
      <w:r w:rsidRPr="00083C50">
        <w:rPr>
          <w:rFonts w:ascii="Times New Roman" w:hAnsi="Times New Roman" w:cs="Times New Roman"/>
          <w:sz w:val="28"/>
          <w:szCs w:val="28"/>
        </w:rPr>
        <w:t>will, and</w:t>
      </w:r>
      <w:proofErr w:type="gramEnd"/>
      <w:r w:rsidRPr="00083C50">
        <w:rPr>
          <w:rFonts w:ascii="Times New Roman" w:hAnsi="Times New Roman" w:cs="Times New Roman"/>
          <w:sz w:val="28"/>
          <w:szCs w:val="28"/>
        </w:rPr>
        <w:t xml:space="preserve"> satisfy himself of the capacity and understanding of the testator. The medical practitioner should also record and preserve his examination and finding (Kenward v. Adams, 1975). </w:t>
      </w:r>
    </w:p>
    <w:p w14:paraId="16D066D8" w14:textId="77777777" w:rsidR="00083C50" w:rsidRPr="00083C50" w:rsidRDefault="00083C50" w:rsidP="00083C50">
      <w:pPr>
        <w:jc w:val="both"/>
        <w:rPr>
          <w:rFonts w:ascii="Times New Roman" w:hAnsi="Times New Roman" w:cs="Times New Roman"/>
          <w:sz w:val="28"/>
          <w:szCs w:val="28"/>
        </w:rPr>
      </w:pPr>
      <w:r w:rsidRPr="00083C50">
        <w:rPr>
          <w:rFonts w:ascii="Times New Roman" w:hAnsi="Times New Roman" w:cs="Times New Roman"/>
          <w:sz w:val="28"/>
          <w:szCs w:val="28"/>
        </w:rPr>
        <w:t xml:space="preserve">Merely adhering to the "golden rule" does not constitute a legal requirement when assessing the validity of a contested will. While following this rule may be considered the best approach, it does not ensure the acceptance of the will's validity, nor does failing to comply with it automatically result in the will being declared invalid. This can be elucidated by the case of James v James &amp; </w:t>
      </w:r>
      <w:proofErr w:type="spellStart"/>
      <w:r w:rsidRPr="00083C50">
        <w:rPr>
          <w:rFonts w:ascii="Times New Roman" w:hAnsi="Times New Roman" w:cs="Times New Roman"/>
          <w:sz w:val="28"/>
          <w:szCs w:val="28"/>
        </w:rPr>
        <w:t>Ors</w:t>
      </w:r>
      <w:proofErr w:type="spellEnd"/>
      <w:r w:rsidRPr="00083C50">
        <w:rPr>
          <w:rFonts w:ascii="Times New Roman" w:hAnsi="Times New Roman" w:cs="Times New Roman"/>
          <w:sz w:val="28"/>
          <w:szCs w:val="28"/>
        </w:rPr>
        <w:t xml:space="preserve"> [2018] EWHC 43 (Ch). Judge Paul Matthews affirmed that the Banks v Goodfellow test remained the appropriate standard for assessing testamentary capacity, even after the Mental Capacity Act 2005 was introduced. While some cases have raised doubts about the longstanding test, the judge carefully considered the issue and determined that the new Act did not replace the traditional test. The judge relied heavily on medical and solicitor expertise, rather than the defendants' evidence, to find that the deceased had the necessary capacity to make the Will. To establish propriety estoppel, a claimant must prove that a promise or assurance was made, that they relied on it, and that they suffered a detriment as a result of that reliance.</w:t>
      </w:r>
    </w:p>
    <w:p w14:paraId="540638E5" w14:textId="77777777" w:rsidR="00083C50" w:rsidRPr="00083C50" w:rsidRDefault="00083C50" w:rsidP="00083C50">
      <w:pPr>
        <w:pStyle w:val="Heading1"/>
        <w:rPr>
          <w:rFonts w:ascii="Times New Roman" w:hAnsi="Times New Roman" w:cs="Times New Roman"/>
          <w:sz w:val="28"/>
          <w:szCs w:val="28"/>
        </w:rPr>
      </w:pPr>
      <w:bookmarkStart w:id="4" w:name="_2et92p0" w:colFirst="0" w:colLast="0"/>
      <w:bookmarkEnd w:id="4"/>
      <w:r w:rsidRPr="00083C50">
        <w:rPr>
          <w:rFonts w:ascii="Times New Roman" w:hAnsi="Times New Roman" w:cs="Times New Roman"/>
          <w:sz w:val="28"/>
          <w:szCs w:val="28"/>
        </w:rPr>
        <w:t>Undue Influence mixed with lack of Testamentary Capacity</w:t>
      </w:r>
    </w:p>
    <w:p w14:paraId="0DC18D86" w14:textId="77777777" w:rsidR="00083C50" w:rsidRPr="00083C50" w:rsidRDefault="00083C50" w:rsidP="00083C50">
      <w:pPr>
        <w:jc w:val="both"/>
        <w:rPr>
          <w:rFonts w:ascii="Times New Roman" w:hAnsi="Times New Roman" w:cs="Times New Roman"/>
          <w:sz w:val="28"/>
          <w:szCs w:val="28"/>
        </w:rPr>
      </w:pPr>
      <w:r w:rsidRPr="00083C50">
        <w:rPr>
          <w:rFonts w:ascii="Times New Roman" w:hAnsi="Times New Roman" w:cs="Times New Roman"/>
          <w:sz w:val="28"/>
          <w:szCs w:val="28"/>
        </w:rPr>
        <w:t xml:space="preserve">An illustration would be the Hawes v Burgess (2013) case. Probate practitioners had been reminded the quintessential steps for ensuring the Wills they draft are upheld by the Court of Appeal decision in the aforementioned case. In the case of Hawes v Burgess [2013] EWCA </w:t>
      </w:r>
      <w:proofErr w:type="spellStart"/>
      <w:r w:rsidRPr="00083C50">
        <w:rPr>
          <w:rFonts w:ascii="Times New Roman" w:hAnsi="Times New Roman" w:cs="Times New Roman"/>
          <w:sz w:val="28"/>
          <w:szCs w:val="28"/>
        </w:rPr>
        <w:t>Civ</w:t>
      </w:r>
      <w:proofErr w:type="spellEnd"/>
      <w:r w:rsidRPr="00083C50">
        <w:rPr>
          <w:rFonts w:ascii="Times New Roman" w:hAnsi="Times New Roman" w:cs="Times New Roman"/>
          <w:sz w:val="28"/>
          <w:szCs w:val="28"/>
        </w:rPr>
        <w:t xml:space="preserve"> 74, two sisters and a brother were in dispute over their late mother's estate. Mrs. Hawes claimed that a new will had been made shortly before their mother's death, which left her a larger share of the estate. On the other hand, Mrs. Burgess argued that the new will was invalid and that an earlier will, which gave her an equal share with her sibling which included Peter, should be used instead. The court considered several issues related to the validity of the will, including testamentary capacity and undue influence Julia Hawes had possibly exercised. The finding of the trial judge that the deceased's final will, which excluded her son Peter, was invalid and that her prior will was not illegitimate. The previous will, which left everything equally to her three children, was still valid as it was upheld by the Court of Appeal. Sadly, the entire estate was lost in costs of the case. </w:t>
      </w:r>
    </w:p>
    <w:p w14:paraId="555F0979" w14:textId="77777777" w:rsidR="00083C50" w:rsidRPr="00083C50" w:rsidRDefault="00083C50" w:rsidP="00083C50">
      <w:pPr>
        <w:pStyle w:val="Heading1"/>
        <w:rPr>
          <w:rFonts w:ascii="Times New Roman" w:hAnsi="Times New Roman" w:cs="Times New Roman"/>
          <w:sz w:val="28"/>
          <w:szCs w:val="28"/>
        </w:rPr>
      </w:pPr>
      <w:bookmarkStart w:id="5" w:name="_tyjcwt" w:colFirst="0" w:colLast="0"/>
      <w:bookmarkEnd w:id="5"/>
      <w:r w:rsidRPr="00083C50">
        <w:rPr>
          <w:rFonts w:ascii="Times New Roman" w:hAnsi="Times New Roman" w:cs="Times New Roman"/>
          <w:sz w:val="28"/>
          <w:szCs w:val="28"/>
        </w:rPr>
        <w:lastRenderedPageBreak/>
        <w:t>Personal Representatives, Trustees and Mismanagement of Investments</w:t>
      </w:r>
    </w:p>
    <w:p w14:paraId="39FB3ED9" w14:textId="77777777" w:rsidR="00083C50" w:rsidRPr="00083C50" w:rsidRDefault="00083C50" w:rsidP="00083C50">
      <w:pPr>
        <w:jc w:val="both"/>
        <w:rPr>
          <w:rFonts w:ascii="Times New Roman" w:hAnsi="Times New Roman" w:cs="Times New Roman"/>
          <w:sz w:val="28"/>
          <w:szCs w:val="28"/>
        </w:rPr>
      </w:pPr>
      <w:r w:rsidRPr="00083C50">
        <w:rPr>
          <w:rFonts w:ascii="Times New Roman" w:hAnsi="Times New Roman" w:cs="Times New Roman"/>
          <w:sz w:val="28"/>
          <w:szCs w:val="28"/>
        </w:rPr>
        <w:t>Section 25 of the Administration of Estates Act 1925 and the legislation, Trustee Act 2000 outline the duties of Personal Representatives (PRs). These duties must be carried out with due diligence and reasonable care and skill. The PRs are responsible for collecting and safeguarding the assets, paying the deceased's debts, and correctly distributing the estate to the beneficiaries entitled to it. S3 of the Trustee Act 2000 empowers trustees to invest in a wider range of investments than was previously allowed. Trustees are permitted to invest in any investment that they could choose if they were the absolute owner of the assets. In exercising their investment powers, trustees must consider the duty of care imposed by Schedule 1 of the Act, which requires them to exercise reasonable care and skill in all circumstances. Additionally, trustees must consider the standard investment criteria set out in S4, which requires them to consider the suitability and diversification of the investments. Under S5, trustees are required to seek appropriate advice before making any investment unless they reasonably conclude that it is unnecessary. Regarding land, S8 gives PRs the power to purchase freehold or leasehold land in the UK either for investment purposes or for the occupation of a beneficiary. However, this power may be restricted by a provision in the testator’s will.</w:t>
      </w:r>
    </w:p>
    <w:p w14:paraId="76A6E724" w14:textId="77777777" w:rsidR="00083C50" w:rsidRPr="00083C50" w:rsidRDefault="00083C50" w:rsidP="00083C50">
      <w:pPr>
        <w:jc w:val="both"/>
        <w:rPr>
          <w:rFonts w:ascii="Times New Roman" w:hAnsi="Times New Roman" w:cs="Times New Roman"/>
          <w:sz w:val="28"/>
          <w:szCs w:val="28"/>
        </w:rPr>
      </w:pPr>
      <w:r w:rsidRPr="00083C50">
        <w:rPr>
          <w:rFonts w:ascii="Times New Roman" w:hAnsi="Times New Roman" w:cs="Times New Roman"/>
          <w:sz w:val="28"/>
          <w:szCs w:val="28"/>
        </w:rPr>
        <w:t xml:space="preserve">Daniel and Another v Tee and Others [2016] considered the duties of professional solicitor trustees when managing trust investments. Independent financial advisers provided advice to the solicitors, who invested a substantial amount in IT and technology shares, which subsequently lost their value in 2000/2001. The court determined that the claimants had violated their duty of care by having not adopted a realistic investment strategy and diversifying their investments. However, it was not proven that the breach of duty directly caused the incurred losses. The case emphasized the importance of conducting periodic evaluations of investment decisions and recording the outcomes of those discussions. </w:t>
      </w:r>
    </w:p>
    <w:p w14:paraId="7BFE47E3" w14:textId="77777777" w:rsidR="00083C50" w:rsidRPr="00083C50" w:rsidRDefault="00083C50" w:rsidP="00083C50">
      <w:pPr>
        <w:pStyle w:val="Heading1"/>
        <w:rPr>
          <w:rFonts w:ascii="Times New Roman" w:hAnsi="Times New Roman" w:cs="Times New Roman"/>
          <w:sz w:val="28"/>
          <w:szCs w:val="28"/>
        </w:rPr>
      </w:pPr>
      <w:bookmarkStart w:id="6" w:name="_3dy6vkm" w:colFirst="0" w:colLast="0"/>
      <w:bookmarkEnd w:id="6"/>
      <w:r w:rsidRPr="00083C50">
        <w:rPr>
          <w:rFonts w:ascii="Times New Roman" w:hAnsi="Times New Roman" w:cs="Times New Roman"/>
          <w:sz w:val="28"/>
          <w:szCs w:val="28"/>
        </w:rPr>
        <w:t>Invalid or Incorrect Execution of Will due to not sufficing Attestation Clause</w:t>
      </w:r>
    </w:p>
    <w:p w14:paraId="6518BA63" w14:textId="77777777" w:rsidR="00083C50" w:rsidRPr="00083C50" w:rsidRDefault="00083C50" w:rsidP="00083C50">
      <w:pPr>
        <w:jc w:val="both"/>
        <w:rPr>
          <w:rFonts w:ascii="Times New Roman" w:hAnsi="Times New Roman" w:cs="Times New Roman"/>
          <w:sz w:val="28"/>
          <w:szCs w:val="28"/>
        </w:rPr>
      </w:pPr>
      <w:r w:rsidRPr="00083C50">
        <w:rPr>
          <w:rFonts w:ascii="Times New Roman" w:hAnsi="Times New Roman" w:cs="Times New Roman"/>
          <w:sz w:val="28"/>
          <w:szCs w:val="28"/>
        </w:rPr>
        <w:t>Including an attestation clause in a will is a customary practice to ensure compliance with the formalities under S9 Wills Act, 1837 and create a presumption of due execution. A short form attestation clause is usually placed at the end of the will where the testator and witnesses sign. However, the absence of an attestation clause does not render a will invalid, as S9 Wills Act, 1837 explicitly states that no specific form of attestation is required. In such cases, the Registrar may demand an affidavit of due execution. If no evidence is available, the court may admit a will to probate if it appears to have been properly signed and witnessed, but this may necessitate a hearing before a judge and incur additional costs and delays.</w:t>
      </w:r>
    </w:p>
    <w:p w14:paraId="00B3499A" w14:textId="77777777" w:rsidR="00083C50" w:rsidRPr="00083C50" w:rsidRDefault="00083C50" w:rsidP="00083C50">
      <w:pPr>
        <w:jc w:val="both"/>
        <w:rPr>
          <w:rFonts w:ascii="Times New Roman" w:hAnsi="Times New Roman" w:cs="Times New Roman"/>
          <w:sz w:val="28"/>
          <w:szCs w:val="28"/>
        </w:rPr>
      </w:pPr>
      <w:r w:rsidRPr="00083C50">
        <w:rPr>
          <w:rFonts w:ascii="Times New Roman" w:hAnsi="Times New Roman" w:cs="Times New Roman"/>
          <w:sz w:val="28"/>
          <w:szCs w:val="28"/>
        </w:rPr>
        <w:lastRenderedPageBreak/>
        <w:t>The Court of Appeal in Sherrington v Sherrington [2005] held that the presumption of due execution is difficult to rebut if the will is signed, witnessed, and contains an attestation clause. In that case, the testator hastily signed a will that was written out by his stepdaughter, which had an attestation clause, and was witnessed by two individuals who appeared to have little knowledge of will requirements. Despite the unusual circumstances, the Court of Appeal upheld the validity of the will, stating that the intention of a witness to attest is deduced from the testator's signature, the attestation clause, and the witness's signature unless there is strong evidence to the contrary. In contrast, the will in Ahluwalia v Singh and Others [2011] was deemed invalid because the claimant proved that the testator did not sign the will in the presence of both witnesses, despite the attestation clause claiming otherwise. The case concerned whether the two witnesses who purportedly attested the Will were both present when the deceased signed it. The Will contained a standard attestation clause, and two witnesses signed below the testator's signature. However, the deceased's daughter argued that he had only signed the Will in the presence of one witness, Mr. Grantham, and that Mr. Ahluwalia's signature was subsequently obtained when he was not present at the same time. The judge in this case found the claimant's evidence to be the strongest, after hearing from both witnesses.</w:t>
      </w:r>
    </w:p>
    <w:p w14:paraId="791B400E" w14:textId="77777777" w:rsidR="00083C50" w:rsidRPr="00083C50" w:rsidRDefault="00083C50" w:rsidP="00083C50">
      <w:pPr>
        <w:pStyle w:val="Heading1"/>
        <w:rPr>
          <w:rFonts w:ascii="Times New Roman" w:hAnsi="Times New Roman" w:cs="Times New Roman"/>
          <w:sz w:val="28"/>
          <w:szCs w:val="28"/>
        </w:rPr>
      </w:pPr>
      <w:bookmarkStart w:id="7" w:name="_1t3h5sf" w:colFirst="0" w:colLast="0"/>
      <w:bookmarkEnd w:id="7"/>
      <w:r w:rsidRPr="00083C50">
        <w:rPr>
          <w:rFonts w:ascii="Times New Roman" w:hAnsi="Times New Roman" w:cs="Times New Roman"/>
          <w:sz w:val="28"/>
          <w:szCs w:val="28"/>
        </w:rPr>
        <w:t>When Mutual Wills can be challenged</w:t>
      </w:r>
    </w:p>
    <w:p w14:paraId="0D143593" w14:textId="667FFA4D" w:rsidR="00BE1762" w:rsidRDefault="00083C50" w:rsidP="00083C50">
      <w:pPr>
        <w:jc w:val="both"/>
        <w:rPr>
          <w:rFonts w:ascii="Times New Roman" w:hAnsi="Times New Roman" w:cs="Times New Roman"/>
          <w:sz w:val="28"/>
          <w:szCs w:val="28"/>
        </w:rPr>
      </w:pPr>
      <w:r w:rsidRPr="00083C50">
        <w:rPr>
          <w:rFonts w:ascii="Times New Roman" w:hAnsi="Times New Roman" w:cs="Times New Roman"/>
          <w:sz w:val="28"/>
          <w:szCs w:val="28"/>
        </w:rPr>
        <w:t xml:space="preserve">The case of Goodchild v Goodchild [1997] 1 WLR 1216 concerned the validity of mutually binding wills and family provision. The wills were executed by the husband and wife in 1988, in each other's favour and in default to their son. In September 1988, the public house and hotel business owned by the couple were transferred to their son and his wife, along with a warehouse, in exchange for £200,000 and a legal charge that required the amount to be repaid in equal monthly instalments over ten years. A declaration of trust was also executed, stating that the husband's one-third share in the warehouse would be held in trust for the first wife. The first wife passed away in April 1991, and the husband subsequently remarried and made a new will in favour of his second wife. The husband passed away in January 1993, and the son applied for financial provision from the estate based on the 1988 wills or alternatively under the Inheritance (Provision for Family and Dependants) Act 1975. The Judge held that there was no clear agreement that the wills were mutually binding, and therefore they were not binding on the husband after the first wife's death. Additionally, the Judge determined that the son could not rely on the principles of binding agreement or estoppel to claim benefits under the legal charges. Pursuant to S2 of the Inheritance (Provision for Family and Dependants) Act 1975, the Judge awarded the son £185,000 on the basis that the first wife had mistakenly believed that the </w:t>
      </w:r>
      <w:r w:rsidRPr="00083C50">
        <w:rPr>
          <w:rFonts w:ascii="Times New Roman" w:hAnsi="Times New Roman" w:cs="Times New Roman"/>
          <w:sz w:val="28"/>
          <w:szCs w:val="28"/>
        </w:rPr>
        <w:lastRenderedPageBreak/>
        <w:t>wills were mutually binding, imposing a moral obligation on the husband to provide for the son. The Court of Appeal dismissed the second wife's appeal against the lump sum awarded to the son and the son's cross-appeal, which argued that the wills were mutually binding on the husband. The Court held that mutually binding wills could only take effect if there was a legal contract between the testators, which was not present in this case. Moreover, the Court held that the son could not claim financial provision from the estate under the terms of the 1988 wills based on the mistaken belief of the first wife.</w:t>
      </w:r>
    </w:p>
    <w:p w14:paraId="56B24027" w14:textId="77777777" w:rsidR="009808F4" w:rsidRPr="00083C50" w:rsidRDefault="009808F4" w:rsidP="00083C50">
      <w:pPr>
        <w:jc w:val="both"/>
        <w:rPr>
          <w:rFonts w:ascii="Times New Roman" w:hAnsi="Times New Roman" w:cs="Times New Roman"/>
          <w:sz w:val="28"/>
          <w:szCs w:val="28"/>
        </w:rPr>
      </w:pPr>
    </w:p>
    <w:p w14:paraId="20E11554" w14:textId="77777777" w:rsidR="00083C50" w:rsidRPr="00083C50" w:rsidRDefault="00083C50" w:rsidP="00083C50">
      <w:pPr>
        <w:pStyle w:val="Heading1"/>
        <w:rPr>
          <w:rFonts w:ascii="Times New Roman" w:hAnsi="Times New Roman" w:cs="Times New Roman"/>
          <w:sz w:val="28"/>
          <w:szCs w:val="28"/>
        </w:rPr>
      </w:pPr>
      <w:bookmarkStart w:id="8" w:name="_4d34og8" w:colFirst="0" w:colLast="0"/>
      <w:bookmarkEnd w:id="8"/>
      <w:r w:rsidRPr="00083C50">
        <w:rPr>
          <w:rFonts w:ascii="Times New Roman" w:hAnsi="Times New Roman" w:cs="Times New Roman"/>
          <w:sz w:val="28"/>
          <w:szCs w:val="28"/>
        </w:rPr>
        <w:t>Conclusion</w:t>
      </w:r>
    </w:p>
    <w:p w14:paraId="216A01DB" w14:textId="30AFC39D" w:rsidR="00A3045B" w:rsidRDefault="00083C50" w:rsidP="001A7F20">
      <w:pPr>
        <w:jc w:val="both"/>
        <w:rPr>
          <w:rFonts w:ascii="Times New Roman" w:hAnsi="Times New Roman" w:cs="Times New Roman"/>
          <w:sz w:val="28"/>
          <w:szCs w:val="28"/>
        </w:rPr>
      </w:pPr>
      <w:r w:rsidRPr="00083C50">
        <w:rPr>
          <w:rFonts w:ascii="Times New Roman" w:hAnsi="Times New Roman" w:cs="Times New Roman"/>
          <w:sz w:val="28"/>
          <w:szCs w:val="28"/>
        </w:rPr>
        <w:t>Throughout this paper, a multitude of ways through which the validity of a will could be challenged were critically assessed. Testamentary capacity, undue influence and invalid execution of wills are amongst the most common grounds for challenging a will. The procedural requirements of a valid will, as set out in the Wills Act of 1837, has been briefly discussed. Probate is extremely crucial post the deceasing of a testator and the Non-Contentious Probate Rules 1987 provides a legal guideline. The importance of the “golden rule” and the determination of testamentary capacity were critically analysed in the paper. Though, it is pertinent to note that the determination of testamentary capacity falls under the jurisdictional purview of the courts despite expert advice from medical or psychological professionals being vital. Other factors such as mismanagement by trustees or erroneous execution of wills, and mistakes in mutual wills were also assessed. Thus, it is quintessential for ensuring that the creation of a will compiles with the formal requirements set out in Section 9 of the Wills Act to prevent challenges.</w:t>
      </w:r>
      <w:r w:rsidRPr="00083C50">
        <w:rPr>
          <w:rFonts w:ascii="Times New Roman" w:hAnsi="Times New Roman" w:cs="Times New Roman"/>
          <w:sz w:val="28"/>
          <w:szCs w:val="28"/>
        </w:rPr>
        <w:br w:type="page"/>
      </w:r>
      <w:bookmarkStart w:id="9" w:name="_2s8eyo1" w:colFirst="0" w:colLast="0"/>
      <w:bookmarkEnd w:id="9"/>
    </w:p>
    <w:p w14:paraId="5DD47409" w14:textId="0DC8DD22" w:rsidR="00083C50" w:rsidRDefault="00083C50" w:rsidP="00083C50">
      <w:pPr>
        <w:pStyle w:val="Heading1"/>
        <w:rPr>
          <w:rFonts w:ascii="Times New Roman" w:hAnsi="Times New Roman" w:cs="Times New Roman"/>
          <w:sz w:val="28"/>
          <w:szCs w:val="28"/>
        </w:rPr>
      </w:pPr>
      <w:r w:rsidRPr="00083C50">
        <w:rPr>
          <w:rFonts w:ascii="Times New Roman" w:hAnsi="Times New Roman" w:cs="Times New Roman"/>
          <w:sz w:val="28"/>
          <w:szCs w:val="28"/>
        </w:rPr>
        <w:lastRenderedPageBreak/>
        <w:t>Reference List</w:t>
      </w:r>
    </w:p>
    <w:p w14:paraId="70E98139" w14:textId="025CBECE" w:rsidR="001A7F20" w:rsidRPr="001A7F20" w:rsidRDefault="00234EBE" w:rsidP="001A7F20">
      <w:r>
        <w:t xml:space="preserve">  </w:t>
      </w:r>
    </w:p>
    <w:p w14:paraId="4137F7BD" w14:textId="5BC891D2" w:rsidR="00234EBE" w:rsidRPr="00234EBE" w:rsidRDefault="007E6B7C" w:rsidP="00234EBE">
      <w:pPr>
        <w:pStyle w:val="ListParagraph"/>
        <w:numPr>
          <w:ilvl w:val="0"/>
          <w:numId w:val="11"/>
        </w:numPr>
        <w:rPr>
          <w:sz w:val="28"/>
          <w:szCs w:val="28"/>
        </w:rPr>
      </w:pPr>
      <w:r>
        <w:rPr>
          <w:sz w:val="28"/>
          <w:szCs w:val="28"/>
        </w:rPr>
        <w:t xml:space="preserve">P Courtney, n. Casey, a. O’Connell and A. Stephenson. 2018. </w:t>
      </w:r>
      <w:r w:rsidR="00234EBE" w:rsidRPr="00234EBE">
        <w:rPr>
          <w:sz w:val="28"/>
          <w:szCs w:val="28"/>
        </w:rPr>
        <w:t>Essential Wills, Probate and Estates 6th Ed</w:t>
      </w:r>
      <w:r>
        <w:rPr>
          <w:sz w:val="28"/>
          <w:szCs w:val="28"/>
        </w:rPr>
        <w:t>. London: Oxford University Press.</w:t>
      </w:r>
    </w:p>
    <w:p w14:paraId="34DB2550" w14:textId="77777777" w:rsidR="00234EBE" w:rsidRPr="00234EBE" w:rsidRDefault="00234EBE" w:rsidP="00234EBE">
      <w:pPr>
        <w:pStyle w:val="ListParagraph"/>
        <w:rPr>
          <w:sz w:val="28"/>
          <w:szCs w:val="28"/>
        </w:rPr>
      </w:pPr>
    </w:p>
    <w:p w14:paraId="3FC1709A" w14:textId="0B932ECB" w:rsidR="00AA2C39" w:rsidRPr="00AA2C39" w:rsidRDefault="00AA2C39" w:rsidP="00AA2C39">
      <w:pPr>
        <w:pStyle w:val="ListParagraph"/>
        <w:numPr>
          <w:ilvl w:val="0"/>
          <w:numId w:val="11"/>
        </w:numPr>
        <w:rPr>
          <w:sz w:val="28"/>
          <w:szCs w:val="28"/>
        </w:rPr>
      </w:pPr>
      <w:r w:rsidRPr="00AA2C39">
        <w:rPr>
          <w:sz w:val="28"/>
          <w:szCs w:val="28"/>
          <w:shd w:val="clear" w:color="auto" w:fill="FFFFFF"/>
        </w:rPr>
        <w:t>For the origin of fiduciary duties of directors in trust law, see P.L. Davies, </w:t>
      </w:r>
      <w:r w:rsidRPr="00AA2C39">
        <w:rPr>
          <w:rStyle w:val="ssit"/>
          <w:i/>
          <w:iCs/>
          <w:sz w:val="28"/>
          <w:szCs w:val="28"/>
          <w:bdr w:val="none" w:sz="0" w:space="0" w:color="auto" w:frame="1"/>
          <w:shd w:val="clear" w:color="auto" w:fill="FFFFFF"/>
        </w:rPr>
        <w:t>Gower and Davies' Principles of Modern Company Law</w:t>
      </w:r>
      <w:r w:rsidRPr="00AA2C39">
        <w:rPr>
          <w:sz w:val="28"/>
          <w:szCs w:val="28"/>
          <w:shd w:val="clear" w:color="auto" w:fill="FFFFFF"/>
        </w:rPr>
        <w:t>,</w:t>
      </w:r>
      <w:r w:rsidR="003B35A1">
        <w:rPr>
          <w:sz w:val="28"/>
          <w:szCs w:val="28"/>
          <w:shd w:val="clear" w:color="auto" w:fill="FFFFFF"/>
        </w:rPr>
        <w:t xml:space="preserve"> 8</w:t>
      </w:r>
      <w:r w:rsidR="003B35A1" w:rsidRPr="003B35A1">
        <w:rPr>
          <w:sz w:val="28"/>
          <w:szCs w:val="28"/>
          <w:shd w:val="clear" w:color="auto" w:fill="FFFFFF"/>
          <w:vertAlign w:val="superscript"/>
        </w:rPr>
        <w:t>th</w:t>
      </w:r>
      <w:r w:rsidR="003B35A1">
        <w:rPr>
          <w:sz w:val="28"/>
          <w:szCs w:val="28"/>
          <w:shd w:val="clear" w:color="auto" w:fill="FFFFFF"/>
        </w:rPr>
        <w:t xml:space="preserve"> </w:t>
      </w:r>
      <w:r w:rsidR="00FE04BD">
        <w:rPr>
          <w:sz w:val="28"/>
          <w:szCs w:val="28"/>
          <w:shd w:val="clear" w:color="auto" w:fill="FFFFFF"/>
        </w:rPr>
        <w:t xml:space="preserve">edn. </w:t>
      </w:r>
      <w:r w:rsidR="00FE04BD" w:rsidRPr="00AA2C39">
        <w:rPr>
          <w:sz w:val="28"/>
          <w:szCs w:val="28"/>
          <w:shd w:val="clear" w:color="auto" w:fill="FFFFFF"/>
        </w:rPr>
        <w:t>(</w:t>
      </w:r>
      <w:r w:rsidRPr="00AA2C39">
        <w:rPr>
          <w:sz w:val="28"/>
          <w:szCs w:val="28"/>
          <w:shd w:val="clear" w:color="auto" w:fill="FFFFFF"/>
        </w:rPr>
        <w:t>London, Sweet &amp; Maxwell 2008), at pp. 16–17.</w:t>
      </w:r>
    </w:p>
    <w:p w14:paraId="1D7C37C6" w14:textId="77777777" w:rsidR="00AA2C39" w:rsidRDefault="00AA2C39" w:rsidP="00AA2C39">
      <w:pPr>
        <w:pStyle w:val="ListParagraph"/>
        <w:rPr>
          <w:sz w:val="28"/>
          <w:szCs w:val="28"/>
        </w:rPr>
      </w:pPr>
    </w:p>
    <w:p w14:paraId="3A7474EE" w14:textId="31BF9321" w:rsidR="00083C50" w:rsidRPr="001A7F20" w:rsidRDefault="00083C50" w:rsidP="001A7F20">
      <w:pPr>
        <w:pStyle w:val="ListParagraph"/>
        <w:numPr>
          <w:ilvl w:val="0"/>
          <w:numId w:val="11"/>
        </w:numPr>
        <w:rPr>
          <w:sz w:val="28"/>
          <w:szCs w:val="28"/>
        </w:rPr>
      </w:pPr>
      <w:r w:rsidRPr="001A7F20">
        <w:rPr>
          <w:sz w:val="28"/>
          <w:szCs w:val="28"/>
        </w:rPr>
        <w:t>Ahluwalia v Singh [2011] 1 All ER 113,</w:t>
      </w:r>
      <w:r w:rsidR="00A3045B" w:rsidRPr="001A7F20">
        <w:rPr>
          <w:sz w:val="28"/>
          <w:szCs w:val="28"/>
        </w:rPr>
        <w:t xml:space="preserve"> </w:t>
      </w:r>
      <w:bookmarkStart w:id="10" w:name="_Hlk130510388"/>
      <w:r w:rsidR="00A3045B" w:rsidRPr="001A7F20">
        <w:rPr>
          <w:sz w:val="28"/>
          <w:szCs w:val="28"/>
        </w:rPr>
        <w:t xml:space="preserve">[Online]. Available at: </w:t>
      </w:r>
      <w:bookmarkEnd w:id="10"/>
      <w:r w:rsidR="00A3045B" w:rsidRPr="001A7F20">
        <w:rPr>
          <w:color w:val="0563C1"/>
          <w:sz w:val="28"/>
          <w:szCs w:val="28"/>
          <w:u w:val="single"/>
        </w:rPr>
        <w:fldChar w:fldCharType="begin"/>
      </w:r>
      <w:r w:rsidR="00A3045B" w:rsidRPr="001A7F20">
        <w:rPr>
          <w:color w:val="0563C1"/>
          <w:sz w:val="28"/>
          <w:szCs w:val="28"/>
          <w:u w:val="single"/>
        </w:rPr>
        <w:instrText xml:space="preserve"> HYPERLINK "https://www.lawskills.co.uk/articles/2011/12/validity-incorrectly-executed-will-ahluwalia-v-singh-2011-1-all-er-113/" </w:instrText>
      </w:r>
      <w:r w:rsidR="00A3045B" w:rsidRPr="001A7F20">
        <w:rPr>
          <w:color w:val="0563C1"/>
          <w:sz w:val="28"/>
          <w:szCs w:val="28"/>
          <w:u w:val="single"/>
        </w:rPr>
      </w:r>
      <w:r w:rsidR="00A3045B" w:rsidRPr="001A7F20">
        <w:rPr>
          <w:color w:val="0563C1"/>
          <w:sz w:val="28"/>
          <w:szCs w:val="28"/>
          <w:u w:val="single"/>
        </w:rPr>
        <w:fldChar w:fldCharType="separate"/>
      </w:r>
      <w:r w:rsidR="00A3045B" w:rsidRPr="001A7F20">
        <w:rPr>
          <w:rStyle w:val="Hyperlink"/>
          <w:sz w:val="28"/>
          <w:szCs w:val="28"/>
        </w:rPr>
        <w:t>https://www.lawskills.co.uk/articles/2011/12/validity-incorrectly-executed-will-ahluwalia-v-singh-2011-1-all-er-113/</w:t>
      </w:r>
      <w:r w:rsidR="00A3045B" w:rsidRPr="001A7F20">
        <w:rPr>
          <w:color w:val="0563C1"/>
          <w:sz w:val="28"/>
          <w:szCs w:val="28"/>
          <w:u w:val="single"/>
        </w:rPr>
        <w:fldChar w:fldCharType="end"/>
      </w:r>
      <w:r w:rsidR="00A3045B" w:rsidRPr="001A7F20">
        <w:rPr>
          <w:sz w:val="28"/>
          <w:szCs w:val="28"/>
        </w:rPr>
        <w:t>.</w:t>
      </w:r>
      <w:bookmarkStart w:id="11" w:name="_Hlk130510433"/>
      <w:r w:rsidR="00A3045B" w:rsidRPr="001A7F20">
        <w:rPr>
          <w:sz w:val="28"/>
          <w:szCs w:val="28"/>
        </w:rPr>
        <w:t>[Accessed: 15 March 2023].</w:t>
      </w:r>
      <w:bookmarkEnd w:id="11"/>
    </w:p>
    <w:p w14:paraId="20B6AB60" w14:textId="762C9F6D" w:rsidR="00083C50" w:rsidRPr="001A7F20" w:rsidRDefault="00083C50" w:rsidP="001A7F20">
      <w:pPr>
        <w:pStyle w:val="ListParagraph"/>
        <w:numPr>
          <w:ilvl w:val="0"/>
          <w:numId w:val="11"/>
        </w:numPr>
        <w:rPr>
          <w:sz w:val="28"/>
          <w:szCs w:val="28"/>
        </w:rPr>
      </w:pPr>
      <w:r w:rsidRPr="001A7F20">
        <w:rPr>
          <w:sz w:val="28"/>
          <w:szCs w:val="28"/>
        </w:rPr>
        <w:t xml:space="preserve">Banks v Goodfellow (1870) LR 5 QB 549, </w:t>
      </w:r>
      <w:r w:rsidR="003E4E6C" w:rsidRPr="001A7F20">
        <w:rPr>
          <w:sz w:val="28"/>
          <w:szCs w:val="28"/>
        </w:rPr>
        <w:t xml:space="preserve">[Online]. Available at: </w:t>
      </w:r>
      <w:hyperlink r:id="rId10" w:anchor=":~:text=Banks%20v%20Goodfellow%20(1870)%20LR,to%20as%20'testamentary%20capacity">
        <w:r w:rsidRPr="001A7F20">
          <w:rPr>
            <w:color w:val="0563C1"/>
            <w:sz w:val="28"/>
            <w:szCs w:val="28"/>
            <w:u w:val="single"/>
          </w:rPr>
          <w:t>https://www.campionssolicitors.co.uk/banks-v-goodfellow#:~:text=Banks%20v%20Goodfellow%20(1870)%20LR,to%20as%20'testamentary%20capacity</w:t>
        </w:r>
      </w:hyperlink>
      <w:r w:rsidRPr="001A7F20">
        <w:rPr>
          <w:sz w:val="28"/>
          <w:szCs w:val="28"/>
        </w:rPr>
        <w:t>'.</w:t>
      </w:r>
      <w:r w:rsidR="003E4E6C" w:rsidRPr="001A7F20">
        <w:rPr>
          <w:sz w:val="28"/>
          <w:szCs w:val="28"/>
        </w:rPr>
        <w:t xml:space="preserve"> [Accessed: 15 March 2023].</w:t>
      </w:r>
    </w:p>
    <w:p w14:paraId="1AD93E58" w14:textId="602E96CD" w:rsidR="00083C50" w:rsidRPr="001A7F20" w:rsidRDefault="00083C50" w:rsidP="001A7F20">
      <w:pPr>
        <w:pStyle w:val="ListParagraph"/>
        <w:numPr>
          <w:ilvl w:val="0"/>
          <w:numId w:val="11"/>
        </w:numPr>
        <w:rPr>
          <w:sz w:val="28"/>
          <w:szCs w:val="28"/>
        </w:rPr>
      </w:pPr>
      <w:r w:rsidRPr="001A7F20">
        <w:rPr>
          <w:sz w:val="28"/>
          <w:szCs w:val="28"/>
        </w:rPr>
        <w:t xml:space="preserve">Charles Cooper, 2013, “The Golden Rule”, </w:t>
      </w:r>
      <w:r w:rsidR="0027528A" w:rsidRPr="001A7F20">
        <w:rPr>
          <w:sz w:val="28"/>
          <w:szCs w:val="28"/>
        </w:rPr>
        <w:t xml:space="preserve">[Online]. Available at: </w:t>
      </w:r>
      <w:r w:rsidRPr="001A7F20">
        <w:rPr>
          <w:sz w:val="28"/>
          <w:szCs w:val="28"/>
        </w:rPr>
        <w:t xml:space="preserve"> </w:t>
      </w:r>
      <w:hyperlink r:id="rId11">
        <w:r w:rsidRPr="001A7F20">
          <w:rPr>
            <w:color w:val="0563C1"/>
            <w:sz w:val="28"/>
            <w:szCs w:val="28"/>
            <w:u w:val="single"/>
          </w:rPr>
          <w:t>https://www.magdalenchambers.co.uk/the-golden-rule/</w:t>
        </w:r>
      </w:hyperlink>
      <w:r w:rsidR="003E4E6C" w:rsidRPr="001A7F20">
        <w:rPr>
          <w:color w:val="0563C1"/>
          <w:sz w:val="28"/>
          <w:szCs w:val="28"/>
          <w:u w:val="single"/>
        </w:rPr>
        <w:t>.</w:t>
      </w:r>
      <w:r w:rsidR="003E4E6C" w:rsidRPr="001A7F20">
        <w:rPr>
          <w:color w:val="0563C1"/>
          <w:sz w:val="28"/>
          <w:szCs w:val="28"/>
        </w:rPr>
        <w:t xml:space="preserve"> </w:t>
      </w:r>
      <w:r w:rsidR="003E4E6C" w:rsidRPr="001A7F20">
        <w:rPr>
          <w:sz w:val="28"/>
          <w:szCs w:val="28"/>
        </w:rPr>
        <w:t>[Accessed: 15 March 2023].</w:t>
      </w:r>
    </w:p>
    <w:p w14:paraId="1B397FDA" w14:textId="2F59AA91" w:rsidR="00083C50" w:rsidRPr="001A7F20" w:rsidRDefault="00083C50" w:rsidP="001A7F20">
      <w:pPr>
        <w:pStyle w:val="ListParagraph"/>
        <w:numPr>
          <w:ilvl w:val="0"/>
          <w:numId w:val="11"/>
        </w:numPr>
        <w:rPr>
          <w:sz w:val="28"/>
          <w:szCs w:val="28"/>
        </w:rPr>
      </w:pPr>
      <w:r w:rsidRPr="001A7F20">
        <w:rPr>
          <w:sz w:val="28"/>
          <w:szCs w:val="28"/>
        </w:rPr>
        <w:t xml:space="preserve">Daniel and Another v Tee and Others [2016] 4 WLR 115, </w:t>
      </w:r>
      <w:r w:rsidR="0027528A" w:rsidRPr="001A7F20">
        <w:rPr>
          <w:sz w:val="28"/>
          <w:szCs w:val="28"/>
        </w:rPr>
        <w:t xml:space="preserve">[Online]. Available at: </w:t>
      </w:r>
      <w:hyperlink r:id="rId12" w:history="1">
        <w:r w:rsidR="0027528A" w:rsidRPr="001A7F20">
          <w:rPr>
            <w:rStyle w:val="Hyperlink"/>
            <w:sz w:val="28"/>
            <w:szCs w:val="28"/>
          </w:rPr>
          <w:t>https://www.casemine.com/judgement/uk/5a8ff7de60d03e7f57eb28ff</w:t>
        </w:r>
      </w:hyperlink>
      <w:r w:rsidR="0058410C" w:rsidRPr="001A7F20">
        <w:rPr>
          <w:color w:val="0563C1"/>
          <w:sz w:val="28"/>
          <w:szCs w:val="28"/>
        </w:rPr>
        <w:t>.</w:t>
      </w:r>
      <w:r w:rsidR="0058410C" w:rsidRPr="001A7F20">
        <w:rPr>
          <w:sz w:val="28"/>
          <w:szCs w:val="28"/>
        </w:rPr>
        <w:t xml:space="preserve"> [Accessed: 15 March 2023].</w:t>
      </w:r>
    </w:p>
    <w:p w14:paraId="07EA856C" w14:textId="160BAAC1" w:rsidR="00083C50" w:rsidRPr="001A7F20" w:rsidRDefault="00083C50" w:rsidP="001A7F20">
      <w:pPr>
        <w:pStyle w:val="ListParagraph"/>
        <w:numPr>
          <w:ilvl w:val="0"/>
          <w:numId w:val="11"/>
        </w:numPr>
        <w:rPr>
          <w:sz w:val="28"/>
          <w:szCs w:val="28"/>
        </w:rPr>
      </w:pPr>
      <w:r w:rsidRPr="001A7F20">
        <w:rPr>
          <w:sz w:val="28"/>
          <w:szCs w:val="28"/>
        </w:rPr>
        <w:t>Goodchild v Goodchild [1997] 1 WLR 1216,</w:t>
      </w:r>
      <w:r w:rsidR="0027528A" w:rsidRPr="001A7F20">
        <w:rPr>
          <w:sz w:val="28"/>
          <w:szCs w:val="28"/>
        </w:rPr>
        <w:t xml:space="preserve"> [Online]. Available at: </w:t>
      </w:r>
      <w:r w:rsidRPr="001A7F20">
        <w:rPr>
          <w:sz w:val="28"/>
          <w:szCs w:val="28"/>
        </w:rPr>
        <w:t xml:space="preserve"> </w:t>
      </w:r>
      <w:hyperlink r:id="rId13">
        <w:r w:rsidRPr="001A7F20">
          <w:rPr>
            <w:color w:val="0563C1"/>
            <w:sz w:val="28"/>
            <w:szCs w:val="28"/>
            <w:u w:val="single"/>
          </w:rPr>
          <w:t>https://vlex.co.uk/vid/goodchild-and-another-v-806933857</w:t>
        </w:r>
      </w:hyperlink>
      <w:r w:rsidR="0058410C" w:rsidRPr="001A7F20">
        <w:rPr>
          <w:color w:val="0563C1"/>
          <w:sz w:val="28"/>
          <w:szCs w:val="28"/>
        </w:rPr>
        <w:t>.</w:t>
      </w:r>
      <w:r w:rsidR="0058410C" w:rsidRPr="001A7F20">
        <w:rPr>
          <w:sz w:val="28"/>
          <w:szCs w:val="28"/>
        </w:rPr>
        <w:t>[Accessed: 1</w:t>
      </w:r>
      <w:r w:rsidR="0027528A" w:rsidRPr="001A7F20">
        <w:rPr>
          <w:sz w:val="28"/>
          <w:szCs w:val="28"/>
        </w:rPr>
        <w:t>4</w:t>
      </w:r>
      <w:r w:rsidR="0058410C" w:rsidRPr="001A7F20">
        <w:rPr>
          <w:sz w:val="28"/>
          <w:szCs w:val="28"/>
        </w:rPr>
        <w:t xml:space="preserve"> March 2023].</w:t>
      </w:r>
    </w:p>
    <w:p w14:paraId="4B0D2EB1" w14:textId="73B27E92" w:rsidR="00083C50" w:rsidRPr="001A7F20" w:rsidRDefault="00083C50" w:rsidP="001A7F20">
      <w:pPr>
        <w:pStyle w:val="ListParagraph"/>
        <w:numPr>
          <w:ilvl w:val="0"/>
          <w:numId w:val="11"/>
        </w:numPr>
        <w:rPr>
          <w:sz w:val="28"/>
          <w:szCs w:val="28"/>
        </w:rPr>
      </w:pPr>
      <w:r w:rsidRPr="001A7F20">
        <w:rPr>
          <w:sz w:val="28"/>
          <w:szCs w:val="28"/>
        </w:rPr>
        <w:t xml:space="preserve">Hawes v Burgess [2013] EWCA </w:t>
      </w:r>
      <w:proofErr w:type="spellStart"/>
      <w:r w:rsidRPr="001A7F20">
        <w:rPr>
          <w:sz w:val="28"/>
          <w:szCs w:val="28"/>
        </w:rPr>
        <w:t>Civ</w:t>
      </w:r>
      <w:proofErr w:type="spellEnd"/>
      <w:r w:rsidRPr="001A7F20">
        <w:rPr>
          <w:sz w:val="28"/>
          <w:szCs w:val="28"/>
        </w:rPr>
        <w:t xml:space="preserve"> 74, </w:t>
      </w:r>
      <w:r w:rsidR="00E43BF9" w:rsidRPr="001A7F20">
        <w:rPr>
          <w:sz w:val="28"/>
          <w:szCs w:val="28"/>
        </w:rPr>
        <w:t xml:space="preserve">[Online]. Available at: </w:t>
      </w:r>
      <w:hyperlink r:id="rId14" w:anchor=":~:text=In%20Hawes%20v%20Burgess%20%5B2013,three%20children)%20therefore%20remained%20unrevoked">
        <w:r w:rsidRPr="001A7F20">
          <w:rPr>
            <w:color w:val="0563C1"/>
            <w:sz w:val="28"/>
            <w:szCs w:val="28"/>
            <w:u w:val="single"/>
          </w:rPr>
          <w:t>https://www.lawgazette.co.uk/law/testamentary-capacity/69794.article#:~:text=In%20Hawes%20v%20Burgess%20%5B2013,three%20children)%20therefore%20remained%20unrevoked</w:t>
        </w:r>
      </w:hyperlink>
      <w:r w:rsidRPr="001A7F20">
        <w:rPr>
          <w:sz w:val="28"/>
          <w:szCs w:val="28"/>
        </w:rPr>
        <w:t>.</w:t>
      </w:r>
      <w:r w:rsidR="0058410C" w:rsidRPr="001A7F20">
        <w:rPr>
          <w:sz w:val="28"/>
          <w:szCs w:val="28"/>
        </w:rPr>
        <w:t>[Accessed:1</w:t>
      </w:r>
      <w:r w:rsidR="00E43BF9" w:rsidRPr="001A7F20">
        <w:rPr>
          <w:sz w:val="28"/>
          <w:szCs w:val="28"/>
        </w:rPr>
        <w:t>0</w:t>
      </w:r>
      <w:r w:rsidR="0058410C" w:rsidRPr="001A7F20">
        <w:rPr>
          <w:sz w:val="28"/>
          <w:szCs w:val="28"/>
        </w:rPr>
        <w:t xml:space="preserve"> March 2023].</w:t>
      </w:r>
    </w:p>
    <w:p w14:paraId="53C50774" w14:textId="4A3BCE6B" w:rsidR="00083C50" w:rsidRPr="001A7F20" w:rsidRDefault="00083C50" w:rsidP="001A7F20">
      <w:pPr>
        <w:pStyle w:val="ListParagraph"/>
        <w:numPr>
          <w:ilvl w:val="0"/>
          <w:numId w:val="11"/>
        </w:numPr>
        <w:rPr>
          <w:sz w:val="28"/>
          <w:szCs w:val="28"/>
        </w:rPr>
      </w:pPr>
      <w:r w:rsidRPr="001A7F20">
        <w:rPr>
          <w:sz w:val="28"/>
          <w:szCs w:val="28"/>
        </w:rPr>
        <w:t xml:space="preserve">James v James &amp; </w:t>
      </w:r>
      <w:proofErr w:type="spellStart"/>
      <w:r w:rsidRPr="001A7F20">
        <w:rPr>
          <w:sz w:val="28"/>
          <w:szCs w:val="28"/>
        </w:rPr>
        <w:t>Ors</w:t>
      </w:r>
      <w:proofErr w:type="spellEnd"/>
      <w:r w:rsidRPr="001A7F20">
        <w:rPr>
          <w:sz w:val="28"/>
          <w:szCs w:val="28"/>
        </w:rPr>
        <w:t xml:space="preserve"> [2018] EWHC 43 (Ch), </w:t>
      </w:r>
      <w:r w:rsidR="00E43BF9" w:rsidRPr="001A7F20">
        <w:rPr>
          <w:sz w:val="28"/>
          <w:szCs w:val="28"/>
        </w:rPr>
        <w:t xml:space="preserve">[Online]. Available at: </w:t>
      </w:r>
      <w:hyperlink r:id="rId15">
        <w:r w:rsidRPr="001A7F20">
          <w:rPr>
            <w:color w:val="0563C1"/>
            <w:sz w:val="28"/>
            <w:szCs w:val="28"/>
            <w:u w:val="single"/>
          </w:rPr>
          <w:t>https://www.campionssolicitors.co.uk/james-v-james-2018</w:t>
        </w:r>
      </w:hyperlink>
      <w:r w:rsidR="00DE0117" w:rsidRPr="001A7F20">
        <w:rPr>
          <w:color w:val="0563C1"/>
          <w:sz w:val="28"/>
          <w:szCs w:val="28"/>
        </w:rPr>
        <w:t>.</w:t>
      </w:r>
      <w:r w:rsidR="00DE0117" w:rsidRPr="001A7F20">
        <w:rPr>
          <w:sz w:val="28"/>
          <w:szCs w:val="28"/>
        </w:rPr>
        <w:t>[Accessed: 1</w:t>
      </w:r>
      <w:r w:rsidR="00E43BF9" w:rsidRPr="001A7F20">
        <w:rPr>
          <w:sz w:val="28"/>
          <w:szCs w:val="28"/>
        </w:rPr>
        <w:t>0</w:t>
      </w:r>
      <w:r w:rsidR="00DE0117" w:rsidRPr="001A7F20">
        <w:rPr>
          <w:sz w:val="28"/>
          <w:szCs w:val="28"/>
        </w:rPr>
        <w:t xml:space="preserve"> March 2023].</w:t>
      </w:r>
    </w:p>
    <w:p w14:paraId="48BBCE19" w14:textId="237CDDFD" w:rsidR="00083C50" w:rsidRPr="001A7F20" w:rsidRDefault="00083C50" w:rsidP="001A7F20">
      <w:pPr>
        <w:pStyle w:val="ListParagraph"/>
        <w:numPr>
          <w:ilvl w:val="0"/>
          <w:numId w:val="11"/>
        </w:numPr>
        <w:rPr>
          <w:sz w:val="28"/>
          <w:szCs w:val="28"/>
        </w:rPr>
      </w:pPr>
      <w:r w:rsidRPr="001A7F20">
        <w:rPr>
          <w:sz w:val="28"/>
          <w:szCs w:val="28"/>
        </w:rPr>
        <w:t xml:space="preserve">Kenward v Adams, [1975] CLY 3591, </w:t>
      </w:r>
      <w:r w:rsidR="00E43BF9" w:rsidRPr="001A7F20">
        <w:rPr>
          <w:sz w:val="28"/>
          <w:szCs w:val="28"/>
        </w:rPr>
        <w:t xml:space="preserve">[Online]. Available at: </w:t>
      </w:r>
      <w:hyperlink r:id="rId16">
        <w:r w:rsidRPr="001A7F20">
          <w:rPr>
            <w:color w:val="0563C1"/>
            <w:sz w:val="28"/>
            <w:szCs w:val="28"/>
            <w:u w:val="single"/>
          </w:rPr>
          <w:t>https://swarb.co.uk/kenward-v-adams-chd-29-nov-1975/</w:t>
        </w:r>
      </w:hyperlink>
      <w:r w:rsidR="00DE0117" w:rsidRPr="001A7F20">
        <w:rPr>
          <w:color w:val="0563C1"/>
          <w:sz w:val="28"/>
          <w:szCs w:val="28"/>
          <w:u w:val="single"/>
        </w:rPr>
        <w:t>.</w:t>
      </w:r>
      <w:r w:rsidR="00DE0117" w:rsidRPr="001A7F20">
        <w:rPr>
          <w:sz w:val="28"/>
          <w:szCs w:val="28"/>
        </w:rPr>
        <w:t xml:space="preserve">[Accessed: </w:t>
      </w:r>
      <w:r w:rsidR="00E43BF9" w:rsidRPr="001A7F20">
        <w:rPr>
          <w:sz w:val="28"/>
          <w:szCs w:val="28"/>
        </w:rPr>
        <w:t>23</w:t>
      </w:r>
      <w:r w:rsidR="00DE0117" w:rsidRPr="001A7F20">
        <w:rPr>
          <w:sz w:val="28"/>
          <w:szCs w:val="28"/>
        </w:rPr>
        <w:t xml:space="preserve"> March 2023].</w:t>
      </w:r>
    </w:p>
    <w:p w14:paraId="67DE7091" w14:textId="58C466C7" w:rsidR="00083C50" w:rsidRPr="001A7F20" w:rsidRDefault="00083C50" w:rsidP="001A7F20">
      <w:pPr>
        <w:pStyle w:val="ListParagraph"/>
        <w:numPr>
          <w:ilvl w:val="0"/>
          <w:numId w:val="11"/>
        </w:numPr>
        <w:rPr>
          <w:sz w:val="28"/>
          <w:szCs w:val="28"/>
        </w:rPr>
      </w:pPr>
      <w:r w:rsidRPr="001A7F20">
        <w:rPr>
          <w:sz w:val="28"/>
          <w:szCs w:val="28"/>
        </w:rPr>
        <w:t xml:space="preserve">Mental Capacity Act, 2005, </w:t>
      </w:r>
      <w:r w:rsidR="00CF4740" w:rsidRPr="001A7F20">
        <w:rPr>
          <w:sz w:val="28"/>
          <w:szCs w:val="28"/>
        </w:rPr>
        <w:t xml:space="preserve">[Online]. Available at: </w:t>
      </w:r>
      <w:hyperlink r:id="rId17">
        <w:r w:rsidRPr="001A7F20">
          <w:rPr>
            <w:color w:val="0563C1"/>
            <w:sz w:val="28"/>
            <w:szCs w:val="28"/>
            <w:u w:val="single"/>
          </w:rPr>
          <w:t>https://www.legislation.gov.uk/ukpga/2005/9/contents</w:t>
        </w:r>
      </w:hyperlink>
      <w:r w:rsidR="00DE0117" w:rsidRPr="001A7F20">
        <w:rPr>
          <w:color w:val="0563C1"/>
          <w:sz w:val="28"/>
          <w:szCs w:val="28"/>
          <w:u w:val="single"/>
        </w:rPr>
        <w:t>.</w:t>
      </w:r>
      <w:r w:rsidR="00DE0117" w:rsidRPr="001A7F20">
        <w:rPr>
          <w:sz w:val="28"/>
          <w:szCs w:val="28"/>
        </w:rPr>
        <w:t xml:space="preserve"> [Accessed: 15 March 2023].</w:t>
      </w:r>
    </w:p>
    <w:p w14:paraId="5B91628F" w14:textId="04329EFD" w:rsidR="00083C50" w:rsidRPr="001A7F20" w:rsidRDefault="00083C50" w:rsidP="001A7F20">
      <w:pPr>
        <w:pStyle w:val="ListParagraph"/>
        <w:numPr>
          <w:ilvl w:val="0"/>
          <w:numId w:val="11"/>
        </w:numPr>
        <w:rPr>
          <w:sz w:val="28"/>
          <w:szCs w:val="28"/>
        </w:rPr>
      </w:pPr>
      <w:proofErr w:type="spellStart"/>
      <w:r w:rsidRPr="001A7F20">
        <w:rPr>
          <w:sz w:val="28"/>
          <w:szCs w:val="28"/>
        </w:rPr>
        <w:lastRenderedPageBreak/>
        <w:t>Moye</w:t>
      </w:r>
      <w:proofErr w:type="spellEnd"/>
      <w:r w:rsidRPr="001A7F20">
        <w:rPr>
          <w:sz w:val="28"/>
          <w:szCs w:val="28"/>
        </w:rPr>
        <w:t xml:space="preserve">, J and Marson, DC, 2007, “Assessment of decision-making capacity in older adults: an emerging area of practice and research”, </w:t>
      </w:r>
      <w:r w:rsidRPr="001A7F20">
        <w:rPr>
          <w:i/>
          <w:sz w:val="28"/>
          <w:szCs w:val="28"/>
        </w:rPr>
        <w:t>Journal of Gerontology</w:t>
      </w:r>
      <w:r w:rsidRPr="001A7F20">
        <w:rPr>
          <w:sz w:val="28"/>
          <w:szCs w:val="28"/>
        </w:rPr>
        <w:t xml:space="preserve">, vol: 62, no: 1, pp 3–11, </w:t>
      </w:r>
      <w:r w:rsidR="00CF4740" w:rsidRPr="001A7F20">
        <w:rPr>
          <w:sz w:val="28"/>
          <w:szCs w:val="28"/>
        </w:rPr>
        <w:t xml:space="preserve">[Online]. Available at: </w:t>
      </w:r>
      <w:hyperlink r:id="rId18" w:history="1">
        <w:r w:rsidR="00CF4740" w:rsidRPr="001A7F20">
          <w:rPr>
            <w:rStyle w:val="Hyperlink"/>
            <w:sz w:val="28"/>
            <w:szCs w:val="28"/>
          </w:rPr>
          <w:t>https://www.researchgate.net/publication/6519337_Assessment_of_Decision-Making_Capacity_in_Older_Adults_An_Emerging_Area_of_Practice_and_Research</w:t>
        </w:r>
      </w:hyperlink>
      <w:r w:rsidR="00DE0117" w:rsidRPr="001A7F20">
        <w:rPr>
          <w:color w:val="0563C1"/>
          <w:sz w:val="28"/>
          <w:szCs w:val="28"/>
          <w:u w:val="single"/>
        </w:rPr>
        <w:t>.</w:t>
      </w:r>
      <w:r w:rsidR="00DE0117" w:rsidRPr="001A7F20">
        <w:rPr>
          <w:sz w:val="28"/>
          <w:szCs w:val="28"/>
        </w:rPr>
        <w:t xml:space="preserve"> [Accessed: 15 March 2023].</w:t>
      </w:r>
    </w:p>
    <w:p w14:paraId="737EF9C3" w14:textId="1F6B7D6F" w:rsidR="00083C50" w:rsidRPr="001A7F20" w:rsidRDefault="00083C50" w:rsidP="001A7F20">
      <w:pPr>
        <w:pStyle w:val="ListParagraph"/>
        <w:numPr>
          <w:ilvl w:val="0"/>
          <w:numId w:val="11"/>
        </w:numPr>
        <w:rPr>
          <w:sz w:val="28"/>
          <w:szCs w:val="28"/>
        </w:rPr>
      </w:pPr>
      <w:r w:rsidRPr="001A7F20">
        <w:rPr>
          <w:sz w:val="28"/>
          <w:szCs w:val="28"/>
        </w:rPr>
        <w:t xml:space="preserve">S2 of the Inheritance (Provision for Family and Dependants) Act 1975, </w:t>
      </w:r>
      <w:r w:rsidR="00CF4740" w:rsidRPr="001A7F20">
        <w:rPr>
          <w:sz w:val="28"/>
          <w:szCs w:val="28"/>
        </w:rPr>
        <w:t xml:space="preserve">[Online]. Available at: </w:t>
      </w:r>
      <w:hyperlink r:id="rId19">
        <w:r w:rsidRPr="001A7F20">
          <w:rPr>
            <w:color w:val="0563C1"/>
            <w:sz w:val="28"/>
            <w:szCs w:val="28"/>
            <w:u w:val="single"/>
          </w:rPr>
          <w:t>https://www.legislation.gov.uk/ukpga/1975/63/section/2</w:t>
        </w:r>
      </w:hyperlink>
      <w:r w:rsidR="00DE0117" w:rsidRPr="001A7F20">
        <w:rPr>
          <w:color w:val="0563C1"/>
          <w:sz w:val="28"/>
          <w:szCs w:val="28"/>
          <w:u w:val="single"/>
        </w:rPr>
        <w:t>.</w:t>
      </w:r>
      <w:r w:rsidR="00DE0117" w:rsidRPr="001A7F20">
        <w:rPr>
          <w:sz w:val="28"/>
          <w:szCs w:val="28"/>
        </w:rPr>
        <w:t xml:space="preserve"> [Accessed: 1</w:t>
      </w:r>
      <w:r w:rsidR="00CF4740" w:rsidRPr="001A7F20">
        <w:rPr>
          <w:sz w:val="28"/>
          <w:szCs w:val="28"/>
        </w:rPr>
        <w:t>4</w:t>
      </w:r>
      <w:r w:rsidR="00DE0117" w:rsidRPr="001A7F20">
        <w:rPr>
          <w:sz w:val="28"/>
          <w:szCs w:val="28"/>
        </w:rPr>
        <w:t xml:space="preserve"> March 2023].</w:t>
      </w:r>
    </w:p>
    <w:p w14:paraId="6940AAAB" w14:textId="66835E81" w:rsidR="00083C50" w:rsidRPr="001A7F20" w:rsidRDefault="00083C50" w:rsidP="001A7F20">
      <w:pPr>
        <w:pStyle w:val="ListParagraph"/>
        <w:numPr>
          <w:ilvl w:val="0"/>
          <w:numId w:val="11"/>
        </w:numPr>
        <w:rPr>
          <w:sz w:val="28"/>
          <w:szCs w:val="28"/>
        </w:rPr>
      </w:pPr>
      <w:r w:rsidRPr="001A7F20">
        <w:rPr>
          <w:sz w:val="28"/>
          <w:szCs w:val="28"/>
        </w:rPr>
        <w:t xml:space="preserve">S3 of the Trustee Act 2000, “General power of investment.”, </w:t>
      </w:r>
      <w:r w:rsidR="00F6530B" w:rsidRPr="001A7F20">
        <w:rPr>
          <w:sz w:val="28"/>
          <w:szCs w:val="28"/>
        </w:rPr>
        <w:t xml:space="preserve">[Online]. Available at: </w:t>
      </w:r>
      <w:hyperlink r:id="rId20" w:anchor=":~:text=3%20General%20power%20of%20investment.&amp;text=(1)Subject%20to%20the%20provisions,the%20general%20power%20of%20investment%E2%80%9D">
        <w:r w:rsidRPr="001A7F20">
          <w:rPr>
            <w:color w:val="0563C1"/>
            <w:sz w:val="28"/>
            <w:szCs w:val="28"/>
            <w:u w:val="single"/>
          </w:rPr>
          <w:t>https://www.legislation.gov.uk/ukpga/2000/29/section/3#:~:text=3%20General%20power%20of%20investment.&amp;text=(1)Subject%20to%20the%20provisions,the%20general%20power%20of%20investment%E2%80%9D</w:t>
        </w:r>
      </w:hyperlink>
      <w:r w:rsidRPr="001A7F20">
        <w:rPr>
          <w:sz w:val="28"/>
          <w:szCs w:val="28"/>
        </w:rPr>
        <w:t>.</w:t>
      </w:r>
      <w:r w:rsidR="00DE0117" w:rsidRPr="001A7F20">
        <w:rPr>
          <w:sz w:val="28"/>
          <w:szCs w:val="28"/>
        </w:rPr>
        <w:t xml:space="preserve"> [Accessed: 15 March 2023].</w:t>
      </w:r>
    </w:p>
    <w:p w14:paraId="70E053A3" w14:textId="68DE3948" w:rsidR="00083C50" w:rsidRPr="001A7F20" w:rsidRDefault="00083C50" w:rsidP="001A7F20">
      <w:pPr>
        <w:pStyle w:val="ListParagraph"/>
        <w:numPr>
          <w:ilvl w:val="0"/>
          <w:numId w:val="11"/>
        </w:numPr>
        <w:rPr>
          <w:sz w:val="28"/>
          <w:szCs w:val="28"/>
        </w:rPr>
      </w:pPr>
      <w:r w:rsidRPr="001A7F20">
        <w:rPr>
          <w:sz w:val="28"/>
          <w:szCs w:val="28"/>
        </w:rPr>
        <w:t>S4 of the Trustee Act 2000, “Standard investment criteria.</w:t>
      </w:r>
      <w:proofErr w:type="gramStart"/>
      <w:r w:rsidRPr="001A7F20">
        <w:rPr>
          <w:sz w:val="28"/>
          <w:szCs w:val="28"/>
        </w:rPr>
        <w:t>” ,</w:t>
      </w:r>
      <w:proofErr w:type="gramEnd"/>
      <w:r w:rsidRPr="001A7F20">
        <w:rPr>
          <w:sz w:val="28"/>
          <w:szCs w:val="28"/>
        </w:rPr>
        <w:t xml:space="preserve"> </w:t>
      </w:r>
      <w:r w:rsidR="00575B1A" w:rsidRPr="001A7F20">
        <w:rPr>
          <w:sz w:val="28"/>
          <w:szCs w:val="28"/>
        </w:rPr>
        <w:t xml:space="preserve">[Online]. Available at: </w:t>
      </w:r>
      <w:hyperlink r:id="rId21" w:anchor=":~:text=(1)In%20exercising%20any%20power,criteria%2C%20they%20should%20be%20varied">
        <w:r w:rsidRPr="001A7F20">
          <w:rPr>
            <w:color w:val="0563C1"/>
            <w:sz w:val="28"/>
            <w:szCs w:val="28"/>
            <w:u w:val="single"/>
          </w:rPr>
          <w:t>https://www.legislation.gov.uk/ukpga/2000/29/section/4#:~:text=(1)In%20exercising%20any%20power,criteria%2C%20they%20should%20be%20varied</w:t>
        </w:r>
      </w:hyperlink>
      <w:r w:rsidRPr="001A7F20">
        <w:rPr>
          <w:sz w:val="28"/>
          <w:szCs w:val="28"/>
        </w:rPr>
        <w:t>.</w:t>
      </w:r>
      <w:r w:rsidR="00DE0117" w:rsidRPr="001A7F20">
        <w:rPr>
          <w:sz w:val="28"/>
          <w:szCs w:val="28"/>
        </w:rPr>
        <w:t xml:space="preserve"> [Accessed: 15 March 2023].</w:t>
      </w:r>
    </w:p>
    <w:p w14:paraId="68F5752B" w14:textId="4E7300D7" w:rsidR="00083C50" w:rsidRPr="001A7F20" w:rsidRDefault="00083C50" w:rsidP="001A7F20">
      <w:pPr>
        <w:pStyle w:val="ListParagraph"/>
        <w:numPr>
          <w:ilvl w:val="0"/>
          <w:numId w:val="11"/>
        </w:numPr>
        <w:rPr>
          <w:sz w:val="28"/>
          <w:szCs w:val="28"/>
        </w:rPr>
      </w:pPr>
      <w:r w:rsidRPr="001A7F20">
        <w:rPr>
          <w:sz w:val="28"/>
          <w:szCs w:val="28"/>
        </w:rPr>
        <w:t>S5 of the Trustee Act 2000, “Advice.</w:t>
      </w:r>
      <w:proofErr w:type="gramStart"/>
      <w:r w:rsidRPr="001A7F20">
        <w:rPr>
          <w:sz w:val="28"/>
          <w:szCs w:val="28"/>
        </w:rPr>
        <w:t>” ,</w:t>
      </w:r>
      <w:proofErr w:type="gramEnd"/>
      <w:r w:rsidRPr="001A7F20">
        <w:rPr>
          <w:sz w:val="28"/>
          <w:szCs w:val="28"/>
        </w:rPr>
        <w:t xml:space="preserve"> </w:t>
      </w:r>
      <w:bookmarkStart w:id="12" w:name="_Hlk130511675"/>
      <w:r w:rsidR="00575B1A" w:rsidRPr="001A7F20">
        <w:rPr>
          <w:sz w:val="28"/>
          <w:szCs w:val="28"/>
        </w:rPr>
        <w:t xml:space="preserve">[Online]. Available at: </w:t>
      </w:r>
      <w:bookmarkEnd w:id="12"/>
      <w:r w:rsidRPr="001A7F20">
        <w:fldChar w:fldCharType="begin"/>
      </w:r>
      <w:r>
        <w:instrText>HYPERLINK "https://www.legislation.gov.uk/ukpga/2000/29/section/5" \l ":~:text=5%20Advice.&amp;text=(1)Before%20exercising%20any%20power,the%20power%20should%20be%20exercised" \h</w:instrText>
      </w:r>
      <w:r w:rsidRPr="001A7F20">
        <w:fldChar w:fldCharType="separate"/>
      </w:r>
      <w:r w:rsidRPr="001A7F20">
        <w:rPr>
          <w:color w:val="0563C1"/>
          <w:sz w:val="28"/>
          <w:szCs w:val="28"/>
          <w:u w:val="single"/>
        </w:rPr>
        <w:t>https://www.legislation.gov.uk/ukpga/2000/29/section/5#:~:text=5%20Advice.&amp;text=(1)Before%20exercising%20any%20power,the%20power%20should%20be%20exercised</w:t>
      </w:r>
      <w:r w:rsidRPr="001A7F20">
        <w:rPr>
          <w:color w:val="0563C1"/>
          <w:sz w:val="28"/>
          <w:szCs w:val="28"/>
          <w:u w:val="single"/>
        </w:rPr>
        <w:fldChar w:fldCharType="end"/>
      </w:r>
      <w:r w:rsidRPr="001A7F20">
        <w:rPr>
          <w:sz w:val="28"/>
          <w:szCs w:val="28"/>
        </w:rPr>
        <w:t>.</w:t>
      </w:r>
      <w:r w:rsidR="00DE0117" w:rsidRPr="001A7F20">
        <w:rPr>
          <w:sz w:val="28"/>
          <w:szCs w:val="28"/>
        </w:rPr>
        <w:t xml:space="preserve"> [Accessed: 1</w:t>
      </w:r>
      <w:r w:rsidR="00575B1A" w:rsidRPr="001A7F20">
        <w:rPr>
          <w:sz w:val="28"/>
          <w:szCs w:val="28"/>
        </w:rPr>
        <w:t>3</w:t>
      </w:r>
      <w:r w:rsidR="00DE0117" w:rsidRPr="001A7F20">
        <w:rPr>
          <w:sz w:val="28"/>
          <w:szCs w:val="28"/>
        </w:rPr>
        <w:t xml:space="preserve"> March 2023].</w:t>
      </w:r>
    </w:p>
    <w:p w14:paraId="2B9CF4A0" w14:textId="23093B22" w:rsidR="00083C50" w:rsidRPr="001A7F20" w:rsidRDefault="00083C50" w:rsidP="001A7F20">
      <w:pPr>
        <w:pStyle w:val="ListParagraph"/>
        <w:numPr>
          <w:ilvl w:val="0"/>
          <w:numId w:val="11"/>
        </w:numPr>
        <w:rPr>
          <w:sz w:val="28"/>
          <w:szCs w:val="28"/>
        </w:rPr>
      </w:pPr>
      <w:r w:rsidRPr="001A7F20">
        <w:rPr>
          <w:sz w:val="28"/>
          <w:szCs w:val="28"/>
        </w:rPr>
        <w:t xml:space="preserve">S8 of the Trustee Act 2000, “Power to acquire freehold and leasehold land.”, </w:t>
      </w:r>
      <w:r w:rsidR="00C52445" w:rsidRPr="001A7F20">
        <w:rPr>
          <w:sz w:val="28"/>
          <w:szCs w:val="28"/>
        </w:rPr>
        <w:t xml:space="preserve">[Online]. Available at: </w:t>
      </w:r>
      <w:hyperlink r:id="rId22">
        <w:r w:rsidRPr="001A7F20">
          <w:rPr>
            <w:color w:val="0563C1"/>
            <w:sz w:val="28"/>
            <w:szCs w:val="28"/>
            <w:u w:val="single"/>
          </w:rPr>
          <w:t>https://www.legislation.gov.uk/ukpga/2000/29/section/8</w:t>
        </w:r>
      </w:hyperlink>
      <w:r w:rsidR="00DE0117" w:rsidRPr="001A7F20">
        <w:rPr>
          <w:color w:val="0563C1"/>
          <w:sz w:val="28"/>
          <w:szCs w:val="28"/>
          <w:u w:val="single"/>
        </w:rPr>
        <w:t>.</w:t>
      </w:r>
      <w:r w:rsidR="00DE0117" w:rsidRPr="001A7F20">
        <w:rPr>
          <w:sz w:val="28"/>
          <w:szCs w:val="28"/>
        </w:rPr>
        <w:t xml:space="preserve"> [Accessed: 1</w:t>
      </w:r>
      <w:r w:rsidR="00C52445" w:rsidRPr="001A7F20">
        <w:rPr>
          <w:sz w:val="28"/>
          <w:szCs w:val="28"/>
        </w:rPr>
        <w:t>3</w:t>
      </w:r>
      <w:r w:rsidR="00DE0117" w:rsidRPr="001A7F20">
        <w:rPr>
          <w:sz w:val="28"/>
          <w:szCs w:val="28"/>
        </w:rPr>
        <w:t xml:space="preserve"> March 2023].</w:t>
      </w:r>
    </w:p>
    <w:p w14:paraId="3F615739" w14:textId="7E948113" w:rsidR="00083C50" w:rsidRPr="001A7F20" w:rsidRDefault="00083C50" w:rsidP="001A7F20">
      <w:pPr>
        <w:pStyle w:val="ListParagraph"/>
        <w:numPr>
          <w:ilvl w:val="0"/>
          <w:numId w:val="11"/>
        </w:numPr>
        <w:rPr>
          <w:sz w:val="28"/>
          <w:szCs w:val="28"/>
        </w:rPr>
      </w:pPr>
      <w:r w:rsidRPr="001A7F20">
        <w:rPr>
          <w:sz w:val="28"/>
          <w:szCs w:val="28"/>
        </w:rPr>
        <w:t xml:space="preserve">Schedule 1 of the Trustee Act 2000, “Application of duty of care”, </w:t>
      </w:r>
      <w:r w:rsidR="00DB2592" w:rsidRPr="001A7F20">
        <w:rPr>
          <w:sz w:val="28"/>
          <w:szCs w:val="28"/>
        </w:rPr>
        <w:t xml:space="preserve">[Online]. Available at: </w:t>
      </w:r>
      <w:hyperlink r:id="rId23">
        <w:r w:rsidRPr="001A7F20">
          <w:rPr>
            <w:color w:val="0563C1"/>
            <w:sz w:val="28"/>
            <w:szCs w:val="28"/>
            <w:u w:val="single"/>
          </w:rPr>
          <w:t>https://www.legislation.gov.uk/ukpga/2000/29/schedule/1</w:t>
        </w:r>
      </w:hyperlink>
      <w:r w:rsidR="00DE0117" w:rsidRPr="001A7F20">
        <w:rPr>
          <w:color w:val="0563C1"/>
          <w:sz w:val="28"/>
          <w:szCs w:val="28"/>
          <w:u w:val="single"/>
        </w:rPr>
        <w:t>.</w:t>
      </w:r>
      <w:r w:rsidR="00DE0117" w:rsidRPr="001A7F20">
        <w:rPr>
          <w:sz w:val="28"/>
          <w:szCs w:val="28"/>
        </w:rPr>
        <w:t xml:space="preserve"> [Accessed: </w:t>
      </w:r>
      <w:r w:rsidR="00DB2592" w:rsidRPr="001A7F20">
        <w:rPr>
          <w:sz w:val="28"/>
          <w:szCs w:val="28"/>
        </w:rPr>
        <w:t>21</w:t>
      </w:r>
      <w:r w:rsidR="00DE0117" w:rsidRPr="001A7F20">
        <w:rPr>
          <w:sz w:val="28"/>
          <w:szCs w:val="28"/>
        </w:rPr>
        <w:t xml:space="preserve"> March 2023].</w:t>
      </w:r>
    </w:p>
    <w:p w14:paraId="145BE8EC" w14:textId="4D1347DC" w:rsidR="00083C50" w:rsidRPr="001A7F20" w:rsidRDefault="00083C50" w:rsidP="001A7F20">
      <w:pPr>
        <w:pStyle w:val="ListParagraph"/>
        <w:numPr>
          <w:ilvl w:val="0"/>
          <w:numId w:val="11"/>
        </w:numPr>
        <w:rPr>
          <w:sz w:val="28"/>
          <w:szCs w:val="28"/>
        </w:rPr>
      </w:pPr>
      <w:r w:rsidRPr="001A7F20">
        <w:rPr>
          <w:sz w:val="28"/>
          <w:szCs w:val="28"/>
        </w:rPr>
        <w:t>Section 25 of the Administration of Estates Act 1925, “Duty of personal representatives.”,</w:t>
      </w:r>
      <w:r w:rsidR="005B5C8B" w:rsidRPr="001A7F20">
        <w:rPr>
          <w:sz w:val="28"/>
          <w:szCs w:val="28"/>
        </w:rPr>
        <w:t xml:space="preserve"> [Online]. Available at: </w:t>
      </w:r>
      <w:hyperlink r:id="rId24">
        <w:r w:rsidRPr="001A7F20">
          <w:rPr>
            <w:color w:val="0563C1"/>
            <w:sz w:val="28"/>
            <w:szCs w:val="28"/>
            <w:u w:val="single"/>
          </w:rPr>
          <w:t>https://www.legislation.gov.uk/ukpga/Geo5/15-16/23/section/25</w:t>
        </w:r>
      </w:hyperlink>
      <w:r w:rsidR="00DE0117" w:rsidRPr="001A7F20">
        <w:rPr>
          <w:color w:val="0563C1"/>
          <w:sz w:val="28"/>
          <w:szCs w:val="28"/>
        </w:rPr>
        <w:t xml:space="preserve">. </w:t>
      </w:r>
      <w:r w:rsidR="00DE0117" w:rsidRPr="001A7F20">
        <w:rPr>
          <w:sz w:val="28"/>
          <w:szCs w:val="28"/>
        </w:rPr>
        <w:t>[Accessed: 15 March 2023].</w:t>
      </w:r>
    </w:p>
    <w:p w14:paraId="25035697" w14:textId="3B27EA17" w:rsidR="00083C50" w:rsidRPr="001A7F20" w:rsidRDefault="00083C50" w:rsidP="001A7F20">
      <w:pPr>
        <w:pStyle w:val="ListParagraph"/>
        <w:numPr>
          <w:ilvl w:val="0"/>
          <w:numId w:val="11"/>
        </w:numPr>
        <w:rPr>
          <w:sz w:val="28"/>
          <w:szCs w:val="28"/>
        </w:rPr>
      </w:pPr>
      <w:r w:rsidRPr="001A7F20">
        <w:rPr>
          <w:sz w:val="28"/>
          <w:szCs w:val="28"/>
        </w:rPr>
        <w:t>Section 9 of Wills Act, 1837, “Signing and attestation of wills</w:t>
      </w:r>
      <w:proofErr w:type="gramStart"/>
      <w:r w:rsidRPr="001A7F20">
        <w:rPr>
          <w:sz w:val="28"/>
          <w:szCs w:val="28"/>
        </w:rPr>
        <w:t>”,</w:t>
      </w:r>
      <w:r w:rsidR="00B70D54" w:rsidRPr="001A7F20">
        <w:rPr>
          <w:sz w:val="28"/>
          <w:szCs w:val="28"/>
        </w:rPr>
        <w:t>[</w:t>
      </w:r>
      <w:proofErr w:type="gramEnd"/>
      <w:r w:rsidR="00B70D54" w:rsidRPr="001A7F20">
        <w:rPr>
          <w:sz w:val="28"/>
          <w:szCs w:val="28"/>
        </w:rPr>
        <w:t xml:space="preserve">Online]. Available at: </w:t>
      </w:r>
      <w:hyperlink r:id="rId25" w:anchor=":~:text=%5BF19%20Signing%20and%20attestation%20of%20wills&amp;text=in%20the%20presence%20of%20the,of%20attestation%20shall%20be%20necessary">
        <w:r w:rsidRPr="001A7F20">
          <w:rPr>
            <w:color w:val="0563C1"/>
            <w:sz w:val="28"/>
            <w:szCs w:val="28"/>
            <w:u w:val="single"/>
          </w:rPr>
          <w:t>https://www.legislation.gov.uk/ukpga/Will4and1Vict/7/26/section/9#:~:text=%5BF19%20Signing%20and%20attestation%20of%20wills&amp;text=in</w:t>
        </w:r>
        <w:r w:rsidRPr="001A7F20">
          <w:rPr>
            <w:color w:val="0563C1"/>
            <w:sz w:val="28"/>
            <w:szCs w:val="28"/>
            <w:u w:val="single"/>
          </w:rPr>
          <w:lastRenderedPageBreak/>
          <w:t>%20the%20presence%20of%20the,of%20attestation%20shall%20be%20necessary</w:t>
        </w:r>
      </w:hyperlink>
      <w:r w:rsidRPr="001A7F20">
        <w:rPr>
          <w:sz w:val="28"/>
          <w:szCs w:val="28"/>
        </w:rPr>
        <w:t>.</w:t>
      </w:r>
      <w:r w:rsidR="00DE0117" w:rsidRPr="001A7F20">
        <w:rPr>
          <w:sz w:val="28"/>
          <w:szCs w:val="28"/>
        </w:rPr>
        <w:t xml:space="preserve"> [Accessed: 15 March 2023].</w:t>
      </w:r>
    </w:p>
    <w:p w14:paraId="0C1DA2D2" w14:textId="400EF754" w:rsidR="00083C50" w:rsidRPr="001A7F20" w:rsidRDefault="00083C50" w:rsidP="001A7F20">
      <w:pPr>
        <w:pStyle w:val="ListParagraph"/>
        <w:numPr>
          <w:ilvl w:val="0"/>
          <w:numId w:val="11"/>
        </w:numPr>
        <w:rPr>
          <w:sz w:val="28"/>
          <w:szCs w:val="28"/>
        </w:rPr>
      </w:pPr>
      <w:r w:rsidRPr="001A7F20">
        <w:rPr>
          <w:sz w:val="28"/>
          <w:szCs w:val="28"/>
        </w:rPr>
        <w:t>Senior Courts Act 1981,</w:t>
      </w:r>
      <w:r w:rsidR="00910F28" w:rsidRPr="001A7F20">
        <w:rPr>
          <w:sz w:val="28"/>
          <w:szCs w:val="28"/>
        </w:rPr>
        <w:t xml:space="preserve"> [Online]. Available at: </w:t>
      </w:r>
      <w:r w:rsidRPr="001A7F20">
        <w:rPr>
          <w:sz w:val="28"/>
          <w:szCs w:val="28"/>
        </w:rPr>
        <w:t xml:space="preserve"> </w:t>
      </w:r>
      <w:hyperlink r:id="rId26">
        <w:r w:rsidRPr="001A7F20">
          <w:rPr>
            <w:color w:val="0563C1"/>
            <w:sz w:val="28"/>
            <w:szCs w:val="28"/>
            <w:u w:val="single"/>
          </w:rPr>
          <w:t>https://www.legislation.gov.uk/ukpga/1981/54/contents</w:t>
        </w:r>
      </w:hyperlink>
      <w:r w:rsidR="00DE0117" w:rsidRPr="001A7F20">
        <w:rPr>
          <w:color w:val="0563C1"/>
          <w:sz w:val="28"/>
          <w:szCs w:val="28"/>
        </w:rPr>
        <w:t>.</w:t>
      </w:r>
      <w:r w:rsidR="00DE0117" w:rsidRPr="001A7F20">
        <w:rPr>
          <w:sz w:val="28"/>
          <w:szCs w:val="28"/>
        </w:rPr>
        <w:t xml:space="preserve"> [Accessed: 15 March 2023].</w:t>
      </w:r>
    </w:p>
    <w:p w14:paraId="67FBFC19" w14:textId="7B0CF155" w:rsidR="00083C50" w:rsidRPr="001A7F20" w:rsidRDefault="00083C50" w:rsidP="001A7F20">
      <w:pPr>
        <w:pStyle w:val="ListParagraph"/>
        <w:numPr>
          <w:ilvl w:val="0"/>
          <w:numId w:val="11"/>
        </w:numPr>
        <w:rPr>
          <w:sz w:val="28"/>
          <w:szCs w:val="28"/>
        </w:rPr>
      </w:pPr>
      <w:r w:rsidRPr="001A7F20">
        <w:rPr>
          <w:sz w:val="28"/>
          <w:szCs w:val="28"/>
        </w:rPr>
        <w:t xml:space="preserve">Sherrington v Sherrington [2005] EWCA </w:t>
      </w:r>
      <w:proofErr w:type="spellStart"/>
      <w:r w:rsidRPr="001A7F20">
        <w:rPr>
          <w:sz w:val="28"/>
          <w:szCs w:val="28"/>
        </w:rPr>
        <w:t>Civ</w:t>
      </w:r>
      <w:proofErr w:type="spellEnd"/>
      <w:r w:rsidRPr="001A7F20">
        <w:rPr>
          <w:sz w:val="28"/>
          <w:szCs w:val="28"/>
        </w:rPr>
        <w:t xml:space="preserve"> 26 WLTR 587, </w:t>
      </w:r>
      <w:r w:rsidR="00910F28" w:rsidRPr="001A7F20">
        <w:rPr>
          <w:sz w:val="28"/>
          <w:szCs w:val="28"/>
        </w:rPr>
        <w:t>[Online]. Available at:</w:t>
      </w:r>
      <w:hyperlink r:id="rId27" w:history="1">
        <w:r w:rsidR="00910F28" w:rsidRPr="001A7F20">
          <w:rPr>
            <w:rStyle w:val="Hyperlink"/>
            <w:sz w:val="28"/>
            <w:szCs w:val="28"/>
          </w:rPr>
          <w:t>https://www.casemine.com/judgement/uk/5a8ff7b160d03e7f57eb1498</w:t>
        </w:r>
      </w:hyperlink>
      <w:r w:rsidR="00DE0117" w:rsidRPr="001A7F20">
        <w:rPr>
          <w:color w:val="0563C1"/>
          <w:sz w:val="28"/>
          <w:szCs w:val="28"/>
        </w:rPr>
        <w:t>.</w:t>
      </w:r>
      <w:r w:rsidR="00DE0117" w:rsidRPr="001A7F20">
        <w:rPr>
          <w:sz w:val="28"/>
          <w:szCs w:val="28"/>
        </w:rPr>
        <w:t xml:space="preserve"> [Accessed: 15 March 2023].</w:t>
      </w:r>
    </w:p>
    <w:p w14:paraId="4903328F" w14:textId="1D949D50" w:rsidR="00083C50" w:rsidRPr="001A7F20" w:rsidRDefault="00083C50" w:rsidP="001A7F20">
      <w:pPr>
        <w:pStyle w:val="ListParagraph"/>
        <w:numPr>
          <w:ilvl w:val="0"/>
          <w:numId w:val="11"/>
        </w:numPr>
        <w:rPr>
          <w:color w:val="0563C1"/>
          <w:sz w:val="28"/>
          <w:szCs w:val="28"/>
        </w:rPr>
      </w:pPr>
      <w:r w:rsidRPr="001A7F20">
        <w:rPr>
          <w:sz w:val="28"/>
          <w:szCs w:val="28"/>
        </w:rPr>
        <w:t xml:space="preserve">Shulman, KI, </w:t>
      </w:r>
      <w:proofErr w:type="spellStart"/>
      <w:r w:rsidRPr="001A7F20">
        <w:rPr>
          <w:sz w:val="28"/>
          <w:szCs w:val="28"/>
        </w:rPr>
        <w:t>Peisah</w:t>
      </w:r>
      <w:proofErr w:type="spellEnd"/>
      <w:r w:rsidRPr="001A7F20">
        <w:rPr>
          <w:sz w:val="28"/>
          <w:szCs w:val="28"/>
        </w:rPr>
        <w:t xml:space="preserve">, C, Jacoby, R, </w:t>
      </w:r>
      <w:proofErr w:type="spellStart"/>
      <w:r w:rsidRPr="001A7F20">
        <w:rPr>
          <w:sz w:val="28"/>
          <w:szCs w:val="28"/>
        </w:rPr>
        <w:t>Heinik</w:t>
      </w:r>
      <w:proofErr w:type="spellEnd"/>
      <w:r w:rsidRPr="001A7F20">
        <w:rPr>
          <w:sz w:val="28"/>
          <w:szCs w:val="28"/>
        </w:rPr>
        <w:t xml:space="preserve">, J and Finkel, S, 2009, “Contemporaneous assessment of testamentary capacity”, </w:t>
      </w:r>
      <w:r w:rsidRPr="001A7F20">
        <w:rPr>
          <w:i/>
          <w:iCs/>
          <w:sz w:val="28"/>
          <w:szCs w:val="28"/>
        </w:rPr>
        <w:t>International Psychogeriatrics</w:t>
      </w:r>
      <w:r w:rsidRPr="001A7F20">
        <w:rPr>
          <w:sz w:val="28"/>
          <w:szCs w:val="28"/>
        </w:rPr>
        <w:t xml:space="preserve">, vol: 21, no: 3, pp 433-439. </w:t>
      </w:r>
      <w:r w:rsidR="00F2037C" w:rsidRPr="001A7F20">
        <w:rPr>
          <w:sz w:val="28"/>
          <w:szCs w:val="28"/>
        </w:rPr>
        <w:t xml:space="preserve">[Online]. Available at: </w:t>
      </w:r>
      <w:hyperlink r:id="rId28">
        <w:r w:rsidRPr="001A7F20">
          <w:rPr>
            <w:color w:val="0563C1"/>
            <w:sz w:val="28"/>
            <w:szCs w:val="28"/>
            <w:u w:val="single"/>
          </w:rPr>
          <w:t>https://www.researchgate.net/profile/Carmelle-Peisah/publication/24236660_Contemporaneous_assessment_of_testamentary_capacity/links/53e940250cf2fb1b9b67071d/Contemporaneous-assessment-of-testamentary-capacity.pdf</w:t>
        </w:r>
      </w:hyperlink>
      <w:r w:rsidR="00DE0117" w:rsidRPr="001A7F20">
        <w:rPr>
          <w:color w:val="0563C1"/>
          <w:sz w:val="28"/>
          <w:szCs w:val="28"/>
        </w:rPr>
        <w:t>.</w:t>
      </w:r>
      <w:r w:rsidR="00DE0117" w:rsidRPr="001A7F20">
        <w:rPr>
          <w:sz w:val="28"/>
          <w:szCs w:val="28"/>
        </w:rPr>
        <w:t xml:space="preserve"> [Accessed: 15 March 2023].</w:t>
      </w:r>
    </w:p>
    <w:p w14:paraId="1AB76BDF" w14:textId="295CE68C" w:rsidR="00083C50" w:rsidRPr="001A7F20" w:rsidRDefault="00083C50" w:rsidP="001A7F20">
      <w:pPr>
        <w:pStyle w:val="ListParagraph"/>
        <w:numPr>
          <w:ilvl w:val="0"/>
          <w:numId w:val="11"/>
        </w:numPr>
        <w:rPr>
          <w:sz w:val="28"/>
          <w:szCs w:val="28"/>
        </w:rPr>
      </w:pPr>
      <w:r w:rsidRPr="001A7F20">
        <w:rPr>
          <w:sz w:val="28"/>
          <w:szCs w:val="28"/>
        </w:rPr>
        <w:t>The Non-Contentious Probate Rules 1987, Statutory Instruments 1987 No. 2024 (L. 10),</w:t>
      </w:r>
      <w:r w:rsidR="00F2037C" w:rsidRPr="001A7F20">
        <w:rPr>
          <w:sz w:val="28"/>
          <w:szCs w:val="28"/>
        </w:rPr>
        <w:t xml:space="preserve"> [Online]. Available at: </w:t>
      </w:r>
      <w:r w:rsidRPr="001A7F20">
        <w:rPr>
          <w:sz w:val="28"/>
          <w:szCs w:val="28"/>
        </w:rPr>
        <w:t xml:space="preserve"> </w:t>
      </w:r>
      <w:hyperlink r:id="rId29" w:anchor=":~:text=(2)%20Except%20with%20the%20leave,issue%20within%20fourteen%20days%20thereof">
        <w:r w:rsidRPr="001A7F20">
          <w:rPr>
            <w:color w:val="0563C1"/>
            <w:sz w:val="28"/>
            <w:szCs w:val="28"/>
            <w:u w:val="single"/>
          </w:rPr>
          <w:t>https://www.legislation.gov.uk/uksi/1987/2024/made#:~:text=(2)%20Except%20with%20the%20leave,issue%20within%20fourteen%20days%20thereof</w:t>
        </w:r>
      </w:hyperlink>
      <w:r w:rsidRPr="001A7F20">
        <w:rPr>
          <w:sz w:val="28"/>
          <w:szCs w:val="28"/>
        </w:rPr>
        <w:t>.</w:t>
      </w:r>
      <w:r w:rsidR="00DE0117" w:rsidRPr="001A7F20">
        <w:rPr>
          <w:sz w:val="28"/>
          <w:szCs w:val="28"/>
        </w:rPr>
        <w:t xml:space="preserve"> [Accessed: 15 March 2023].</w:t>
      </w:r>
    </w:p>
    <w:p w14:paraId="09B20E46" w14:textId="6273AFD1" w:rsidR="00083C50" w:rsidRPr="001A7F20" w:rsidRDefault="00083C50" w:rsidP="001A7F20">
      <w:pPr>
        <w:pStyle w:val="ListParagraph"/>
        <w:numPr>
          <w:ilvl w:val="0"/>
          <w:numId w:val="11"/>
        </w:numPr>
        <w:rPr>
          <w:color w:val="0563C1"/>
          <w:sz w:val="28"/>
          <w:szCs w:val="28"/>
        </w:rPr>
      </w:pPr>
      <w:r w:rsidRPr="001A7F20">
        <w:rPr>
          <w:sz w:val="28"/>
          <w:szCs w:val="28"/>
        </w:rPr>
        <w:t xml:space="preserve">Wills Act, 1837, Chapter 26 7 Will 4 and 1 </w:t>
      </w:r>
      <w:proofErr w:type="spellStart"/>
      <w:r w:rsidRPr="001A7F20">
        <w:rPr>
          <w:sz w:val="28"/>
          <w:szCs w:val="28"/>
        </w:rPr>
        <w:t>Vict</w:t>
      </w:r>
      <w:proofErr w:type="spellEnd"/>
      <w:r w:rsidRPr="001A7F20">
        <w:rPr>
          <w:sz w:val="28"/>
          <w:szCs w:val="28"/>
        </w:rPr>
        <w:t xml:space="preserve">, </w:t>
      </w:r>
      <w:r w:rsidR="0055569D" w:rsidRPr="001A7F20">
        <w:rPr>
          <w:sz w:val="28"/>
          <w:szCs w:val="28"/>
        </w:rPr>
        <w:t xml:space="preserve">[Online]. Available at: </w:t>
      </w:r>
      <w:hyperlink r:id="rId30">
        <w:r w:rsidRPr="001A7F20">
          <w:rPr>
            <w:color w:val="0563C1"/>
            <w:sz w:val="28"/>
            <w:szCs w:val="28"/>
            <w:u w:val="single"/>
          </w:rPr>
          <w:t>https://www.legislation.gov.uk/ukpga/Will4and1Vict/7/26/data.pdf</w:t>
        </w:r>
      </w:hyperlink>
      <w:r w:rsidR="00DE0117" w:rsidRPr="001A7F20">
        <w:rPr>
          <w:color w:val="0563C1"/>
          <w:sz w:val="28"/>
          <w:szCs w:val="28"/>
        </w:rPr>
        <w:t>.</w:t>
      </w:r>
      <w:r w:rsidR="00DE0117" w:rsidRPr="001A7F20">
        <w:rPr>
          <w:sz w:val="28"/>
          <w:szCs w:val="28"/>
        </w:rPr>
        <w:t xml:space="preserve"> [Accessed: 15 March 2023].</w:t>
      </w:r>
    </w:p>
    <w:p w14:paraId="0EDA591E" w14:textId="77777777" w:rsidR="00083C50" w:rsidRPr="00083C50" w:rsidRDefault="00083C50" w:rsidP="001A7F20">
      <w:pPr>
        <w:rPr>
          <w:rFonts w:ascii="Times New Roman" w:hAnsi="Times New Roman" w:cs="Times New Roman"/>
          <w:sz w:val="28"/>
          <w:szCs w:val="28"/>
        </w:rPr>
      </w:pPr>
    </w:p>
    <w:p w14:paraId="1EB9723B" w14:textId="456209AA" w:rsidR="00E865DF" w:rsidRPr="00083C50" w:rsidRDefault="00E865DF" w:rsidP="001A7F20">
      <w:pPr>
        <w:rPr>
          <w:rFonts w:ascii="Times New Roman" w:hAnsi="Times New Roman" w:cs="Times New Roman"/>
          <w:b/>
          <w:color w:val="000000" w:themeColor="text1"/>
          <w:sz w:val="28"/>
          <w:szCs w:val="28"/>
        </w:rPr>
      </w:pPr>
    </w:p>
    <w:sectPr w:rsidR="00E865DF" w:rsidRPr="00083C50" w:rsidSect="008E6C6F">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314B4" w14:textId="77777777" w:rsidR="005B47CB" w:rsidRDefault="005B47CB">
      <w:pPr>
        <w:spacing w:after="0" w:line="240" w:lineRule="auto"/>
      </w:pPr>
      <w:r>
        <w:separator/>
      </w:r>
    </w:p>
  </w:endnote>
  <w:endnote w:type="continuationSeparator" w:id="0">
    <w:p w14:paraId="61837921" w14:textId="77777777" w:rsidR="005B47CB" w:rsidRDefault="005B4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2EB63" w14:textId="77777777" w:rsidR="00BE1762" w:rsidRDefault="00BE1762">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44E215FE" w14:textId="77777777" w:rsidR="00E865DF" w:rsidRDefault="00E865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7B48D" w14:textId="77777777" w:rsidR="005B47CB" w:rsidRDefault="005B47CB">
      <w:pPr>
        <w:spacing w:after="0" w:line="240" w:lineRule="auto"/>
      </w:pPr>
      <w:r>
        <w:separator/>
      </w:r>
    </w:p>
  </w:footnote>
  <w:footnote w:type="continuationSeparator" w:id="0">
    <w:p w14:paraId="04A3BA6F" w14:textId="77777777" w:rsidR="005B47CB" w:rsidRDefault="005B47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47A61"/>
    <w:multiLevelType w:val="hybridMultilevel"/>
    <w:tmpl w:val="40D6AFDE"/>
    <w:lvl w:ilvl="0" w:tplc="A992C752">
      <w:start w:val="1"/>
      <w:numFmt w:val="decimal"/>
      <w:lvlText w:val="%1."/>
      <w:lvlJc w:val="left"/>
      <w:pPr>
        <w:ind w:left="1080" w:hanging="360"/>
      </w:pPr>
      <w:rPr>
        <w:rFonts w:hint="default"/>
      </w:rPr>
    </w:lvl>
    <w:lvl w:ilvl="1" w:tplc="14F68316" w:tentative="1">
      <w:start w:val="1"/>
      <w:numFmt w:val="lowerLetter"/>
      <w:lvlText w:val="%2."/>
      <w:lvlJc w:val="left"/>
      <w:pPr>
        <w:ind w:left="1800" w:hanging="360"/>
      </w:pPr>
    </w:lvl>
    <w:lvl w:ilvl="2" w:tplc="89DC63BC" w:tentative="1">
      <w:start w:val="1"/>
      <w:numFmt w:val="lowerRoman"/>
      <w:lvlText w:val="%3."/>
      <w:lvlJc w:val="right"/>
      <w:pPr>
        <w:ind w:left="2520" w:hanging="180"/>
      </w:pPr>
    </w:lvl>
    <w:lvl w:ilvl="3" w:tplc="979CA3F0" w:tentative="1">
      <w:start w:val="1"/>
      <w:numFmt w:val="decimal"/>
      <w:lvlText w:val="%4."/>
      <w:lvlJc w:val="left"/>
      <w:pPr>
        <w:ind w:left="3240" w:hanging="360"/>
      </w:pPr>
    </w:lvl>
    <w:lvl w:ilvl="4" w:tplc="A8126B28" w:tentative="1">
      <w:start w:val="1"/>
      <w:numFmt w:val="lowerLetter"/>
      <w:lvlText w:val="%5."/>
      <w:lvlJc w:val="left"/>
      <w:pPr>
        <w:ind w:left="3960" w:hanging="360"/>
      </w:pPr>
    </w:lvl>
    <w:lvl w:ilvl="5" w:tplc="7CD6A55C" w:tentative="1">
      <w:start w:val="1"/>
      <w:numFmt w:val="lowerRoman"/>
      <w:lvlText w:val="%6."/>
      <w:lvlJc w:val="right"/>
      <w:pPr>
        <w:ind w:left="4680" w:hanging="180"/>
      </w:pPr>
    </w:lvl>
    <w:lvl w:ilvl="6" w:tplc="659A26B2" w:tentative="1">
      <w:start w:val="1"/>
      <w:numFmt w:val="decimal"/>
      <w:lvlText w:val="%7."/>
      <w:lvlJc w:val="left"/>
      <w:pPr>
        <w:ind w:left="5400" w:hanging="360"/>
      </w:pPr>
    </w:lvl>
    <w:lvl w:ilvl="7" w:tplc="DFF20662" w:tentative="1">
      <w:start w:val="1"/>
      <w:numFmt w:val="lowerLetter"/>
      <w:lvlText w:val="%8."/>
      <w:lvlJc w:val="left"/>
      <w:pPr>
        <w:ind w:left="6120" w:hanging="360"/>
      </w:pPr>
    </w:lvl>
    <w:lvl w:ilvl="8" w:tplc="4C3C32F0" w:tentative="1">
      <w:start w:val="1"/>
      <w:numFmt w:val="lowerRoman"/>
      <w:lvlText w:val="%9."/>
      <w:lvlJc w:val="right"/>
      <w:pPr>
        <w:ind w:left="6840" w:hanging="180"/>
      </w:pPr>
    </w:lvl>
  </w:abstractNum>
  <w:abstractNum w:abstractNumId="1" w15:restartNumberingAfterBreak="0">
    <w:nsid w:val="2E071094"/>
    <w:multiLevelType w:val="hybridMultilevel"/>
    <w:tmpl w:val="8592A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054012"/>
    <w:multiLevelType w:val="multilevel"/>
    <w:tmpl w:val="817CEEAE"/>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lowerRoman"/>
      <w:lvlText w:val="%3."/>
      <w:lvlJc w:val="righ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7D6237"/>
    <w:multiLevelType w:val="hybridMultilevel"/>
    <w:tmpl w:val="6494E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623846"/>
    <w:multiLevelType w:val="multilevel"/>
    <w:tmpl w:val="1B888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DF7107"/>
    <w:multiLevelType w:val="hybridMultilevel"/>
    <w:tmpl w:val="4620B1D4"/>
    <w:lvl w:ilvl="0" w:tplc="BE5EC00C">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DC7509"/>
    <w:multiLevelType w:val="multilevel"/>
    <w:tmpl w:val="4C886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2F06FA"/>
    <w:multiLevelType w:val="multilevel"/>
    <w:tmpl w:val="9CDC1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8C4BED"/>
    <w:multiLevelType w:val="hybridMultilevel"/>
    <w:tmpl w:val="EC924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3E75B7"/>
    <w:multiLevelType w:val="multilevel"/>
    <w:tmpl w:val="729AD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D43147"/>
    <w:multiLevelType w:val="hybridMultilevel"/>
    <w:tmpl w:val="810E68AC"/>
    <w:lvl w:ilvl="0" w:tplc="08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1556967099">
    <w:abstractNumId w:val="0"/>
  </w:num>
  <w:num w:numId="2" w16cid:durableId="176043927">
    <w:abstractNumId w:val="6"/>
  </w:num>
  <w:num w:numId="3" w16cid:durableId="1027679553">
    <w:abstractNumId w:val="2"/>
  </w:num>
  <w:num w:numId="4" w16cid:durableId="282688477">
    <w:abstractNumId w:val="7"/>
  </w:num>
  <w:num w:numId="5" w16cid:durableId="2093426806">
    <w:abstractNumId w:val="4"/>
  </w:num>
  <w:num w:numId="6" w16cid:durableId="1682924594">
    <w:abstractNumId w:val="9"/>
  </w:num>
  <w:num w:numId="7" w16cid:durableId="70810656">
    <w:abstractNumId w:val="10"/>
  </w:num>
  <w:num w:numId="8" w16cid:durableId="1164510503">
    <w:abstractNumId w:val="8"/>
  </w:num>
  <w:num w:numId="9" w16cid:durableId="972253639">
    <w:abstractNumId w:val="3"/>
  </w:num>
  <w:num w:numId="10" w16cid:durableId="233243391">
    <w:abstractNumId w:val="1"/>
  </w:num>
  <w:num w:numId="11" w16cid:durableId="6581900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7A46"/>
    <w:rsid w:val="0001188E"/>
    <w:rsid w:val="00016E58"/>
    <w:rsid w:val="000179D2"/>
    <w:rsid w:val="00026075"/>
    <w:rsid w:val="0002656B"/>
    <w:rsid w:val="00056163"/>
    <w:rsid w:val="0007147F"/>
    <w:rsid w:val="000753B9"/>
    <w:rsid w:val="00083C50"/>
    <w:rsid w:val="00084868"/>
    <w:rsid w:val="000C1C60"/>
    <w:rsid w:val="000C3551"/>
    <w:rsid w:val="000D2721"/>
    <w:rsid w:val="000E712A"/>
    <w:rsid w:val="000F2D62"/>
    <w:rsid w:val="000F608A"/>
    <w:rsid w:val="000F61FA"/>
    <w:rsid w:val="000F65B4"/>
    <w:rsid w:val="001104DC"/>
    <w:rsid w:val="00111BCC"/>
    <w:rsid w:val="00114952"/>
    <w:rsid w:val="00117435"/>
    <w:rsid w:val="001310CD"/>
    <w:rsid w:val="00155669"/>
    <w:rsid w:val="001720B7"/>
    <w:rsid w:val="00182341"/>
    <w:rsid w:val="00182E17"/>
    <w:rsid w:val="0019474D"/>
    <w:rsid w:val="001A41EF"/>
    <w:rsid w:val="001A7F20"/>
    <w:rsid w:val="001B6BD2"/>
    <w:rsid w:val="001C3878"/>
    <w:rsid w:val="001C39E8"/>
    <w:rsid w:val="001E64A9"/>
    <w:rsid w:val="00220041"/>
    <w:rsid w:val="002305BE"/>
    <w:rsid w:val="00234EBE"/>
    <w:rsid w:val="00241C6A"/>
    <w:rsid w:val="00244B6D"/>
    <w:rsid w:val="002452A4"/>
    <w:rsid w:val="00252B88"/>
    <w:rsid w:val="0026681F"/>
    <w:rsid w:val="00267A63"/>
    <w:rsid w:val="0027528A"/>
    <w:rsid w:val="002776DF"/>
    <w:rsid w:val="0028124D"/>
    <w:rsid w:val="002A0FCC"/>
    <w:rsid w:val="002B2F1D"/>
    <w:rsid w:val="002C0040"/>
    <w:rsid w:val="002C6056"/>
    <w:rsid w:val="002D5D32"/>
    <w:rsid w:val="00307C4B"/>
    <w:rsid w:val="0031197D"/>
    <w:rsid w:val="003325D3"/>
    <w:rsid w:val="00336474"/>
    <w:rsid w:val="00337026"/>
    <w:rsid w:val="0034279D"/>
    <w:rsid w:val="00361E11"/>
    <w:rsid w:val="0037017C"/>
    <w:rsid w:val="003711E1"/>
    <w:rsid w:val="003755D5"/>
    <w:rsid w:val="00380379"/>
    <w:rsid w:val="003B35A1"/>
    <w:rsid w:val="003C0F6B"/>
    <w:rsid w:val="003D16BE"/>
    <w:rsid w:val="003E4E6C"/>
    <w:rsid w:val="003F74CD"/>
    <w:rsid w:val="00431849"/>
    <w:rsid w:val="00442D62"/>
    <w:rsid w:val="004668CC"/>
    <w:rsid w:val="004A0317"/>
    <w:rsid w:val="004A227E"/>
    <w:rsid w:val="004C60B8"/>
    <w:rsid w:val="004E0DBF"/>
    <w:rsid w:val="004E7DE9"/>
    <w:rsid w:val="004F373C"/>
    <w:rsid w:val="004F46CE"/>
    <w:rsid w:val="005048B8"/>
    <w:rsid w:val="00505669"/>
    <w:rsid w:val="00513ADF"/>
    <w:rsid w:val="005318FE"/>
    <w:rsid w:val="00537E66"/>
    <w:rsid w:val="00551930"/>
    <w:rsid w:val="0055569D"/>
    <w:rsid w:val="005668ED"/>
    <w:rsid w:val="00571B73"/>
    <w:rsid w:val="00573406"/>
    <w:rsid w:val="00575B1A"/>
    <w:rsid w:val="0058410C"/>
    <w:rsid w:val="005A5FC7"/>
    <w:rsid w:val="005B3A88"/>
    <w:rsid w:val="005B47CB"/>
    <w:rsid w:val="005B5C8B"/>
    <w:rsid w:val="005B7E01"/>
    <w:rsid w:val="005E3E0F"/>
    <w:rsid w:val="005F6342"/>
    <w:rsid w:val="00615144"/>
    <w:rsid w:val="006157EC"/>
    <w:rsid w:val="00676E38"/>
    <w:rsid w:val="00682B42"/>
    <w:rsid w:val="006A38CE"/>
    <w:rsid w:val="006A4808"/>
    <w:rsid w:val="006B4C26"/>
    <w:rsid w:val="006C2782"/>
    <w:rsid w:val="006C5879"/>
    <w:rsid w:val="006E44A6"/>
    <w:rsid w:val="006F1585"/>
    <w:rsid w:val="007011F5"/>
    <w:rsid w:val="00722FB9"/>
    <w:rsid w:val="007356F2"/>
    <w:rsid w:val="00754CF1"/>
    <w:rsid w:val="00773360"/>
    <w:rsid w:val="007821E2"/>
    <w:rsid w:val="007944DA"/>
    <w:rsid w:val="00795E71"/>
    <w:rsid w:val="007A3EBF"/>
    <w:rsid w:val="007C1FB7"/>
    <w:rsid w:val="007D47D5"/>
    <w:rsid w:val="007E0DCA"/>
    <w:rsid w:val="007E6B7C"/>
    <w:rsid w:val="007E766D"/>
    <w:rsid w:val="00816192"/>
    <w:rsid w:val="00840DE0"/>
    <w:rsid w:val="008430A2"/>
    <w:rsid w:val="00845E78"/>
    <w:rsid w:val="00873DEC"/>
    <w:rsid w:val="008909FB"/>
    <w:rsid w:val="008B1C8E"/>
    <w:rsid w:val="008B610C"/>
    <w:rsid w:val="008C1417"/>
    <w:rsid w:val="008D33E3"/>
    <w:rsid w:val="008E6C6F"/>
    <w:rsid w:val="008F470B"/>
    <w:rsid w:val="008F74AB"/>
    <w:rsid w:val="00910F28"/>
    <w:rsid w:val="00912998"/>
    <w:rsid w:val="0094150E"/>
    <w:rsid w:val="009471F1"/>
    <w:rsid w:val="00952F22"/>
    <w:rsid w:val="00956D45"/>
    <w:rsid w:val="009808F4"/>
    <w:rsid w:val="009D1FBE"/>
    <w:rsid w:val="009E335B"/>
    <w:rsid w:val="00A12A03"/>
    <w:rsid w:val="00A3045B"/>
    <w:rsid w:val="00A3316C"/>
    <w:rsid w:val="00A42B98"/>
    <w:rsid w:val="00A51C4E"/>
    <w:rsid w:val="00A56073"/>
    <w:rsid w:val="00A614EC"/>
    <w:rsid w:val="00A66F1E"/>
    <w:rsid w:val="00A85898"/>
    <w:rsid w:val="00A87442"/>
    <w:rsid w:val="00AA2C39"/>
    <w:rsid w:val="00AA595D"/>
    <w:rsid w:val="00AB33C5"/>
    <w:rsid w:val="00AD3F55"/>
    <w:rsid w:val="00AD511D"/>
    <w:rsid w:val="00AE016A"/>
    <w:rsid w:val="00AF1117"/>
    <w:rsid w:val="00AF2AB3"/>
    <w:rsid w:val="00B076D2"/>
    <w:rsid w:val="00B247F0"/>
    <w:rsid w:val="00B2527C"/>
    <w:rsid w:val="00B433CA"/>
    <w:rsid w:val="00B471CF"/>
    <w:rsid w:val="00B61D90"/>
    <w:rsid w:val="00B70D54"/>
    <w:rsid w:val="00B7438B"/>
    <w:rsid w:val="00B75457"/>
    <w:rsid w:val="00B87FB9"/>
    <w:rsid w:val="00BA0017"/>
    <w:rsid w:val="00BA7BBE"/>
    <w:rsid w:val="00BD26A9"/>
    <w:rsid w:val="00BE1762"/>
    <w:rsid w:val="00BE3A5E"/>
    <w:rsid w:val="00BE416C"/>
    <w:rsid w:val="00BE77DF"/>
    <w:rsid w:val="00C1077C"/>
    <w:rsid w:val="00C14F8C"/>
    <w:rsid w:val="00C345A7"/>
    <w:rsid w:val="00C44949"/>
    <w:rsid w:val="00C52445"/>
    <w:rsid w:val="00C555CD"/>
    <w:rsid w:val="00C63C78"/>
    <w:rsid w:val="00C8558A"/>
    <w:rsid w:val="00C90411"/>
    <w:rsid w:val="00CB6B52"/>
    <w:rsid w:val="00CC09FB"/>
    <w:rsid w:val="00CC5CAE"/>
    <w:rsid w:val="00CD5A02"/>
    <w:rsid w:val="00CF2B2C"/>
    <w:rsid w:val="00CF4740"/>
    <w:rsid w:val="00D07CE7"/>
    <w:rsid w:val="00D64775"/>
    <w:rsid w:val="00DB1594"/>
    <w:rsid w:val="00DB2592"/>
    <w:rsid w:val="00DD037E"/>
    <w:rsid w:val="00DE0117"/>
    <w:rsid w:val="00E06702"/>
    <w:rsid w:val="00E176AC"/>
    <w:rsid w:val="00E208F3"/>
    <w:rsid w:val="00E30332"/>
    <w:rsid w:val="00E30CC4"/>
    <w:rsid w:val="00E43BF9"/>
    <w:rsid w:val="00E443D6"/>
    <w:rsid w:val="00E50625"/>
    <w:rsid w:val="00E72D9D"/>
    <w:rsid w:val="00E865DF"/>
    <w:rsid w:val="00E94820"/>
    <w:rsid w:val="00EB7A46"/>
    <w:rsid w:val="00EC0E68"/>
    <w:rsid w:val="00EC6F2C"/>
    <w:rsid w:val="00EE4390"/>
    <w:rsid w:val="00EF26B8"/>
    <w:rsid w:val="00F16DF0"/>
    <w:rsid w:val="00F2037C"/>
    <w:rsid w:val="00F230B1"/>
    <w:rsid w:val="00F6530B"/>
    <w:rsid w:val="00F72C2F"/>
    <w:rsid w:val="00F91C7D"/>
    <w:rsid w:val="00F93BAE"/>
    <w:rsid w:val="00F950C3"/>
    <w:rsid w:val="00F9563B"/>
    <w:rsid w:val="00FA3CEA"/>
    <w:rsid w:val="00FA49E7"/>
    <w:rsid w:val="00FB512B"/>
    <w:rsid w:val="00FD2363"/>
    <w:rsid w:val="00FE04BD"/>
    <w:rsid w:val="00FE50E2"/>
    <w:rsid w:val="00FF2A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F92DD6"/>
  <w15:chartTrackingRefBased/>
  <w15:docId w15:val="{7BA630E6-7993-4845-8528-C462C83F8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C39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A3045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2607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452A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65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5DF"/>
    <w:rPr>
      <w:lang w:val="en-GB"/>
    </w:rPr>
  </w:style>
  <w:style w:type="paragraph" w:styleId="Footer">
    <w:name w:val="footer"/>
    <w:basedOn w:val="Normal"/>
    <w:link w:val="FooterChar"/>
    <w:uiPriority w:val="99"/>
    <w:unhideWhenUsed/>
    <w:rsid w:val="00E865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5DF"/>
    <w:rPr>
      <w:lang w:val="en-GB"/>
    </w:rPr>
  </w:style>
  <w:style w:type="character" w:customStyle="1" w:styleId="Heading1Char">
    <w:name w:val="Heading 1 Char"/>
    <w:basedOn w:val="DefaultParagraphFont"/>
    <w:link w:val="Heading1"/>
    <w:uiPriority w:val="9"/>
    <w:rsid w:val="001C39E8"/>
    <w:rPr>
      <w:rFonts w:asciiTheme="majorHAnsi" w:eastAsiaTheme="majorEastAsia" w:hAnsiTheme="majorHAnsi" w:cstheme="majorBidi"/>
      <w:color w:val="2E74B5" w:themeColor="accent1" w:themeShade="BF"/>
      <w:sz w:val="32"/>
      <w:szCs w:val="32"/>
      <w:lang w:val="en-GB"/>
    </w:rPr>
  </w:style>
  <w:style w:type="paragraph" w:styleId="ListParagraph">
    <w:name w:val="List Paragraph"/>
    <w:basedOn w:val="Normal"/>
    <w:link w:val="ListParagraphChar"/>
    <w:uiPriority w:val="34"/>
    <w:qFormat/>
    <w:rsid w:val="00114952"/>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114952"/>
    <w:rPr>
      <w:rFonts w:ascii="Times New Roman" w:eastAsia="Times New Roman" w:hAnsi="Times New Roman" w:cs="Times New Roman"/>
      <w:sz w:val="20"/>
      <w:szCs w:val="20"/>
      <w:lang w:val="en-GB" w:eastAsia="en-GB"/>
    </w:rPr>
  </w:style>
  <w:style w:type="paragraph" w:styleId="FootnoteText">
    <w:name w:val="footnote text"/>
    <w:basedOn w:val="Normal"/>
    <w:link w:val="FootnoteTextChar"/>
    <w:semiHidden/>
    <w:unhideWhenUsed/>
    <w:rsid w:val="00114952"/>
    <w:pPr>
      <w:spacing w:after="0" w:line="240" w:lineRule="auto"/>
    </w:pPr>
    <w:rPr>
      <w:rFonts w:ascii="Times New Roman" w:eastAsia="Times New Roman" w:hAnsi="Times New Roman" w:cs="Times New Roman"/>
      <w:sz w:val="20"/>
      <w:szCs w:val="20"/>
      <w:lang w:eastAsia="en-GB"/>
    </w:rPr>
  </w:style>
  <w:style w:type="character" w:customStyle="1" w:styleId="FootnoteTextChar">
    <w:name w:val="Footnote Text Char"/>
    <w:basedOn w:val="DefaultParagraphFont"/>
    <w:link w:val="FootnoteText"/>
    <w:semiHidden/>
    <w:rsid w:val="00114952"/>
    <w:rPr>
      <w:rFonts w:ascii="Times New Roman" w:eastAsia="Times New Roman" w:hAnsi="Times New Roman" w:cs="Times New Roman"/>
      <w:sz w:val="20"/>
      <w:szCs w:val="20"/>
      <w:lang w:val="en-GB" w:eastAsia="en-GB"/>
    </w:rPr>
  </w:style>
  <w:style w:type="character" w:styleId="FootnoteReference">
    <w:name w:val="footnote reference"/>
    <w:basedOn w:val="DefaultParagraphFont"/>
    <w:semiHidden/>
    <w:unhideWhenUsed/>
    <w:rsid w:val="00114952"/>
    <w:rPr>
      <w:vertAlign w:val="superscript"/>
    </w:rPr>
  </w:style>
  <w:style w:type="paragraph" w:styleId="NormalWeb">
    <w:name w:val="Normal (Web)"/>
    <w:basedOn w:val="Normal"/>
    <w:uiPriority w:val="99"/>
    <w:unhideWhenUsed/>
    <w:rsid w:val="005048B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7821E2"/>
    <w:pPr>
      <w:outlineLvl w:val="9"/>
    </w:pPr>
    <w:rPr>
      <w:lang w:val="en-US"/>
    </w:rPr>
  </w:style>
  <w:style w:type="paragraph" w:styleId="TOC1">
    <w:name w:val="toc 1"/>
    <w:basedOn w:val="Normal"/>
    <w:next w:val="Normal"/>
    <w:autoRedefine/>
    <w:uiPriority w:val="39"/>
    <w:unhideWhenUsed/>
    <w:rsid w:val="007821E2"/>
    <w:pPr>
      <w:spacing w:after="100"/>
    </w:pPr>
  </w:style>
  <w:style w:type="character" w:styleId="Hyperlink">
    <w:name w:val="Hyperlink"/>
    <w:basedOn w:val="DefaultParagraphFont"/>
    <w:uiPriority w:val="99"/>
    <w:unhideWhenUsed/>
    <w:rsid w:val="007821E2"/>
    <w:rPr>
      <w:color w:val="0563C1" w:themeColor="hyperlink"/>
      <w:u w:val="single"/>
    </w:rPr>
  </w:style>
  <w:style w:type="character" w:customStyle="1" w:styleId="Heading3Char">
    <w:name w:val="Heading 3 Char"/>
    <w:basedOn w:val="DefaultParagraphFont"/>
    <w:link w:val="Heading3"/>
    <w:uiPriority w:val="9"/>
    <w:semiHidden/>
    <w:rsid w:val="00026075"/>
    <w:rPr>
      <w:rFonts w:asciiTheme="majorHAnsi" w:eastAsiaTheme="majorEastAsia" w:hAnsiTheme="majorHAnsi" w:cstheme="majorBidi"/>
      <w:color w:val="1F4D78" w:themeColor="accent1" w:themeShade="7F"/>
      <w:sz w:val="24"/>
      <w:szCs w:val="24"/>
      <w:lang w:val="en-GB"/>
    </w:rPr>
  </w:style>
  <w:style w:type="character" w:styleId="Emphasis">
    <w:name w:val="Emphasis"/>
    <w:basedOn w:val="DefaultParagraphFont"/>
    <w:uiPriority w:val="20"/>
    <w:qFormat/>
    <w:rsid w:val="00873DEC"/>
    <w:rPr>
      <w:i/>
      <w:iCs/>
    </w:rPr>
  </w:style>
  <w:style w:type="character" w:customStyle="1" w:styleId="Heading4Char">
    <w:name w:val="Heading 4 Char"/>
    <w:basedOn w:val="DefaultParagraphFont"/>
    <w:link w:val="Heading4"/>
    <w:uiPriority w:val="9"/>
    <w:semiHidden/>
    <w:rsid w:val="002452A4"/>
    <w:rPr>
      <w:rFonts w:asciiTheme="majorHAnsi" w:eastAsiaTheme="majorEastAsia" w:hAnsiTheme="majorHAnsi" w:cstheme="majorBidi"/>
      <w:i/>
      <w:iCs/>
      <w:color w:val="2E74B5" w:themeColor="accent1" w:themeShade="BF"/>
      <w:lang w:val="en-GB"/>
    </w:rPr>
  </w:style>
  <w:style w:type="paragraph" w:styleId="NoSpacing">
    <w:name w:val="No Spacing"/>
    <w:link w:val="NoSpacingChar"/>
    <w:uiPriority w:val="1"/>
    <w:qFormat/>
    <w:rsid w:val="008E6C6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6C6F"/>
    <w:rPr>
      <w:rFonts w:eastAsiaTheme="minorEastAsia"/>
      <w:lang w:val="en-US"/>
    </w:rPr>
  </w:style>
  <w:style w:type="character" w:customStyle="1" w:styleId="Heading2Char">
    <w:name w:val="Heading 2 Char"/>
    <w:basedOn w:val="DefaultParagraphFont"/>
    <w:link w:val="Heading2"/>
    <w:uiPriority w:val="9"/>
    <w:semiHidden/>
    <w:rsid w:val="00A3045B"/>
    <w:rPr>
      <w:rFonts w:asciiTheme="majorHAnsi" w:eastAsiaTheme="majorEastAsia" w:hAnsiTheme="majorHAnsi" w:cstheme="majorBidi"/>
      <w:color w:val="2E74B5" w:themeColor="accent1" w:themeShade="BF"/>
      <w:sz w:val="26"/>
      <w:szCs w:val="26"/>
      <w:lang w:val="en-GB"/>
    </w:rPr>
  </w:style>
  <w:style w:type="character" w:styleId="UnresolvedMention">
    <w:name w:val="Unresolved Mention"/>
    <w:basedOn w:val="DefaultParagraphFont"/>
    <w:uiPriority w:val="99"/>
    <w:semiHidden/>
    <w:unhideWhenUsed/>
    <w:rsid w:val="00A3045B"/>
    <w:rPr>
      <w:color w:val="605E5C"/>
      <w:shd w:val="clear" w:color="auto" w:fill="E1DFDD"/>
    </w:rPr>
  </w:style>
  <w:style w:type="character" w:customStyle="1" w:styleId="ssit">
    <w:name w:val="ss_it"/>
    <w:basedOn w:val="DefaultParagraphFont"/>
    <w:rsid w:val="00AA2C39"/>
  </w:style>
  <w:style w:type="character" w:customStyle="1" w:styleId="sssh">
    <w:name w:val="ss_sh"/>
    <w:basedOn w:val="DefaultParagraphFont"/>
    <w:rsid w:val="00AA2C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215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vlex.co.uk/vid/goodchild-and-another-v-806933857" TargetMode="External"/><Relationship Id="rId18" Type="http://schemas.openxmlformats.org/officeDocument/2006/relationships/hyperlink" Target="https://www.researchgate.net/publication/6519337_Assessment_of_Decision-Making_Capacity_in_Older_Adults_An_Emerging_Area_of_Practice_and_Research" TargetMode="External"/><Relationship Id="rId26" Type="http://schemas.openxmlformats.org/officeDocument/2006/relationships/hyperlink" Target="https://www.legislation.gov.uk/ukpga/1981/54/contents" TargetMode="External"/><Relationship Id="rId3" Type="http://schemas.openxmlformats.org/officeDocument/2006/relationships/styles" Target="styles.xml"/><Relationship Id="rId21" Type="http://schemas.openxmlformats.org/officeDocument/2006/relationships/hyperlink" Target="https://www.legislation.gov.uk/ukpga/2000/29/section/4" TargetMode="External"/><Relationship Id="rId7" Type="http://schemas.openxmlformats.org/officeDocument/2006/relationships/endnotes" Target="endnotes.xml"/><Relationship Id="rId12" Type="http://schemas.openxmlformats.org/officeDocument/2006/relationships/hyperlink" Target="https://www.casemine.com/judgement/uk/5a8ff7de60d03e7f57eb28ff" TargetMode="External"/><Relationship Id="rId17" Type="http://schemas.openxmlformats.org/officeDocument/2006/relationships/hyperlink" Target="https://www.legislation.gov.uk/ukpga/2005/9/contents" TargetMode="External"/><Relationship Id="rId25" Type="http://schemas.openxmlformats.org/officeDocument/2006/relationships/hyperlink" Target="https://www.legislation.gov.uk/ukpga/Will4and1Vict/7/26/section/9"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warb.co.uk/kenward-v-adams-chd-29-nov-1975/" TargetMode="External"/><Relationship Id="rId20" Type="http://schemas.openxmlformats.org/officeDocument/2006/relationships/hyperlink" Target="https://www.legislation.gov.uk/ukpga/2000/29/section/3" TargetMode="External"/><Relationship Id="rId29" Type="http://schemas.openxmlformats.org/officeDocument/2006/relationships/hyperlink" Target="https://www.legislation.gov.uk/uksi/1987/2024/ma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gdalenchambers.co.uk/the-golden-rule/" TargetMode="External"/><Relationship Id="rId24" Type="http://schemas.openxmlformats.org/officeDocument/2006/relationships/hyperlink" Target="https://www.legislation.gov.uk/ukpga/Geo5/15-16/23/section/25"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ampionssolicitors.co.uk/james-v-james-2018" TargetMode="External"/><Relationship Id="rId23" Type="http://schemas.openxmlformats.org/officeDocument/2006/relationships/hyperlink" Target="https://www.legislation.gov.uk/ukpga/2000/29/schedule/1" TargetMode="External"/><Relationship Id="rId28" Type="http://schemas.openxmlformats.org/officeDocument/2006/relationships/hyperlink" Target="https://www.researchgate.net/profile/Carmelle-Peisah/publication/24236660_Contemporaneous_assessment_of_testamentary_capacity/links/53e940250cf2fb1b9b67071d/Contemporaneous-assessment-of-testamentary-capacity.pdf" TargetMode="External"/><Relationship Id="rId10" Type="http://schemas.openxmlformats.org/officeDocument/2006/relationships/hyperlink" Target="https://www.campionssolicitors.co.uk/banks-v-goodfellow" TargetMode="External"/><Relationship Id="rId19" Type="http://schemas.openxmlformats.org/officeDocument/2006/relationships/hyperlink" Target="https://www.legislation.gov.uk/ukpga/1975/63/section/2"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lawgazette.co.uk/law/testamentary-capacity/69794.article" TargetMode="External"/><Relationship Id="rId22" Type="http://schemas.openxmlformats.org/officeDocument/2006/relationships/hyperlink" Target="https://www.legislation.gov.uk/ukpga/2000/29/section/8" TargetMode="External"/><Relationship Id="rId27" Type="http://schemas.openxmlformats.org/officeDocument/2006/relationships/hyperlink" Target="https://www.casemine.com/judgement/uk/5a8ff7b160d03e7f57eb1498" TargetMode="External"/><Relationship Id="rId30" Type="http://schemas.openxmlformats.org/officeDocument/2006/relationships/hyperlink" Target="https://www.legislation.gov.uk/ukpga/Will4and1Vict/7/26/data.pdf"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AB4A2C-1E3F-414C-BF63-DBCBA0F96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Pages>
  <Words>3648</Words>
  <Characters>20796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Assignement 1</vt:lpstr>
    </vt:vector>
  </TitlesOfParts>
  <Company/>
  <LinksUpToDate>false</LinksUpToDate>
  <CharactersWithSpaces>24396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Assignement 1</dc:title>
  <dc:subject>Probate Practice</dc:subject>
  <dc:creator>St ID: 1922561</dc:creator>
  <cp:lastModifiedBy>Roshid</cp:lastModifiedBy>
  <cp:revision>88</cp:revision>
  <dcterms:created xsi:type="dcterms:W3CDTF">2021-05-04T00:04:00Z</dcterms:created>
  <dcterms:modified xsi:type="dcterms:W3CDTF">2023-03-24T01:29:00Z</dcterms:modified>
</cp:coreProperties>
</file>