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07BABF" w14:textId="5E9CEE94" w:rsidR="00055CD1" w:rsidRPr="00990396" w:rsidRDefault="005F4E12" w:rsidP="005F4E12">
      <w:pPr>
        <w:jc w:val="center"/>
        <w:rPr>
          <w:b/>
          <w:bCs/>
          <w:sz w:val="32"/>
          <w:szCs w:val="32"/>
        </w:rPr>
      </w:pPr>
      <w:r w:rsidRPr="009356C2">
        <w:rPr>
          <w:rFonts w:ascii="Arial" w:hAnsi="Arial" w:cs="Arial"/>
          <w:noProof/>
        </w:rPr>
        <w:drawing>
          <wp:inline distT="0" distB="0" distL="0" distR="0" wp14:anchorId="45798D90" wp14:editId="6338B96F">
            <wp:extent cx="2844800" cy="1168400"/>
            <wp:effectExtent l="0" t="0" r="0" b="0"/>
            <wp:docPr id="1682065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017B8AF0" w14:textId="77777777" w:rsidR="00055CD1" w:rsidRPr="00990396" w:rsidRDefault="00055CD1" w:rsidP="00990396">
      <w:pPr>
        <w:jc w:val="both"/>
        <w:rPr>
          <w:b/>
          <w:bCs/>
          <w:sz w:val="32"/>
          <w:szCs w:val="32"/>
        </w:rPr>
      </w:pPr>
    </w:p>
    <w:p w14:paraId="7DC6512D" w14:textId="77777777" w:rsidR="00055CD1" w:rsidRPr="00990396" w:rsidRDefault="00055CD1" w:rsidP="00990396">
      <w:pPr>
        <w:jc w:val="both"/>
        <w:rPr>
          <w:b/>
          <w:bCs/>
          <w:sz w:val="32"/>
          <w:szCs w:val="32"/>
        </w:rPr>
      </w:pPr>
    </w:p>
    <w:p w14:paraId="19537D21" w14:textId="69625E3E" w:rsidR="00137AE8" w:rsidRPr="00990396" w:rsidRDefault="00055CD1" w:rsidP="005F4E12">
      <w:pPr>
        <w:jc w:val="center"/>
        <w:rPr>
          <w:b/>
          <w:bCs/>
          <w:sz w:val="32"/>
          <w:szCs w:val="32"/>
        </w:rPr>
      </w:pPr>
      <w:r w:rsidRPr="00990396">
        <w:rPr>
          <w:b/>
          <w:bCs/>
          <w:sz w:val="32"/>
          <w:szCs w:val="32"/>
        </w:rPr>
        <w:t>THE IMPACT OF FINANCIAL RISK MANAGEMENT PRACTICES ON THE FINANCIAL PERFORMANCE OF UK SMES</w:t>
      </w:r>
    </w:p>
    <w:p w14:paraId="3938A900" w14:textId="7F9F23F7" w:rsidR="00055CD1" w:rsidRPr="00990396" w:rsidRDefault="00055CD1" w:rsidP="005F4E12">
      <w:pPr>
        <w:jc w:val="center"/>
        <w:rPr>
          <w:b/>
          <w:bCs/>
          <w:sz w:val="32"/>
          <w:szCs w:val="32"/>
        </w:rPr>
      </w:pPr>
    </w:p>
    <w:p w14:paraId="1733C414" w14:textId="3867E96D" w:rsidR="00055CD1" w:rsidRPr="00990396" w:rsidRDefault="00055CD1" w:rsidP="005F4E12">
      <w:pPr>
        <w:jc w:val="center"/>
        <w:rPr>
          <w:b/>
          <w:bCs/>
          <w:sz w:val="32"/>
          <w:szCs w:val="32"/>
        </w:rPr>
      </w:pPr>
      <w:r w:rsidRPr="00990396">
        <w:t>A Dissertation Submitted in Partial Fulfilment of the Requirements for the Award of the Degree of MBA</w:t>
      </w:r>
    </w:p>
    <w:p w14:paraId="68809918" w14:textId="77777777" w:rsidR="00055CD1" w:rsidRDefault="00055CD1" w:rsidP="005F4E12">
      <w:pPr>
        <w:jc w:val="center"/>
        <w:rPr>
          <w:b/>
          <w:bCs/>
          <w:sz w:val="32"/>
          <w:szCs w:val="32"/>
        </w:rPr>
      </w:pPr>
    </w:p>
    <w:p w14:paraId="01419D7B" w14:textId="24A7D7E6" w:rsidR="005F4E12" w:rsidRDefault="005F4E12" w:rsidP="005F4E12">
      <w:pPr>
        <w:spacing w:before="100" w:beforeAutospacing="1" w:after="100" w:afterAutospacing="1"/>
        <w:jc w:val="center"/>
        <w:rPr>
          <w:rFonts w:ascii="Arial" w:hAnsi="Arial" w:cs="Arial"/>
        </w:rPr>
      </w:pPr>
      <w:r>
        <w:rPr>
          <w:rFonts w:ascii="Arial" w:hAnsi="Arial" w:cs="Arial"/>
        </w:rPr>
        <w:t>Roshan Lal</w:t>
      </w:r>
    </w:p>
    <w:p w14:paraId="175A43F8" w14:textId="7602BF5C" w:rsidR="005F4E12" w:rsidRDefault="005F4E12" w:rsidP="005F4E12">
      <w:pPr>
        <w:spacing w:before="100" w:beforeAutospacing="1" w:after="100" w:afterAutospacing="1"/>
        <w:jc w:val="center"/>
        <w:rPr>
          <w:rFonts w:ascii="Arial" w:hAnsi="Arial" w:cs="Arial"/>
        </w:rPr>
      </w:pPr>
      <w:r>
        <w:rPr>
          <w:rFonts w:ascii="Arial" w:hAnsi="Arial" w:cs="Arial"/>
        </w:rPr>
        <w:t xml:space="preserve">Student ID: </w:t>
      </w:r>
      <w:r w:rsidRPr="00935A0E">
        <w:rPr>
          <w:rFonts w:ascii="Arial" w:hAnsi="Arial" w:cs="Arial"/>
        </w:rPr>
        <w:t>2430265</w:t>
      </w:r>
    </w:p>
    <w:p w14:paraId="140C0087" w14:textId="77777777" w:rsidR="005F4E12" w:rsidRDefault="005F4E12" w:rsidP="005F4E12">
      <w:pPr>
        <w:spacing w:before="100" w:beforeAutospacing="1" w:after="100" w:afterAutospacing="1"/>
        <w:jc w:val="center"/>
        <w:rPr>
          <w:rFonts w:ascii="Arial" w:hAnsi="Arial" w:cs="Arial"/>
        </w:rPr>
      </w:pPr>
    </w:p>
    <w:p w14:paraId="746F639F" w14:textId="3569ED88" w:rsidR="005F4E12" w:rsidRPr="004C3A0B" w:rsidRDefault="005F4E12" w:rsidP="005F4E12">
      <w:pPr>
        <w:spacing w:before="100" w:beforeAutospacing="1" w:after="100" w:afterAutospacing="1"/>
        <w:jc w:val="center"/>
        <w:rPr>
          <w:rFonts w:ascii="Arial" w:hAnsi="Arial" w:cs="Arial"/>
        </w:rPr>
      </w:pPr>
      <w:r>
        <w:rPr>
          <w:rFonts w:ascii="Arial" w:hAnsi="Arial" w:cs="Arial"/>
        </w:rPr>
        <w:t>Supervisor: Shahrukh Irfan</w:t>
      </w:r>
    </w:p>
    <w:p w14:paraId="757B7F0D" w14:textId="5A964BDA" w:rsidR="005F4E12" w:rsidRPr="00990396" w:rsidRDefault="005F4E12" w:rsidP="00990396">
      <w:pPr>
        <w:jc w:val="both"/>
        <w:rPr>
          <w:b/>
          <w:bCs/>
          <w:sz w:val="32"/>
          <w:szCs w:val="32"/>
        </w:rPr>
      </w:pPr>
    </w:p>
    <w:p w14:paraId="242407B7" w14:textId="6C49D90A" w:rsidR="005F4E12" w:rsidRDefault="005F4E12" w:rsidP="005F4E12">
      <w:pPr>
        <w:jc w:val="center"/>
      </w:pPr>
      <w:r>
        <w:t>Words: 16,442</w:t>
      </w:r>
    </w:p>
    <w:p w14:paraId="24FAAF51" w14:textId="77777777" w:rsidR="005F4E12" w:rsidRDefault="005F4E12" w:rsidP="005F4E12">
      <w:pPr>
        <w:jc w:val="center"/>
      </w:pPr>
    </w:p>
    <w:p w14:paraId="77D99DFC" w14:textId="3ED79562" w:rsidR="00055CD1" w:rsidRPr="00990396" w:rsidRDefault="005F4E12" w:rsidP="005F4E12">
      <w:pPr>
        <w:jc w:val="center"/>
        <w:rPr>
          <w:rFonts w:eastAsiaTheme="majorEastAsia"/>
          <w:color w:val="2F5496" w:themeColor="accent1" w:themeShade="BF"/>
          <w:sz w:val="40"/>
          <w:szCs w:val="40"/>
        </w:rPr>
      </w:pPr>
      <w:r>
        <w:t>September 2026</w:t>
      </w:r>
      <w:r w:rsidR="00055CD1" w:rsidRPr="00990396">
        <w:br w:type="page"/>
      </w:r>
    </w:p>
    <w:p w14:paraId="6A5F1E6A" w14:textId="562AD772" w:rsidR="00055CD1" w:rsidRPr="00990396" w:rsidRDefault="00990396" w:rsidP="00990396">
      <w:pPr>
        <w:pStyle w:val="Heading1"/>
        <w:numPr>
          <w:ilvl w:val="0"/>
          <w:numId w:val="0"/>
        </w:numPr>
        <w:ind w:left="432"/>
        <w:jc w:val="both"/>
        <w:rPr>
          <w:rFonts w:cstheme="minorBidi"/>
        </w:rPr>
      </w:pPr>
      <w:bookmarkStart w:id="0" w:name="_Toc241146990"/>
      <w:r w:rsidRPr="00990396">
        <w:rPr>
          <w:rFonts w:cstheme="minorBidi"/>
        </w:rPr>
        <w:lastRenderedPageBreak/>
        <w:t>ABSTRACT</w:t>
      </w:r>
      <w:bookmarkEnd w:id="0"/>
    </w:p>
    <w:p w14:paraId="59996E0E" w14:textId="77777777" w:rsidR="00D41112" w:rsidRPr="00990396" w:rsidRDefault="00D41112" w:rsidP="00990396">
      <w:pPr>
        <w:pStyle w:val="NormalWeb"/>
        <w:jc w:val="both"/>
        <w:rPr>
          <w:rFonts w:asciiTheme="minorBidi" w:hAnsiTheme="minorBidi" w:cstheme="minorBidi"/>
          <w:sz w:val="22"/>
          <w:szCs w:val="22"/>
        </w:rPr>
      </w:pPr>
      <w:r w:rsidRPr="00990396">
        <w:rPr>
          <w:rFonts w:asciiTheme="minorBidi" w:hAnsiTheme="minorBidi" w:cstheme="minorBidi"/>
          <w:sz w:val="22"/>
          <w:szCs w:val="22"/>
        </w:rPr>
        <w:t xml:space="preserve">This study investigates the impact on financial performance of financial risk management practices for small and medium sized enterprises (SMEs) in the United Kingdom (UK), specifically in the areas of liquidity, credit and market-risk management. The research used is </w:t>
      </w:r>
      <w:proofErr w:type="gramStart"/>
      <w:r w:rsidRPr="00990396">
        <w:rPr>
          <w:rFonts w:asciiTheme="minorBidi" w:hAnsiTheme="minorBidi" w:cstheme="minorBidi"/>
          <w:sz w:val="22"/>
          <w:szCs w:val="22"/>
        </w:rPr>
        <w:t>a secondary qualitative research</w:t>
      </w:r>
      <w:proofErr w:type="gramEnd"/>
      <w:r w:rsidRPr="00990396">
        <w:rPr>
          <w:rFonts w:asciiTheme="minorBidi" w:hAnsiTheme="minorBidi" w:cstheme="minorBidi"/>
          <w:sz w:val="22"/>
          <w:szCs w:val="22"/>
        </w:rPr>
        <w:t xml:space="preserve"> with a philosophy of interpretivist, methodology using an inductive approach. The structured literature review was employed to identify and critically appraise recent, peer-reviewed research and reflexive thematic analysis was used to develop themes and </w:t>
      </w:r>
      <w:proofErr w:type="spellStart"/>
      <w:r w:rsidRPr="00990396">
        <w:rPr>
          <w:rFonts w:asciiTheme="minorBidi" w:hAnsiTheme="minorBidi" w:cstheme="minorBidi"/>
          <w:sz w:val="22"/>
          <w:szCs w:val="22"/>
        </w:rPr>
        <w:t>analyse</w:t>
      </w:r>
      <w:proofErr w:type="spellEnd"/>
      <w:r w:rsidRPr="00990396">
        <w:rPr>
          <w:rFonts w:asciiTheme="minorBidi" w:hAnsiTheme="minorBidi" w:cstheme="minorBidi"/>
          <w:sz w:val="22"/>
          <w:szCs w:val="22"/>
        </w:rPr>
        <w:t xml:space="preserve"> methodological elements, limitations and differences in context.</w:t>
      </w:r>
    </w:p>
    <w:p w14:paraId="6E1FF031" w14:textId="77777777" w:rsidR="00D41112" w:rsidRPr="00990396" w:rsidRDefault="00D41112" w:rsidP="00990396">
      <w:pPr>
        <w:pStyle w:val="NormalWeb"/>
        <w:jc w:val="both"/>
        <w:rPr>
          <w:rFonts w:asciiTheme="minorBidi" w:hAnsiTheme="minorBidi" w:cstheme="minorBidi"/>
          <w:sz w:val="22"/>
          <w:szCs w:val="22"/>
        </w:rPr>
      </w:pPr>
      <w:r w:rsidRPr="00990396">
        <w:rPr>
          <w:rFonts w:asciiTheme="minorBidi" w:hAnsiTheme="minorBidi" w:cstheme="minorBidi"/>
          <w:sz w:val="22"/>
          <w:szCs w:val="22"/>
        </w:rPr>
        <w:t xml:space="preserve">The results suggest that proper cash-flow forecasting, working-capital control and liquidity reserve management </w:t>
      </w:r>
      <w:proofErr w:type="gramStart"/>
      <w:r w:rsidRPr="00990396">
        <w:rPr>
          <w:rFonts w:asciiTheme="minorBidi" w:hAnsiTheme="minorBidi" w:cstheme="minorBidi"/>
          <w:sz w:val="22"/>
          <w:szCs w:val="22"/>
        </w:rPr>
        <w:t>is</w:t>
      </w:r>
      <w:proofErr w:type="gramEnd"/>
      <w:r w:rsidRPr="00990396">
        <w:rPr>
          <w:rFonts w:asciiTheme="minorBidi" w:hAnsiTheme="minorBidi" w:cstheme="minorBidi"/>
          <w:sz w:val="22"/>
          <w:szCs w:val="22"/>
        </w:rPr>
        <w:t xml:space="preserve"> beneficial to SME </w:t>
      </w:r>
      <w:proofErr w:type="gramStart"/>
      <w:r w:rsidRPr="00990396">
        <w:rPr>
          <w:rFonts w:asciiTheme="minorBidi" w:hAnsiTheme="minorBidi" w:cstheme="minorBidi"/>
          <w:sz w:val="22"/>
          <w:szCs w:val="22"/>
        </w:rPr>
        <w:t>performance</w:t>
      </w:r>
      <w:proofErr w:type="gramEnd"/>
      <w:r w:rsidRPr="00990396">
        <w:rPr>
          <w:rFonts w:asciiTheme="minorBidi" w:hAnsiTheme="minorBidi" w:cstheme="minorBidi"/>
          <w:sz w:val="22"/>
          <w:szCs w:val="22"/>
        </w:rPr>
        <w:t xml:space="preserve"> but excess liquidity may cause the loss of profit. When firms implement measures such as customer screening, clear payment terms, and receivables monitoring and disciplined collection, the impact of credit-risk management is positive, but when firms do not do these things, or do them poorly, then the receivables become overhangs and the impact of credit-risk management is negative. Hedging, pricing changes, diversification, flexible financing and scenario planning are measures that can be taken to increase </w:t>
      </w:r>
      <w:proofErr w:type="gramStart"/>
      <w:r w:rsidRPr="00990396">
        <w:rPr>
          <w:rFonts w:asciiTheme="minorBidi" w:hAnsiTheme="minorBidi" w:cstheme="minorBidi"/>
          <w:sz w:val="22"/>
          <w:szCs w:val="22"/>
        </w:rPr>
        <w:t>market-risk</w:t>
      </w:r>
      <w:proofErr w:type="gramEnd"/>
      <w:r w:rsidRPr="00990396">
        <w:rPr>
          <w:rFonts w:asciiTheme="minorBidi" w:hAnsiTheme="minorBidi" w:cstheme="minorBidi"/>
          <w:sz w:val="22"/>
          <w:szCs w:val="22"/>
        </w:rPr>
        <w:t xml:space="preserve"> resilience, with less direct evidence of their use in SMEs in the UK. In all three areas, the effectiveness of the risk-management practices is reliant on </w:t>
      </w:r>
      <w:proofErr w:type="gramStart"/>
      <w:r w:rsidRPr="00990396">
        <w:rPr>
          <w:rFonts w:asciiTheme="minorBidi" w:hAnsiTheme="minorBidi" w:cstheme="minorBidi"/>
          <w:sz w:val="22"/>
          <w:szCs w:val="22"/>
        </w:rPr>
        <w:t>the managerial</w:t>
      </w:r>
      <w:proofErr w:type="gramEnd"/>
      <w:r w:rsidRPr="00990396">
        <w:rPr>
          <w:rFonts w:asciiTheme="minorBidi" w:hAnsiTheme="minorBidi" w:cstheme="minorBidi"/>
          <w:sz w:val="22"/>
          <w:szCs w:val="22"/>
        </w:rPr>
        <w:t xml:space="preserve"> skills, financial expertise, information technology and coordination of risks. The results also point to ongoing gaps in the empirical evidence available that is representative of the UK.</w:t>
      </w:r>
    </w:p>
    <w:p w14:paraId="4C8CFAE2" w14:textId="0E5A876E" w:rsidR="00055CD1" w:rsidRPr="00990396" w:rsidRDefault="00D41112" w:rsidP="00990396">
      <w:pPr>
        <w:pStyle w:val="NormalWeb"/>
        <w:jc w:val="both"/>
        <w:rPr>
          <w:rFonts w:asciiTheme="minorBidi" w:hAnsiTheme="minorBidi" w:cstheme="minorBidi"/>
          <w:sz w:val="22"/>
          <w:szCs w:val="22"/>
        </w:rPr>
      </w:pPr>
      <w:r w:rsidRPr="00990396">
        <w:rPr>
          <w:rFonts w:asciiTheme="minorBidi" w:hAnsiTheme="minorBidi" w:cstheme="minorBidi"/>
          <w:sz w:val="22"/>
          <w:szCs w:val="22"/>
        </w:rPr>
        <w:t xml:space="preserve">The study finds that financial risk management is most useful when it is proportionate, is integrated and is aligned with the firm's resources and exposures. It calls for improvement in </w:t>
      </w:r>
      <w:proofErr w:type="gramStart"/>
      <w:r w:rsidRPr="00990396">
        <w:rPr>
          <w:rFonts w:asciiTheme="minorBidi" w:hAnsiTheme="minorBidi" w:cstheme="minorBidi"/>
          <w:sz w:val="22"/>
          <w:szCs w:val="22"/>
        </w:rPr>
        <w:t>the financial</w:t>
      </w:r>
      <w:proofErr w:type="gramEnd"/>
      <w:r w:rsidRPr="00990396">
        <w:rPr>
          <w:rFonts w:asciiTheme="minorBidi" w:hAnsiTheme="minorBidi" w:cstheme="minorBidi"/>
          <w:sz w:val="22"/>
          <w:szCs w:val="22"/>
        </w:rPr>
        <w:t xml:space="preserve"> planning, credit control and risk monitoring and capability building of UK SMEs</w:t>
      </w:r>
      <w:r w:rsidR="00055CD1" w:rsidRPr="00990396">
        <w:rPr>
          <w:rFonts w:asciiTheme="minorBidi" w:hAnsiTheme="minorBidi" w:cstheme="minorBidi"/>
          <w:sz w:val="22"/>
          <w:szCs w:val="22"/>
        </w:rPr>
        <w:t>.</w:t>
      </w:r>
    </w:p>
    <w:p w14:paraId="57818AEA" w14:textId="77777777" w:rsidR="00055CD1" w:rsidRPr="00990396" w:rsidRDefault="00055CD1" w:rsidP="00990396">
      <w:pPr>
        <w:pStyle w:val="NormalWeb"/>
        <w:spacing w:line="360" w:lineRule="auto"/>
        <w:jc w:val="both"/>
        <w:rPr>
          <w:rFonts w:asciiTheme="minorBidi" w:hAnsiTheme="minorBidi" w:cstheme="minorBidi"/>
          <w:sz w:val="22"/>
          <w:szCs w:val="22"/>
        </w:rPr>
      </w:pPr>
      <w:r w:rsidRPr="00990396">
        <w:rPr>
          <w:rStyle w:val="Strong"/>
          <w:rFonts w:asciiTheme="minorBidi" w:eastAsiaTheme="majorEastAsia" w:hAnsiTheme="minorBidi" w:cstheme="minorBidi"/>
          <w:sz w:val="22"/>
          <w:szCs w:val="22"/>
        </w:rPr>
        <w:t>Keywords:</w:t>
      </w:r>
      <w:r w:rsidRPr="00990396">
        <w:rPr>
          <w:rFonts w:asciiTheme="minorBidi" w:hAnsiTheme="minorBidi" w:cstheme="minorBidi"/>
          <w:sz w:val="22"/>
          <w:szCs w:val="22"/>
        </w:rPr>
        <w:t xml:space="preserve"> </w:t>
      </w:r>
      <w:r w:rsidRPr="00990396">
        <w:rPr>
          <w:rFonts w:asciiTheme="minorBidi" w:hAnsiTheme="minorBidi" w:cstheme="minorBidi"/>
          <w:i/>
          <w:iCs/>
          <w:sz w:val="22"/>
          <w:szCs w:val="22"/>
        </w:rPr>
        <w:t>Financial risk management, UK SMEs, liquidity risk, credit risk, market risk, financial performance, Enterprise Risk Management.</w:t>
      </w:r>
    </w:p>
    <w:p w14:paraId="6715FE29" w14:textId="77777777" w:rsidR="00D41112" w:rsidRPr="00990396" w:rsidRDefault="00D41112" w:rsidP="00990396">
      <w:pPr>
        <w:jc w:val="both"/>
      </w:pPr>
      <w:r w:rsidRPr="00990396">
        <w:br w:type="page"/>
      </w:r>
    </w:p>
    <w:p w14:paraId="663314BB" w14:textId="18AFE749" w:rsidR="00D41112" w:rsidRPr="00990396" w:rsidRDefault="00990396" w:rsidP="00990396">
      <w:pPr>
        <w:pStyle w:val="Heading1"/>
        <w:numPr>
          <w:ilvl w:val="0"/>
          <w:numId w:val="0"/>
        </w:numPr>
        <w:ind w:left="432"/>
        <w:jc w:val="both"/>
        <w:rPr>
          <w:rFonts w:cstheme="minorBidi"/>
        </w:rPr>
      </w:pPr>
      <w:bookmarkStart w:id="1" w:name="_Toc241146991"/>
      <w:r w:rsidRPr="00990396">
        <w:rPr>
          <w:rFonts w:cstheme="minorBidi"/>
        </w:rPr>
        <w:lastRenderedPageBreak/>
        <w:t>ACKNOWLEDGEMENT</w:t>
      </w:r>
      <w:bookmarkEnd w:id="1"/>
    </w:p>
    <w:p w14:paraId="50AF2AE4" w14:textId="77777777" w:rsidR="00D41112" w:rsidRPr="00990396" w:rsidRDefault="00D41112" w:rsidP="00990396">
      <w:pPr>
        <w:jc w:val="both"/>
      </w:pPr>
      <w:r w:rsidRPr="00990396">
        <w:t xml:space="preserve">I would like to give particular thanks to my supervisor for their guidance, support and constructive feedback in the process of this dissertation. I also owe my gratitude to my lecturers, family and friends for their encouragement and support in my studies. Their help and encouragement </w:t>
      </w:r>
      <w:proofErr w:type="gramStart"/>
      <w:r w:rsidRPr="00990396">
        <w:t>was</w:t>
      </w:r>
      <w:proofErr w:type="gramEnd"/>
      <w:r w:rsidRPr="00990396">
        <w:t xml:space="preserve"> very much appreciated in completing this research work.</w:t>
      </w:r>
    </w:p>
    <w:p w14:paraId="5825197A" w14:textId="77777777" w:rsidR="00D41112" w:rsidRPr="00990396" w:rsidRDefault="00D41112" w:rsidP="00990396">
      <w:pPr>
        <w:jc w:val="both"/>
        <w:rPr>
          <w:rFonts w:eastAsiaTheme="majorEastAsia"/>
          <w:color w:val="2F5496" w:themeColor="accent1" w:themeShade="BF"/>
          <w:sz w:val="40"/>
          <w:szCs w:val="40"/>
        </w:rPr>
      </w:pPr>
      <w:r w:rsidRPr="00990396">
        <w:br w:type="page"/>
      </w:r>
    </w:p>
    <w:p w14:paraId="6B0D4850" w14:textId="6FAD1D6A" w:rsidR="00D41112" w:rsidRPr="00990396" w:rsidRDefault="00990396" w:rsidP="00990396">
      <w:pPr>
        <w:pStyle w:val="Heading1"/>
        <w:numPr>
          <w:ilvl w:val="0"/>
          <w:numId w:val="0"/>
        </w:numPr>
        <w:ind w:left="432"/>
        <w:jc w:val="both"/>
        <w:rPr>
          <w:rFonts w:cstheme="minorBidi"/>
        </w:rPr>
      </w:pPr>
      <w:bookmarkStart w:id="2" w:name="_Toc241146992"/>
      <w:r w:rsidRPr="00990396">
        <w:rPr>
          <w:rFonts w:cstheme="minorBidi"/>
        </w:rPr>
        <w:lastRenderedPageBreak/>
        <w:t>DECLARATION</w:t>
      </w:r>
      <w:bookmarkEnd w:id="2"/>
    </w:p>
    <w:p w14:paraId="38284021" w14:textId="77777777" w:rsidR="00990396" w:rsidRPr="009356C2" w:rsidRDefault="00990396" w:rsidP="00990396">
      <w:pPr>
        <w:spacing w:after="120"/>
        <w:rPr>
          <w:rFonts w:ascii="Arial" w:hAnsi="Arial" w:cs="Arial"/>
          <w:b/>
        </w:rPr>
      </w:pPr>
    </w:p>
    <w:p w14:paraId="7B310D06" w14:textId="15EA76A7" w:rsidR="00990396" w:rsidRPr="009356C2" w:rsidRDefault="00990396" w:rsidP="00990396">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130B6B83" wp14:editId="00C80EBF">
            <wp:extent cx="2844800" cy="1168400"/>
            <wp:effectExtent l="0" t="0" r="0" b="0"/>
            <wp:docPr id="1767325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23CD939F" w14:textId="77777777" w:rsidR="00990396" w:rsidRDefault="00990396" w:rsidP="00990396">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20A4F8BB" w14:textId="77777777" w:rsidR="00990396" w:rsidRPr="004A32A7" w:rsidRDefault="00990396" w:rsidP="00990396">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73E6D9B9" w14:textId="77777777" w:rsidR="00990396" w:rsidRPr="004A32A7" w:rsidRDefault="00990396" w:rsidP="00990396">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7A3B8C75" w14:textId="77777777" w:rsidR="00990396" w:rsidRDefault="00990396" w:rsidP="00990396">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59886741" w14:textId="7DC7185A" w:rsidR="00990396" w:rsidRPr="004A32A7" w:rsidRDefault="00990396" w:rsidP="00990396">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I, </w:t>
      </w:r>
      <w:r>
        <w:rPr>
          <w:rFonts w:ascii="Arial" w:hAnsi="Arial" w:cs="Arial"/>
        </w:rPr>
        <w:t>Roshan Lal,</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60EE011A" w14:textId="77777777" w:rsidR="00990396" w:rsidRPr="004A32A7" w:rsidRDefault="00990396" w:rsidP="00990396">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25AD3024" w14:textId="6A015D67" w:rsidR="00990396" w:rsidRDefault="00990396" w:rsidP="00990396">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Signature: ………</w:t>
      </w:r>
      <w:r w:rsidRPr="00990396">
        <w:rPr>
          <w:rFonts w:ascii="Arial" w:hAnsi="Arial" w:cs="Arial"/>
        </w:rPr>
        <w:t xml:space="preserve"> </w:t>
      </w:r>
      <w:r>
        <w:rPr>
          <w:rFonts w:ascii="Arial" w:hAnsi="Arial" w:cs="Arial"/>
        </w:rPr>
        <w:t>Roshan Lal</w:t>
      </w:r>
      <w:r w:rsidRPr="004A32A7">
        <w:rPr>
          <w:rFonts w:ascii="Arial" w:hAnsi="Arial" w:cs="Arial"/>
        </w:rPr>
        <w:t xml:space="preserve"> …............................</w:t>
      </w:r>
    </w:p>
    <w:p w14:paraId="001CABED" w14:textId="77777777" w:rsidR="00990396" w:rsidRPr="004A32A7" w:rsidRDefault="00990396" w:rsidP="00990396">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66FC4437" w14:textId="673BDD6A" w:rsidR="00990396" w:rsidRDefault="00990396" w:rsidP="00990396">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Date</w:t>
      </w:r>
      <w:r w:rsidRPr="004A32A7">
        <w:rPr>
          <w:rFonts w:ascii="Arial" w:hAnsi="Arial" w:cs="Arial"/>
        </w:rPr>
        <w:t>:</w:t>
      </w:r>
      <w:r>
        <w:rPr>
          <w:rFonts w:ascii="Arial" w:hAnsi="Arial" w:cs="Arial"/>
        </w:rPr>
        <w:t xml:space="preserve"> </w:t>
      </w:r>
      <w:r w:rsidRPr="004A32A7">
        <w:rPr>
          <w:rFonts w:ascii="Arial" w:hAnsi="Arial" w:cs="Arial"/>
        </w:rPr>
        <w:t>…………</w:t>
      </w:r>
      <w:r>
        <w:rPr>
          <w:rFonts w:ascii="Arial" w:hAnsi="Arial" w:cs="Arial"/>
        </w:rPr>
        <w:t>23-09-2026</w:t>
      </w:r>
      <w:r w:rsidRPr="004A32A7">
        <w:rPr>
          <w:rFonts w:ascii="Arial" w:hAnsi="Arial" w:cs="Arial"/>
        </w:rPr>
        <w:t>............................</w:t>
      </w:r>
    </w:p>
    <w:p w14:paraId="76D1D6C2" w14:textId="77777777" w:rsidR="00990396" w:rsidRPr="009356C2" w:rsidRDefault="00990396" w:rsidP="00990396">
      <w:pPr>
        <w:pBdr>
          <w:top w:val="single" w:sz="4" w:space="1" w:color="auto"/>
          <w:left w:val="single" w:sz="4" w:space="4" w:color="auto"/>
          <w:bottom w:val="single" w:sz="4" w:space="1" w:color="auto"/>
          <w:right w:val="single" w:sz="4" w:space="4" w:color="auto"/>
        </w:pBdr>
        <w:spacing w:after="120"/>
        <w:rPr>
          <w:rFonts w:ascii="Arial" w:hAnsi="Arial" w:cs="Arial"/>
        </w:rPr>
      </w:pPr>
    </w:p>
    <w:p w14:paraId="779C1CF2" w14:textId="28E923B4" w:rsidR="00D41112" w:rsidRPr="00990396" w:rsidRDefault="00D41112" w:rsidP="00990396">
      <w:pPr>
        <w:jc w:val="both"/>
      </w:pPr>
    </w:p>
    <w:p w14:paraId="43F43532" w14:textId="38BA8891" w:rsidR="00055CD1" w:rsidRPr="00990396" w:rsidRDefault="00055CD1" w:rsidP="00990396">
      <w:pPr>
        <w:jc w:val="both"/>
      </w:pPr>
      <w:r w:rsidRPr="00990396">
        <w:br w:type="page"/>
      </w:r>
    </w:p>
    <w:sdt>
      <w:sdtPr>
        <w:rPr>
          <w:rFonts w:eastAsiaTheme="minorHAnsi" w:cstheme="minorBidi"/>
          <w:b w:val="0"/>
          <w:sz w:val="22"/>
          <w:szCs w:val="22"/>
          <w:lang w:val="en-GB"/>
        </w:rPr>
        <w:id w:val="-412313775"/>
        <w:docPartObj>
          <w:docPartGallery w:val="Table of Contents"/>
          <w:docPartUnique/>
        </w:docPartObj>
      </w:sdtPr>
      <w:sdtEndPr>
        <w:rPr>
          <w:bCs/>
          <w:noProof/>
        </w:rPr>
      </w:sdtEndPr>
      <w:sdtContent>
        <w:p w14:paraId="729539DE" w14:textId="01332350" w:rsidR="00055CD1" w:rsidRPr="00990396" w:rsidRDefault="005F4E12" w:rsidP="00990396">
          <w:pPr>
            <w:pStyle w:val="TOCHeading"/>
            <w:jc w:val="both"/>
            <w:rPr>
              <w:rFonts w:cstheme="minorBidi"/>
            </w:rPr>
          </w:pPr>
          <w:r w:rsidRPr="00990396">
            <w:rPr>
              <w:rFonts w:cstheme="minorBidi"/>
            </w:rPr>
            <w:t>CONTENTS</w:t>
          </w:r>
        </w:p>
        <w:p w14:paraId="2C4312BC" w14:textId="5AD1E2C9" w:rsidR="005F4E12" w:rsidRDefault="00055CD1" w:rsidP="005F4E12">
          <w:pPr>
            <w:pStyle w:val="TOC1"/>
            <w:tabs>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r w:rsidRPr="00990396">
            <w:fldChar w:fldCharType="begin"/>
          </w:r>
          <w:r w:rsidRPr="00990396">
            <w:instrText xml:space="preserve"> TOC \o "1-3" \h \z \u </w:instrText>
          </w:r>
          <w:r w:rsidRPr="00990396">
            <w:fldChar w:fldCharType="separate"/>
          </w:r>
          <w:hyperlink w:anchor="_Toc241146990" w:history="1">
            <w:r w:rsidR="005F4E12" w:rsidRPr="00337CB9">
              <w:rPr>
                <w:rStyle w:val="Hyperlink"/>
                <w:noProof/>
              </w:rPr>
              <w:t>ABSTRACT</w:t>
            </w:r>
            <w:r w:rsidR="005F4E12">
              <w:rPr>
                <w:noProof/>
                <w:webHidden/>
              </w:rPr>
              <w:tab/>
            </w:r>
            <w:r w:rsidR="005F4E12">
              <w:rPr>
                <w:noProof/>
                <w:webHidden/>
              </w:rPr>
              <w:fldChar w:fldCharType="begin"/>
            </w:r>
            <w:r w:rsidR="005F4E12">
              <w:rPr>
                <w:noProof/>
                <w:webHidden/>
              </w:rPr>
              <w:instrText xml:space="preserve"> PAGEREF _Toc241146990 \h </w:instrText>
            </w:r>
            <w:r w:rsidR="005F4E12">
              <w:rPr>
                <w:noProof/>
                <w:webHidden/>
              </w:rPr>
            </w:r>
            <w:r w:rsidR="005F4E12">
              <w:rPr>
                <w:noProof/>
                <w:webHidden/>
              </w:rPr>
              <w:fldChar w:fldCharType="separate"/>
            </w:r>
            <w:r w:rsidR="005F4E12">
              <w:rPr>
                <w:noProof/>
                <w:webHidden/>
              </w:rPr>
              <w:t>2</w:t>
            </w:r>
            <w:r w:rsidR="005F4E12">
              <w:rPr>
                <w:noProof/>
                <w:webHidden/>
              </w:rPr>
              <w:fldChar w:fldCharType="end"/>
            </w:r>
          </w:hyperlink>
        </w:p>
        <w:p w14:paraId="2432941C" w14:textId="3C9D03D1" w:rsidR="005F4E12" w:rsidRDefault="005F4E12" w:rsidP="005F4E12">
          <w:pPr>
            <w:pStyle w:val="TOC1"/>
            <w:tabs>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6991" w:history="1">
            <w:r w:rsidRPr="00337CB9">
              <w:rPr>
                <w:rStyle w:val="Hyperlink"/>
                <w:noProof/>
              </w:rPr>
              <w:t>ACKNOWLEDGEMENT</w:t>
            </w:r>
            <w:r>
              <w:rPr>
                <w:noProof/>
                <w:webHidden/>
              </w:rPr>
              <w:tab/>
            </w:r>
            <w:r>
              <w:rPr>
                <w:noProof/>
                <w:webHidden/>
              </w:rPr>
              <w:fldChar w:fldCharType="begin"/>
            </w:r>
            <w:r>
              <w:rPr>
                <w:noProof/>
                <w:webHidden/>
              </w:rPr>
              <w:instrText xml:space="preserve"> PAGEREF _Toc241146991 \h </w:instrText>
            </w:r>
            <w:r>
              <w:rPr>
                <w:noProof/>
                <w:webHidden/>
              </w:rPr>
            </w:r>
            <w:r>
              <w:rPr>
                <w:noProof/>
                <w:webHidden/>
              </w:rPr>
              <w:fldChar w:fldCharType="separate"/>
            </w:r>
            <w:r>
              <w:rPr>
                <w:noProof/>
                <w:webHidden/>
              </w:rPr>
              <w:t>3</w:t>
            </w:r>
            <w:r>
              <w:rPr>
                <w:noProof/>
                <w:webHidden/>
              </w:rPr>
              <w:fldChar w:fldCharType="end"/>
            </w:r>
          </w:hyperlink>
        </w:p>
        <w:p w14:paraId="4368B988" w14:textId="4769B2A2" w:rsidR="005F4E12" w:rsidRDefault="005F4E12" w:rsidP="005F4E12">
          <w:pPr>
            <w:pStyle w:val="TOC1"/>
            <w:tabs>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6992" w:history="1">
            <w:r w:rsidRPr="00337CB9">
              <w:rPr>
                <w:rStyle w:val="Hyperlink"/>
                <w:noProof/>
              </w:rPr>
              <w:t>DECLARATION</w:t>
            </w:r>
            <w:r>
              <w:rPr>
                <w:noProof/>
                <w:webHidden/>
              </w:rPr>
              <w:tab/>
            </w:r>
            <w:r>
              <w:rPr>
                <w:noProof/>
                <w:webHidden/>
              </w:rPr>
              <w:fldChar w:fldCharType="begin"/>
            </w:r>
            <w:r>
              <w:rPr>
                <w:noProof/>
                <w:webHidden/>
              </w:rPr>
              <w:instrText xml:space="preserve"> PAGEREF _Toc241146992 \h </w:instrText>
            </w:r>
            <w:r>
              <w:rPr>
                <w:noProof/>
                <w:webHidden/>
              </w:rPr>
            </w:r>
            <w:r>
              <w:rPr>
                <w:noProof/>
                <w:webHidden/>
              </w:rPr>
              <w:fldChar w:fldCharType="separate"/>
            </w:r>
            <w:r>
              <w:rPr>
                <w:noProof/>
                <w:webHidden/>
              </w:rPr>
              <w:t>4</w:t>
            </w:r>
            <w:r>
              <w:rPr>
                <w:noProof/>
                <w:webHidden/>
              </w:rPr>
              <w:fldChar w:fldCharType="end"/>
            </w:r>
          </w:hyperlink>
        </w:p>
        <w:p w14:paraId="23A27B90" w14:textId="654E9D00" w:rsidR="005F4E12" w:rsidRDefault="005F4E12" w:rsidP="005F4E12">
          <w:pPr>
            <w:pStyle w:val="TOC1"/>
            <w:tabs>
              <w:tab w:val="left" w:pos="44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6993" w:history="1">
            <w:r w:rsidRPr="00337CB9">
              <w:rPr>
                <w:rStyle w:val="Hyperlink"/>
                <w:noProof/>
              </w:rPr>
              <w:t>1</w:t>
            </w:r>
            <w:r>
              <w:rPr>
                <w:rFonts w:asciiTheme="minorHAnsi" w:eastAsiaTheme="minorEastAsia" w:hAnsiTheme="minorHAnsi"/>
                <w:noProof/>
                <w:kern w:val="2"/>
                <w:sz w:val="24"/>
                <w:szCs w:val="24"/>
                <w:lang w:eastAsia="en-GB"/>
                <w14:ligatures w14:val="standardContextual"/>
              </w:rPr>
              <w:tab/>
            </w:r>
            <w:r w:rsidRPr="00337CB9">
              <w:rPr>
                <w:rStyle w:val="Hyperlink"/>
                <w:noProof/>
              </w:rPr>
              <w:t>CHAPTER 1: INTRODUCTION</w:t>
            </w:r>
            <w:r>
              <w:rPr>
                <w:noProof/>
                <w:webHidden/>
              </w:rPr>
              <w:tab/>
            </w:r>
            <w:r>
              <w:rPr>
                <w:noProof/>
                <w:webHidden/>
              </w:rPr>
              <w:fldChar w:fldCharType="begin"/>
            </w:r>
            <w:r>
              <w:rPr>
                <w:noProof/>
                <w:webHidden/>
              </w:rPr>
              <w:instrText xml:space="preserve"> PAGEREF _Toc241146993 \h </w:instrText>
            </w:r>
            <w:r>
              <w:rPr>
                <w:noProof/>
                <w:webHidden/>
              </w:rPr>
            </w:r>
            <w:r>
              <w:rPr>
                <w:noProof/>
                <w:webHidden/>
              </w:rPr>
              <w:fldChar w:fldCharType="separate"/>
            </w:r>
            <w:r>
              <w:rPr>
                <w:noProof/>
                <w:webHidden/>
              </w:rPr>
              <w:t>7</w:t>
            </w:r>
            <w:r>
              <w:rPr>
                <w:noProof/>
                <w:webHidden/>
              </w:rPr>
              <w:fldChar w:fldCharType="end"/>
            </w:r>
          </w:hyperlink>
        </w:p>
        <w:p w14:paraId="2B6AFF08" w14:textId="1402A67B"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6994" w:history="1">
            <w:r w:rsidRPr="00337CB9">
              <w:rPr>
                <w:rStyle w:val="Hyperlink"/>
                <w:noProof/>
              </w:rPr>
              <w:t>1.1</w:t>
            </w:r>
            <w:r>
              <w:rPr>
                <w:rFonts w:asciiTheme="minorHAnsi" w:eastAsiaTheme="minorEastAsia" w:hAnsiTheme="minorHAnsi"/>
                <w:noProof/>
                <w:kern w:val="2"/>
                <w:sz w:val="24"/>
                <w:szCs w:val="24"/>
                <w:lang w:eastAsia="en-GB"/>
                <w14:ligatures w14:val="standardContextual"/>
              </w:rPr>
              <w:tab/>
            </w:r>
            <w:r w:rsidRPr="00337CB9">
              <w:rPr>
                <w:rStyle w:val="Hyperlink"/>
                <w:noProof/>
              </w:rPr>
              <w:t>Background and Context</w:t>
            </w:r>
            <w:r>
              <w:rPr>
                <w:noProof/>
                <w:webHidden/>
              </w:rPr>
              <w:tab/>
            </w:r>
            <w:r>
              <w:rPr>
                <w:noProof/>
                <w:webHidden/>
              </w:rPr>
              <w:fldChar w:fldCharType="begin"/>
            </w:r>
            <w:r>
              <w:rPr>
                <w:noProof/>
                <w:webHidden/>
              </w:rPr>
              <w:instrText xml:space="preserve"> PAGEREF _Toc241146994 \h </w:instrText>
            </w:r>
            <w:r>
              <w:rPr>
                <w:noProof/>
                <w:webHidden/>
              </w:rPr>
            </w:r>
            <w:r>
              <w:rPr>
                <w:noProof/>
                <w:webHidden/>
              </w:rPr>
              <w:fldChar w:fldCharType="separate"/>
            </w:r>
            <w:r>
              <w:rPr>
                <w:noProof/>
                <w:webHidden/>
              </w:rPr>
              <w:t>7</w:t>
            </w:r>
            <w:r>
              <w:rPr>
                <w:noProof/>
                <w:webHidden/>
              </w:rPr>
              <w:fldChar w:fldCharType="end"/>
            </w:r>
          </w:hyperlink>
        </w:p>
        <w:p w14:paraId="42C6A6D4" w14:textId="197821EA"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6995" w:history="1">
            <w:r w:rsidRPr="00337CB9">
              <w:rPr>
                <w:rStyle w:val="Hyperlink"/>
                <w:noProof/>
              </w:rPr>
              <w:t>1.2</w:t>
            </w:r>
            <w:r>
              <w:rPr>
                <w:rFonts w:asciiTheme="minorHAnsi" w:eastAsiaTheme="minorEastAsia" w:hAnsiTheme="minorHAnsi"/>
                <w:noProof/>
                <w:kern w:val="2"/>
                <w:sz w:val="24"/>
                <w:szCs w:val="24"/>
                <w:lang w:eastAsia="en-GB"/>
                <w14:ligatures w14:val="standardContextual"/>
              </w:rPr>
              <w:tab/>
            </w:r>
            <w:r w:rsidRPr="00337CB9">
              <w:rPr>
                <w:rStyle w:val="Hyperlink"/>
                <w:noProof/>
              </w:rPr>
              <w:t>Problem Statement</w:t>
            </w:r>
            <w:r>
              <w:rPr>
                <w:noProof/>
                <w:webHidden/>
              </w:rPr>
              <w:tab/>
            </w:r>
            <w:r>
              <w:rPr>
                <w:noProof/>
                <w:webHidden/>
              </w:rPr>
              <w:fldChar w:fldCharType="begin"/>
            </w:r>
            <w:r>
              <w:rPr>
                <w:noProof/>
                <w:webHidden/>
              </w:rPr>
              <w:instrText xml:space="preserve"> PAGEREF _Toc241146995 \h </w:instrText>
            </w:r>
            <w:r>
              <w:rPr>
                <w:noProof/>
                <w:webHidden/>
              </w:rPr>
            </w:r>
            <w:r>
              <w:rPr>
                <w:noProof/>
                <w:webHidden/>
              </w:rPr>
              <w:fldChar w:fldCharType="separate"/>
            </w:r>
            <w:r>
              <w:rPr>
                <w:noProof/>
                <w:webHidden/>
              </w:rPr>
              <w:t>8</w:t>
            </w:r>
            <w:r>
              <w:rPr>
                <w:noProof/>
                <w:webHidden/>
              </w:rPr>
              <w:fldChar w:fldCharType="end"/>
            </w:r>
          </w:hyperlink>
        </w:p>
        <w:p w14:paraId="59FAF372" w14:textId="61F2BBB3"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6996" w:history="1">
            <w:r w:rsidRPr="00337CB9">
              <w:rPr>
                <w:rStyle w:val="Hyperlink"/>
                <w:noProof/>
              </w:rPr>
              <w:t>1.3</w:t>
            </w:r>
            <w:r>
              <w:rPr>
                <w:rFonts w:asciiTheme="minorHAnsi" w:eastAsiaTheme="minorEastAsia" w:hAnsiTheme="minorHAnsi"/>
                <w:noProof/>
                <w:kern w:val="2"/>
                <w:sz w:val="24"/>
                <w:szCs w:val="24"/>
                <w:lang w:eastAsia="en-GB"/>
                <w14:ligatures w14:val="standardContextual"/>
              </w:rPr>
              <w:tab/>
            </w:r>
            <w:r w:rsidRPr="00337CB9">
              <w:rPr>
                <w:rStyle w:val="Hyperlink"/>
                <w:noProof/>
              </w:rPr>
              <w:t>Research Aim, Objectives and Questions</w:t>
            </w:r>
            <w:r>
              <w:rPr>
                <w:noProof/>
                <w:webHidden/>
              </w:rPr>
              <w:tab/>
            </w:r>
            <w:r>
              <w:rPr>
                <w:noProof/>
                <w:webHidden/>
              </w:rPr>
              <w:fldChar w:fldCharType="begin"/>
            </w:r>
            <w:r>
              <w:rPr>
                <w:noProof/>
                <w:webHidden/>
              </w:rPr>
              <w:instrText xml:space="preserve"> PAGEREF _Toc241146996 \h </w:instrText>
            </w:r>
            <w:r>
              <w:rPr>
                <w:noProof/>
                <w:webHidden/>
              </w:rPr>
            </w:r>
            <w:r>
              <w:rPr>
                <w:noProof/>
                <w:webHidden/>
              </w:rPr>
              <w:fldChar w:fldCharType="separate"/>
            </w:r>
            <w:r>
              <w:rPr>
                <w:noProof/>
                <w:webHidden/>
              </w:rPr>
              <w:t>9</w:t>
            </w:r>
            <w:r>
              <w:rPr>
                <w:noProof/>
                <w:webHidden/>
              </w:rPr>
              <w:fldChar w:fldCharType="end"/>
            </w:r>
          </w:hyperlink>
        </w:p>
        <w:p w14:paraId="0B5A53DA" w14:textId="7EA64F97" w:rsidR="005F4E12" w:rsidRDefault="005F4E12" w:rsidP="005F4E12">
          <w:pPr>
            <w:pStyle w:val="TOC3"/>
            <w:tabs>
              <w:tab w:val="left" w:pos="120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6997" w:history="1">
            <w:r w:rsidRPr="00337CB9">
              <w:rPr>
                <w:rStyle w:val="Hyperlink"/>
                <w:noProof/>
              </w:rPr>
              <w:t>1.3.1</w:t>
            </w:r>
            <w:r>
              <w:rPr>
                <w:rFonts w:asciiTheme="minorHAnsi" w:eastAsiaTheme="minorEastAsia" w:hAnsiTheme="minorHAnsi"/>
                <w:noProof/>
                <w:kern w:val="2"/>
                <w:sz w:val="24"/>
                <w:szCs w:val="24"/>
                <w:lang w:eastAsia="en-GB"/>
                <w14:ligatures w14:val="standardContextual"/>
              </w:rPr>
              <w:tab/>
            </w:r>
            <w:r w:rsidRPr="00337CB9">
              <w:rPr>
                <w:rStyle w:val="Hyperlink"/>
                <w:noProof/>
              </w:rPr>
              <w:t>Research aim</w:t>
            </w:r>
            <w:r>
              <w:rPr>
                <w:noProof/>
                <w:webHidden/>
              </w:rPr>
              <w:tab/>
            </w:r>
            <w:r>
              <w:rPr>
                <w:noProof/>
                <w:webHidden/>
              </w:rPr>
              <w:fldChar w:fldCharType="begin"/>
            </w:r>
            <w:r>
              <w:rPr>
                <w:noProof/>
                <w:webHidden/>
              </w:rPr>
              <w:instrText xml:space="preserve"> PAGEREF _Toc241146997 \h </w:instrText>
            </w:r>
            <w:r>
              <w:rPr>
                <w:noProof/>
                <w:webHidden/>
              </w:rPr>
            </w:r>
            <w:r>
              <w:rPr>
                <w:noProof/>
                <w:webHidden/>
              </w:rPr>
              <w:fldChar w:fldCharType="separate"/>
            </w:r>
            <w:r>
              <w:rPr>
                <w:noProof/>
                <w:webHidden/>
              </w:rPr>
              <w:t>9</w:t>
            </w:r>
            <w:r>
              <w:rPr>
                <w:noProof/>
                <w:webHidden/>
              </w:rPr>
              <w:fldChar w:fldCharType="end"/>
            </w:r>
          </w:hyperlink>
        </w:p>
        <w:p w14:paraId="234F9A34" w14:textId="6A775913" w:rsidR="005F4E12" w:rsidRDefault="005F4E12" w:rsidP="005F4E12">
          <w:pPr>
            <w:pStyle w:val="TOC3"/>
            <w:tabs>
              <w:tab w:val="left" w:pos="120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6998" w:history="1">
            <w:r w:rsidRPr="00337CB9">
              <w:rPr>
                <w:rStyle w:val="Hyperlink"/>
                <w:noProof/>
              </w:rPr>
              <w:t>1.3.2</w:t>
            </w:r>
            <w:r>
              <w:rPr>
                <w:rFonts w:asciiTheme="minorHAnsi" w:eastAsiaTheme="minorEastAsia" w:hAnsiTheme="minorHAnsi"/>
                <w:noProof/>
                <w:kern w:val="2"/>
                <w:sz w:val="24"/>
                <w:szCs w:val="24"/>
                <w:lang w:eastAsia="en-GB"/>
                <w14:ligatures w14:val="standardContextual"/>
              </w:rPr>
              <w:tab/>
            </w:r>
            <w:r w:rsidRPr="00337CB9">
              <w:rPr>
                <w:rStyle w:val="Hyperlink"/>
                <w:noProof/>
              </w:rPr>
              <w:t>Research objectives</w:t>
            </w:r>
            <w:r>
              <w:rPr>
                <w:noProof/>
                <w:webHidden/>
              </w:rPr>
              <w:tab/>
            </w:r>
            <w:r>
              <w:rPr>
                <w:noProof/>
                <w:webHidden/>
              </w:rPr>
              <w:fldChar w:fldCharType="begin"/>
            </w:r>
            <w:r>
              <w:rPr>
                <w:noProof/>
                <w:webHidden/>
              </w:rPr>
              <w:instrText xml:space="preserve"> PAGEREF _Toc241146998 \h </w:instrText>
            </w:r>
            <w:r>
              <w:rPr>
                <w:noProof/>
                <w:webHidden/>
              </w:rPr>
            </w:r>
            <w:r>
              <w:rPr>
                <w:noProof/>
                <w:webHidden/>
              </w:rPr>
              <w:fldChar w:fldCharType="separate"/>
            </w:r>
            <w:r>
              <w:rPr>
                <w:noProof/>
                <w:webHidden/>
              </w:rPr>
              <w:t>9</w:t>
            </w:r>
            <w:r>
              <w:rPr>
                <w:noProof/>
                <w:webHidden/>
              </w:rPr>
              <w:fldChar w:fldCharType="end"/>
            </w:r>
          </w:hyperlink>
        </w:p>
        <w:p w14:paraId="3FDB85B9" w14:textId="61F49BB3"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6999" w:history="1">
            <w:r w:rsidRPr="00337CB9">
              <w:rPr>
                <w:rStyle w:val="Hyperlink"/>
                <w:noProof/>
              </w:rPr>
              <w:t>1.4</w:t>
            </w:r>
            <w:r>
              <w:rPr>
                <w:rFonts w:asciiTheme="minorHAnsi" w:eastAsiaTheme="minorEastAsia" w:hAnsiTheme="minorHAnsi"/>
                <w:noProof/>
                <w:kern w:val="2"/>
                <w:sz w:val="24"/>
                <w:szCs w:val="24"/>
                <w:lang w:eastAsia="en-GB"/>
                <w14:ligatures w14:val="standardContextual"/>
              </w:rPr>
              <w:tab/>
            </w:r>
            <w:r w:rsidRPr="00337CB9">
              <w:rPr>
                <w:rStyle w:val="Hyperlink"/>
                <w:noProof/>
              </w:rPr>
              <w:t>Research Rationale</w:t>
            </w:r>
            <w:r>
              <w:rPr>
                <w:noProof/>
                <w:webHidden/>
              </w:rPr>
              <w:tab/>
            </w:r>
            <w:r>
              <w:rPr>
                <w:noProof/>
                <w:webHidden/>
              </w:rPr>
              <w:fldChar w:fldCharType="begin"/>
            </w:r>
            <w:r>
              <w:rPr>
                <w:noProof/>
                <w:webHidden/>
              </w:rPr>
              <w:instrText xml:space="preserve"> PAGEREF _Toc241146999 \h </w:instrText>
            </w:r>
            <w:r>
              <w:rPr>
                <w:noProof/>
                <w:webHidden/>
              </w:rPr>
            </w:r>
            <w:r>
              <w:rPr>
                <w:noProof/>
                <w:webHidden/>
              </w:rPr>
              <w:fldChar w:fldCharType="separate"/>
            </w:r>
            <w:r>
              <w:rPr>
                <w:noProof/>
                <w:webHidden/>
              </w:rPr>
              <w:t>9</w:t>
            </w:r>
            <w:r>
              <w:rPr>
                <w:noProof/>
                <w:webHidden/>
              </w:rPr>
              <w:fldChar w:fldCharType="end"/>
            </w:r>
          </w:hyperlink>
        </w:p>
        <w:p w14:paraId="63A5D2F6" w14:textId="02E6AAF1"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00" w:history="1">
            <w:r w:rsidRPr="00337CB9">
              <w:rPr>
                <w:rStyle w:val="Hyperlink"/>
                <w:noProof/>
              </w:rPr>
              <w:t>1.5</w:t>
            </w:r>
            <w:r>
              <w:rPr>
                <w:rFonts w:asciiTheme="minorHAnsi" w:eastAsiaTheme="minorEastAsia" w:hAnsiTheme="minorHAnsi"/>
                <w:noProof/>
                <w:kern w:val="2"/>
                <w:sz w:val="24"/>
                <w:szCs w:val="24"/>
                <w:lang w:eastAsia="en-GB"/>
                <w14:ligatures w14:val="standardContextual"/>
              </w:rPr>
              <w:tab/>
            </w:r>
            <w:r w:rsidRPr="00337CB9">
              <w:rPr>
                <w:rStyle w:val="Hyperlink"/>
                <w:noProof/>
              </w:rPr>
              <w:t>Significance of the Research</w:t>
            </w:r>
            <w:r>
              <w:rPr>
                <w:noProof/>
                <w:webHidden/>
              </w:rPr>
              <w:tab/>
            </w:r>
            <w:r>
              <w:rPr>
                <w:noProof/>
                <w:webHidden/>
              </w:rPr>
              <w:fldChar w:fldCharType="begin"/>
            </w:r>
            <w:r>
              <w:rPr>
                <w:noProof/>
                <w:webHidden/>
              </w:rPr>
              <w:instrText xml:space="preserve"> PAGEREF _Toc241147000 \h </w:instrText>
            </w:r>
            <w:r>
              <w:rPr>
                <w:noProof/>
                <w:webHidden/>
              </w:rPr>
            </w:r>
            <w:r>
              <w:rPr>
                <w:noProof/>
                <w:webHidden/>
              </w:rPr>
              <w:fldChar w:fldCharType="separate"/>
            </w:r>
            <w:r>
              <w:rPr>
                <w:noProof/>
                <w:webHidden/>
              </w:rPr>
              <w:t>10</w:t>
            </w:r>
            <w:r>
              <w:rPr>
                <w:noProof/>
                <w:webHidden/>
              </w:rPr>
              <w:fldChar w:fldCharType="end"/>
            </w:r>
          </w:hyperlink>
        </w:p>
        <w:p w14:paraId="6B9B0F84" w14:textId="23DA8DF5"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01" w:history="1">
            <w:r w:rsidRPr="00337CB9">
              <w:rPr>
                <w:rStyle w:val="Hyperlink"/>
                <w:noProof/>
              </w:rPr>
              <w:t>1.6</w:t>
            </w:r>
            <w:r>
              <w:rPr>
                <w:rFonts w:asciiTheme="minorHAnsi" w:eastAsiaTheme="minorEastAsia" w:hAnsiTheme="minorHAnsi"/>
                <w:noProof/>
                <w:kern w:val="2"/>
                <w:sz w:val="24"/>
                <w:szCs w:val="24"/>
                <w:lang w:eastAsia="en-GB"/>
                <w14:ligatures w14:val="standardContextual"/>
              </w:rPr>
              <w:tab/>
            </w:r>
            <w:r w:rsidRPr="00337CB9">
              <w:rPr>
                <w:rStyle w:val="Hyperlink"/>
                <w:noProof/>
              </w:rPr>
              <w:t>Summary of Theoretical Framework, Methodology and Main Findings</w:t>
            </w:r>
            <w:r>
              <w:rPr>
                <w:noProof/>
                <w:webHidden/>
              </w:rPr>
              <w:tab/>
            </w:r>
            <w:r>
              <w:rPr>
                <w:noProof/>
                <w:webHidden/>
              </w:rPr>
              <w:fldChar w:fldCharType="begin"/>
            </w:r>
            <w:r>
              <w:rPr>
                <w:noProof/>
                <w:webHidden/>
              </w:rPr>
              <w:instrText xml:space="preserve"> PAGEREF _Toc241147001 \h </w:instrText>
            </w:r>
            <w:r>
              <w:rPr>
                <w:noProof/>
                <w:webHidden/>
              </w:rPr>
            </w:r>
            <w:r>
              <w:rPr>
                <w:noProof/>
                <w:webHidden/>
              </w:rPr>
              <w:fldChar w:fldCharType="separate"/>
            </w:r>
            <w:r>
              <w:rPr>
                <w:noProof/>
                <w:webHidden/>
              </w:rPr>
              <w:t>10</w:t>
            </w:r>
            <w:r>
              <w:rPr>
                <w:noProof/>
                <w:webHidden/>
              </w:rPr>
              <w:fldChar w:fldCharType="end"/>
            </w:r>
          </w:hyperlink>
        </w:p>
        <w:p w14:paraId="36AF273A" w14:textId="09DEA50D"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02" w:history="1">
            <w:r w:rsidRPr="00337CB9">
              <w:rPr>
                <w:rStyle w:val="Hyperlink"/>
                <w:noProof/>
              </w:rPr>
              <w:t>1.7</w:t>
            </w:r>
            <w:r>
              <w:rPr>
                <w:rFonts w:asciiTheme="minorHAnsi" w:eastAsiaTheme="minorEastAsia" w:hAnsiTheme="minorHAnsi"/>
                <w:noProof/>
                <w:kern w:val="2"/>
                <w:sz w:val="24"/>
                <w:szCs w:val="24"/>
                <w:lang w:eastAsia="en-GB"/>
                <w14:ligatures w14:val="standardContextual"/>
              </w:rPr>
              <w:tab/>
            </w:r>
            <w:r w:rsidRPr="00337CB9">
              <w:rPr>
                <w:rStyle w:val="Hyperlink"/>
                <w:noProof/>
              </w:rPr>
              <w:t>Structure of the Dissertation</w:t>
            </w:r>
            <w:r>
              <w:rPr>
                <w:noProof/>
                <w:webHidden/>
              </w:rPr>
              <w:tab/>
            </w:r>
            <w:r>
              <w:rPr>
                <w:noProof/>
                <w:webHidden/>
              </w:rPr>
              <w:fldChar w:fldCharType="begin"/>
            </w:r>
            <w:r>
              <w:rPr>
                <w:noProof/>
                <w:webHidden/>
              </w:rPr>
              <w:instrText xml:space="preserve"> PAGEREF _Toc241147002 \h </w:instrText>
            </w:r>
            <w:r>
              <w:rPr>
                <w:noProof/>
                <w:webHidden/>
              </w:rPr>
            </w:r>
            <w:r>
              <w:rPr>
                <w:noProof/>
                <w:webHidden/>
              </w:rPr>
              <w:fldChar w:fldCharType="separate"/>
            </w:r>
            <w:r>
              <w:rPr>
                <w:noProof/>
                <w:webHidden/>
              </w:rPr>
              <w:t>11</w:t>
            </w:r>
            <w:r>
              <w:rPr>
                <w:noProof/>
                <w:webHidden/>
              </w:rPr>
              <w:fldChar w:fldCharType="end"/>
            </w:r>
          </w:hyperlink>
        </w:p>
        <w:p w14:paraId="7880A1AD" w14:textId="57D363E1" w:rsidR="005F4E12" w:rsidRDefault="005F4E12" w:rsidP="005F4E12">
          <w:pPr>
            <w:pStyle w:val="TOC1"/>
            <w:tabs>
              <w:tab w:val="left" w:pos="44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03" w:history="1">
            <w:r w:rsidRPr="00337CB9">
              <w:rPr>
                <w:rStyle w:val="Hyperlink"/>
                <w:noProof/>
              </w:rPr>
              <w:t>2</w:t>
            </w:r>
            <w:r>
              <w:rPr>
                <w:rFonts w:asciiTheme="minorHAnsi" w:eastAsiaTheme="minorEastAsia" w:hAnsiTheme="minorHAnsi"/>
                <w:noProof/>
                <w:kern w:val="2"/>
                <w:sz w:val="24"/>
                <w:szCs w:val="24"/>
                <w:lang w:eastAsia="en-GB"/>
                <w14:ligatures w14:val="standardContextual"/>
              </w:rPr>
              <w:tab/>
            </w:r>
            <w:r w:rsidRPr="00337CB9">
              <w:rPr>
                <w:rStyle w:val="Hyperlink"/>
                <w:noProof/>
              </w:rPr>
              <w:t>CHAPTER 2: LITERATURE REVIEW</w:t>
            </w:r>
            <w:r>
              <w:rPr>
                <w:noProof/>
                <w:webHidden/>
              </w:rPr>
              <w:tab/>
            </w:r>
            <w:r>
              <w:rPr>
                <w:noProof/>
                <w:webHidden/>
              </w:rPr>
              <w:fldChar w:fldCharType="begin"/>
            </w:r>
            <w:r>
              <w:rPr>
                <w:noProof/>
                <w:webHidden/>
              </w:rPr>
              <w:instrText xml:space="preserve"> PAGEREF _Toc241147003 \h </w:instrText>
            </w:r>
            <w:r>
              <w:rPr>
                <w:noProof/>
                <w:webHidden/>
              </w:rPr>
            </w:r>
            <w:r>
              <w:rPr>
                <w:noProof/>
                <w:webHidden/>
              </w:rPr>
              <w:fldChar w:fldCharType="separate"/>
            </w:r>
            <w:r>
              <w:rPr>
                <w:noProof/>
                <w:webHidden/>
              </w:rPr>
              <w:t>11</w:t>
            </w:r>
            <w:r>
              <w:rPr>
                <w:noProof/>
                <w:webHidden/>
              </w:rPr>
              <w:fldChar w:fldCharType="end"/>
            </w:r>
          </w:hyperlink>
        </w:p>
        <w:p w14:paraId="79C7603B" w14:textId="46334C7B"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04" w:history="1">
            <w:r w:rsidRPr="00337CB9">
              <w:rPr>
                <w:rStyle w:val="Hyperlink"/>
                <w:noProof/>
              </w:rPr>
              <w:t>2.1</w:t>
            </w:r>
            <w:r>
              <w:rPr>
                <w:rFonts w:asciiTheme="minorHAnsi" w:eastAsiaTheme="minorEastAsia" w:hAnsiTheme="minorHAnsi"/>
                <w:noProof/>
                <w:kern w:val="2"/>
                <w:sz w:val="24"/>
                <w:szCs w:val="24"/>
                <w:lang w:eastAsia="en-GB"/>
                <w14:ligatures w14:val="standardContextual"/>
              </w:rPr>
              <w:tab/>
            </w:r>
            <w:r w:rsidRPr="00337CB9">
              <w:rPr>
                <w:rStyle w:val="Hyperlink"/>
                <w:noProof/>
              </w:rPr>
              <w:t>Introduction to the Literature Review</w:t>
            </w:r>
            <w:r>
              <w:rPr>
                <w:noProof/>
                <w:webHidden/>
              </w:rPr>
              <w:tab/>
            </w:r>
            <w:r>
              <w:rPr>
                <w:noProof/>
                <w:webHidden/>
              </w:rPr>
              <w:fldChar w:fldCharType="begin"/>
            </w:r>
            <w:r>
              <w:rPr>
                <w:noProof/>
                <w:webHidden/>
              </w:rPr>
              <w:instrText xml:space="preserve"> PAGEREF _Toc241147004 \h </w:instrText>
            </w:r>
            <w:r>
              <w:rPr>
                <w:noProof/>
                <w:webHidden/>
              </w:rPr>
            </w:r>
            <w:r>
              <w:rPr>
                <w:noProof/>
                <w:webHidden/>
              </w:rPr>
              <w:fldChar w:fldCharType="separate"/>
            </w:r>
            <w:r>
              <w:rPr>
                <w:noProof/>
                <w:webHidden/>
              </w:rPr>
              <w:t>11</w:t>
            </w:r>
            <w:r>
              <w:rPr>
                <w:noProof/>
                <w:webHidden/>
              </w:rPr>
              <w:fldChar w:fldCharType="end"/>
            </w:r>
          </w:hyperlink>
        </w:p>
        <w:p w14:paraId="70C3B755" w14:textId="4C964E95"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05" w:history="1">
            <w:r w:rsidRPr="00337CB9">
              <w:rPr>
                <w:rStyle w:val="Hyperlink"/>
                <w:noProof/>
              </w:rPr>
              <w:t>2.2</w:t>
            </w:r>
            <w:r>
              <w:rPr>
                <w:rFonts w:asciiTheme="minorHAnsi" w:eastAsiaTheme="minorEastAsia" w:hAnsiTheme="minorHAnsi"/>
                <w:noProof/>
                <w:kern w:val="2"/>
                <w:sz w:val="24"/>
                <w:szCs w:val="24"/>
                <w:lang w:eastAsia="en-GB"/>
                <w14:ligatures w14:val="standardContextual"/>
              </w:rPr>
              <w:tab/>
            </w:r>
            <w:r w:rsidRPr="00337CB9">
              <w:rPr>
                <w:rStyle w:val="Hyperlink"/>
                <w:noProof/>
              </w:rPr>
              <w:t>Liquidity Risk Management Practices and the Financial Performance of UK SMEs</w:t>
            </w:r>
            <w:r>
              <w:rPr>
                <w:noProof/>
                <w:webHidden/>
              </w:rPr>
              <w:tab/>
            </w:r>
            <w:r>
              <w:rPr>
                <w:noProof/>
                <w:webHidden/>
              </w:rPr>
              <w:fldChar w:fldCharType="begin"/>
            </w:r>
            <w:r>
              <w:rPr>
                <w:noProof/>
                <w:webHidden/>
              </w:rPr>
              <w:instrText xml:space="preserve"> PAGEREF _Toc241147005 \h </w:instrText>
            </w:r>
            <w:r>
              <w:rPr>
                <w:noProof/>
                <w:webHidden/>
              </w:rPr>
            </w:r>
            <w:r>
              <w:rPr>
                <w:noProof/>
                <w:webHidden/>
              </w:rPr>
              <w:fldChar w:fldCharType="separate"/>
            </w:r>
            <w:r>
              <w:rPr>
                <w:noProof/>
                <w:webHidden/>
              </w:rPr>
              <w:t>11</w:t>
            </w:r>
            <w:r>
              <w:rPr>
                <w:noProof/>
                <w:webHidden/>
              </w:rPr>
              <w:fldChar w:fldCharType="end"/>
            </w:r>
          </w:hyperlink>
        </w:p>
        <w:p w14:paraId="1F5D3A7B" w14:textId="7C79E4AA"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06" w:history="1">
            <w:r w:rsidRPr="00337CB9">
              <w:rPr>
                <w:rStyle w:val="Hyperlink"/>
                <w:noProof/>
              </w:rPr>
              <w:t>2.3</w:t>
            </w:r>
            <w:r>
              <w:rPr>
                <w:rFonts w:asciiTheme="minorHAnsi" w:eastAsiaTheme="minorEastAsia" w:hAnsiTheme="minorHAnsi"/>
                <w:noProof/>
                <w:kern w:val="2"/>
                <w:sz w:val="24"/>
                <w:szCs w:val="24"/>
                <w:lang w:eastAsia="en-GB"/>
                <w14:ligatures w14:val="standardContextual"/>
              </w:rPr>
              <w:tab/>
            </w:r>
            <w:r w:rsidRPr="00337CB9">
              <w:rPr>
                <w:rStyle w:val="Hyperlink"/>
                <w:noProof/>
              </w:rPr>
              <w:t>Credit Risk Management Practices and the Financial Performance of UK SMEs</w:t>
            </w:r>
            <w:r>
              <w:rPr>
                <w:noProof/>
                <w:webHidden/>
              </w:rPr>
              <w:tab/>
            </w:r>
            <w:r>
              <w:rPr>
                <w:noProof/>
                <w:webHidden/>
              </w:rPr>
              <w:fldChar w:fldCharType="begin"/>
            </w:r>
            <w:r>
              <w:rPr>
                <w:noProof/>
                <w:webHidden/>
              </w:rPr>
              <w:instrText xml:space="preserve"> PAGEREF _Toc241147006 \h </w:instrText>
            </w:r>
            <w:r>
              <w:rPr>
                <w:noProof/>
                <w:webHidden/>
              </w:rPr>
            </w:r>
            <w:r>
              <w:rPr>
                <w:noProof/>
                <w:webHidden/>
              </w:rPr>
              <w:fldChar w:fldCharType="separate"/>
            </w:r>
            <w:r>
              <w:rPr>
                <w:noProof/>
                <w:webHidden/>
              </w:rPr>
              <w:t>14</w:t>
            </w:r>
            <w:r>
              <w:rPr>
                <w:noProof/>
                <w:webHidden/>
              </w:rPr>
              <w:fldChar w:fldCharType="end"/>
            </w:r>
          </w:hyperlink>
        </w:p>
        <w:p w14:paraId="56994B3C" w14:textId="04C4B5B3"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07" w:history="1">
            <w:r w:rsidRPr="00337CB9">
              <w:rPr>
                <w:rStyle w:val="Hyperlink"/>
                <w:noProof/>
              </w:rPr>
              <w:t>2.4</w:t>
            </w:r>
            <w:r>
              <w:rPr>
                <w:rFonts w:asciiTheme="minorHAnsi" w:eastAsiaTheme="minorEastAsia" w:hAnsiTheme="minorHAnsi"/>
                <w:noProof/>
                <w:kern w:val="2"/>
                <w:sz w:val="24"/>
                <w:szCs w:val="24"/>
                <w:lang w:eastAsia="en-GB"/>
                <w14:ligatures w14:val="standardContextual"/>
              </w:rPr>
              <w:tab/>
            </w:r>
            <w:r w:rsidRPr="00337CB9">
              <w:rPr>
                <w:rStyle w:val="Hyperlink"/>
                <w:noProof/>
              </w:rPr>
              <w:t>Theoretical Framework</w:t>
            </w:r>
            <w:r>
              <w:rPr>
                <w:noProof/>
                <w:webHidden/>
              </w:rPr>
              <w:tab/>
            </w:r>
            <w:r>
              <w:rPr>
                <w:noProof/>
                <w:webHidden/>
              </w:rPr>
              <w:fldChar w:fldCharType="begin"/>
            </w:r>
            <w:r>
              <w:rPr>
                <w:noProof/>
                <w:webHidden/>
              </w:rPr>
              <w:instrText xml:space="preserve"> PAGEREF _Toc241147007 \h </w:instrText>
            </w:r>
            <w:r>
              <w:rPr>
                <w:noProof/>
                <w:webHidden/>
              </w:rPr>
            </w:r>
            <w:r>
              <w:rPr>
                <w:noProof/>
                <w:webHidden/>
              </w:rPr>
              <w:fldChar w:fldCharType="separate"/>
            </w:r>
            <w:r>
              <w:rPr>
                <w:noProof/>
                <w:webHidden/>
              </w:rPr>
              <w:t>18</w:t>
            </w:r>
            <w:r>
              <w:rPr>
                <w:noProof/>
                <w:webHidden/>
              </w:rPr>
              <w:fldChar w:fldCharType="end"/>
            </w:r>
          </w:hyperlink>
        </w:p>
        <w:p w14:paraId="51E832BC" w14:textId="5967720D" w:rsidR="005F4E12" w:rsidRDefault="005F4E12" w:rsidP="005F4E12">
          <w:pPr>
            <w:pStyle w:val="TOC3"/>
            <w:tabs>
              <w:tab w:val="left" w:pos="120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08" w:history="1">
            <w:r w:rsidRPr="00337CB9">
              <w:rPr>
                <w:rStyle w:val="Hyperlink"/>
                <w:noProof/>
              </w:rPr>
              <w:t>2.4.1</w:t>
            </w:r>
            <w:r>
              <w:rPr>
                <w:rFonts w:asciiTheme="minorHAnsi" w:eastAsiaTheme="minorEastAsia" w:hAnsiTheme="minorHAnsi"/>
                <w:noProof/>
                <w:kern w:val="2"/>
                <w:sz w:val="24"/>
                <w:szCs w:val="24"/>
                <w:lang w:eastAsia="en-GB"/>
                <w14:ligatures w14:val="standardContextual"/>
              </w:rPr>
              <w:tab/>
            </w:r>
            <w:r w:rsidRPr="00337CB9">
              <w:rPr>
                <w:rStyle w:val="Hyperlink"/>
                <w:noProof/>
              </w:rPr>
              <w:t>Enterprise Risk Management Theory</w:t>
            </w:r>
            <w:r>
              <w:rPr>
                <w:noProof/>
                <w:webHidden/>
              </w:rPr>
              <w:tab/>
            </w:r>
            <w:r>
              <w:rPr>
                <w:noProof/>
                <w:webHidden/>
              </w:rPr>
              <w:fldChar w:fldCharType="begin"/>
            </w:r>
            <w:r>
              <w:rPr>
                <w:noProof/>
                <w:webHidden/>
              </w:rPr>
              <w:instrText xml:space="preserve"> PAGEREF _Toc241147008 \h </w:instrText>
            </w:r>
            <w:r>
              <w:rPr>
                <w:noProof/>
                <w:webHidden/>
              </w:rPr>
            </w:r>
            <w:r>
              <w:rPr>
                <w:noProof/>
                <w:webHidden/>
              </w:rPr>
              <w:fldChar w:fldCharType="separate"/>
            </w:r>
            <w:r>
              <w:rPr>
                <w:noProof/>
                <w:webHidden/>
              </w:rPr>
              <w:t>18</w:t>
            </w:r>
            <w:r>
              <w:rPr>
                <w:noProof/>
                <w:webHidden/>
              </w:rPr>
              <w:fldChar w:fldCharType="end"/>
            </w:r>
          </w:hyperlink>
        </w:p>
        <w:p w14:paraId="53EF2C63" w14:textId="4394284F" w:rsidR="005F4E12" w:rsidRDefault="005F4E12" w:rsidP="005F4E12">
          <w:pPr>
            <w:pStyle w:val="TOC3"/>
            <w:tabs>
              <w:tab w:val="left" w:pos="120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09" w:history="1">
            <w:r w:rsidRPr="00337CB9">
              <w:rPr>
                <w:rStyle w:val="Hyperlink"/>
                <w:noProof/>
              </w:rPr>
              <w:t>2.4.2</w:t>
            </w:r>
            <w:r>
              <w:rPr>
                <w:rFonts w:asciiTheme="minorHAnsi" w:eastAsiaTheme="minorEastAsia" w:hAnsiTheme="minorHAnsi"/>
                <w:noProof/>
                <w:kern w:val="2"/>
                <w:sz w:val="24"/>
                <w:szCs w:val="24"/>
                <w:lang w:eastAsia="en-GB"/>
                <w14:ligatures w14:val="standardContextual"/>
              </w:rPr>
              <w:tab/>
            </w:r>
            <w:r w:rsidRPr="00337CB9">
              <w:rPr>
                <w:rStyle w:val="Hyperlink"/>
                <w:noProof/>
              </w:rPr>
              <w:t>Resource-Based View</w:t>
            </w:r>
            <w:r>
              <w:rPr>
                <w:noProof/>
                <w:webHidden/>
              </w:rPr>
              <w:tab/>
            </w:r>
            <w:r>
              <w:rPr>
                <w:noProof/>
                <w:webHidden/>
              </w:rPr>
              <w:fldChar w:fldCharType="begin"/>
            </w:r>
            <w:r>
              <w:rPr>
                <w:noProof/>
                <w:webHidden/>
              </w:rPr>
              <w:instrText xml:space="preserve"> PAGEREF _Toc241147009 \h </w:instrText>
            </w:r>
            <w:r>
              <w:rPr>
                <w:noProof/>
                <w:webHidden/>
              </w:rPr>
            </w:r>
            <w:r>
              <w:rPr>
                <w:noProof/>
                <w:webHidden/>
              </w:rPr>
              <w:fldChar w:fldCharType="separate"/>
            </w:r>
            <w:r>
              <w:rPr>
                <w:noProof/>
                <w:webHidden/>
              </w:rPr>
              <w:t>19</w:t>
            </w:r>
            <w:r>
              <w:rPr>
                <w:noProof/>
                <w:webHidden/>
              </w:rPr>
              <w:fldChar w:fldCharType="end"/>
            </w:r>
          </w:hyperlink>
        </w:p>
        <w:p w14:paraId="1986C6DB" w14:textId="6614D7CD"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10" w:history="1">
            <w:r w:rsidRPr="00337CB9">
              <w:rPr>
                <w:rStyle w:val="Hyperlink"/>
                <w:noProof/>
              </w:rPr>
              <w:t>2.5</w:t>
            </w:r>
            <w:r>
              <w:rPr>
                <w:rFonts w:asciiTheme="minorHAnsi" w:eastAsiaTheme="minorEastAsia" w:hAnsiTheme="minorHAnsi"/>
                <w:noProof/>
                <w:kern w:val="2"/>
                <w:sz w:val="24"/>
                <w:szCs w:val="24"/>
                <w:lang w:eastAsia="en-GB"/>
                <w14:ligatures w14:val="standardContextual"/>
              </w:rPr>
              <w:tab/>
            </w:r>
            <w:r w:rsidRPr="00337CB9">
              <w:rPr>
                <w:rStyle w:val="Hyperlink"/>
                <w:noProof/>
              </w:rPr>
              <w:t>Conceptual Framework</w:t>
            </w:r>
            <w:r>
              <w:rPr>
                <w:noProof/>
                <w:webHidden/>
              </w:rPr>
              <w:tab/>
            </w:r>
            <w:r>
              <w:rPr>
                <w:noProof/>
                <w:webHidden/>
              </w:rPr>
              <w:fldChar w:fldCharType="begin"/>
            </w:r>
            <w:r>
              <w:rPr>
                <w:noProof/>
                <w:webHidden/>
              </w:rPr>
              <w:instrText xml:space="preserve"> PAGEREF _Toc241147010 \h </w:instrText>
            </w:r>
            <w:r>
              <w:rPr>
                <w:noProof/>
                <w:webHidden/>
              </w:rPr>
            </w:r>
            <w:r>
              <w:rPr>
                <w:noProof/>
                <w:webHidden/>
              </w:rPr>
              <w:fldChar w:fldCharType="separate"/>
            </w:r>
            <w:r>
              <w:rPr>
                <w:noProof/>
                <w:webHidden/>
              </w:rPr>
              <w:t>20</w:t>
            </w:r>
            <w:r>
              <w:rPr>
                <w:noProof/>
                <w:webHidden/>
              </w:rPr>
              <w:fldChar w:fldCharType="end"/>
            </w:r>
          </w:hyperlink>
        </w:p>
        <w:p w14:paraId="628780D2" w14:textId="695F264B"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11" w:history="1">
            <w:r w:rsidRPr="00337CB9">
              <w:rPr>
                <w:rStyle w:val="Hyperlink"/>
                <w:noProof/>
              </w:rPr>
              <w:t>2.6</w:t>
            </w:r>
            <w:r>
              <w:rPr>
                <w:rFonts w:asciiTheme="minorHAnsi" w:eastAsiaTheme="minorEastAsia" w:hAnsiTheme="minorHAnsi"/>
                <w:noProof/>
                <w:kern w:val="2"/>
                <w:sz w:val="24"/>
                <w:szCs w:val="24"/>
                <w:lang w:eastAsia="en-GB"/>
                <w14:ligatures w14:val="standardContextual"/>
              </w:rPr>
              <w:tab/>
            </w:r>
            <w:r w:rsidRPr="00337CB9">
              <w:rPr>
                <w:rStyle w:val="Hyperlink"/>
                <w:noProof/>
              </w:rPr>
              <w:t>Literature Gap</w:t>
            </w:r>
            <w:r>
              <w:rPr>
                <w:noProof/>
                <w:webHidden/>
              </w:rPr>
              <w:tab/>
            </w:r>
            <w:r>
              <w:rPr>
                <w:noProof/>
                <w:webHidden/>
              </w:rPr>
              <w:fldChar w:fldCharType="begin"/>
            </w:r>
            <w:r>
              <w:rPr>
                <w:noProof/>
                <w:webHidden/>
              </w:rPr>
              <w:instrText xml:space="preserve"> PAGEREF _Toc241147011 \h </w:instrText>
            </w:r>
            <w:r>
              <w:rPr>
                <w:noProof/>
                <w:webHidden/>
              </w:rPr>
            </w:r>
            <w:r>
              <w:rPr>
                <w:noProof/>
                <w:webHidden/>
              </w:rPr>
              <w:fldChar w:fldCharType="separate"/>
            </w:r>
            <w:r>
              <w:rPr>
                <w:noProof/>
                <w:webHidden/>
              </w:rPr>
              <w:t>21</w:t>
            </w:r>
            <w:r>
              <w:rPr>
                <w:noProof/>
                <w:webHidden/>
              </w:rPr>
              <w:fldChar w:fldCharType="end"/>
            </w:r>
          </w:hyperlink>
        </w:p>
        <w:p w14:paraId="0365DA26" w14:textId="5EA0A4C3"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12" w:history="1">
            <w:r w:rsidRPr="00337CB9">
              <w:rPr>
                <w:rStyle w:val="Hyperlink"/>
                <w:noProof/>
              </w:rPr>
              <w:t>2.7</w:t>
            </w:r>
            <w:r>
              <w:rPr>
                <w:rFonts w:asciiTheme="minorHAnsi" w:eastAsiaTheme="minorEastAsia" w:hAnsiTheme="minorHAnsi"/>
                <w:noProof/>
                <w:kern w:val="2"/>
                <w:sz w:val="24"/>
                <w:szCs w:val="24"/>
                <w:lang w:eastAsia="en-GB"/>
                <w14:ligatures w14:val="standardContextual"/>
              </w:rPr>
              <w:tab/>
            </w:r>
            <w:r w:rsidRPr="00337CB9">
              <w:rPr>
                <w:rStyle w:val="Hyperlink"/>
                <w:noProof/>
              </w:rPr>
              <w:t>Literature Review Conclusion</w:t>
            </w:r>
            <w:r>
              <w:rPr>
                <w:noProof/>
                <w:webHidden/>
              </w:rPr>
              <w:tab/>
            </w:r>
            <w:r>
              <w:rPr>
                <w:noProof/>
                <w:webHidden/>
              </w:rPr>
              <w:fldChar w:fldCharType="begin"/>
            </w:r>
            <w:r>
              <w:rPr>
                <w:noProof/>
                <w:webHidden/>
              </w:rPr>
              <w:instrText xml:space="preserve"> PAGEREF _Toc241147012 \h </w:instrText>
            </w:r>
            <w:r>
              <w:rPr>
                <w:noProof/>
                <w:webHidden/>
              </w:rPr>
            </w:r>
            <w:r>
              <w:rPr>
                <w:noProof/>
                <w:webHidden/>
              </w:rPr>
              <w:fldChar w:fldCharType="separate"/>
            </w:r>
            <w:r>
              <w:rPr>
                <w:noProof/>
                <w:webHidden/>
              </w:rPr>
              <w:t>21</w:t>
            </w:r>
            <w:r>
              <w:rPr>
                <w:noProof/>
                <w:webHidden/>
              </w:rPr>
              <w:fldChar w:fldCharType="end"/>
            </w:r>
          </w:hyperlink>
        </w:p>
        <w:p w14:paraId="756E9FD2" w14:textId="7A5E7DBA" w:rsidR="005F4E12" w:rsidRDefault="005F4E12" w:rsidP="005F4E12">
          <w:pPr>
            <w:pStyle w:val="TOC1"/>
            <w:tabs>
              <w:tab w:val="left" w:pos="44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13" w:history="1">
            <w:r w:rsidRPr="00337CB9">
              <w:rPr>
                <w:rStyle w:val="Hyperlink"/>
                <w:noProof/>
              </w:rPr>
              <w:t>3</w:t>
            </w:r>
            <w:r>
              <w:rPr>
                <w:rFonts w:asciiTheme="minorHAnsi" w:eastAsiaTheme="minorEastAsia" w:hAnsiTheme="minorHAnsi"/>
                <w:noProof/>
                <w:kern w:val="2"/>
                <w:sz w:val="24"/>
                <w:szCs w:val="24"/>
                <w:lang w:eastAsia="en-GB"/>
                <w14:ligatures w14:val="standardContextual"/>
              </w:rPr>
              <w:tab/>
            </w:r>
            <w:r w:rsidRPr="00337CB9">
              <w:rPr>
                <w:rStyle w:val="Hyperlink"/>
                <w:noProof/>
              </w:rPr>
              <w:t>CHAPTER 3: RESEARCH METHODOLOGY</w:t>
            </w:r>
            <w:r>
              <w:rPr>
                <w:noProof/>
                <w:webHidden/>
              </w:rPr>
              <w:tab/>
            </w:r>
            <w:r>
              <w:rPr>
                <w:noProof/>
                <w:webHidden/>
              </w:rPr>
              <w:fldChar w:fldCharType="begin"/>
            </w:r>
            <w:r>
              <w:rPr>
                <w:noProof/>
                <w:webHidden/>
              </w:rPr>
              <w:instrText xml:space="preserve"> PAGEREF _Toc241147013 \h </w:instrText>
            </w:r>
            <w:r>
              <w:rPr>
                <w:noProof/>
                <w:webHidden/>
              </w:rPr>
            </w:r>
            <w:r>
              <w:rPr>
                <w:noProof/>
                <w:webHidden/>
              </w:rPr>
              <w:fldChar w:fldCharType="separate"/>
            </w:r>
            <w:r>
              <w:rPr>
                <w:noProof/>
                <w:webHidden/>
              </w:rPr>
              <w:t>23</w:t>
            </w:r>
            <w:r>
              <w:rPr>
                <w:noProof/>
                <w:webHidden/>
              </w:rPr>
              <w:fldChar w:fldCharType="end"/>
            </w:r>
          </w:hyperlink>
        </w:p>
        <w:p w14:paraId="2FF62816" w14:textId="2199DCA5"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14" w:history="1">
            <w:r w:rsidRPr="00337CB9">
              <w:rPr>
                <w:rStyle w:val="Hyperlink"/>
                <w:noProof/>
              </w:rPr>
              <w:t>3.1</w:t>
            </w:r>
            <w:r>
              <w:rPr>
                <w:rFonts w:asciiTheme="minorHAnsi" w:eastAsiaTheme="minorEastAsia" w:hAnsiTheme="minorHAnsi"/>
                <w:noProof/>
                <w:kern w:val="2"/>
                <w:sz w:val="24"/>
                <w:szCs w:val="24"/>
                <w:lang w:eastAsia="en-GB"/>
                <w14:ligatures w14:val="standardContextual"/>
              </w:rPr>
              <w:tab/>
            </w:r>
            <w:r w:rsidRPr="00337CB9">
              <w:rPr>
                <w:rStyle w:val="Hyperlink"/>
                <w:noProof/>
              </w:rPr>
              <w:t>Introduction</w:t>
            </w:r>
            <w:r>
              <w:rPr>
                <w:noProof/>
                <w:webHidden/>
              </w:rPr>
              <w:tab/>
            </w:r>
            <w:r>
              <w:rPr>
                <w:noProof/>
                <w:webHidden/>
              </w:rPr>
              <w:fldChar w:fldCharType="begin"/>
            </w:r>
            <w:r>
              <w:rPr>
                <w:noProof/>
                <w:webHidden/>
              </w:rPr>
              <w:instrText xml:space="preserve"> PAGEREF _Toc241147014 \h </w:instrText>
            </w:r>
            <w:r>
              <w:rPr>
                <w:noProof/>
                <w:webHidden/>
              </w:rPr>
            </w:r>
            <w:r>
              <w:rPr>
                <w:noProof/>
                <w:webHidden/>
              </w:rPr>
              <w:fldChar w:fldCharType="separate"/>
            </w:r>
            <w:r>
              <w:rPr>
                <w:noProof/>
                <w:webHidden/>
              </w:rPr>
              <w:t>23</w:t>
            </w:r>
            <w:r>
              <w:rPr>
                <w:noProof/>
                <w:webHidden/>
              </w:rPr>
              <w:fldChar w:fldCharType="end"/>
            </w:r>
          </w:hyperlink>
        </w:p>
        <w:p w14:paraId="116CA3F2" w14:textId="2536B75C"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15" w:history="1">
            <w:r w:rsidRPr="00337CB9">
              <w:rPr>
                <w:rStyle w:val="Hyperlink"/>
                <w:noProof/>
              </w:rPr>
              <w:t>3.2</w:t>
            </w:r>
            <w:r>
              <w:rPr>
                <w:rFonts w:asciiTheme="minorHAnsi" w:eastAsiaTheme="minorEastAsia" w:hAnsiTheme="minorHAnsi"/>
                <w:noProof/>
                <w:kern w:val="2"/>
                <w:sz w:val="24"/>
                <w:szCs w:val="24"/>
                <w:lang w:eastAsia="en-GB"/>
                <w14:ligatures w14:val="standardContextual"/>
              </w:rPr>
              <w:tab/>
            </w:r>
            <w:r w:rsidRPr="00337CB9">
              <w:rPr>
                <w:rStyle w:val="Hyperlink"/>
                <w:noProof/>
              </w:rPr>
              <w:t>Research Philosophy</w:t>
            </w:r>
            <w:r>
              <w:rPr>
                <w:noProof/>
                <w:webHidden/>
              </w:rPr>
              <w:tab/>
            </w:r>
            <w:r>
              <w:rPr>
                <w:noProof/>
                <w:webHidden/>
              </w:rPr>
              <w:fldChar w:fldCharType="begin"/>
            </w:r>
            <w:r>
              <w:rPr>
                <w:noProof/>
                <w:webHidden/>
              </w:rPr>
              <w:instrText xml:space="preserve"> PAGEREF _Toc241147015 \h </w:instrText>
            </w:r>
            <w:r>
              <w:rPr>
                <w:noProof/>
                <w:webHidden/>
              </w:rPr>
            </w:r>
            <w:r>
              <w:rPr>
                <w:noProof/>
                <w:webHidden/>
              </w:rPr>
              <w:fldChar w:fldCharType="separate"/>
            </w:r>
            <w:r>
              <w:rPr>
                <w:noProof/>
                <w:webHidden/>
              </w:rPr>
              <w:t>23</w:t>
            </w:r>
            <w:r>
              <w:rPr>
                <w:noProof/>
                <w:webHidden/>
              </w:rPr>
              <w:fldChar w:fldCharType="end"/>
            </w:r>
          </w:hyperlink>
        </w:p>
        <w:p w14:paraId="0FDA2720" w14:textId="0D74289C"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16" w:history="1">
            <w:r w:rsidRPr="00337CB9">
              <w:rPr>
                <w:rStyle w:val="Hyperlink"/>
                <w:noProof/>
              </w:rPr>
              <w:t>3.3</w:t>
            </w:r>
            <w:r>
              <w:rPr>
                <w:rFonts w:asciiTheme="minorHAnsi" w:eastAsiaTheme="minorEastAsia" w:hAnsiTheme="minorHAnsi"/>
                <w:noProof/>
                <w:kern w:val="2"/>
                <w:sz w:val="24"/>
                <w:szCs w:val="24"/>
                <w:lang w:eastAsia="en-GB"/>
                <w14:ligatures w14:val="standardContextual"/>
              </w:rPr>
              <w:tab/>
            </w:r>
            <w:r w:rsidRPr="00337CB9">
              <w:rPr>
                <w:rStyle w:val="Hyperlink"/>
                <w:noProof/>
              </w:rPr>
              <w:t>Research Approach</w:t>
            </w:r>
            <w:r>
              <w:rPr>
                <w:noProof/>
                <w:webHidden/>
              </w:rPr>
              <w:tab/>
            </w:r>
            <w:r>
              <w:rPr>
                <w:noProof/>
                <w:webHidden/>
              </w:rPr>
              <w:fldChar w:fldCharType="begin"/>
            </w:r>
            <w:r>
              <w:rPr>
                <w:noProof/>
                <w:webHidden/>
              </w:rPr>
              <w:instrText xml:space="preserve"> PAGEREF _Toc241147016 \h </w:instrText>
            </w:r>
            <w:r>
              <w:rPr>
                <w:noProof/>
                <w:webHidden/>
              </w:rPr>
            </w:r>
            <w:r>
              <w:rPr>
                <w:noProof/>
                <w:webHidden/>
              </w:rPr>
              <w:fldChar w:fldCharType="separate"/>
            </w:r>
            <w:r>
              <w:rPr>
                <w:noProof/>
                <w:webHidden/>
              </w:rPr>
              <w:t>23</w:t>
            </w:r>
            <w:r>
              <w:rPr>
                <w:noProof/>
                <w:webHidden/>
              </w:rPr>
              <w:fldChar w:fldCharType="end"/>
            </w:r>
          </w:hyperlink>
        </w:p>
        <w:p w14:paraId="3F1BB08C" w14:textId="7E903090"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17" w:history="1">
            <w:r w:rsidRPr="00337CB9">
              <w:rPr>
                <w:rStyle w:val="Hyperlink"/>
                <w:noProof/>
              </w:rPr>
              <w:t>3.4</w:t>
            </w:r>
            <w:r>
              <w:rPr>
                <w:rFonts w:asciiTheme="minorHAnsi" w:eastAsiaTheme="minorEastAsia" w:hAnsiTheme="minorHAnsi"/>
                <w:noProof/>
                <w:kern w:val="2"/>
                <w:sz w:val="24"/>
                <w:szCs w:val="24"/>
                <w:lang w:eastAsia="en-GB"/>
                <w14:ligatures w14:val="standardContextual"/>
              </w:rPr>
              <w:tab/>
            </w:r>
            <w:r w:rsidRPr="00337CB9">
              <w:rPr>
                <w:rStyle w:val="Hyperlink"/>
                <w:noProof/>
              </w:rPr>
              <w:t>Methodological Choice</w:t>
            </w:r>
            <w:r>
              <w:rPr>
                <w:noProof/>
                <w:webHidden/>
              </w:rPr>
              <w:tab/>
            </w:r>
            <w:r>
              <w:rPr>
                <w:noProof/>
                <w:webHidden/>
              </w:rPr>
              <w:fldChar w:fldCharType="begin"/>
            </w:r>
            <w:r>
              <w:rPr>
                <w:noProof/>
                <w:webHidden/>
              </w:rPr>
              <w:instrText xml:space="preserve"> PAGEREF _Toc241147017 \h </w:instrText>
            </w:r>
            <w:r>
              <w:rPr>
                <w:noProof/>
                <w:webHidden/>
              </w:rPr>
            </w:r>
            <w:r>
              <w:rPr>
                <w:noProof/>
                <w:webHidden/>
              </w:rPr>
              <w:fldChar w:fldCharType="separate"/>
            </w:r>
            <w:r>
              <w:rPr>
                <w:noProof/>
                <w:webHidden/>
              </w:rPr>
              <w:t>24</w:t>
            </w:r>
            <w:r>
              <w:rPr>
                <w:noProof/>
                <w:webHidden/>
              </w:rPr>
              <w:fldChar w:fldCharType="end"/>
            </w:r>
          </w:hyperlink>
        </w:p>
        <w:p w14:paraId="2450ADFF" w14:textId="3D1CD8CE"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18" w:history="1">
            <w:r w:rsidRPr="00337CB9">
              <w:rPr>
                <w:rStyle w:val="Hyperlink"/>
                <w:noProof/>
              </w:rPr>
              <w:t>3.5</w:t>
            </w:r>
            <w:r>
              <w:rPr>
                <w:rFonts w:asciiTheme="minorHAnsi" w:eastAsiaTheme="minorEastAsia" w:hAnsiTheme="minorHAnsi"/>
                <w:noProof/>
                <w:kern w:val="2"/>
                <w:sz w:val="24"/>
                <w:szCs w:val="24"/>
                <w:lang w:eastAsia="en-GB"/>
                <w14:ligatures w14:val="standardContextual"/>
              </w:rPr>
              <w:tab/>
            </w:r>
            <w:r w:rsidRPr="00337CB9">
              <w:rPr>
                <w:rStyle w:val="Hyperlink"/>
                <w:noProof/>
              </w:rPr>
              <w:t>Research Strategy</w:t>
            </w:r>
            <w:r>
              <w:rPr>
                <w:noProof/>
                <w:webHidden/>
              </w:rPr>
              <w:tab/>
            </w:r>
            <w:r>
              <w:rPr>
                <w:noProof/>
                <w:webHidden/>
              </w:rPr>
              <w:fldChar w:fldCharType="begin"/>
            </w:r>
            <w:r>
              <w:rPr>
                <w:noProof/>
                <w:webHidden/>
              </w:rPr>
              <w:instrText xml:space="preserve"> PAGEREF _Toc241147018 \h </w:instrText>
            </w:r>
            <w:r>
              <w:rPr>
                <w:noProof/>
                <w:webHidden/>
              </w:rPr>
            </w:r>
            <w:r>
              <w:rPr>
                <w:noProof/>
                <w:webHidden/>
              </w:rPr>
              <w:fldChar w:fldCharType="separate"/>
            </w:r>
            <w:r>
              <w:rPr>
                <w:noProof/>
                <w:webHidden/>
              </w:rPr>
              <w:t>24</w:t>
            </w:r>
            <w:r>
              <w:rPr>
                <w:noProof/>
                <w:webHidden/>
              </w:rPr>
              <w:fldChar w:fldCharType="end"/>
            </w:r>
          </w:hyperlink>
        </w:p>
        <w:p w14:paraId="462FDFE3" w14:textId="64B5C2B1"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19" w:history="1">
            <w:r w:rsidRPr="00337CB9">
              <w:rPr>
                <w:rStyle w:val="Hyperlink"/>
                <w:noProof/>
              </w:rPr>
              <w:t>3.6</w:t>
            </w:r>
            <w:r>
              <w:rPr>
                <w:rFonts w:asciiTheme="minorHAnsi" w:eastAsiaTheme="minorEastAsia" w:hAnsiTheme="minorHAnsi"/>
                <w:noProof/>
                <w:kern w:val="2"/>
                <w:sz w:val="24"/>
                <w:szCs w:val="24"/>
                <w:lang w:eastAsia="en-GB"/>
                <w14:ligatures w14:val="standardContextual"/>
              </w:rPr>
              <w:tab/>
            </w:r>
            <w:r w:rsidRPr="00337CB9">
              <w:rPr>
                <w:rStyle w:val="Hyperlink"/>
                <w:noProof/>
              </w:rPr>
              <w:t>Time Horizon</w:t>
            </w:r>
            <w:r>
              <w:rPr>
                <w:noProof/>
                <w:webHidden/>
              </w:rPr>
              <w:tab/>
            </w:r>
            <w:r>
              <w:rPr>
                <w:noProof/>
                <w:webHidden/>
              </w:rPr>
              <w:fldChar w:fldCharType="begin"/>
            </w:r>
            <w:r>
              <w:rPr>
                <w:noProof/>
                <w:webHidden/>
              </w:rPr>
              <w:instrText xml:space="preserve"> PAGEREF _Toc241147019 \h </w:instrText>
            </w:r>
            <w:r>
              <w:rPr>
                <w:noProof/>
                <w:webHidden/>
              </w:rPr>
            </w:r>
            <w:r>
              <w:rPr>
                <w:noProof/>
                <w:webHidden/>
              </w:rPr>
              <w:fldChar w:fldCharType="separate"/>
            </w:r>
            <w:r>
              <w:rPr>
                <w:noProof/>
                <w:webHidden/>
              </w:rPr>
              <w:t>25</w:t>
            </w:r>
            <w:r>
              <w:rPr>
                <w:noProof/>
                <w:webHidden/>
              </w:rPr>
              <w:fldChar w:fldCharType="end"/>
            </w:r>
          </w:hyperlink>
        </w:p>
        <w:p w14:paraId="35ACCF8C" w14:textId="55D97759"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20" w:history="1">
            <w:r w:rsidRPr="00337CB9">
              <w:rPr>
                <w:rStyle w:val="Hyperlink"/>
                <w:noProof/>
              </w:rPr>
              <w:t>3.7</w:t>
            </w:r>
            <w:r>
              <w:rPr>
                <w:rFonts w:asciiTheme="minorHAnsi" w:eastAsiaTheme="minorEastAsia" w:hAnsiTheme="minorHAnsi"/>
                <w:noProof/>
                <w:kern w:val="2"/>
                <w:sz w:val="24"/>
                <w:szCs w:val="24"/>
                <w:lang w:eastAsia="en-GB"/>
                <w14:ligatures w14:val="standardContextual"/>
              </w:rPr>
              <w:tab/>
            </w:r>
            <w:r w:rsidRPr="00337CB9">
              <w:rPr>
                <w:rStyle w:val="Hyperlink"/>
                <w:noProof/>
              </w:rPr>
              <w:t>Source Selection and Eligibility Criteria</w:t>
            </w:r>
            <w:r>
              <w:rPr>
                <w:noProof/>
                <w:webHidden/>
              </w:rPr>
              <w:tab/>
            </w:r>
            <w:r>
              <w:rPr>
                <w:noProof/>
                <w:webHidden/>
              </w:rPr>
              <w:fldChar w:fldCharType="begin"/>
            </w:r>
            <w:r>
              <w:rPr>
                <w:noProof/>
                <w:webHidden/>
              </w:rPr>
              <w:instrText xml:space="preserve"> PAGEREF _Toc241147020 \h </w:instrText>
            </w:r>
            <w:r>
              <w:rPr>
                <w:noProof/>
                <w:webHidden/>
              </w:rPr>
            </w:r>
            <w:r>
              <w:rPr>
                <w:noProof/>
                <w:webHidden/>
              </w:rPr>
              <w:fldChar w:fldCharType="separate"/>
            </w:r>
            <w:r>
              <w:rPr>
                <w:noProof/>
                <w:webHidden/>
              </w:rPr>
              <w:t>25</w:t>
            </w:r>
            <w:r>
              <w:rPr>
                <w:noProof/>
                <w:webHidden/>
              </w:rPr>
              <w:fldChar w:fldCharType="end"/>
            </w:r>
          </w:hyperlink>
        </w:p>
        <w:p w14:paraId="41A2FDA9" w14:textId="140B4BC3"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21" w:history="1">
            <w:r w:rsidRPr="00337CB9">
              <w:rPr>
                <w:rStyle w:val="Hyperlink"/>
                <w:noProof/>
              </w:rPr>
              <w:t>3.8</w:t>
            </w:r>
            <w:r>
              <w:rPr>
                <w:rFonts w:asciiTheme="minorHAnsi" w:eastAsiaTheme="minorEastAsia" w:hAnsiTheme="minorHAnsi"/>
                <w:noProof/>
                <w:kern w:val="2"/>
                <w:sz w:val="24"/>
                <w:szCs w:val="24"/>
                <w:lang w:eastAsia="en-GB"/>
                <w14:ligatures w14:val="standardContextual"/>
              </w:rPr>
              <w:tab/>
            </w:r>
            <w:r w:rsidRPr="00337CB9">
              <w:rPr>
                <w:rStyle w:val="Hyperlink"/>
                <w:noProof/>
              </w:rPr>
              <w:t>Inclusion and Exclusion Criteria</w:t>
            </w:r>
            <w:r>
              <w:rPr>
                <w:noProof/>
                <w:webHidden/>
              </w:rPr>
              <w:tab/>
            </w:r>
            <w:r>
              <w:rPr>
                <w:noProof/>
                <w:webHidden/>
              </w:rPr>
              <w:fldChar w:fldCharType="begin"/>
            </w:r>
            <w:r>
              <w:rPr>
                <w:noProof/>
                <w:webHidden/>
              </w:rPr>
              <w:instrText xml:space="preserve"> PAGEREF _Toc241147021 \h </w:instrText>
            </w:r>
            <w:r>
              <w:rPr>
                <w:noProof/>
                <w:webHidden/>
              </w:rPr>
            </w:r>
            <w:r>
              <w:rPr>
                <w:noProof/>
                <w:webHidden/>
              </w:rPr>
              <w:fldChar w:fldCharType="separate"/>
            </w:r>
            <w:r>
              <w:rPr>
                <w:noProof/>
                <w:webHidden/>
              </w:rPr>
              <w:t>26</w:t>
            </w:r>
            <w:r>
              <w:rPr>
                <w:noProof/>
                <w:webHidden/>
              </w:rPr>
              <w:fldChar w:fldCharType="end"/>
            </w:r>
          </w:hyperlink>
        </w:p>
        <w:p w14:paraId="24EA0108" w14:textId="3DDA2E98"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22" w:history="1">
            <w:r w:rsidRPr="00337CB9">
              <w:rPr>
                <w:rStyle w:val="Hyperlink"/>
                <w:noProof/>
              </w:rPr>
              <w:t>3.9</w:t>
            </w:r>
            <w:r>
              <w:rPr>
                <w:rFonts w:asciiTheme="minorHAnsi" w:eastAsiaTheme="minorEastAsia" w:hAnsiTheme="minorHAnsi"/>
                <w:noProof/>
                <w:kern w:val="2"/>
                <w:sz w:val="24"/>
                <w:szCs w:val="24"/>
                <w:lang w:eastAsia="en-GB"/>
                <w14:ligatures w14:val="standardContextual"/>
              </w:rPr>
              <w:tab/>
            </w:r>
            <w:r w:rsidRPr="00337CB9">
              <w:rPr>
                <w:rStyle w:val="Hyperlink"/>
                <w:noProof/>
              </w:rPr>
              <w:t>Data Collection Method</w:t>
            </w:r>
            <w:r>
              <w:rPr>
                <w:noProof/>
                <w:webHidden/>
              </w:rPr>
              <w:tab/>
            </w:r>
            <w:r>
              <w:rPr>
                <w:noProof/>
                <w:webHidden/>
              </w:rPr>
              <w:fldChar w:fldCharType="begin"/>
            </w:r>
            <w:r>
              <w:rPr>
                <w:noProof/>
                <w:webHidden/>
              </w:rPr>
              <w:instrText xml:space="preserve"> PAGEREF _Toc241147022 \h </w:instrText>
            </w:r>
            <w:r>
              <w:rPr>
                <w:noProof/>
                <w:webHidden/>
              </w:rPr>
            </w:r>
            <w:r>
              <w:rPr>
                <w:noProof/>
                <w:webHidden/>
              </w:rPr>
              <w:fldChar w:fldCharType="separate"/>
            </w:r>
            <w:r>
              <w:rPr>
                <w:noProof/>
                <w:webHidden/>
              </w:rPr>
              <w:t>26</w:t>
            </w:r>
            <w:r>
              <w:rPr>
                <w:noProof/>
                <w:webHidden/>
              </w:rPr>
              <w:fldChar w:fldCharType="end"/>
            </w:r>
          </w:hyperlink>
        </w:p>
        <w:p w14:paraId="40365211" w14:textId="363936FC"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23" w:history="1">
            <w:r w:rsidRPr="00337CB9">
              <w:rPr>
                <w:rStyle w:val="Hyperlink"/>
                <w:noProof/>
              </w:rPr>
              <w:t>3.10</w:t>
            </w:r>
            <w:r>
              <w:rPr>
                <w:rFonts w:asciiTheme="minorHAnsi" w:eastAsiaTheme="minorEastAsia" w:hAnsiTheme="minorHAnsi"/>
                <w:noProof/>
                <w:kern w:val="2"/>
                <w:sz w:val="24"/>
                <w:szCs w:val="24"/>
                <w:lang w:eastAsia="en-GB"/>
                <w14:ligatures w14:val="standardContextual"/>
              </w:rPr>
              <w:tab/>
            </w:r>
            <w:r w:rsidRPr="00337CB9">
              <w:rPr>
                <w:rStyle w:val="Hyperlink"/>
                <w:noProof/>
              </w:rPr>
              <w:t>Data Extraction and Management</w:t>
            </w:r>
            <w:r>
              <w:rPr>
                <w:noProof/>
                <w:webHidden/>
              </w:rPr>
              <w:tab/>
            </w:r>
            <w:r>
              <w:rPr>
                <w:noProof/>
                <w:webHidden/>
              </w:rPr>
              <w:fldChar w:fldCharType="begin"/>
            </w:r>
            <w:r>
              <w:rPr>
                <w:noProof/>
                <w:webHidden/>
              </w:rPr>
              <w:instrText xml:space="preserve"> PAGEREF _Toc241147023 \h </w:instrText>
            </w:r>
            <w:r>
              <w:rPr>
                <w:noProof/>
                <w:webHidden/>
              </w:rPr>
            </w:r>
            <w:r>
              <w:rPr>
                <w:noProof/>
                <w:webHidden/>
              </w:rPr>
              <w:fldChar w:fldCharType="separate"/>
            </w:r>
            <w:r>
              <w:rPr>
                <w:noProof/>
                <w:webHidden/>
              </w:rPr>
              <w:t>27</w:t>
            </w:r>
            <w:r>
              <w:rPr>
                <w:noProof/>
                <w:webHidden/>
              </w:rPr>
              <w:fldChar w:fldCharType="end"/>
            </w:r>
          </w:hyperlink>
        </w:p>
        <w:p w14:paraId="7EF73EEC" w14:textId="19AD159B"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24" w:history="1">
            <w:r w:rsidRPr="00337CB9">
              <w:rPr>
                <w:rStyle w:val="Hyperlink"/>
                <w:noProof/>
              </w:rPr>
              <w:t>3.11</w:t>
            </w:r>
            <w:r>
              <w:rPr>
                <w:rFonts w:asciiTheme="minorHAnsi" w:eastAsiaTheme="minorEastAsia" w:hAnsiTheme="minorHAnsi"/>
                <w:noProof/>
                <w:kern w:val="2"/>
                <w:sz w:val="24"/>
                <w:szCs w:val="24"/>
                <w:lang w:eastAsia="en-GB"/>
                <w14:ligatures w14:val="standardContextual"/>
              </w:rPr>
              <w:tab/>
            </w:r>
            <w:r w:rsidRPr="00337CB9">
              <w:rPr>
                <w:rStyle w:val="Hyperlink"/>
                <w:noProof/>
              </w:rPr>
              <w:t>Data Analysis Techniques</w:t>
            </w:r>
            <w:r>
              <w:rPr>
                <w:noProof/>
                <w:webHidden/>
              </w:rPr>
              <w:tab/>
            </w:r>
            <w:r>
              <w:rPr>
                <w:noProof/>
                <w:webHidden/>
              </w:rPr>
              <w:fldChar w:fldCharType="begin"/>
            </w:r>
            <w:r>
              <w:rPr>
                <w:noProof/>
                <w:webHidden/>
              </w:rPr>
              <w:instrText xml:space="preserve"> PAGEREF _Toc241147024 \h </w:instrText>
            </w:r>
            <w:r>
              <w:rPr>
                <w:noProof/>
                <w:webHidden/>
              </w:rPr>
            </w:r>
            <w:r>
              <w:rPr>
                <w:noProof/>
                <w:webHidden/>
              </w:rPr>
              <w:fldChar w:fldCharType="separate"/>
            </w:r>
            <w:r>
              <w:rPr>
                <w:noProof/>
                <w:webHidden/>
              </w:rPr>
              <w:t>27</w:t>
            </w:r>
            <w:r>
              <w:rPr>
                <w:noProof/>
                <w:webHidden/>
              </w:rPr>
              <w:fldChar w:fldCharType="end"/>
            </w:r>
          </w:hyperlink>
        </w:p>
        <w:p w14:paraId="6E35E163" w14:textId="698A3E27"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25" w:history="1">
            <w:r w:rsidRPr="00337CB9">
              <w:rPr>
                <w:rStyle w:val="Hyperlink"/>
                <w:noProof/>
              </w:rPr>
              <w:t>3.12</w:t>
            </w:r>
            <w:r>
              <w:rPr>
                <w:rFonts w:asciiTheme="minorHAnsi" w:eastAsiaTheme="minorEastAsia" w:hAnsiTheme="minorHAnsi"/>
                <w:noProof/>
                <w:kern w:val="2"/>
                <w:sz w:val="24"/>
                <w:szCs w:val="24"/>
                <w:lang w:eastAsia="en-GB"/>
                <w14:ligatures w14:val="standardContextual"/>
              </w:rPr>
              <w:tab/>
            </w:r>
            <w:r w:rsidRPr="00337CB9">
              <w:rPr>
                <w:rStyle w:val="Hyperlink"/>
                <w:noProof/>
              </w:rPr>
              <w:t>Research Quality and Trustworthiness</w:t>
            </w:r>
            <w:r>
              <w:rPr>
                <w:noProof/>
                <w:webHidden/>
              </w:rPr>
              <w:tab/>
            </w:r>
            <w:r>
              <w:rPr>
                <w:noProof/>
                <w:webHidden/>
              </w:rPr>
              <w:fldChar w:fldCharType="begin"/>
            </w:r>
            <w:r>
              <w:rPr>
                <w:noProof/>
                <w:webHidden/>
              </w:rPr>
              <w:instrText xml:space="preserve"> PAGEREF _Toc241147025 \h </w:instrText>
            </w:r>
            <w:r>
              <w:rPr>
                <w:noProof/>
                <w:webHidden/>
              </w:rPr>
            </w:r>
            <w:r>
              <w:rPr>
                <w:noProof/>
                <w:webHidden/>
              </w:rPr>
              <w:fldChar w:fldCharType="separate"/>
            </w:r>
            <w:r>
              <w:rPr>
                <w:noProof/>
                <w:webHidden/>
              </w:rPr>
              <w:t>28</w:t>
            </w:r>
            <w:r>
              <w:rPr>
                <w:noProof/>
                <w:webHidden/>
              </w:rPr>
              <w:fldChar w:fldCharType="end"/>
            </w:r>
          </w:hyperlink>
        </w:p>
        <w:p w14:paraId="24148455" w14:textId="6BBEBAE8"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26" w:history="1">
            <w:r w:rsidRPr="00337CB9">
              <w:rPr>
                <w:rStyle w:val="Hyperlink"/>
                <w:noProof/>
              </w:rPr>
              <w:t>3.13</w:t>
            </w:r>
            <w:r>
              <w:rPr>
                <w:rFonts w:asciiTheme="minorHAnsi" w:eastAsiaTheme="minorEastAsia" w:hAnsiTheme="minorHAnsi"/>
                <w:noProof/>
                <w:kern w:val="2"/>
                <w:sz w:val="24"/>
                <w:szCs w:val="24"/>
                <w:lang w:eastAsia="en-GB"/>
                <w14:ligatures w14:val="standardContextual"/>
              </w:rPr>
              <w:tab/>
            </w:r>
            <w:r w:rsidRPr="00337CB9">
              <w:rPr>
                <w:rStyle w:val="Hyperlink"/>
                <w:noProof/>
              </w:rPr>
              <w:t>Ethical Considerations</w:t>
            </w:r>
            <w:r>
              <w:rPr>
                <w:noProof/>
                <w:webHidden/>
              </w:rPr>
              <w:tab/>
            </w:r>
            <w:r>
              <w:rPr>
                <w:noProof/>
                <w:webHidden/>
              </w:rPr>
              <w:fldChar w:fldCharType="begin"/>
            </w:r>
            <w:r>
              <w:rPr>
                <w:noProof/>
                <w:webHidden/>
              </w:rPr>
              <w:instrText xml:space="preserve"> PAGEREF _Toc241147026 \h </w:instrText>
            </w:r>
            <w:r>
              <w:rPr>
                <w:noProof/>
                <w:webHidden/>
              </w:rPr>
            </w:r>
            <w:r>
              <w:rPr>
                <w:noProof/>
                <w:webHidden/>
              </w:rPr>
              <w:fldChar w:fldCharType="separate"/>
            </w:r>
            <w:r>
              <w:rPr>
                <w:noProof/>
                <w:webHidden/>
              </w:rPr>
              <w:t>28</w:t>
            </w:r>
            <w:r>
              <w:rPr>
                <w:noProof/>
                <w:webHidden/>
              </w:rPr>
              <w:fldChar w:fldCharType="end"/>
            </w:r>
          </w:hyperlink>
        </w:p>
        <w:p w14:paraId="422583F9" w14:textId="3E36C0BA"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27" w:history="1">
            <w:r w:rsidRPr="00337CB9">
              <w:rPr>
                <w:rStyle w:val="Hyperlink"/>
                <w:noProof/>
              </w:rPr>
              <w:t>3.14</w:t>
            </w:r>
            <w:r>
              <w:rPr>
                <w:rFonts w:asciiTheme="minorHAnsi" w:eastAsiaTheme="minorEastAsia" w:hAnsiTheme="minorHAnsi"/>
                <w:noProof/>
                <w:kern w:val="2"/>
                <w:sz w:val="24"/>
                <w:szCs w:val="24"/>
                <w:lang w:eastAsia="en-GB"/>
                <w14:ligatures w14:val="standardContextual"/>
              </w:rPr>
              <w:tab/>
            </w:r>
            <w:r w:rsidRPr="00337CB9">
              <w:rPr>
                <w:rStyle w:val="Hyperlink"/>
                <w:noProof/>
              </w:rPr>
              <w:t>Chapter Summary</w:t>
            </w:r>
            <w:r>
              <w:rPr>
                <w:noProof/>
                <w:webHidden/>
              </w:rPr>
              <w:tab/>
            </w:r>
            <w:r>
              <w:rPr>
                <w:noProof/>
                <w:webHidden/>
              </w:rPr>
              <w:fldChar w:fldCharType="begin"/>
            </w:r>
            <w:r>
              <w:rPr>
                <w:noProof/>
                <w:webHidden/>
              </w:rPr>
              <w:instrText xml:space="preserve"> PAGEREF _Toc241147027 \h </w:instrText>
            </w:r>
            <w:r>
              <w:rPr>
                <w:noProof/>
                <w:webHidden/>
              </w:rPr>
            </w:r>
            <w:r>
              <w:rPr>
                <w:noProof/>
                <w:webHidden/>
              </w:rPr>
              <w:fldChar w:fldCharType="separate"/>
            </w:r>
            <w:r>
              <w:rPr>
                <w:noProof/>
                <w:webHidden/>
              </w:rPr>
              <w:t>29</w:t>
            </w:r>
            <w:r>
              <w:rPr>
                <w:noProof/>
                <w:webHidden/>
              </w:rPr>
              <w:fldChar w:fldCharType="end"/>
            </w:r>
          </w:hyperlink>
        </w:p>
        <w:p w14:paraId="3444D228" w14:textId="0B3F8A1E" w:rsidR="005F4E12" w:rsidRDefault="005F4E12" w:rsidP="005F4E12">
          <w:pPr>
            <w:pStyle w:val="TOC1"/>
            <w:tabs>
              <w:tab w:val="left" w:pos="44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28" w:history="1">
            <w:r w:rsidRPr="00337CB9">
              <w:rPr>
                <w:rStyle w:val="Hyperlink"/>
                <w:noProof/>
              </w:rPr>
              <w:t>4</w:t>
            </w:r>
            <w:r>
              <w:rPr>
                <w:rFonts w:asciiTheme="minorHAnsi" w:eastAsiaTheme="minorEastAsia" w:hAnsiTheme="minorHAnsi"/>
                <w:noProof/>
                <w:kern w:val="2"/>
                <w:sz w:val="24"/>
                <w:szCs w:val="24"/>
                <w:lang w:eastAsia="en-GB"/>
                <w14:ligatures w14:val="standardContextual"/>
              </w:rPr>
              <w:tab/>
            </w:r>
            <w:r w:rsidRPr="00337CB9">
              <w:rPr>
                <w:rStyle w:val="Hyperlink"/>
                <w:noProof/>
              </w:rPr>
              <w:t>CHAPTER 4: DATA ANALYSIS AND DISCUSSION</w:t>
            </w:r>
            <w:r>
              <w:rPr>
                <w:noProof/>
                <w:webHidden/>
              </w:rPr>
              <w:tab/>
            </w:r>
            <w:r>
              <w:rPr>
                <w:noProof/>
                <w:webHidden/>
              </w:rPr>
              <w:fldChar w:fldCharType="begin"/>
            </w:r>
            <w:r>
              <w:rPr>
                <w:noProof/>
                <w:webHidden/>
              </w:rPr>
              <w:instrText xml:space="preserve"> PAGEREF _Toc241147028 \h </w:instrText>
            </w:r>
            <w:r>
              <w:rPr>
                <w:noProof/>
                <w:webHidden/>
              </w:rPr>
            </w:r>
            <w:r>
              <w:rPr>
                <w:noProof/>
                <w:webHidden/>
              </w:rPr>
              <w:fldChar w:fldCharType="separate"/>
            </w:r>
            <w:r>
              <w:rPr>
                <w:noProof/>
                <w:webHidden/>
              </w:rPr>
              <w:t>30</w:t>
            </w:r>
            <w:r>
              <w:rPr>
                <w:noProof/>
                <w:webHidden/>
              </w:rPr>
              <w:fldChar w:fldCharType="end"/>
            </w:r>
          </w:hyperlink>
        </w:p>
        <w:p w14:paraId="4F3F152F" w14:textId="34407961"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29" w:history="1">
            <w:r w:rsidRPr="00337CB9">
              <w:rPr>
                <w:rStyle w:val="Hyperlink"/>
                <w:noProof/>
              </w:rPr>
              <w:t>4.1</w:t>
            </w:r>
            <w:r>
              <w:rPr>
                <w:rFonts w:asciiTheme="minorHAnsi" w:eastAsiaTheme="minorEastAsia" w:hAnsiTheme="minorHAnsi"/>
                <w:noProof/>
                <w:kern w:val="2"/>
                <w:sz w:val="24"/>
                <w:szCs w:val="24"/>
                <w:lang w:eastAsia="en-GB"/>
                <w14:ligatures w14:val="standardContextual"/>
              </w:rPr>
              <w:tab/>
            </w:r>
            <w:r w:rsidRPr="00337CB9">
              <w:rPr>
                <w:rStyle w:val="Hyperlink"/>
                <w:noProof/>
              </w:rPr>
              <w:t>Introduction</w:t>
            </w:r>
            <w:r>
              <w:rPr>
                <w:noProof/>
                <w:webHidden/>
              </w:rPr>
              <w:tab/>
            </w:r>
            <w:r>
              <w:rPr>
                <w:noProof/>
                <w:webHidden/>
              </w:rPr>
              <w:fldChar w:fldCharType="begin"/>
            </w:r>
            <w:r>
              <w:rPr>
                <w:noProof/>
                <w:webHidden/>
              </w:rPr>
              <w:instrText xml:space="preserve"> PAGEREF _Toc241147029 \h </w:instrText>
            </w:r>
            <w:r>
              <w:rPr>
                <w:noProof/>
                <w:webHidden/>
              </w:rPr>
            </w:r>
            <w:r>
              <w:rPr>
                <w:noProof/>
                <w:webHidden/>
              </w:rPr>
              <w:fldChar w:fldCharType="separate"/>
            </w:r>
            <w:r>
              <w:rPr>
                <w:noProof/>
                <w:webHidden/>
              </w:rPr>
              <w:t>30</w:t>
            </w:r>
            <w:r>
              <w:rPr>
                <w:noProof/>
                <w:webHidden/>
              </w:rPr>
              <w:fldChar w:fldCharType="end"/>
            </w:r>
          </w:hyperlink>
        </w:p>
        <w:p w14:paraId="421C7EF2" w14:textId="6C3B6257"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30" w:history="1">
            <w:r w:rsidRPr="00337CB9">
              <w:rPr>
                <w:rStyle w:val="Hyperlink"/>
                <w:noProof/>
              </w:rPr>
              <w:t>4.2</w:t>
            </w:r>
            <w:r>
              <w:rPr>
                <w:rFonts w:asciiTheme="minorHAnsi" w:eastAsiaTheme="minorEastAsia" w:hAnsiTheme="minorHAnsi"/>
                <w:noProof/>
                <w:kern w:val="2"/>
                <w:sz w:val="24"/>
                <w:szCs w:val="24"/>
                <w:lang w:eastAsia="en-GB"/>
                <w14:ligatures w14:val="standardContextual"/>
              </w:rPr>
              <w:tab/>
            </w:r>
            <w:r w:rsidRPr="00337CB9">
              <w:rPr>
                <w:rStyle w:val="Hyperlink"/>
                <w:noProof/>
              </w:rPr>
              <w:t>Data Analysis Process</w:t>
            </w:r>
            <w:r>
              <w:rPr>
                <w:noProof/>
                <w:webHidden/>
              </w:rPr>
              <w:tab/>
            </w:r>
            <w:r>
              <w:rPr>
                <w:noProof/>
                <w:webHidden/>
              </w:rPr>
              <w:fldChar w:fldCharType="begin"/>
            </w:r>
            <w:r>
              <w:rPr>
                <w:noProof/>
                <w:webHidden/>
              </w:rPr>
              <w:instrText xml:space="preserve"> PAGEREF _Toc241147030 \h </w:instrText>
            </w:r>
            <w:r>
              <w:rPr>
                <w:noProof/>
                <w:webHidden/>
              </w:rPr>
            </w:r>
            <w:r>
              <w:rPr>
                <w:noProof/>
                <w:webHidden/>
              </w:rPr>
              <w:fldChar w:fldCharType="separate"/>
            </w:r>
            <w:r>
              <w:rPr>
                <w:noProof/>
                <w:webHidden/>
              </w:rPr>
              <w:t>30</w:t>
            </w:r>
            <w:r>
              <w:rPr>
                <w:noProof/>
                <w:webHidden/>
              </w:rPr>
              <w:fldChar w:fldCharType="end"/>
            </w:r>
          </w:hyperlink>
        </w:p>
        <w:p w14:paraId="5A3EDFB5" w14:textId="3E1F8E55"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31" w:history="1">
            <w:r w:rsidRPr="00337CB9">
              <w:rPr>
                <w:rStyle w:val="Hyperlink"/>
                <w:noProof/>
              </w:rPr>
              <w:t>4.3</w:t>
            </w:r>
            <w:r>
              <w:rPr>
                <w:rFonts w:asciiTheme="minorHAnsi" w:eastAsiaTheme="minorEastAsia" w:hAnsiTheme="minorHAnsi"/>
                <w:noProof/>
                <w:kern w:val="2"/>
                <w:sz w:val="24"/>
                <w:szCs w:val="24"/>
                <w:lang w:eastAsia="en-GB"/>
                <w14:ligatures w14:val="standardContextual"/>
              </w:rPr>
              <w:tab/>
            </w:r>
            <w:r w:rsidRPr="00337CB9">
              <w:rPr>
                <w:rStyle w:val="Hyperlink"/>
                <w:noProof/>
              </w:rPr>
              <w:t>Theme One: Liquidity Efficiency and Financial Resilience</w:t>
            </w:r>
            <w:r>
              <w:rPr>
                <w:noProof/>
                <w:webHidden/>
              </w:rPr>
              <w:tab/>
            </w:r>
            <w:r>
              <w:rPr>
                <w:noProof/>
                <w:webHidden/>
              </w:rPr>
              <w:fldChar w:fldCharType="begin"/>
            </w:r>
            <w:r>
              <w:rPr>
                <w:noProof/>
                <w:webHidden/>
              </w:rPr>
              <w:instrText xml:space="preserve"> PAGEREF _Toc241147031 \h </w:instrText>
            </w:r>
            <w:r>
              <w:rPr>
                <w:noProof/>
                <w:webHidden/>
              </w:rPr>
            </w:r>
            <w:r>
              <w:rPr>
                <w:noProof/>
                <w:webHidden/>
              </w:rPr>
              <w:fldChar w:fldCharType="separate"/>
            </w:r>
            <w:r>
              <w:rPr>
                <w:noProof/>
                <w:webHidden/>
              </w:rPr>
              <w:t>32</w:t>
            </w:r>
            <w:r>
              <w:rPr>
                <w:noProof/>
                <w:webHidden/>
              </w:rPr>
              <w:fldChar w:fldCharType="end"/>
            </w:r>
          </w:hyperlink>
        </w:p>
        <w:p w14:paraId="3918FBC5" w14:textId="440C83C0"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32" w:history="1">
            <w:r w:rsidRPr="00337CB9">
              <w:rPr>
                <w:rStyle w:val="Hyperlink"/>
                <w:noProof/>
              </w:rPr>
              <w:t>4.4</w:t>
            </w:r>
            <w:r>
              <w:rPr>
                <w:rFonts w:asciiTheme="minorHAnsi" w:eastAsiaTheme="minorEastAsia" w:hAnsiTheme="minorHAnsi"/>
                <w:noProof/>
                <w:kern w:val="2"/>
                <w:sz w:val="24"/>
                <w:szCs w:val="24"/>
                <w:lang w:eastAsia="en-GB"/>
                <w14:ligatures w14:val="standardContextual"/>
              </w:rPr>
              <w:tab/>
            </w:r>
            <w:r w:rsidRPr="00337CB9">
              <w:rPr>
                <w:rStyle w:val="Hyperlink"/>
                <w:noProof/>
              </w:rPr>
              <w:t>Theme Two: Disciplined Credit Management and Payment Control</w:t>
            </w:r>
            <w:r>
              <w:rPr>
                <w:noProof/>
                <w:webHidden/>
              </w:rPr>
              <w:tab/>
            </w:r>
            <w:r>
              <w:rPr>
                <w:noProof/>
                <w:webHidden/>
              </w:rPr>
              <w:fldChar w:fldCharType="begin"/>
            </w:r>
            <w:r>
              <w:rPr>
                <w:noProof/>
                <w:webHidden/>
              </w:rPr>
              <w:instrText xml:space="preserve"> PAGEREF _Toc241147032 \h </w:instrText>
            </w:r>
            <w:r>
              <w:rPr>
                <w:noProof/>
                <w:webHidden/>
              </w:rPr>
            </w:r>
            <w:r>
              <w:rPr>
                <w:noProof/>
                <w:webHidden/>
              </w:rPr>
              <w:fldChar w:fldCharType="separate"/>
            </w:r>
            <w:r>
              <w:rPr>
                <w:noProof/>
                <w:webHidden/>
              </w:rPr>
              <w:t>35</w:t>
            </w:r>
            <w:r>
              <w:rPr>
                <w:noProof/>
                <w:webHidden/>
              </w:rPr>
              <w:fldChar w:fldCharType="end"/>
            </w:r>
          </w:hyperlink>
        </w:p>
        <w:p w14:paraId="0E7F8651" w14:textId="0C860621"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33" w:history="1">
            <w:r w:rsidRPr="00337CB9">
              <w:rPr>
                <w:rStyle w:val="Hyperlink"/>
                <w:noProof/>
              </w:rPr>
              <w:t>4.5</w:t>
            </w:r>
            <w:r>
              <w:rPr>
                <w:rFonts w:asciiTheme="minorHAnsi" w:eastAsiaTheme="minorEastAsia" w:hAnsiTheme="minorHAnsi"/>
                <w:noProof/>
                <w:kern w:val="2"/>
                <w:sz w:val="24"/>
                <w:szCs w:val="24"/>
                <w:lang w:eastAsia="en-GB"/>
                <w14:ligatures w14:val="standardContextual"/>
              </w:rPr>
              <w:tab/>
            </w:r>
            <w:r w:rsidRPr="00337CB9">
              <w:rPr>
                <w:rStyle w:val="Hyperlink"/>
                <w:noProof/>
              </w:rPr>
              <w:t>Theme Three: Adaptive Market-Risk Capability</w:t>
            </w:r>
            <w:r>
              <w:rPr>
                <w:noProof/>
                <w:webHidden/>
              </w:rPr>
              <w:tab/>
            </w:r>
            <w:r>
              <w:rPr>
                <w:noProof/>
                <w:webHidden/>
              </w:rPr>
              <w:fldChar w:fldCharType="begin"/>
            </w:r>
            <w:r>
              <w:rPr>
                <w:noProof/>
                <w:webHidden/>
              </w:rPr>
              <w:instrText xml:space="preserve"> PAGEREF _Toc241147033 \h </w:instrText>
            </w:r>
            <w:r>
              <w:rPr>
                <w:noProof/>
                <w:webHidden/>
              </w:rPr>
            </w:r>
            <w:r>
              <w:rPr>
                <w:noProof/>
                <w:webHidden/>
              </w:rPr>
              <w:fldChar w:fldCharType="separate"/>
            </w:r>
            <w:r>
              <w:rPr>
                <w:noProof/>
                <w:webHidden/>
              </w:rPr>
              <w:t>37</w:t>
            </w:r>
            <w:r>
              <w:rPr>
                <w:noProof/>
                <w:webHidden/>
              </w:rPr>
              <w:fldChar w:fldCharType="end"/>
            </w:r>
          </w:hyperlink>
        </w:p>
        <w:p w14:paraId="4D508B6B" w14:textId="5043F2B0"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34" w:history="1">
            <w:r w:rsidRPr="00337CB9">
              <w:rPr>
                <w:rStyle w:val="Hyperlink"/>
                <w:noProof/>
              </w:rPr>
              <w:t>4.6</w:t>
            </w:r>
            <w:r>
              <w:rPr>
                <w:rFonts w:asciiTheme="minorHAnsi" w:eastAsiaTheme="minorEastAsia" w:hAnsiTheme="minorHAnsi"/>
                <w:noProof/>
                <w:kern w:val="2"/>
                <w:sz w:val="24"/>
                <w:szCs w:val="24"/>
                <w:lang w:eastAsia="en-GB"/>
                <w14:ligatures w14:val="standardContextual"/>
              </w:rPr>
              <w:tab/>
            </w:r>
            <w:r w:rsidRPr="00337CB9">
              <w:rPr>
                <w:rStyle w:val="Hyperlink"/>
                <w:noProof/>
              </w:rPr>
              <w:t>Cross-Theme Analysis</w:t>
            </w:r>
            <w:r>
              <w:rPr>
                <w:noProof/>
                <w:webHidden/>
              </w:rPr>
              <w:tab/>
            </w:r>
            <w:r>
              <w:rPr>
                <w:noProof/>
                <w:webHidden/>
              </w:rPr>
              <w:fldChar w:fldCharType="begin"/>
            </w:r>
            <w:r>
              <w:rPr>
                <w:noProof/>
                <w:webHidden/>
              </w:rPr>
              <w:instrText xml:space="preserve"> PAGEREF _Toc241147034 \h </w:instrText>
            </w:r>
            <w:r>
              <w:rPr>
                <w:noProof/>
                <w:webHidden/>
              </w:rPr>
            </w:r>
            <w:r>
              <w:rPr>
                <w:noProof/>
                <w:webHidden/>
              </w:rPr>
              <w:fldChar w:fldCharType="separate"/>
            </w:r>
            <w:r>
              <w:rPr>
                <w:noProof/>
                <w:webHidden/>
              </w:rPr>
              <w:t>40</w:t>
            </w:r>
            <w:r>
              <w:rPr>
                <w:noProof/>
                <w:webHidden/>
              </w:rPr>
              <w:fldChar w:fldCharType="end"/>
            </w:r>
          </w:hyperlink>
        </w:p>
        <w:p w14:paraId="26017857" w14:textId="07ACBD6D"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35" w:history="1">
            <w:r w:rsidRPr="00337CB9">
              <w:rPr>
                <w:rStyle w:val="Hyperlink"/>
                <w:noProof/>
              </w:rPr>
              <w:t>4.7</w:t>
            </w:r>
            <w:r>
              <w:rPr>
                <w:rFonts w:asciiTheme="minorHAnsi" w:eastAsiaTheme="minorEastAsia" w:hAnsiTheme="minorHAnsi"/>
                <w:noProof/>
                <w:kern w:val="2"/>
                <w:sz w:val="24"/>
                <w:szCs w:val="24"/>
                <w:lang w:eastAsia="en-GB"/>
                <w14:ligatures w14:val="standardContextual"/>
              </w:rPr>
              <w:tab/>
            </w:r>
            <w:r w:rsidRPr="00337CB9">
              <w:rPr>
                <w:rStyle w:val="Hyperlink"/>
                <w:noProof/>
              </w:rPr>
              <w:t>Theoretical Interpretation of the Findings</w:t>
            </w:r>
            <w:r>
              <w:rPr>
                <w:noProof/>
                <w:webHidden/>
              </w:rPr>
              <w:tab/>
            </w:r>
            <w:r>
              <w:rPr>
                <w:noProof/>
                <w:webHidden/>
              </w:rPr>
              <w:fldChar w:fldCharType="begin"/>
            </w:r>
            <w:r>
              <w:rPr>
                <w:noProof/>
                <w:webHidden/>
              </w:rPr>
              <w:instrText xml:space="preserve"> PAGEREF _Toc241147035 \h </w:instrText>
            </w:r>
            <w:r>
              <w:rPr>
                <w:noProof/>
                <w:webHidden/>
              </w:rPr>
            </w:r>
            <w:r>
              <w:rPr>
                <w:noProof/>
                <w:webHidden/>
              </w:rPr>
              <w:fldChar w:fldCharType="separate"/>
            </w:r>
            <w:r>
              <w:rPr>
                <w:noProof/>
                <w:webHidden/>
              </w:rPr>
              <w:t>42</w:t>
            </w:r>
            <w:r>
              <w:rPr>
                <w:noProof/>
                <w:webHidden/>
              </w:rPr>
              <w:fldChar w:fldCharType="end"/>
            </w:r>
          </w:hyperlink>
        </w:p>
        <w:p w14:paraId="21726DBC" w14:textId="554672A2"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36" w:history="1">
            <w:r w:rsidRPr="00337CB9">
              <w:rPr>
                <w:rStyle w:val="Hyperlink"/>
                <w:noProof/>
              </w:rPr>
              <w:t>4.8</w:t>
            </w:r>
            <w:r>
              <w:rPr>
                <w:rFonts w:asciiTheme="minorHAnsi" w:eastAsiaTheme="minorEastAsia" w:hAnsiTheme="minorHAnsi"/>
                <w:noProof/>
                <w:kern w:val="2"/>
                <w:sz w:val="24"/>
                <w:szCs w:val="24"/>
                <w:lang w:eastAsia="en-GB"/>
                <w14:ligatures w14:val="standardContextual"/>
              </w:rPr>
              <w:tab/>
            </w:r>
            <w:r w:rsidRPr="00337CB9">
              <w:rPr>
                <w:rStyle w:val="Hyperlink"/>
                <w:noProof/>
              </w:rPr>
              <w:t>Chapter Summary</w:t>
            </w:r>
            <w:r>
              <w:rPr>
                <w:noProof/>
                <w:webHidden/>
              </w:rPr>
              <w:tab/>
            </w:r>
            <w:r>
              <w:rPr>
                <w:noProof/>
                <w:webHidden/>
              </w:rPr>
              <w:fldChar w:fldCharType="begin"/>
            </w:r>
            <w:r>
              <w:rPr>
                <w:noProof/>
                <w:webHidden/>
              </w:rPr>
              <w:instrText xml:space="preserve"> PAGEREF _Toc241147036 \h </w:instrText>
            </w:r>
            <w:r>
              <w:rPr>
                <w:noProof/>
                <w:webHidden/>
              </w:rPr>
            </w:r>
            <w:r>
              <w:rPr>
                <w:noProof/>
                <w:webHidden/>
              </w:rPr>
              <w:fldChar w:fldCharType="separate"/>
            </w:r>
            <w:r>
              <w:rPr>
                <w:noProof/>
                <w:webHidden/>
              </w:rPr>
              <w:t>44</w:t>
            </w:r>
            <w:r>
              <w:rPr>
                <w:noProof/>
                <w:webHidden/>
              </w:rPr>
              <w:fldChar w:fldCharType="end"/>
            </w:r>
          </w:hyperlink>
        </w:p>
        <w:p w14:paraId="3DE88DC1" w14:textId="01084104" w:rsidR="005F4E12" w:rsidRDefault="005F4E12" w:rsidP="005F4E12">
          <w:pPr>
            <w:pStyle w:val="TOC1"/>
            <w:tabs>
              <w:tab w:val="left" w:pos="44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37" w:history="1">
            <w:r w:rsidRPr="00337CB9">
              <w:rPr>
                <w:rStyle w:val="Hyperlink"/>
                <w:noProof/>
              </w:rPr>
              <w:t>5</w:t>
            </w:r>
            <w:r>
              <w:rPr>
                <w:rFonts w:asciiTheme="minorHAnsi" w:eastAsiaTheme="minorEastAsia" w:hAnsiTheme="minorHAnsi"/>
                <w:noProof/>
                <w:kern w:val="2"/>
                <w:sz w:val="24"/>
                <w:szCs w:val="24"/>
                <w:lang w:eastAsia="en-GB"/>
                <w14:ligatures w14:val="standardContextual"/>
              </w:rPr>
              <w:tab/>
            </w:r>
            <w:r w:rsidRPr="00337CB9">
              <w:rPr>
                <w:rStyle w:val="Hyperlink"/>
                <w:noProof/>
              </w:rPr>
              <w:t>CHAPTER 5: CONCLUSION AND RECOMMENDATIONS</w:t>
            </w:r>
            <w:r>
              <w:rPr>
                <w:noProof/>
                <w:webHidden/>
              </w:rPr>
              <w:tab/>
            </w:r>
            <w:r>
              <w:rPr>
                <w:noProof/>
                <w:webHidden/>
              </w:rPr>
              <w:fldChar w:fldCharType="begin"/>
            </w:r>
            <w:r>
              <w:rPr>
                <w:noProof/>
                <w:webHidden/>
              </w:rPr>
              <w:instrText xml:space="preserve"> PAGEREF _Toc241147037 \h </w:instrText>
            </w:r>
            <w:r>
              <w:rPr>
                <w:noProof/>
                <w:webHidden/>
              </w:rPr>
            </w:r>
            <w:r>
              <w:rPr>
                <w:noProof/>
                <w:webHidden/>
              </w:rPr>
              <w:fldChar w:fldCharType="separate"/>
            </w:r>
            <w:r>
              <w:rPr>
                <w:noProof/>
                <w:webHidden/>
              </w:rPr>
              <w:t>45</w:t>
            </w:r>
            <w:r>
              <w:rPr>
                <w:noProof/>
                <w:webHidden/>
              </w:rPr>
              <w:fldChar w:fldCharType="end"/>
            </w:r>
          </w:hyperlink>
        </w:p>
        <w:p w14:paraId="1D92F165" w14:textId="503DB031"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38" w:history="1">
            <w:r w:rsidRPr="00337CB9">
              <w:rPr>
                <w:rStyle w:val="Hyperlink"/>
                <w:noProof/>
              </w:rPr>
              <w:t>5.1</w:t>
            </w:r>
            <w:r>
              <w:rPr>
                <w:rFonts w:asciiTheme="minorHAnsi" w:eastAsiaTheme="minorEastAsia" w:hAnsiTheme="minorHAnsi"/>
                <w:noProof/>
                <w:kern w:val="2"/>
                <w:sz w:val="24"/>
                <w:szCs w:val="24"/>
                <w:lang w:eastAsia="en-GB"/>
                <w14:ligatures w14:val="standardContextual"/>
              </w:rPr>
              <w:tab/>
            </w:r>
            <w:r w:rsidRPr="00337CB9">
              <w:rPr>
                <w:rStyle w:val="Hyperlink"/>
                <w:noProof/>
              </w:rPr>
              <w:t>Chapter Introduction</w:t>
            </w:r>
            <w:r>
              <w:rPr>
                <w:noProof/>
                <w:webHidden/>
              </w:rPr>
              <w:tab/>
            </w:r>
            <w:r>
              <w:rPr>
                <w:noProof/>
                <w:webHidden/>
              </w:rPr>
              <w:fldChar w:fldCharType="begin"/>
            </w:r>
            <w:r>
              <w:rPr>
                <w:noProof/>
                <w:webHidden/>
              </w:rPr>
              <w:instrText xml:space="preserve"> PAGEREF _Toc241147038 \h </w:instrText>
            </w:r>
            <w:r>
              <w:rPr>
                <w:noProof/>
                <w:webHidden/>
              </w:rPr>
            </w:r>
            <w:r>
              <w:rPr>
                <w:noProof/>
                <w:webHidden/>
              </w:rPr>
              <w:fldChar w:fldCharType="separate"/>
            </w:r>
            <w:r>
              <w:rPr>
                <w:noProof/>
                <w:webHidden/>
              </w:rPr>
              <w:t>45</w:t>
            </w:r>
            <w:r>
              <w:rPr>
                <w:noProof/>
                <w:webHidden/>
              </w:rPr>
              <w:fldChar w:fldCharType="end"/>
            </w:r>
          </w:hyperlink>
        </w:p>
        <w:p w14:paraId="29435FB9" w14:textId="4D5E03EC"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39" w:history="1">
            <w:r w:rsidRPr="00337CB9">
              <w:rPr>
                <w:rStyle w:val="Hyperlink"/>
                <w:noProof/>
              </w:rPr>
              <w:t>5.2</w:t>
            </w:r>
            <w:r>
              <w:rPr>
                <w:rFonts w:asciiTheme="minorHAnsi" w:eastAsiaTheme="minorEastAsia" w:hAnsiTheme="minorHAnsi"/>
                <w:noProof/>
                <w:kern w:val="2"/>
                <w:sz w:val="24"/>
                <w:szCs w:val="24"/>
                <w:lang w:eastAsia="en-GB"/>
                <w14:ligatures w14:val="standardContextual"/>
              </w:rPr>
              <w:tab/>
            </w:r>
            <w:r w:rsidRPr="00337CB9">
              <w:rPr>
                <w:rStyle w:val="Hyperlink"/>
                <w:noProof/>
              </w:rPr>
              <w:t>Conclusion in Relation to Objective One: Liquidity Risk Management</w:t>
            </w:r>
            <w:r>
              <w:rPr>
                <w:noProof/>
                <w:webHidden/>
              </w:rPr>
              <w:tab/>
            </w:r>
            <w:r>
              <w:rPr>
                <w:noProof/>
                <w:webHidden/>
              </w:rPr>
              <w:fldChar w:fldCharType="begin"/>
            </w:r>
            <w:r>
              <w:rPr>
                <w:noProof/>
                <w:webHidden/>
              </w:rPr>
              <w:instrText xml:space="preserve"> PAGEREF _Toc241147039 \h </w:instrText>
            </w:r>
            <w:r>
              <w:rPr>
                <w:noProof/>
                <w:webHidden/>
              </w:rPr>
            </w:r>
            <w:r>
              <w:rPr>
                <w:noProof/>
                <w:webHidden/>
              </w:rPr>
              <w:fldChar w:fldCharType="separate"/>
            </w:r>
            <w:r>
              <w:rPr>
                <w:noProof/>
                <w:webHidden/>
              </w:rPr>
              <w:t>45</w:t>
            </w:r>
            <w:r>
              <w:rPr>
                <w:noProof/>
                <w:webHidden/>
              </w:rPr>
              <w:fldChar w:fldCharType="end"/>
            </w:r>
          </w:hyperlink>
        </w:p>
        <w:p w14:paraId="18BC003F" w14:textId="08006D44"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40" w:history="1">
            <w:r w:rsidRPr="00337CB9">
              <w:rPr>
                <w:rStyle w:val="Hyperlink"/>
                <w:noProof/>
              </w:rPr>
              <w:t>5.3</w:t>
            </w:r>
            <w:r>
              <w:rPr>
                <w:rFonts w:asciiTheme="minorHAnsi" w:eastAsiaTheme="minorEastAsia" w:hAnsiTheme="minorHAnsi"/>
                <w:noProof/>
                <w:kern w:val="2"/>
                <w:sz w:val="24"/>
                <w:szCs w:val="24"/>
                <w:lang w:eastAsia="en-GB"/>
                <w14:ligatures w14:val="standardContextual"/>
              </w:rPr>
              <w:tab/>
            </w:r>
            <w:r w:rsidRPr="00337CB9">
              <w:rPr>
                <w:rStyle w:val="Hyperlink"/>
                <w:noProof/>
              </w:rPr>
              <w:t>Conclusion in Relation to Objective Two: Credit Risk Management</w:t>
            </w:r>
            <w:r>
              <w:rPr>
                <w:noProof/>
                <w:webHidden/>
              </w:rPr>
              <w:tab/>
            </w:r>
            <w:r>
              <w:rPr>
                <w:noProof/>
                <w:webHidden/>
              </w:rPr>
              <w:fldChar w:fldCharType="begin"/>
            </w:r>
            <w:r>
              <w:rPr>
                <w:noProof/>
                <w:webHidden/>
              </w:rPr>
              <w:instrText xml:space="preserve"> PAGEREF _Toc241147040 \h </w:instrText>
            </w:r>
            <w:r>
              <w:rPr>
                <w:noProof/>
                <w:webHidden/>
              </w:rPr>
            </w:r>
            <w:r>
              <w:rPr>
                <w:noProof/>
                <w:webHidden/>
              </w:rPr>
              <w:fldChar w:fldCharType="separate"/>
            </w:r>
            <w:r>
              <w:rPr>
                <w:noProof/>
                <w:webHidden/>
              </w:rPr>
              <w:t>45</w:t>
            </w:r>
            <w:r>
              <w:rPr>
                <w:noProof/>
                <w:webHidden/>
              </w:rPr>
              <w:fldChar w:fldCharType="end"/>
            </w:r>
          </w:hyperlink>
        </w:p>
        <w:p w14:paraId="7F6221A9" w14:textId="46D3FF4F"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41" w:history="1">
            <w:r w:rsidRPr="00337CB9">
              <w:rPr>
                <w:rStyle w:val="Hyperlink"/>
                <w:noProof/>
              </w:rPr>
              <w:t>5.4</w:t>
            </w:r>
            <w:r>
              <w:rPr>
                <w:rFonts w:asciiTheme="minorHAnsi" w:eastAsiaTheme="minorEastAsia" w:hAnsiTheme="minorHAnsi"/>
                <w:noProof/>
                <w:kern w:val="2"/>
                <w:sz w:val="24"/>
                <w:szCs w:val="24"/>
                <w:lang w:eastAsia="en-GB"/>
                <w14:ligatures w14:val="standardContextual"/>
              </w:rPr>
              <w:tab/>
            </w:r>
            <w:r w:rsidRPr="00337CB9">
              <w:rPr>
                <w:rStyle w:val="Hyperlink"/>
                <w:noProof/>
              </w:rPr>
              <w:t>Conclusion in Relation to Objective Three: Market-Risk Management</w:t>
            </w:r>
            <w:r>
              <w:rPr>
                <w:noProof/>
                <w:webHidden/>
              </w:rPr>
              <w:tab/>
            </w:r>
            <w:r>
              <w:rPr>
                <w:noProof/>
                <w:webHidden/>
              </w:rPr>
              <w:fldChar w:fldCharType="begin"/>
            </w:r>
            <w:r>
              <w:rPr>
                <w:noProof/>
                <w:webHidden/>
              </w:rPr>
              <w:instrText xml:space="preserve"> PAGEREF _Toc241147041 \h </w:instrText>
            </w:r>
            <w:r>
              <w:rPr>
                <w:noProof/>
                <w:webHidden/>
              </w:rPr>
            </w:r>
            <w:r>
              <w:rPr>
                <w:noProof/>
                <w:webHidden/>
              </w:rPr>
              <w:fldChar w:fldCharType="separate"/>
            </w:r>
            <w:r>
              <w:rPr>
                <w:noProof/>
                <w:webHidden/>
              </w:rPr>
              <w:t>46</w:t>
            </w:r>
            <w:r>
              <w:rPr>
                <w:noProof/>
                <w:webHidden/>
              </w:rPr>
              <w:fldChar w:fldCharType="end"/>
            </w:r>
          </w:hyperlink>
        </w:p>
        <w:p w14:paraId="72B25A1C" w14:textId="7FEF4FC8"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42" w:history="1">
            <w:r w:rsidRPr="00337CB9">
              <w:rPr>
                <w:rStyle w:val="Hyperlink"/>
                <w:noProof/>
              </w:rPr>
              <w:t>5.5</w:t>
            </w:r>
            <w:r>
              <w:rPr>
                <w:rFonts w:asciiTheme="minorHAnsi" w:eastAsiaTheme="minorEastAsia" w:hAnsiTheme="minorHAnsi"/>
                <w:noProof/>
                <w:kern w:val="2"/>
                <w:sz w:val="24"/>
                <w:szCs w:val="24"/>
                <w:lang w:eastAsia="en-GB"/>
                <w14:ligatures w14:val="standardContextual"/>
              </w:rPr>
              <w:tab/>
            </w:r>
            <w:r w:rsidRPr="00337CB9">
              <w:rPr>
                <w:rStyle w:val="Hyperlink"/>
                <w:noProof/>
              </w:rPr>
              <w:t>Recommendations</w:t>
            </w:r>
            <w:r>
              <w:rPr>
                <w:noProof/>
                <w:webHidden/>
              </w:rPr>
              <w:tab/>
            </w:r>
            <w:r>
              <w:rPr>
                <w:noProof/>
                <w:webHidden/>
              </w:rPr>
              <w:fldChar w:fldCharType="begin"/>
            </w:r>
            <w:r>
              <w:rPr>
                <w:noProof/>
                <w:webHidden/>
              </w:rPr>
              <w:instrText xml:space="preserve"> PAGEREF _Toc241147042 \h </w:instrText>
            </w:r>
            <w:r>
              <w:rPr>
                <w:noProof/>
                <w:webHidden/>
              </w:rPr>
            </w:r>
            <w:r>
              <w:rPr>
                <w:noProof/>
                <w:webHidden/>
              </w:rPr>
              <w:fldChar w:fldCharType="separate"/>
            </w:r>
            <w:r>
              <w:rPr>
                <w:noProof/>
                <w:webHidden/>
              </w:rPr>
              <w:t>47</w:t>
            </w:r>
            <w:r>
              <w:rPr>
                <w:noProof/>
                <w:webHidden/>
              </w:rPr>
              <w:fldChar w:fldCharType="end"/>
            </w:r>
          </w:hyperlink>
        </w:p>
        <w:p w14:paraId="3F37DEFB" w14:textId="6B0E7176"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43" w:history="1">
            <w:r w:rsidRPr="00337CB9">
              <w:rPr>
                <w:rStyle w:val="Hyperlink"/>
                <w:noProof/>
              </w:rPr>
              <w:t>5.6</w:t>
            </w:r>
            <w:r>
              <w:rPr>
                <w:rFonts w:asciiTheme="minorHAnsi" w:eastAsiaTheme="minorEastAsia" w:hAnsiTheme="minorHAnsi"/>
                <w:noProof/>
                <w:kern w:val="2"/>
                <w:sz w:val="24"/>
                <w:szCs w:val="24"/>
                <w:lang w:eastAsia="en-GB"/>
                <w14:ligatures w14:val="standardContextual"/>
              </w:rPr>
              <w:tab/>
            </w:r>
            <w:r w:rsidRPr="00337CB9">
              <w:rPr>
                <w:rStyle w:val="Hyperlink"/>
                <w:noProof/>
              </w:rPr>
              <w:t>Limitations of the Study</w:t>
            </w:r>
            <w:r>
              <w:rPr>
                <w:noProof/>
                <w:webHidden/>
              </w:rPr>
              <w:tab/>
            </w:r>
            <w:r>
              <w:rPr>
                <w:noProof/>
                <w:webHidden/>
              </w:rPr>
              <w:fldChar w:fldCharType="begin"/>
            </w:r>
            <w:r>
              <w:rPr>
                <w:noProof/>
                <w:webHidden/>
              </w:rPr>
              <w:instrText xml:space="preserve"> PAGEREF _Toc241147043 \h </w:instrText>
            </w:r>
            <w:r>
              <w:rPr>
                <w:noProof/>
                <w:webHidden/>
              </w:rPr>
            </w:r>
            <w:r>
              <w:rPr>
                <w:noProof/>
                <w:webHidden/>
              </w:rPr>
              <w:fldChar w:fldCharType="separate"/>
            </w:r>
            <w:r>
              <w:rPr>
                <w:noProof/>
                <w:webHidden/>
              </w:rPr>
              <w:t>47</w:t>
            </w:r>
            <w:r>
              <w:rPr>
                <w:noProof/>
                <w:webHidden/>
              </w:rPr>
              <w:fldChar w:fldCharType="end"/>
            </w:r>
          </w:hyperlink>
        </w:p>
        <w:p w14:paraId="5D7211EF" w14:textId="06ED9327"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44" w:history="1">
            <w:r w:rsidRPr="00337CB9">
              <w:rPr>
                <w:rStyle w:val="Hyperlink"/>
                <w:noProof/>
              </w:rPr>
              <w:t>5.7</w:t>
            </w:r>
            <w:r>
              <w:rPr>
                <w:rFonts w:asciiTheme="minorHAnsi" w:eastAsiaTheme="minorEastAsia" w:hAnsiTheme="minorHAnsi"/>
                <w:noProof/>
                <w:kern w:val="2"/>
                <w:sz w:val="24"/>
                <w:szCs w:val="24"/>
                <w:lang w:eastAsia="en-GB"/>
                <w14:ligatures w14:val="standardContextual"/>
              </w:rPr>
              <w:tab/>
            </w:r>
            <w:r w:rsidRPr="00337CB9">
              <w:rPr>
                <w:rStyle w:val="Hyperlink"/>
                <w:noProof/>
              </w:rPr>
              <w:t>Recommendations for Future Research</w:t>
            </w:r>
            <w:r>
              <w:rPr>
                <w:noProof/>
                <w:webHidden/>
              </w:rPr>
              <w:tab/>
            </w:r>
            <w:r>
              <w:rPr>
                <w:noProof/>
                <w:webHidden/>
              </w:rPr>
              <w:fldChar w:fldCharType="begin"/>
            </w:r>
            <w:r>
              <w:rPr>
                <w:noProof/>
                <w:webHidden/>
              </w:rPr>
              <w:instrText xml:space="preserve"> PAGEREF _Toc241147044 \h </w:instrText>
            </w:r>
            <w:r>
              <w:rPr>
                <w:noProof/>
                <w:webHidden/>
              </w:rPr>
            </w:r>
            <w:r>
              <w:rPr>
                <w:noProof/>
                <w:webHidden/>
              </w:rPr>
              <w:fldChar w:fldCharType="separate"/>
            </w:r>
            <w:r>
              <w:rPr>
                <w:noProof/>
                <w:webHidden/>
              </w:rPr>
              <w:t>48</w:t>
            </w:r>
            <w:r>
              <w:rPr>
                <w:noProof/>
                <w:webHidden/>
              </w:rPr>
              <w:fldChar w:fldCharType="end"/>
            </w:r>
          </w:hyperlink>
        </w:p>
        <w:p w14:paraId="7C26D3FD" w14:textId="36008531" w:rsidR="005F4E12" w:rsidRDefault="005F4E12" w:rsidP="005F4E12">
          <w:pPr>
            <w:pStyle w:val="TOC2"/>
            <w:tabs>
              <w:tab w:val="left" w:pos="960"/>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45" w:history="1">
            <w:r w:rsidRPr="00337CB9">
              <w:rPr>
                <w:rStyle w:val="Hyperlink"/>
                <w:noProof/>
              </w:rPr>
              <w:t>5.8</w:t>
            </w:r>
            <w:r>
              <w:rPr>
                <w:rFonts w:asciiTheme="minorHAnsi" w:eastAsiaTheme="minorEastAsia" w:hAnsiTheme="minorHAnsi"/>
                <w:noProof/>
                <w:kern w:val="2"/>
                <w:sz w:val="24"/>
                <w:szCs w:val="24"/>
                <w:lang w:eastAsia="en-GB"/>
                <w14:ligatures w14:val="standardContextual"/>
              </w:rPr>
              <w:tab/>
            </w:r>
            <w:r w:rsidRPr="00337CB9">
              <w:rPr>
                <w:rStyle w:val="Hyperlink"/>
                <w:noProof/>
              </w:rPr>
              <w:t>Overall Conclusion</w:t>
            </w:r>
            <w:r>
              <w:rPr>
                <w:noProof/>
                <w:webHidden/>
              </w:rPr>
              <w:tab/>
            </w:r>
            <w:r>
              <w:rPr>
                <w:noProof/>
                <w:webHidden/>
              </w:rPr>
              <w:fldChar w:fldCharType="begin"/>
            </w:r>
            <w:r>
              <w:rPr>
                <w:noProof/>
                <w:webHidden/>
              </w:rPr>
              <w:instrText xml:space="preserve"> PAGEREF _Toc241147045 \h </w:instrText>
            </w:r>
            <w:r>
              <w:rPr>
                <w:noProof/>
                <w:webHidden/>
              </w:rPr>
            </w:r>
            <w:r>
              <w:rPr>
                <w:noProof/>
                <w:webHidden/>
              </w:rPr>
              <w:fldChar w:fldCharType="separate"/>
            </w:r>
            <w:r>
              <w:rPr>
                <w:noProof/>
                <w:webHidden/>
              </w:rPr>
              <w:t>48</w:t>
            </w:r>
            <w:r>
              <w:rPr>
                <w:noProof/>
                <w:webHidden/>
              </w:rPr>
              <w:fldChar w:fldCharType="end"/>
            </w:r>
          </w:hyperlink>
        </w:p>
        <w:p w14:paraId="789F8CC3" w14:textId="7097AA92" w:rsidR="005F4E12" w:rsidRDefault="005F4E12" w:rsidP="005F4E12">
          <w:pPr>
            <w:pStyle w:val="TOC1"/>
            <w:tabs>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46" w:history="1">
            <w:r w:rsidRPr="00337CB9">
              <w:rPr>
                <w:rStyle w:val="Hyperlink"/>
                <w:noProof/>
              </w:rPr>
              <w:t>REFERENCES</w:t>
            </w:r>
            <w:r>
              <w:rPr>
                <w:noProof/>
                <w:webHidden/>
              </w:rPr>
              <w:tab/>
            </w:r>
            <w:r>
              <w:rPr>
                <w:noProof/>
                <w:webHidden/>
              </w:rPr>
              <w:fldChar w:fldCharType="begin"/>
            </w:r>
            <w:r>
              <w:rPr>
                <w:noProof/>
                <w:webHidden/>
              </w:rPr>
              <w:instrText xml:space="preserve"> PAGEREF _Toc241147046 \h </w:instrText>
            </w:r>
            <w:r>
              <w:rPr>
                <w:noProof/>
                <w:webHidden/>
              </w:rPr>
            </w:r>
            <w:r>
              <w:rPr>
                <w:noProof/>
                <w:webHidden/>
              </w:rPr>
              <w:fldChar w:fldCharType="separate"/>
            </w:r>
            <w:r>
              <w:rPr>
                <w:noProof/>
                <w:webHidden/>
              </w:rPr>
              <w:t>49</w:t>
            </w:r>
            <w:r>
              <w:rPr>
                <w:noProof/>
                <w:webHidden/>
              </w:rPr>
              <w:fldChar w:fldCharType="end"/>
            </w:r>
          </w:hyperlink>
        </w:p>
        <w:p w14:paraId="1BE81EC9" w14:textId="5998F506" w:rsidR="005F4E12" w:rsidRDefault="005F4E12" w:rsidP="005F4E12">
          <w:pPr>
            <w:pStyle w:val="TOC1"/>
            <w:tabs>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47" w:history="1">
            <w:r w:rsidRPr="00337CB9">
              <w:rPr>
                <w:rStyle w:val="Hyperlink"/>
                <w:noProof/>
              </w:rPr>
              <w:t>APPENDIX A: EVIDENCE EXTRACTION MATRIX</w:t>
            </w:r>
            <w:r>
              <w:rPr>
                <w:noProof/>
                <w:webHidden/>
              </w:rPr>
              <w:tab/>
            </w:r>
            <w:r>
              <w:rPr>
                <w:noProof/>
                <w:webHidden/>
              </w:rPr>
              <w:fldChar w:fldCharType="begin"/>
            </w:r>
            <w:r>
              <w:rPr>
                <w:noProof/>
                <w:webHidden/>
              </w:rPr>
              <w:instrText xml:space="preserve"> PAGEREF _Toc241147047 \h </w:instrText>
            </w:r>
            <w:r>
              <w:rPr>
                <w:noProof/>
                <w:webHidden/>
              </w:rPr>
            </w:r>
            <w:r>
              <w:rPr>
                <w:noProof/>
                <w:webHidden/>
              </w:rPr>
              <w:fldChar w:fldCharType="separate"/>
            </w:r>
            <w:r>
              <w:rPr>
                <w:noProof/>
                <w:webHidden/>
              </w:rPr>
              <w:t>54</w:t>
            </w:r>
            <w:r>
              <w:rPr>
                <w:noProof/>
                <w:webHidden/>
              </w:rPr>
              <w:fldChar w:fldCharType="end"/>
            </w:r>
          </w:hyperlink>
        </w:p>
        <w:p w14:paraId="32F1C7EE" w14:textId="0ED29CF6" w:rsidR="005F4E12" w:rsidRDefault="005F4E12" w:rsidP="005F4E12">
          <w:pPr>
            <w:pStyle w:val="TOC1"/>
            <w:tabs>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48" w:history="1">
            <w:r w:rsidRPr="00337CB9">
              <w:rPr>
                <w:rStyle w:val="Hyperlink"/>
                <w:noProof/>
              </w:rPr>
              <w:t>APPENDIX B: QUALITY AND CRITICAL APPRAISAL OF STUDIES</w:t>
            </w:r>
            <w:r>
              <w:rPr>
                <w:noProof/>
                <w:webHidden/>
              </w:rPr>
              <w:tab/>
            </w:r>
            <w:r>
              <w:rPr>
                <w:noProof/>
                <w:webHidden/>
              </w:rPr>
              <w:fldChar w:fldCharType="begin"/>
            </w:r>
            <w:r>
              <w:rPr>
                <w:noProof/>
                <w:webHidden/>
              </w:rPr>
              <w:instrText xml:space="preserve"> PAGEREF _Toc241147048 \h </w:instrText>
            </w:r>
            <w:r>
              <w:rPr>
                <w:noProof/>
                <w:webHidden/>
              </w:rPr>
            </w:r>
            <w:r>
              <w:rPr>
                <w:noProof/>
                <w:webHidden/>
              </w:rPr>
              <w:fldChar w:fldCharType="separate"/>
            </w:r>
            <w:r>
              <w:rPr>
                <w:noProof/>
                <w:webHidden/>
              </w:rPr>
              <w:t>57</w:t>
            </w:r>
            <w:r>
              <w:rPr>
                <w:noProof/>
                <w:webHidden/>
              </w:rPr>
              <w:fldChar w:fldCharType="end"/>
            </w:r>
          </w:hyperlink>
        </w:p>
        <w:p w14:paraId="008FD72C" w14:textId="5B33E65B" w:rsidR="005F4E12" w:rsidRDefault="005F4E12" w:rsidP="005F4E12">
          <w:pPr>
            <w:pStyle w:val="TOC1"/>
            <w:tabs>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49" w:history="1">
            <w:r w:rsidRPr="00337CB9">
              <w:rPr>
                <w:rStyle w:val="Hyperlink"/>
                <w:noProof/>
              </w:rPr>
              <w:t>APPENDIX C: DATA EXTRACTION AND VERIFICATION MATRIX</w:t>
            </w:r>
            <w:r>
              <w:rPr>
                <w:noProof/>
                <w:webHidden/>
              </w:rPr>
              <w:tab/>
            </w:r>
            <w:r>
              <w:rPr>
                <w:noProof/>
                <w:webHidden/>
              </w:rPr>
              <w:fldChar w:fldCharType="begin"/>
            </w:r>
            <w:r>
              <w:rPr>
                <w:noProof/>
                <w:webHidden/>
              </w:rPr>
              <w:instrText xml:space="preserve"> PAGEREF _Toc241147049 \h </w:instrText>
            </w:r>
            <w:r>
              <w:rPr>
                <w:noProof/>
                <w:webHidden/>
              </w:rPr>
            </w:r>
            <w:r>
              <w:rPr>
                <w:noProof/>
                <w:webHidden/>
              </w:rPr>
              <w:fldChar w:fldCharType="separate"/>
            </w:r>
            <w:r>
              <w:rPr>
                <w:noProof/>
                <w:webHidden/>
              </w:rPr>
              <w:t>59</w:t>
            </w:r>
            <w:r>
              <w:rPr>
                <w:noProof/>
                <w:webHidden/>
              </w:rPr>
              <w:fldChar w:fldCharType="end"/>
            </w:r>
          </w:hyperlink>
        </w:p>
        <w:p w14:paraId="293E6111" w14:textId="6B7E6BCC" w:rsidR="005F4E12" w:rsidRDefault="005F4E12" w:rsidP="005F4E12">
          <w:pPr>
            <w:pStyle w:val="TOC1"/>
            <w:tabs>
              <w:tab w:val="right" w:leader="dot" w:pos="9016"/>
            </w:tabs>
            <w:spacing w:after="0" w:line="240" w:lineRule="auto"/>
            <w:rPr>
              <w:rFonts w:asciiTheme="minorHAnsi" w:eastAsiaTheme="minorEastAsia" w:hAnsiTheme="minorHAnsi"/>
              <w:noProof/>
              <w:kern w:val="2"/>
              <w:sz w:val="24"/>
              <w:szCs w:val="24"/>
              <w:lang w:eastAsia="en-GB"/>
              <w14:ligatures w14:val="standardContextual"/>
            </w:rPr>
          </w:pPr>
          <w:hyperlink w:anchor="_Toc241147050" w:history="1">
            <w:r w:rsidRPr="00337CB9">
              <w:rPr>
                <w:rStyle w:val="Hyperlink"/>
                <w:noProof/>
              </w:rPr>
              <w:t>APPENDIX D: ETHICAL APPROVAL</w:t>
            </w:r>
            <w:r>
              <w:rPr>
                <w:noProof/>
                <w:webHidden/>
              </w:rPr>
              <w:tab/>
            </w:r>
            <w:r>
              <w:rPr>
                <w:noProof/>
                <w:webHidden/>
              </w:rPr>
              <w:fldChar w:fldCharType="begin"/>
            </w:r>
            <w:r>
              <w:rPr>
                <w:noProof/>
                <w:webHidden/>
              </w:rPr>
              <w:instrText xml:space="preserve"> PAGEREF _Toc241147050 \h </w:instrText>
            </w:r>
            <w:r>
              <w:rPr>
                <w:noProof/>
                <w:webHidden/>
              </w:rPr>
            </w:r>
            <w:r>
              <w:rPr>
                <w:noProof/>
                <w:webHidden/>
              </w:rPr>
              <w:fldChar w:fldCharType="separate"/>
            </w:r>
            <w:r>
              <w:rPr>
                <w:noProof/>
                <w:webHidden/>
              </w:rPr>
              <w:t>66</w:t>
            </w:r>
            <w:r>
              <w:rPr>
                <w:noProof/>
                <w:webHidden/>
              </w:rPr>
              <w:fldChar w:fldCharType="end"/>
            </w:r>
          </w:hyperlink>
        </w:p>
        <w:p w14:paraId="61D9F581" w14:textId="591E97DA" w:rsidR="00055CD1" w:rsidRPr="00990396" w:rsidRDefault="00055CD1" w:rsidP="00990396">
          <w:pPr>
            <w:jc w:val="both"/>
          </w:pPr>
          <w:r w:rsidRPr="00990396">
            <w:rPr>
              <w:b/>
              <w:bCs/>
              <w:noProof/>
            </w:rPr>
            <w:fldChar w:fldCharType="end"/>
          </w:r>
        </w:p>
      </w:sdtContent>
    </w:sdt>
    <w:p w14:paraId="664C4C81" w14:textId="6E87102A" w:rsidR="00055CD1" w:rsidRPr="00990396" w:rsidRDefault="005F4E12" w:rsidP="00990396">
      <w:pPr>
        <w:jc w:val="both"/>
        <w:rPr>
          <w:b/>
          <w:bCs/>
        </w:rPr>
      </w:pPr>
      <w:r w:rsidRPr="00990396">
        <w:rPr>
          <w:b/>
          <w:bCs/>
        </w:rPr>
        <w:t>LIST OF TABLES</w:t>
      </w:r>
    </w:p>
    <w:p w14:paraId="663C6EDE" w14:textId="4B421B51" w:rsidR="005F4E12" w:rsidRDefault="00055CD1" w:rsidP="005F4E12">
      <w:pPr>
        <w:pStyle w:val="TableofFigures"/>
        <w:tabs>
          <w:tab w:val="right" w:leader="dot" w:pos="9016"/>
        </w:tabs>
        <w:spacing w:line="240" w:lineRule="auto"/>
        <w:rPr>
          <w:rFonts w:asciiTheme="minorHAnsi" w:eastAsiaTheme="minorEastAsia" w:hAnsiTheme="minorHAnsi"/>
          <w:noProof/>
          <w:kern w:val="2"/>
          <w:sz w:val="24"/>
          <w:szCs w:val="24"/>
          <w:lang w:eastAsia="en-GB"/>
          <w14:ligatures w14:val="standardContextual"/>
        </w:rPr>
      </w:pPr>
      <w:r w:rsidRPr="00990396">
        <w:fldChar w:fldCharType="begin"/>
      </w:r>
      <w:r w:rsidRPr="00990396">
        <w:instrText xml:space="preserve"> TOC \h \z \c "Table" </w:instrText>
      </w:r>
      <w:r w:rsidRPr="00990396">
        <w:fldChar w:fldCharType="separate"/>
      </w:r>
      <w:hyperlink w:anchor="_Toc241147051" w:history="1">
        <w:r w:rsidR="005F4E12" w:rsidRPr="0089743E">
          <w:rPr>
            <w:rStyle w:val="Hyperlink"/>
            <w:noProof/>
          </w:rPr>
          <w:t>Table 1 Data Analysis Process</w:t>
        </w:r>
        <w:r w:rsidR="005F4E12">
          <w:rPr>
            <w:noProof/>
            <w:webHidden/>
          </w:rPr>
          <w:tab/>
        </w:r>
        <w:r w:rsidR="005F4E12">
          <w:rPr>
            <w:noProof/>
            <w:webHidden/>
          </w:rPr>
          <w:fldChar w:fldCharType="begin"/>
        </w:r>
        <w:r w:rsidR="005F4E12">
          <w:rPr>
            <w:noProof/>
            <w:webHidden/>
          </w:rPr>
          <w:instrText xml:space="preserve"> PAGEREF _Toc241147051 \h </w:instrText>
        </w:r>
        <w:r w:rsidR="005F4E12">
          <w:rPr>
            <w:noProof/>
            <w:webHidden/>
          </w:rPr>
        </w:r>
        <w:r w:rsidR="005F4E12">
          <w:rPr>
            <w:noProof/>
            <w:webHidden/>
          </w:rPr>
          <w:fldChar w:fldCharType="separate"/>
        </w:r>
        <w:r w:rsidR="005F4E12">
          <w:rPr>
            <w:noProof/>
            <w:webHidden/>
          </w:rPr>
          <w:t>31</w:t>
        </w:r>
        <w:r w:rsidR="005F4E12">
          <w:rPr>
            <w:noProof/>
            <w:webHidden/>
          </w:rPr>
          <w:fldChar w:fldCharType="end"/>
        </w:r>
      </w:hyperlink>
    </w:p>
    <w:p w14:paraId="37761995" w14:textId="35A14B0B" w:rsidR="005F4E12" w:rsidRDefault="005F4E12" w:rsidP="005F4E12">
      <w:pPr>
        <w:pStyle w:val="TableofFigures"/>
        <w:tabs>
          <w:tab w:val="right" w:leader="dot" w:pos="9016"/>
        </w:tabs>
        <w:spacing w:line="240" w:lineRule="auto"/>
        <w:rPr>
          <w:rFonts w:asciiTheme="minorHAnsi" w:eastAsiaTheme="minorEastAsia" w:hAnsiTheme="minorHAnsi"/>
          <w:noProof/>
          <w:kern w:val="2"/>
          <w:sz w:val="24"/>
          <w:szCs w:val="24"/>
          <w:lang w:eastAsia="en-GB"/>
          <w14:ligatures w14:val="standardContextual"/>
        </w:rPr>
      </w:pPr>
      <w:hyperlink w:anchor="_Toc241147052" w:history="1">
        <w:r w:rsidRPr="0089743E">
          <w:rPr>
            <w:rStyle w:val="Hyperlink"/>
            <w:noProof/>
          </w:rPr>
          <w:t>Table 2 Initial Code and Theme Generation</w:t>
        </w:r>
        <w:r>
          <w:rPr>
            <w:noProof/>
            <w:webHidden/>
          </w:rPr>
          <w:tab/>
        </w:r>
        <w:r>
          <w:rPr>
            <w:noProof/>
            <w:webHidden/>
          </w:rPr>
          <w:fldChar w:fldCharType="begin"/>
        </w:r>
        <w:r>
          <w:rPr>
            <w:noProof/>
            <w:webHidden/>
          </w:rPr>
          <w:instrText xml:space="preserve"> PAGEREF _Toc241147052 \h </w:instrText>
        </w:r>
        <w:r>
          <w:rPr>
            <w:noProof/>
            <w:webHidden/>
          </w:rPr>
        </w:r>
        <w:r>
          <w:rPr>
            <w:noProof/>
            <w:webHidden/>
          </w:rPr>
          <w:fldChar w:fldCharType="separate"/>
        </w:r>
        <w:r>
          <w:rPr>
            <w:noProof/>
            <w:webHidden/>
          </w:rPr>
          <w:t>31</w:t>
        </w:r>
        <w:r>
          <w:rPr>
            <w:noProof/>
            <w:webHidden/>
          </w:rPr>
          <w:fldChar w:fldCharType="end"/>
        </w:r>
      </w:hyperlink>
    </w:p>
    <w:p w14:paraId="48C0484A" w14:textId="39933D55" w:rsidR="005F4E12" w:rsidRDefault="005F4E12" w:rsidP="005F4E12">
      <w:pPr>
        <w:pStyle w:val="TableofFigures"/>
        <w:tabs>
          <w:tab w:val="right" w:leader="dot" w:pos="9016"/>
        </w:tabs>
        <w:spacing w:line="240" w:lineRule="auto"/>
        <w:rPr>
          <w:rFonts w:asciiTheme="minorHAnsi" w:eastAsiaTheme="minorEastAsia" w:hAnsiTheme="minorHAnsi"/>
          <w:noProof/>
          <w:kern w:val="2"/>
          <w:sz w:val="24"/>
          <w:szCs w:val="24"/>
          <w:lang w:eastAsia="en-GB"/>
          <w14:ligatures w14:val="standardContextual"/>
        </w:rPr>
      </w:pPr>
      <w:hyperlink w:anchor="_Toc241147053" w:history="1">
        <w:r w:rsidRPr="0089743E">
          <w:rPr>
            <w:rStyle w:val="Hyperlink"/>
            <w:noProof/>
          </w:rPr>
          <w:t>Table 3 Evidence Supporting the Liquidity Theme</w:t>
        </w:r>
        <w:r>
          <w:rPr>
            <w:noProof/>
            <w:webHidden/>
          </w:rPr>
          <w:tab/>
        </w:r>
        <w:r>
          <w:rPr>
            <w:noProof/>
            <w:webHidden/>
          </w:rPr>
          <w:fldChar w:fldCharType="begin"/>
        </w:r>
        <w:r>
          <w:rPr>
            <w:noProof/>
            <w:webHidden/>
          </w:rPr>
          <w:instrText xml:space="preserve"> PAGEREF _Toc241147053 \h </w:instrText>
        </w:r>
        <w:r>
          <w:rPr>
            <w:noProof/>
            <w:webHidden/>
          </w:rPr>
        </w:r>
        <w:r>
          <w:rPr>
            <w:noProof/>
            <w:webHidden/>
          </w:rPr>
          <w:fldChar w:fldCharType="separate"/>
        </w:r>
        <w:r>
          <w:rPr>
            <w:noProof/>
            <w:webHidden/>
          </w:rPr>
          <w:t>33</w:t>
        </w:r>
        <w:r>
          <w:rPr>
            <w:noProof/>
            <w:webHidden/>
          </w:rPr>
          <w:fldChar w:fldCharType="end"/>
        </w:r>
      </w:hyperlink>
    </w:p>
    <w:p w14:paraId="13A20C96" w14:textId="28A9E68E" w:rsidR="005F4E12" w:rsidRDefault="005F4E12" w:rsidP="005F4E12">
      <w:pPr>
        <w:pStyle w:val="TableofFigures"/>
        <w:tabs>
          <w:tab w:val="right" w:leader="dot" w:pos="9016"/>
        </w:tabs>
        <w:spacing w:line="240" w:lineRule="auto"/>
        <w:rPr>
          <w:rFonts w:asciiTheme="minorHAnsi" w:eastAsiaTheme="minorEastAsia" w:hAnsiTheme="minorHAnsi"/>
          <w:noProof/>
          <w:kern w:val="2"/>
          <w:sz w:val="24"/>
          <w:szCs w:val="24"/>
          <w:lang w:eastAsia="en-GB"/>
          <w14:ligatures w14:val="standardContextual"/>
        </w:rPr>
      </w:pPr>
      <w:hyperlink w:anchor="_Toc241147054" w:history="1">
        <w:r w:rsidRPr="0089743E">
          <w:rPr>
            <w:rStyle w:val="Hyperlink"/>
            <w:noProof/>
          </w:rPr>
          <w:t>Table 4 Evidence Supporting the Credit-Risk Theme</w:t>
        </w:r>
        <w:r>
          <w:rPr>
            <w:noProof/>
            <w:webHidden/>
          </w:rPr>
          <w:tab/>
        </w:r>
        <w:r>
          <w:rPr>
            <w:noProof/>
            <w:webHidden/>
          </w:rPr>
          <w:fldChar w:fldCharType="begin"/>
        </w:r>
        <w:r>
          <w:rPr>
            <w:noProof/>
            <w:webHidden/>
          </w:rPr>
          <w:instrText xml:space="preserve"> PAGEREF _Toc241147054 \h </w:instrText>
        </w:r>
        <w:r>
          <w:rPr>
            <w:noProof/>
            <w:webHidden/>
          </w:rPr>
        </w:r>
        <w:r>
          <w:rPr>
            <w:noProof/>
            <w:webHidden/>
          </w:rPr>
          <w:fldChar w:fldCharType="separate"/>
        </w:r>
        <w:r>
          <w:rPr>
            <w:noProof/>
            <w:webHidden/>
          </w:rPr>
          <w:t>36</w:t>
        </w:r>
        <w:r>
          <w:rPr>
            <w:noProof/>
            <w:webHidden/>
          </w:rPr>
          <w:fldChar w:fldCharType="end"/>
        </w:r>
      </w:hyperlink>
    </w:p>
    <w:p w14:paraId="4AC997D4" w14:textId="7C498987" w:rsidR="005F4E12" w:rsidRDefault="005F4E12" w:rsidP="005F4E12">
      <w:pPr>
        <w:pStyle w:val="TableofFigures"/>
        <w:tabs>
          <w:tab w:val="right" w:leader="dot" w:pos="9016"/>
        </w:tabs>
        <w:spacing w:line="240" w:lineRule="auto"/>
        <w:rPr>
          <w:rFonts w:asciiTheme="minorHAnsi" w:eastAsiaTheme="minorEastAsia" w:hAnsiTheme="minorHAnsi"/>
          <w:noProof/>
          <w:kern w:val="2"/>
          <w:sz w:val="24"/>
          <w:szCs w:val="24"/>
          <w:lang w:eastAsia="en-GB"/>
          <w14:ligatures w14:val="standardContextual"/>
        </w:rPr>
      </w:pPr>
      <w:hyperlink w:anchor="_Toc241147055" w:history="1">
        <w:r w:rsidRPr="0089743E">
          <w:rPr>
            <w:rStyle w:val="Hyperlink"/>
            <w:noProof/>
          </w:rPr>
          <w:t>Table 5 Evidence Supporting the Market-Risk Theme</w:t>
        </w:r>
        <w:r>
          <w:rPr>
            <w:noProof/>
            <w:webHidden/>
          </w:rPr>
          <w:tab/>
        </w:r>
        <w:r>
          <w:rPr>
            <w:noProof/>
            <w:webHidden/>
          </w:rPr>
          <w:fldChar w:fldCharType="begin"/>
        </w:r>
        <w:r>
          <w:rPr>
            <w:noProof/>
            <w:webHidden/>
          </w:rPr>
          <w:instrText xml:space="preserve"> PAGEREF _Toc241147055 \h </w:instrText>
        </w:r>
        <w:r>
          <w:rPr>
            <w:noProof/>
            <w:webHidden/>
          </w:rPr>
        </w:r>
        <w:r>
          <w:rPr>
            <w:noProof/>
            <w:webHidden/>
          </w:rPr>
          <w:fldChar w:fldCharType="separate"/>
        </w:r>
        <w:r>
          <w:rPr>
            <w:noProof/>
            <w:webHidden/>
          </w:rPr>
          <w:t>39</w:t>
        </w:r>
        <w:r>
          <w:rPr>
            <w:noProof/>
            <w:webHidden/>
          </w:rPr>
          <w:fldChar w:fldCharType="end"/>
        </w:r>
      </w:hyperlink>
    </w:p>
    <w:p w14:paraId="32D288D7" w14:textId="79DDD8E0" w:rsidR="005F4E12" w:rsidRDefault="005F4E12" w:rsidP="005F4E12">
      <w:pPr>
        <w:pStyle w:val="TableofFigures"/>
        <w:tabs>
          <w:tab w:val="right" w:leader="dot" w:pos="9016"/>
        </w:tabs>
        <w:spacing w:line="240" w:lineRule="auto"/>
        <w:rPr>
          <w:rFonts w:asciiTheme="minorHAnsi" w:eastAsiaTheme="minorEastAsia" w:hAnsiTheme="minorHAnsi"/>
          <w:noProof/>
          <w:kern w:val="2"/>
          <w:sz w:val="24"/>
          <w:szCs w:val="24"/>
          <w:lang w:eastAsia="en-GB"/>
          <w14:ligatures w14:val="standardContextual"/>
        </w:rPr>
      </w:pPr>
      <w:hyperlink w:anchor="_Toc241147056" w:history="1">
        <w:r w:rsidRPr="0089743E">
          <w:rPr>
            <w:rStyle w:val="Hyperlink"/>
            <w:noProof/>
          </w:rPr>
          <w:t>Table 6 Cross-Theme Relationship between Risk Practices and Performance</w:t>
        </w:r>
        <w:r>
          <w:rPr>
            <w:noProof/>
            <w:webHidden/>
          </w:rPr>
          <w:tab/>
        </w:r>
        <w:r>
          <w:rPr>
            <w:noProof/>
            <w:webHidden/>
          </w:rPr>
          <w:fldChar w:fldCharType="begin"/>
        </w:r>
        <w:r>
          <w:rPr>
            <w:noProof/>
            <w:webHidden/>
          </w:rPr>
          <w:instrText xml:space="preserve"> PAGEREF _Toc241147056 \h </w:instrText>
        </w:r>
        <w:r>
          <w:rPr>
            <w:noProof/>
            <w:webHidden/>
          </w:rPr>
        </w:r>
        <w:r>
          <w:rPr>
            <w:noProof/>
            <w:webHidden/>
          </w:rPr>
          <w:fldChar w:fldCharType="separate"/>
        </w:r>
        <w:r>
          <w:rPr>
            <w:noProof/>
            <w:webHidden/>
          </w:rPr>
          <w:t>41</w:t>
        </w:r>
        <w:r>
          <w:rPr>
            <w:noProof/>
            <w:webHidden/>
          </w:rPr>
          <w:fldChar w:fldCharType="end"/>
        </w:r>
      </w:hyperlink>
    </w:p>
    <w:p w14:paraId="51D87E5D" w14:textId="0231FC00" w:rsidR="005F4E12" w:rsidRDefault="005F4E12" w:rsidP="005F4E12">
      <w:pPr>
        <w:pStyle w:val="TableofFigures"/>
        <w:tabs>
          <w:tab w:val="right" w:leader="dot" w:pos="9016"/>
        </w:tabs>
        <w:spacing w:line="240" w:lineRule="auto"/>
        <w:rPr>
          <w:rFonts w:asciiTheme="minorHAnsi" w:eastAsiaTheme="minorEastAsia" w:hAnsiTheme="minorHAnsi"/>
          <w:noProof/>
          <w:kern w:val="2"/>
          <w:sz w:val="24"/>
          <w:szCs w:val="24"/>
          <w:lang w:eastAsia="en-GB"/>
          <w14:ligatures w14:val="standardContextual"/>
        </w:rPr>
      </w:pPr>
      <w:hyperlink w:anchor="_Toc241147057" w:history="1">
        <w:r w:rsidRPr="0089743E">
          <w:rPr>
            <w:rStyle w:val="Hyperlink"/>
            <w:noProof/>
          </w:rPr>
          <w:t>Table 7 Relationship between Emergent Themes and Theoretical Framework</w:t>
        </w:r>
        <w:r>
          <w:rPr>
            <w:noProof/>
            <w:webHidden/>
          </w:rPr>
          <w:tab/>
        </w:r>
        <w:r>
          <w:rPr>
            <w:noProof/>
            <w:webHidden/>
          </w:rPr>
          <w:fldChar w:fldCharType="begin"/>
        </w:r>
        <w:r>
          <w:rPr>
            <w:noProof/>
            <w:webHidden/>
          </w:rPr>
          <w:instrText xml:space="preserve"> PAGEREF _Toc241147057 \h </w:instrText>
        </w:r>
        <w:r>
          <w:rPr>
            <w:noProof/>
            <w:webHidden/>
          </w:rPr>
        </w:r>
        <w:r>
          <w:rPr>
            <w:noProof/>
            <w:webHidden/>
          </w:rPr>
          <w:fldChar w:fldCharType="separate"/>
        </w:r>
        <w:r>
          <w:rPr>
            <w:noProof/>
            <w:webHidden/>
          </w:rPr>
          <w:t>43</w:t>
        </w:r>
        <w:r>
          <w:rPr>
            <w:noProof/>
            <w:webHidden/>
          </w:rPr>
          <w:fldChar w:fldCharType="end"/>
        </w:r>
      </w:hyperlink>
    </w:p>
    <w:p w14:paraId="1DDAADB7" w14:textId="7974A2F4" w:rsidR="00055CD1" w:rsidRDefault="00055CD1" w:rsidP="00990396">
      <w:pPr>
        <w:jc w:val="both"/>
      </w:pPr>
      <w:r w:rsidRPr="00990396">
        <w:fldChar w:fldCharType="end"/>
      </w:r>
    </w:p>
    <w:p w14:paraId="4A08EE0E" w14:textId="180CB474" w:rsidR="005F4E12" w:rsidRPr="005F4E12" w:rsidRDefault="005F4E12" w:rsidP="00990396">
      <w:pPr>
        <w:jc w:val="both"/>
        <w:rPr>
          <w:b/>
          <w:bCs/>
        </w:rPr>
      </w:pPr>
      <w:r w:rsidRPr="005F4E12">
        <w:rPr>
          <w:b/>
          <w:bCs/>
        </w:rPr>
        <w:t>LIST OF FIGURES</w:t>
      </w:r>
    </w:p>
    <w:p w14:paraId="6EDD9EBF" w14:textId="746B2A92" w:rsidR="005F4E12" w:rsidRDefault="005F4E12" w:rsidP="005F4E12">
      <w:pPr>
        <w:pStyle w:val="TableofFigures"/>
        <w:tabs>
          <w:tab w:val="right" w:leader="dot" w:pos="9016"/>
        </w:tabs>
        <w:spacing w:line="240" w:lineRule="auto"/>
        <w:rPr>
          <w:rFonts w:asciiTheme="minorHAnsi" w:eastAsiaTheme="minorEastAsia" w:hAnsiTheme="minorHAnsi"/>
          <w:noProof/>
          <w:kern w:val="2"/>
          <w:sz w:val="24"/>
          <w:szCs w:val="24"/>
          <w:lang w:eastAsia="en-GB"/>
          <w14:ligatures w14:val="standardContextual"/>
        </w:rPr>
      </w:pPr>
      <w:r>
        <w:fldChar w:fldCharType="begin"/>
      </w:r>
      <w:r>
        <w:instrText xml:space="preserve"> TOC \h \z \c "Figure" </w:instrText>
      </w:r>
      <w:r>
        <w:fldChar w:fldCharType="separate"/>
      </w:r>
      <w:hyperlink w:anchor="_Toc241147058" w:history="1">
        <w:r w:rsidRPr="00C52919">
          <w:rPr>
            <w:rStyle w:val="Hyperlink"/>
            <w:noProof/>
          </w:rPr>
          <w:t>Figure 1 Enterprise Risk Management (ERM) Theory (Nocco and Stulz, 2006)</w:t>
        </w:r>
        <w:r>
          <w:rPr>
            <w:noProof/>
            <w:webHidden/>
          </w:rPr>
          <w:tab/>
        </w:r>
        <w:r>
          <w:rPr>
            <w:noProof/>
            <w:webHidden/>
          </w:rPr>
          <w:fldChar w:fldCharType="begin"/>
        </w:r>
        <w:r>
          <w:rPr>
            <w:noProof/>
            <w:webHidden/>
          </w:rPr>
          <w:instrText xml:space="preserve"> PAGEREF _Toc241147058 \h </w:instrText>
        </w:r>
        <w:r>
          <w:rPr>
            <w:noProof/>
            <w:webHidden/>
          </w:rPr>
        </w:r>
        <w:r>
          <w:rPr>
            <w:noProof/>
            <w:webHidden/>
          </w:rPr>
          <w:fldChar w:fldCharType="separate"/>
        </w:r>
        <w:r>
          <w:rPr>
            <w:noProof/>
            <w:webHidden/>
          </w:rPr>
          <w:t>18</w:t>
        </w:r>
        <w:r>
          <w:rPr>
            <w:noProof/>
            <w:webHidden/>
          </w:rPr>
          <w:fldChar w:fldCharType="end"/>
        </w:r>
      </w:hyperlink>
    </w:p>
    <w:p w14:paraId="471FF315" w14:textId="7F8A5C10" w:rsidR="005F4E12" w:rsidRDefault="005F4E12" w:rsidP="005F4E12">
      <w:pPr>
        <w:pStyle w:val="TableofFigures"/>
        <w:tabs>
          <w:tab w:val="right" w:leader="dot" w:pos="9016"/>
        </w:tabs>
        <w:spacing w:line="240" w:lineRule="auto"/>
        <w:rPr>
          <w:rFonts w:asciiTheme="minorHAnsi" w:eastAsiaTheme="minorEastAsia" w:hAnsiTheme="minorHAnsi"/>
          <w:noProof/>
          <w:kern w:val="2"/>
          <w:sz w:val="24"/>
          <w:szCs w:val="24"/>
          <w:lang w:eastAsia="en-GB"/>
          <w14:ligatures w14:val="standardContextual"/>
        </w:rPr>
      </w:pPr>
      <w:hyperlink w:anchor="_Toc241147059" w:history="1">
        <w:r w:rsidRPr="00C52919">
          <w:rPr>
            <w:rStyle w:val="Hyperlink"/>
            <w:noProof/>
          </w:rPr>
          <w:t>Figure 2 Resource-Based View (RBV) (Barney, 1991)</w:t>
        </w:r>
        <w:r>
          <w:rPr>
            <w:noProof/>
            <w:webHidden/>
          </w:rPr>
          <w:tab/>
        </w:r>
        <w:r>
          <w:rPr>
            <w:noProof/>
            <w:webHidden/>
          </w:rPr>
          <w:fldChar w:fldCharType="begin"/>
        </w:r>
        <w:r>
          <w:rPr>
            <w:noProof/>
            <w:webHidden/>
          </w:rPr>
          <w:instrText xml:space="preserve"> PAGEREF _Toc241147059 \h </w:instrText>
        </w:r>
        <w:r>
          <w:rPr>
            <w:noProof/>
            <w:webHidden/>
          </w:rPr>
        </w:r>
        <w:r>
          <w:rPr>
            <w:noProof/>
            <w:webHidden/>
          </w:rPr>
          <w:fldChar w:fldCharType="separate"/>
        </w:r>
        <w:r>
          <w:rPr>
            <w:noProof/>
            <w:webHidden/>
          </w:rPr>
          <w:t>19</w:t>
        </w:r>
        <w:r>
          <w:rPr>
            <w:noProof/>
            <w:webHidden/>
          </w:rPr>
          <w:fldChar w:fldCharType="end"/>
        </w:r>
      </w:hyperlink>
    </w:p>
    <w:p w14:paraId="2FBD4379" w14:textId="23527811" w:rsidR="005F4E12" w:rsidRDefault="005F4E12" w:rsidP="005F4E12">
      <w:pPr>
        <w:pStyle w:val="TableofFigures"/>
        <w:tabs>
          <w:tab w:val="right" w:leader="dot" w:pos="9016"/>
        </w:tabs>
        <w:spacing w:line="240" w:lineRule="auto"/>
        <w:rPr>
          <w:rFonts w:asciiTheme="minorHAnsi" w:eastAsiaTheme="minorEastAsia" w:hAnsiTheme="minorHAnsi"/>
          <w:noProof/>
          <w:kern w:val="2"/>
          <w:sz w:val="24"/>
          <w:szCs w:val="24"/>
          <w:lang w:eastAsia="en-GB"/>
          <w14:ligatures w14:val="standardContextual"/>
        </w:rPr>
      </w:pPr>
      <w:hyperlink w:anchor="_Toc241147060" w:history="1">
        <w:r w:rsidRPr="00C52919">
          <w:rPr>
            <w:rStyle w:val="Hyperlink"/>
            <w:noProof/>
          </w:rPr>
          <w:t>Figure 3 Conceptual Framework</w:t>
        </w:r>
        <w:r>
          <w:rPr>
            <w:noProof/>
            <w:webHidden/>
          </w:rPr>
          <w:tab/>
        </w:r>
        <w:r>
          <w:rPr>
            <w:noProof/>
            <w:webHidden/>
          </w:rPr>
          <w:fldChar w:fldCharType="begin"/>
        </w:r>
        <w:r>
          <w:rPr>
            <w:noProof/>
            <w:webHidden/>
          </w:rPr>
          <w:instrText xml:space="preserve"> PAGEREF _Toc241147060 \h </w:instrText>
        </w:r>
        <w:r>
          <w:rPr>
            <w:noProof/>
            <w:webHidden/>
          </w:rPr>
        </w:r>
        <w:r>
          <w:rPr>
            <w:noProof/>
            <w:webHidden/>
          </w:rPr>
          <w:fldChar w:fldCharType="separate"/>
        </w:r>
        <w:r>
          <w:rPr>
            <w:noProof/>
            <w:webHidden/>
          </w:rPr>
          <w:t>20</w:t>
        </w:r>
        <w:r>
          <w:rPr>
            <w:noProof/>
            <w:webHidden/>
          </w:rPr>
          <w:fldChar w:fldCharType="end"/>
        </w:r>
      </w:hyperlink>
    </w:p>
    <w:p w14:paraId="3C4C245B" w14:textId="0AD24071" w:rsidR="005F4E12" w:rsidRPr="00990396" w:rsidRDefault="005F4E12" w:rsidP="00990396">
      <w:pPr>
        <w:jc w:val="both"/>
      </w:pPr>
      <w:r>
        <w:fldChar w:fldCharType="end"/>
      </w:r>
    </w:p>
    <w:p w14:paraId="6866551F" w14:textId="59106DAC" w:rsidR="00055CD1" w:rsidRPr="00990396" w:rsidRDefault="00055CD1" w:rsidP="00990396">
      <w:pPr>
        <w:jc w:val="both"/>
        <w:rPr>
          <w:rFonts w:eastAsiaTheme="majorEastAsia"/>
          <w:color w:val="2F5496" w:themeColor="accent1" w:themeShade="BF"/>
          <w:sz w:val="40"/>
          <w:szCs w:val="40"/>
        </w:rPr>
      </w:pPr>
      <w:r w:rsidRPr="00990396">
        <w:br w:type="page"/>
      </w:r>
    </w:p>
    <w:p w14:paraId="753C7152" w14:textId="1CC7AD71" w:rsidR="00137AE8" w:rsidRPr="00990396" w:rsidRDefault="00990396" w:rsidP="00990396">
      <w:pPr>
        <w:pStyle w:val="Heading1"/>
        <w:jc w:val="both"/>
        <w:rPr>
          <w:rFonts w:cstheme="minorBidi"/>
        </w:rPr>
      </w:pPr>
      <w:bookmarkStart w:id="3" w:name="_Toc241146993"/>
      <w:r w:rsidRPr="00990396">
        <w:rPr>
          <w:rFonts w:cstheme="minorBidi"/>
        </w:rPr>
        <w:lastRenderedPageBreak/>
        <w:t>CHAPTER 1: INTRODUCTION</w:t>
      </w:r>
      <w:bookmarkEnd w:id="3"/>
    </w:p>
    <w:p w14:paraId="2AD44503" w14:textId="4B985E69" w:rsidR="00137AE8" w:rsidRPr="00990396" w:rsidRDefault="00137AE8" w:rsidP="00990396">
      <w:pPr>
        <w:pStyle w:val="Heading2"/>
        <w:jc w:val="both"/>
        <w:rPr>
          <w:rFonts w:cstheme="minorBidi"/>
        </w:rPr>
      </w:pPr>
      <w:bookmarkStart w:id="4" w:name="_Toc241146994"/>
      <w:r w:rsidRPr="00990396">
        <w:rPr>
          <w:rFonts w:cstheme="minorBidi"/>
        </w:rPr>
        <w:t>Background and Context</w:t>
      </w:r>
      <w:bookmarkEnd w:id="4"/>
    </w:p>
    <w:p w14:paraId="3294CF6C" w14:textId="77777777" w:rsidR="00AA68BC" w:rsidRPr="00990396" w:rsidRDefault="00AA68BC" w:rsidP="00990396">
      <w:pPr>
        <w:jc w:val="both"/>
      </w:pPr>
      <w:r w:rsidRPr="00990396">
        <w:t>SMEs play a key role in the productive economy, employment base and regional development of the United Kingdom. For the purposes of this study, SMEs are defined as enterprises that have less than 250 employees, though other measures such as turnover and balance sheet size could be used in official classifications. Financial stability of the sector is thus a national economic issue, not just one for the sector's internal management. As of January 1, 2025, UK SMEs accounted for 16.9 million jobs and accounted for around £2.8 trillion of private-sector turnover (Department for Business and Trade, 2025). These statistics prove that financial management problems of the SMEs could impact on employment, supply chains, innovation and local economic resilience.</w:t>
      </w:r>
    </w:p>
    <w:p w14:paraId="11E62B4B" w14:textId="77777777" w:rsidR="00AA68BC" w:rsidRPr="00990396" w:rsidRDefault="00AA68BC" w:rsidP="00990396">
      <w:pPr>
        <w:jc w:val="both"/>
      </w:pPr>
      <w:r w:rsidRPr="00990396">
        <w:t xml:space="preserve">SMEs are often small and have limited cash reserves, customer base, and expertise and are less able to compete on price with large businesses. These features can lead to higher exposure to financial risks and lower the ability to handle unexpected losses. The recent events, such as the impact of the COVID-19 pandemic, trading adjustments following Brexit, inflationary pressures, interest rate adjustments and currency volatility, have made it even more critical for effective financial controls. </w:t>
      </w:r>
      <w:proofErr w:type="spellStart"/>
      <w:r w:rsidRPr="00990396">
        <w:t>Belghitar</w:t>
      </w:r>
      <w:proofErr w:type="spellEnd"/>
      <w:r w:rsidRPr="00990396">
        <w:t>, Moro and Radić (2022) show that large shocks have a rapid impact on the survival of UK small businesses, and British Business Bank (2026) suggests that smaller businesses are still relying on external, flexible finance to help cash flow during uncertain times.</w:t>
      </w:r>
    </w:p>
    <w:p w14:paraId="4617938B" w14:textId="77777777" w:rsidR="00AA68BC" w:rsidRPr="00990396" w:rsidRDefault="00AA68BC" w:rsidP="00990396">
      <w:pPr>
        <w:jc w:val="both"/>
      </w:pPr>
      <w:r w:rsidRPr="00990396">
        <w:t>Financial risk management is the process of a systematic identification, assessment and treatment of risks that could affect cash flow, profitability, solvency, or growth. Liquidity risk is the risk that a business will not be able to pay its debts as they come due – some examples of liquidity risk management are cash flow forecasting, working-capital control and having enough money available to pay debts. Results indicate that working-capital management has an impact on performance, but in different directions and with optimal levels, depending on the context (Kiymaz, Haque and Choudhury, 2024). Credit risk is related to loss resulting from the borrowers or the counterparty's inability to pay. Late payments have a negative impact on the liquidity and can lead to higher constraints of borrowing and financing costs (Kaya, 2024). Market risk is the risk due to fluctuations in the exchange rate, interest rate, price of inputs and general uncertainty in the market. A lot of UK SMEs have substantial exposure to exchange rates, especially in their imports, exports and international competition activities (</w:t>
      </w:r>
      <w:proofErr w:type="spellStart"/>
      <w:r w:rsidRPr="00990396">
        <w:t>Belghitar</w:t>
      </w:r>
      <w:proofErr w:type="spellEnd"/>
      <w:r w:rsidRPr="00990396">
        <w:t xml:space="preserve"> et al., 2021).</w:t>
      </w:r>
    </w:p>
    <w:p w14:paraId="01F1EDB7" w14:textId="137E128E" w:rsidR="00137AE8" w:rsidRPr="00990396" w:rsidRDefault="00AA68BC" w:rsidP="00990396">
      <w:pPr>
        <w:jc w:val="both"/>
      </w:pPr>
      <w:r w:rsidRPr="00990396">
        <w:lastRenderedPageBreak/>
        <w:t xml:space="preserve">These are risk factors that occur interdependently. Slow payments can lead to liquidity problems, which will require costly borrowing of funds and the cost of borrowing can increase with the rise in interest rates. Effective management must be coordinated, and be accompanied by the necessary organisational capacity, not individual responses. This study is an examination of the impact of liquidity, credit risk and market-risk management on financial performance of SMEs in the UK, which has been achieved by conducting a critical review of the recent secondary literature. It also </w:t>
      </w:r>
      <w:proofErr w:type="gramStart"/>
      <w:r w:rsidRPr="00990396">
        <w:t>takes into account</w:t>
      </w:r>
      <w:proofErr w:type="gramEnd"/>
      <w:r w:rsidRPr="00990396">
        <w:t xml:space="preserve"> the factors which affect the variance of results between firms, methods and institutional settings</w:t>
      </w:r>
      <w:r w:rsidR="00137AE8" w:rsidRPr="00990396">
        <w:t>.</w:t>
      </w:r>
    </w:p>
    <w:p w14:paraId="393923FB" w14:textId="6EE5BBDE" w:rsidR="00137AE8" w:rsidRPr="00990396" w:rsidRDefault="00137AE8" w:rsidP="00990396">
      <w:pPr>
        <w:pStyle w:val="Heading2"/>
        <w:jc w:val="both"/>
        <w:rPr>
          <w:rFonts w:cstheme="minorBidi"/>
        </w:rPr>
      </w:pPr>
      <w:bookmarkStart w:id="5" w:name="_Toc241146995"/>
      <w:r w:rsidRPr="00990396">
        <w:rPr>
          <w:rFonts w:cstheme="minorBidi"/>
        </w:rPr>
        <w:t>Problem Statement</w:t>
      </w:r>
      <w:bookmarkEnd w:id="5"/>
    </w:p>
    <w:p w14:paraId="2209D7F4" w14:textId="77777777" w:rsidR="00AA68BC" w:rsidRPr="00990396" w:rsidRDefault="00AA68BC" w:rsidP="00990396">
      <w:pPr>
        <w:jc w:val="both"/>
      </w:pPr>
      <w:r w:rsidRPr="00990396">
        <w:t xml:space="preserve">Financial risk management is supposed to help safeguard the value of the firm, but the evidence on the impact of financial risk management on UK SME performance is unclear. Liquidity research is especially nebulous! Youssef, Salloum and Al Sayah (2023) show that the relationship between liquidity and profitability for listed UK SMEs was insignificant, while it has been suggested that there may be </w:t>
      </w:r>
      <w:proofErr w:type="spellStart"/>
      <w:proofErr w:type="gramStart"/>
      <w:r w:rsidRPr="00990396">
        <w:t>a</w:t>
      </w:r>
      <w:proofErr w:type="spellEnd"/>
      <w:proofErr w:type="gramEnd"/>
      <w:r w:rsidRPr="00990396">
        <w:t xml:space="preserve"> optimum level of working capital, beyond which performance is negatively affected (</w:t>
      </w:r>
      <w:proofErr w:type="spellStart"/>
      <w:r w:rsidRPr="00990396">
        <w:t>Kiymaz</w:t>
      </w:r>
      <w:proofErr w:type="spellEnd"/>
      <w:r w:rsidRPr="00990396">
        <w:t>, Haque and Choudhury, 2024). This conflict makes managers unsure whether they should prioritise liquidity, speed up the cash-conversion cycle or prioritise resilience while sacrificing the opportunity cost of idle resources.</w:t>
      </w:r>
    </w:p>
    <w:p w14:paraId="6EAE8182" w14:textId="77777777" w:rsidR="00AA68BC" w:rsidRPr="00990396" w:rsidRDefault="00AA68BC" w:rsidP="00990396">
      <w:pPr>
        <w:jc w:val="both"/>
      </w:pPr>
      <w:r w:rsidRPr="00990396">
        <w:t>Evidence of credit-risk is also disjointed. Although late payments can limit access to finance and raise the interest rates of borrowers (Kaya, 2024), effectively leveraging trade credit can enhance customers relationships and foster growth (Lefebvre, 2023). The difference between strategic credit provision and forced delay of payments is thus poorly resolved. Market-risk studies indicate exchange-rate fluctuations can negatively impact the performance of UK SMEs (</w:t>
      </w:r>
      <w:proofErr w:type="spellStart"/>
      <w:r w:rsidRPr="00990396">
        <w:t>Belghitar</w:t>
      </w:r>
      <w:proofErr w:type="spellEnd"/>
      <w:r w:rsidRPr="00990396">
        <w:t xml:space="preserve"> et al., 2021); however, studies often do not capture the SME managers' exchange-rate hedging, pricing or diversification strategies (Dang and Lindsay, 2022).</w:t>
      </w:r>
    </w:p>
    <w:p w14:paraId="32CE1374" w14:textId="3E983D51" w:rsidR="00137AE8" w:rsidRPr="00990396" w:rsidRDefault="00AA68BC" w:rsidP="00990396">
      <w:pPr>
        <w:jc w:val="both"/>
      </w:pPr>
      <w:r w:rsidRPr="00990396">
        <w:t xml:space="preserve">The methodological deficiencies exacerbate the situation. Much research relies on listed firms, non-UK settings, cross-sectional surveys or observational accounting data, which are restrictive in terms of causal inference and transferability to the private sector of UK small firms. Profitability, Market returns or distress, growth, survival are also inconsistent measures of performance. Furthermore, although operational interaction, liquidity, credit and market risks are </w:t>
      </w:r>
      <w:proofErr w:type="spellStart"/>
      <w:r w:rsidRPr="00990396">
        <w:t>analyzed</w:t>
      </w:r>
      <w:proofErr w:type="spellEnd"/>
      <w:r w:rsidRPr="00990396">
        <w:t xml:space="preserve"> separately. As a result, the extent to which these practices have an integrated and context sensitive relationship to the financial performance of the SMEs and the varying outcomes is not sufficiently explained</w:t>
      </w:r>
      <w:r w:rsidR="00137AE8" w:rsidRPr="00990396">
        <w:t>.</w:t>
      </w:r>
    </w:p>
    <w:p w14:paraId="26CD07C8" w14:textId="7E653772" w:rsidR="00137AE8" w:rsidRPr="00990396" w:rsidRDefault="00137AE8" w:rsidP="00990396">
      <w:pPr>
        <w:pStyle w:val="Heading2"/>
        <w:jc w:val="both"/>
        <w:rPr>
          <w:rFonts w:cstheme="minorBidi"/>
        </w:rPr>
      </w:pPr>
      <w:bookmarkStart w:id="6" w:name="_Toc241146996"/>
      <w:r w:rsidRPr="00990396">
        <w:rPr>
          <w:rFonts w:cstheme="minorBidi"/>
        </w:rPr>
        <w:lastRenderedPageBreak/>
        <w:t>Research Aim, Objectives and Questions</w:t>
      </w:r>
      <w:bookmarkEnd w:id="6"/>
    </w:p>
    <w:p w14:paraId="1EF1BB9A" w14:textId="3AB6D811" w:rsidR="00137AE8" w:rsidRPr="00990396" w:rsidRDefault="00137AE8" w:rsidP="00990396">
      <w:pPr>
        <w:pStyle w:val="Heading3"/>
        <w:jc w:val="both"/>
        <w:rPr>
          <w:rFonts w:cstheme="minorBidi"/>
        </w:rPr>
      </w:pPr>
      <w:bookmarkStart w:id="7" w:name="_Toc241146997"/>
      <w:r w:rsidRPr="00990396">
        <w:rPr>
          <w:rFonts w:cstheme="minorBidi"/>
        </w:rPr>
        <w:t>Research aim</w:t>
      </w:r>
      <w:bookmarkEnd w:id="7"/>
    </w:p>
    <w:p w14:paraId="6B5F7378" w14:textId="47DDB190" w:rsidR="00137AE8" w:rsidRPr="00990396" w:rsidRDefault="00137AE8" w:rsidP="00990396">
      <w:pPr>
        <w:jc w:val="both"/>
      </w:pPr>
      <w:r w:rsidRPr="00990396">
        <w:t xml:space="preserve">To critically examine, through secondary qualitative research, how financial risk management practices influence the financial performance of UK SMEs. </w:t>
      </w:r>
    </w:p>
    <w:p w14:paraId="3CD52304" w14:textId="77777777" w:rsidR="00137AE8" w:rsidRPr="00990396" w:rsidRDefault="00137AE8" w:rsidP="00990396">
      <w:pPr>
        <w:pStyle w:val="Heading3"/>
        <w:jc w:val="both"/>
        <w:rPr>
          <w:rFonts w:cstheme="minorBidi"/>
        </w:rPr>
      </w:pPr>
      <w:bookmarkStart w:id="8" w:name="_Toc241146998"/>
      <w:r w:rsidRPr="00990396">
        <w:rPr>
          <w:rFonts w:cstheme="minorBidi"/>
        </w:rPr>
        <w:t>Research objectives</w:t>
      </w:r>
      <w:bookmarkEnd w:id="8"/>
    </w:p>
    <w:p w14:paraId="2FD2F6DE" w14:textId="77777777" w:rsidR="00137AE8" w:rsidRPr="00990396" w:rsidRDefault="00137AE8" w:rsidP="00990396">
      <w:pPr>
        <w:pStyle w:val="ListParagraph"/>
        <w:numPr>
          <w:ilvl w:val="0"/>
          <w:numId w:val="2"/>
        </w:numPr>
        <w:jc w:val="both"/>
      </w:pPr>
      <w:r w:rsidRPr="00990396">
        <w:t xml:space="preserve">To critically examine the secondary literature concerning the relationship between liquidity risk management practices and the financial performance of UK SMEs. </w:t>
      </w:r>
    </w:p>
    <w:p w14:paraId="67EC5D6C" w14:textId="77777777" w:rsidR="00137AE8" w:rsidRPr="00990396" w:rsidRDefault="00137AE8" w:rsidP="00990396">
      <w:pPr>
        <w:pStyle w:val="ListParagraph"/>
        <w:numPr>
          <w:ilvl w:val="0"/>
          <w:numId w:val="2"/>
        </w:numPr>
        <w:jc w:val="both"/>
      </w:pPr>
      <w:r w:rsidRPr="00990396">
        <w:t xml:space="preserve">To evaluate the secondary evidence concerning the relationship between credit risk management practices and the financial performance of UK SMEs. </w:t>
      </w:r>
    </w:p>
    <w:p w14:paraId="472E48E6" w14:textId="25206C6D" w:rsidR="00137AE8" w:rsidRPr="00990396" w:rsidRDefault="00137AE8" w:rsidP="00990396">
      <w:pPr>
        <w:pStyle w:val="ListParagraph"/>
        <w:numPr>
          <w:ilvl w:val="0"/>
          <w:numId w:val="2"/>
        </w:numPr>
        <w:jc w:val="both"/>
      </w:pPr>
      <w:r w:rsidRPr="00990396">
        <w:t>To explore how the existing literature explains the relationship between market-risk management practices and the financial performance of UK SMEs.</w:t>
      </w:r>
    </w:p>
    <w:p w14:paraId="55AF77AB" w14:textId="3EBDB251" w:rsidR="00137AE8" w:rsidRPr="00990396" w:rsidRDefault="00137AE8" w:rsidP="00990396">
      <w:pPr>
        <w:pStyle w:val="Heading2"/>
        <w:jc w:val="both"/>
        <w:rPr>
          <w:rFonts w:cstheme="minorBidi"/>
        </w:rPr>
      </w:pPr>
      <w:bookmarkStart w:id="9" w:name="_Toc241146999"/>
      <w:r w:rsidRPr="00990396">
        <w:rPr>
          <w:rFonts w:cstheme="minorBidi"/>
        </w:rPr>
        <w:t>Research Rationale</w:t>
      </w:r>
      <w:bookmarkEnd w:id="9"/>
    </w:p>
    <w:p w14:paraId="08A54542" w14:textId="77777777" w:rsidR="00AA68BC" w:rsidRPr="00990396" w:rsidRDefault="00AA68BC" w:rsidP="00990396">
      <w:pPr>
        <w:jc w:val="both"/>
      </w:pPr>
      <w:r w:rsidRPr="00990396">
        <w:t>The economic value and financial fragility of UK SMEs coupled with the disjointed nature of the evidence supports this research. Financial risks are not isolated: Poor receivables' collection can lead to liquidity problems, rising financing and operating costs due to interest rates or exchange rates. Studies typically study a single exposure or practice at a time, though. The integrated review can then help to determine whether there are really competing relationships, or whether the apparent differences in the relationships are due to differences in samples, context, measurements and analysis.</w:t>
      </w:r>
    </w:p>
    <w:p w14:paraId="475EAD66" w14:textId="77777777" w:rsidR="00AA68BC" w:rsidRPr="00990396" w:rsidRDefault="00AA68BC" w:rsidP="00990396">
      <w:pPr>
        <w:jc w:val="both"/>
      </w:pPr>
      <w:r w:rsidRPr="00990396">
        <w:t xml:space="preserve">An UK focus is required since there is a financial behaviour which is influenced by the institutional conditions. The risks and controls that SMEs are exposed to and have </w:t>
      </w:r>
      <w:proofErr w:type="gramStart"/>
      <w:r w:rsidRPr="00990396">
        <w:t>are</w:t>
      </w:r>
      <w:proofErr w:type="gramEnd"/>
      <w:r w:rsidRPr="00990396">
        <w:t xml:space="preserve"> influenced by payment practices, banking structures, government support, and trade exposure and regulatory arrangements. International studies offer good comparative examples but can't be directly applied to UK companies. Nevertheless, even direct UK studies often incorporate listed SMEs or larger non-financial businesses that have more resources and is more easily able to access finance than would a typical private enterprise (Youssef, Salloum and Al Sayah, 2023; </w:t>
      </w:r>
      <w:proofErr w:type="spellStart"/>
      <w:r w:rsidRPr="00990396">
        <w:t>Belghitar</w:t>
      </w:r>
      <w:proofErr w:type="spellEnd"/>
      <w:r w:rsidRPr="00990396">
        <w:t xml:space="preserve"> et al., 2021). The study thus distinguishes between evidence that is relevant and strong in the UK and evidence that only provides indirect contextual insights.</w:t>
      </w:r>
    </w:p>
    <w:p w14:paraId="17D54DE9" w14:textId="162EF348" w:rsidR="00137AE8" w:rsidRPr="00990396" w:rsidRDefault="00AA68BC" w:rsidP="00990396">
      <w:pPr>
        <w:jc w:val="both"/>
      </w:pPr>
      <w:r w:rsidRPr="00990396">
        <w:t xml:space="preserve">Theoretical justification of the research is also made. ERM posits that systematic risk </w:t>
      </w:r>
      <w:proofErr w:type="gramStart"/>
      <w:r w:rsidRPr="00990396">
        <w:t>identification</w:t>
      </w:r>
      <w:proofErr w:type="gramEnd"/>
      <w:r w:rsidRPr="00990396">
        <w:t xml:space="preserve"> and risk control can help with decision-making and safeguard organisation value. The Resource Based View provides an explanation for the fact that identical practices can yield varying results in the case of SMEs with different financial knowledge, systems, managerial expertise and stakeholder relationships. The empirical evidence shows that the effectiveness of the risk management is not only based on formal controls but also on the </w:t>
      </w:r>
      <w:r w:rsidRPr="00990396">
        <w:lastRenderedPageBreak/>
        <w:t>organisation's culture and strategic capacity (</w:t>
      </w:r>
      <w:proofErr w:type="spellStart"/>
      <w:r w:rsidRPr="00990396">
        <w:t>Syrová</w:t>
      </w:r>
      <w:proofErr w:type="spellEnd"/>
      <w:r w:rsidRPr="00990396">
        <w:t xml:space="preserve"> and </w:t>
      </w:r>
      <w:proofErr w:type="spellStart"/>
      <w:r w:rsidRPr="00990396">
        <w:t>Špička</w:t>
      </w:r>
      <w:proofErr w:type="spellEnd"/>
      <w:r w:rsidRPr="00990396">
        <w:t xml:space="preserve">, 2023). Likewise, the resources affect the foreign exchange strategies of SMEs (Dang and Lindsay, 2022). A secondary qualitative synthesis is therefore suitable, as it will allow for the critical comparison of explanations, methodologies and contexts in a diffuse literature base and yield a coherent account that is consistent with all three research objectives. It pinpoints areas of future empirical research and policy development of </w:t>
      </w:r>
      <w:proofErr w:type="gramStart"/>
      <w:r w:rsidRPr="00990396">
        <w:t>particular relevance</w:t>
      </w:r>
      <w:proofErr w:type="gramEnd"/>
      <w:r w:rsidRPr="00990396">
        <w:t xml:space="preserve"> to the UK context</w:t>
      </w:r>
      <w:r w:rsidR="00137AE8" w:rsidRPr="00990396">
        <w:t>.</w:t>
      </w:r>
    </w:p>
    <w:p w14:paraId="6D1AB3AA" w14:textId="079ABE96" w:rsidR="00137AE8" w:rsidRPr="00990396" w:rsidRDefault="00137AE8" w:rsidP="00990396">
      <w:pPr>
        <w:pStyle w:val="Heading2"/>
        <w:jc w:val="both"/>
        <w:rPr>
          <w:rFonts w:cstheme="minorBidi"/>
        </w:rPr>
      </w:pPr>
      <w:bookmarkStart w:id="10" w:name="_Toc241147000"/>
      <w:r w:rsidRPr="00990396">
        <w:rPr>
          <w:rFonts w:cstheme="minorBidi"/>
        </w:rPr>
        <w:t>Significance of the Research</w:t>
      </w:r>
      <w:bookmarkEnd w:id="10"/>
    </w:p>
    <w:p w14:paraId="1CA238BC" w14:textId="77777777" w:rsidR="00AA68BC" w:rsidRPr="00990396" w:rsidRDefault="00AA68BC" w:rsidP="00990396">
      <w:pPr>
        <w:jc w:val="both"/>
      </w:pPr>
      <w:r w:rsidRPr="00990396">
        <w:t>Academically, the study tackles the gap of incorporating liquidity, credit and market-risk management in one framework for the SMEs in UK. Existing studies tend to focus on risks in isolation, on non-UK populations or to rely on performance measures which make comparisons difficult. The synthesis of these streams can help to draw inferences about the direct or indirect relationship between risk management and profitability, as measured by stability, resilience and organisational capability. This contribution has been timely, given the recent evidence of mixed working-capital effects (</w:t>
      </w:r>
      <w:proofErr w:type="spellStart"/>
      <w:r w:rsidRPr="00990396">
        <w:t>Kiymaz</w:t>
      </w:r>
      <w:proofErr w:type="spellEnd"/>
      <w:r w:rsidRPr="00990396">
        <w:t>, Haque and Choudhury, 2024), financing consequences of late payments (Kaya, 2024) and hedging behaviour based on resources (Dang and Lindsay, 2022).</w:t>
      </w:r>
    </w:p>
    <w:p w14:paraId="137BDCCF" w14:textId="2CA22CFC" w:rsidR="0097285E" w:rsidRPr="00990396" w:rsidRDefault="00AA68BC" w:rsidP="00990396">
      <w:pPr>
        <w:jc w:val="both"/>
      </w:pPr>
      <w:r w:rsidRPr="00990396">
        <w:t xml:space="preserve">The study is an extension of the use of Enterprise Risk Management and Resource Based View in smaller firms. Organizational capabilities are suggested as a possible determinant of the ERM–performance relationship by the authors </w:t>
      </w:r>
      <w:proofErr w:type="spellStart"/>
      <w:r w:rsidRPr="00990396">
        <w:t>Syrová</w:t>
      </w:r>
      <w:proofErr w:type="spellEnd"/>
      <w:r w:rsidRPr="00990396">
        <w:t xml:space="preserve"> and </w:t>
      </w:r>
      <w:proofErr w:type="spellStart"/>
      <w:r w:rsidRPr="00990396">
        <w:t>Špička</w:t>
      </w:r>
      <w:proofErr w:type="spellEnd"/>
      <w:r w:rsidRPr="00990396">
        <w:t xml:space="preserve"> (2023). In practice the findings can help SME managers, accountants and advisers to prioritise proportionate controls. They can also communicate with lenders and policymakers who are interested in improving the resilience, payment discipline, financial capacity and growth of SMEs in the United Kingdom.</w:t>
      </w:r>
    </w:p>
    <w:p w14:paraId="71F83AEC" w14:textId="77777777" w:rsidR="00D41112" w:rsidRPr="00990396" w:rsidRDefault="00D41112" w:rsidP="00990396">
      <w:pPr>
        <w:pStyle w:val="Heading2"/>
        <w:jc w:val="both"/>
        <w:rPr>
          <w:rFonts w:cstheme="minorBidi"/>
        </w:rPr>
      </w:pPr>
      <w:bookmarkStart w:id="11" w:name="_Toc241147001"/>
      <w:r w:rsidRPr="00990396">
        <w:rPr>
          <w:rFonts w:cstheme="minorBidi"/>
        </w:rPr>
        <w:t>Summary of Theoretical Framework, Methodology and Main Findings</w:t>
      </w:r>
      <w:bookmarkEnd w:id="11"/>
    </w:p>
    <w:p w14:paraId="5AF951F7" w14:textId="77777777" w:rsidR="00D41112" w:rsidRPr="00990396" w:rsidRDefault="00D41112" w:rsidP="00990396">
      <w:pPr>
        <w:jc w:val="both"/>
      </w:pPr>
      <w:r w:rsidRPr="00990396">
        <w:t xml:space="preserve">The theory utilized in this study is the theory of Enterprise Risk Management and Resource Based View. ERM is about how the three elements of liquidity, credit and market risk can work together to minimise the impact on value of the organisation, whereas RBV is about the role played by financial knowledge, managerial capability and information resources on the effectiveness of such practices. The research philosophy used was interpretivist, the research method was </w:t>
      </w:r>
      <w:proofErr w:type="gramStart"/>
      <w:r w:rsidRPr="00990396">
        <w:t>inductive</w:t>
      </w:r>
      <w:proofErr w:type="gramEnd"/>
      <w:r w:rsidRPr="00990396">
        <w:t xml:space="preserve"> and the research design was mono method qualitative that used secondary literature review approach. The data was systematically extracted and then analysed by reflexive thematic analysis, which aimed at highlighting patterns, contradictions and context-specific explanations for the three research questions. The key findings show that financial risk management is likely to enhance the performance of UK SMEs if it is proportionate, it is integrated and it is backed up by organisational capabilities. Greater liquidity </w:t>
      </w:r>
      <w:r w:rsidRPr="00990396">
        <w:lastRenderedPageBreak/>
        <w:t xml:space="preserve">efficiency enhances </w:t>
      </w:r>
      <w:proofErr w:type="gramStart"/>
      <w:r w:rsidRPr="00990396">
        <w:t>resilience,</w:t>
      </w:r>
      <w:proofErr w:type="gramEnd"/>
      <w:r w:rsidRPr="00990396">
        <w:t xml:space="preserve"> prudent credit risk management mitigates financing stress and flexible market risk management practices boost responsiveness to external volatility. The impacts of this are context specific though, and any conclusions based on the limited representative evidence from UK SMEs are only causal within the specific firms and sectors.</w:t>
      </w:r>
    </w:p>
    <w:p w14:paraId="158DA229" w14:textId="453492A9" w:rsidR="00AA68BC" w:rsidRPr="00990396" w:rsidRDefault="00AA68BC" w:rsidP="00990396">
      <w:pPr>
        <w:pStyle w:val="Heading2"/>
        <w:jc w:val="both"/>
        <w:rPr>
          <w:rFonts w:cstheme="minorBidi"/>
        </w:rPr>
      </w:pPr>
      <w:bookmarkStart w:id="12" w:name="_Toc241147002"/>
      <w:r w:rsidRPr="00990396">
        <w:rPr>
          <w:rFonts w:cstheme="minorBidi"/>
        </w:rPr>
        <w:t>Structure of the Dissertation</w:t>
      </w:r>
      <w:bookmarkEnd w:id="12"/>
    </w:p>
    <w:p w14:paraId="7592A94D" w14:textId="01F290E4" w:rsidR="00AA68BC" w:rsidRPr="00990396" w:rsidRDefault="00AA68BC" w:rsidP="00990396">
      <w:pPr>
        <w:jc w:val="both"/>
      </w:pPr>
      <w:r w:rsidRPr="00990396">
        <w:t xml:space="preserve">The dissertation is organised into </w:t>
      </w:r>
      <w:r w:rsidR="0097285E" w:rsidRPr="00990396">
        <w:t>five</w:t>
      </w:r>
      <w:r w:rsidRPr="00990396">
        <w:t xml:space="preserve"> chapters. Chapter One sets the scene for the research, problem, aim and objectives, questions, rationale and significance. The literature review is conducted critically in Chapter Two, which is further broken down into theories and </w:t>
      </w:r>
      <w:proofErr w:type="gramStart"/>
      <w:r w:rsidRPr="00990396">
        <w:t>concepts</w:t>
      </w:r>
      <w:proofErr w:type="gramEnd"/>
      <w:r w:rsidRPr="00990396">
        <w:t xml:space="preserve"> and the literature research gap is identified. The secondary qualitative methodology is explained in Chapter Three, from the selection of the sources, collection of data, thematic analysis, trustworthiness and ethics. Chapter Four summarizes the results of the evidence</w:t>
      </w:r>
      <w:r w:rsidR="00D41112" w:rsidRPr="00990396">
        <w:t xml:space="preserve"> and then a</w:t>
      </w:r>
      <w:r w:rsidRPr="00990396">
        <w:t xml:space="preserve"> discussion of those findings relative to the objectives, theories and previous studies is included. The dissertation ends in the chapter </w:t>
      </w:r>
      <w:r w:rsidR="00D41112" w:rsidRPr="00990396">
        <w:t>five</w:t>
      </w:r>
      <w:r w:rsidRPr="00990396">
        <w:t xml:space="preserve"> which summarizes, resolves the research questions, gives recommendations, identifies limitations and suggests future research directions.</w:t>
      </w:r>
    </w:p>
    <w:p w14:paraId="1675E7D6" w14:textId="48935C58" w:rsidR="00AA68BC" w:rsidRPr="00990396" w:rsidRDefault="00990396" w:rsidP="00990396">
      <w:pPr>
        <w:pStyle w:val="Heading1"/>
        <w:jc w:val="both"/>
        <w:rPr>
          <w:rFonts w:cstheme="minorBidi"/>
        </w:rPr>
      </w:pPr>
      <w:bookmarkStart w:id="13" w:name="_Toc241147003"/>
      <w:r w:rsidRPr="00990396">
        <w:rPr>
          <w:rFonts w:cstheme="minorBidi"/>
        </w:rPr>
        <w:t>CHAPTER 2: LITERATURE REVIEW</w:t>
      </w:r>
      <w:bookmarkEnd w:id="13"/>
    </w:p>
    <w:p w14:paraId="444BAFC5" w14:textId="3D60D047" w:rsidR="00AA68BC" w:rsidRPr="00990396" w:rsidRDefault="00AA68BC" w:rsidP="00990396">
      <w:pPr>
        <w:pStyle w:val="Heading2"/>
        <w:jc w:val="both"/>
        <w:rPr>
          <w:rFonts w:cstheme="minorBidi"/>
        </w:rPr>
      </w:pPr>
      <w:bookmarkStart w:id="14" w:name="_Toc241147004"/>
      <w:r w:rsidRPr="00990396">
        <w:rPr>
          <w:rFonts w:cstheme="minorBidi"/>
        </w:rPr>
        <w:t>Introduction to the Literature Review</w:t>
      </w:r>
      <w:bookmarkEnd w:id="14"/>
    </w:p>
    <w:p w14:paraId="26A2E6CB" w14:textId="77777777" w:rsidR="00AA68BC" w:rsidRPr="00990396" w:rsidRDefault="00AA68BC" w:rsidP="00990396">
      <w:pPr>
        <w:jc w:val="both"/>
      </w:pPr>
      <w:r w:rsidRPr="00990396">
        <w:t>The aim of this literature review was to investigate critically the impact of financial risk management practices on financial performance of SMEs in the UK. It highlights liquidity, credit and market-risk management, which are the 3 goals of the study. The review includes the analysis of the latest empirical evidence, a comparison of the different findings in the case studies and a critical examination of the methodological aspects, such as the sampling, research design, measurement and analytical methods. Theory that can be used to explain the possible influence of coordinated controls and firm-specific capabilities on performance outcomes is provided by Enterprise Risk Management Theory and the Resource-Based View. Specific focus on profitability, cash flow stability, solvency and growth and resilience in the unique UK SME environment generally.</w:t>
      </w:r>
    </w:p>
    <w:p w14:paraId="527CC57F" w14:textId="66AAF4EA" w:rsidR="00AA68BC" w:rsidRPr="00990396" w:rsidRDefault="00AA68BC" w:rsidP="00990396">
      <w:pPr>
        <w:pStyle w:val="Heading2"/>
        <w:jc w:val="both"/>
        <w:rPr>
          <w:rFonts w:cstheme="minorBidi"/>
        </w:rPr>
      </w:pPr>
      <w:bookmarkStart w:id="15" w:name="_Toc241147005"/>
      <w:r w:rsidRPr="00990396">
        <w:rPr>
          <w:rFonts w:cstheme="minorBidi"/>
        </w:rPr>
        <w:t>Liquidity Risk Management Practices and the Financial Performance of UK SMEs</w:t>
      </w:r>
      <w:bookmarkEnd w:id="15"/>
    </w:p>
    <w:p w14:paraId="17B18B7B" w14:textId="77777777" w:rsidR="00AA68BC" w:rsidRPr="00990396" w:rsidRDefault="00AA68BC" w:rsidP="00990396">
      <w:pPr>
        <w:jc w:val="both"/>
      </w:pPr>
      <w:r w:rsidRPr="00990396">
        <w:t xml:space="preserve">Liquidity risk management involves forecasting cash flows, keeping liquid reserves and managing receivables, inventories and payables in a way that would enable the firms to </w:t>
      </w:r>
      <w:proofErr w:type="spellStart"/>
      <w:r w:rsidRPr="00990396">
        <w:t>fulfill</w:t>
      </w:r>
      <w:proofErr w:type="spellEnd"/>
      <w:r w:rsidRPr="00990396">
        <w:t xml:space="preserve"> their short-term obligations without compromising sustainable profitability (</w:t>
      </w:r>
      <w:proofErr w:type="spellStart"/>
      <w:r w:rsidRPr="00990396">
        <w:t>Kiymaz</w:t>
      </w:r>
      <w:proofErr w:type="spellEnd"/>
      <w:r w:rsidRPr="00990396">
        <w:t xml:space="preserve"> et al., 2024).</w:t>
      </w:r>
    </w:p>
    <w:p w14:paraId="1140A835" w14:textId="77777777" w:rsidR="00AA68BC" w:rsidRPr="00990396" w:rsidRDefault="00AA68BC" w:rsidP="00990396">
      <w:pPr>
        <w:jc w:val="both"/>
      </w:pPr>
      <w:r w:rsidRPr="00990396">
        <w:lastRenderedPageBreak/>
        <w:t>Youssef et al. (2023) conducted an analysis of 93 UK SMEs listed in the UK between 2012 and 2020 across three models: fixed-effects model, random-effects model and generalized-method-of-moments model. Both ROA and ROE were found to have very weak liquidity ratios, suggesting that increased liquidity does not necessarily lead to better overall financial performance. The small sample size (listed small businesses) excludes most of the private SMEs and multiple estimators provide statistical robustness, but this may be because there is not enough variation across the sample to demonstrate statistical significance, rather than because the businesses are not economically significant.</w:t>
      </w:r>
    </w:p>
    <w:p w14:paraId="7881A768" w14:textId="77777777" w:rsidR="00AA68BC" w:rsidRPr="00990396" w:rsidRDefault="00AA68BC" w:rsidP="00990396">
      <w:pPr>
        <w:jc w:val="both"/>
      </w:pPr>
      <w:proofErr w:type="spellStart"/>
      <w:r w:rsidRPr="00990396">
        <w:t>Belghitar</w:t>
      </w:r>
      <w:proofErr w:type="spellEnd"/>
      <w:r w:rsidRPr="00990396">
        <w:t xml:space="preserve"> et al. (2022) created a model of pandemic liquidity shocks for 42,401 companies in the UK that are smaller than the top 2,500 companies, or SMEs. The remarkable sample provides better sectoral </w:t>
      </w:r>
      <w:proofErr w:type="gramStart"/>
      <w:r w:rsidRPr="00990396">
        <w:t>coverage, and</w:t>
      </w:r>
      <w:proofErr w:type="gramEnd"/>
      <w:r w:rsidRPr="00990396">
        <w:t xml:space="preserve"> reflects a longing for support to extend the lifeline of the firms, especially of those less strong. However, simulated revenues and policy effects are not observed causal outcomes, and hence, the extent of precision and generalisability may be exaggerated due to assumptions regarding the severity of the shocks and the eligibility and behavioural responses.</w:t>
      </w:r>
    </w:p>
    <w:p w14:paraId="21003CCA" w14:textId="77777777" w:rsidR="00AA68BC" w:rsidRPr="00990396" w:rsidRDefault="00AA68BC" w:rsidP="00990396">
      <w:pPr>
        <w:jc w:val="both"/>
      </w:pPr>
      <w:r w:rsidRPr="00990396">
        <w:t xml:space="preserve">Laghari et al (2023) </w:t>
      </w:r>
      <w:proofErr w:type="spellStart"/>
      <w:r w:rsidRPr="00990396">
        <w:t>analyzed</w:t>
      </w:r>
      <w:proofErr w:type="spellEnd"/>
      <w:r w:rsidRPr="00990396">
        <w:t xml:space="preserve"> 20,288 quarterly observations of Chinese listed firms using generalized estimating equations, system GMM and extensive robustness and sensitivity testing. The shorter cash-conversion components were linked to Tobin's Q </w:t>
      </w:r>
      <w:proofErr w:type="gramStart"/>
      <w:r w:rsidRPr="00990396">
        <w:t>in particular for</w:t>
      </w:r>
      <w:proofErr w:type="gramEnd"/>
      <w:r w:rsidRPr="00990396">
        <w:t xml:space="preserve"> firms with low leverage. The methodological strengths are longitudinal modelling and endogeneity checks, while the institutional environment, scale of listed companies and short </w:t>
      </w:r>
      <w:proofErr w:type="gramStart"/>
      <w:r w:rsidRPr="00990396">
        <w:t>time period</w:t>
      </w:r>
      <w:proofErr w:type="gramEnd"/>
      <w:r w:rsidRPr="00990396">
        <w:t xml:space="preserve"> of 2018–2020 limit application to SMEs in the UK and make it difficult to uncover longer-run liquidity-performance trade-offs.</w:t>
      </w:r>
    </w:p>
    <w:p w14:paraId="2128DC8A" w14:textId="77777777" w:rsidR="00AA68BC" w:rsidRPr="00990396" w:rsidRDefault="00AA68BC" w:rsidP="00990396">
      <w:pPr>
        <w:jc w:val="both"/>
      </w:pPr>
      <w:r w:rsidRPr="00990396">
        <w:t xml:space="preserve">Using 405 Vietnamese listed firms and 4,455 observations, Hung &amp; Dinh (2022) employed Hansen's fixed effects threshold </w:t>
      </w:r>
      <w:proofErr w:type="spellStart"/>
      <w:proofErr w:type="gramStart"/>
      <w:r w:rsidRPr="00990396">
        <w:t>model.Hung</w:t>
      </w:r>
      <w:proofErr w:type="spellEnd"/>
      <w:proofErr w:type="gramEnd"/>
      <w:r w:rsidRPr="00990396">
        <w:t xml:space="preserve"> &amp; Dinh (2022) employed 405 Vietnamese listed firms and 4,455 </w:t>
      </w:r>
      <w:proofErr w:type="gramStart"/>
      <w:r w:rsidRPr="00990396">
        <w:t>observations, and</w:t>
      </w:r>
      <w:proofErr w:type="gramEnd"/>
      <w:r w:rsidRPr="00990396">
        <w:t xml:space="preserve"> used Hansen's fixed-effects threshold model. They detected the effects of working-capital that are nonlinear and shift after a threshold on leverage, which have expanded the restrictive linear specifications. However, the approximate thresholds might be sample specific; the use of accounting proxies reduces external validity, and observed association does not necessarily imply managerial causation, as one emerging market and listed firms limits external validity.</w:t>
      </w:r>
    </w:p>
    <w:p w14:paraId="37A154BA" w14:textId="77777777" w:rsidR="00AA68BC" w:rsidRPr="00990396" w:rsidRDefault="00AA68BC" w:rsidP="00990396">
      <w:pPr>
        <w:jc w:val="both"/>
      </w:pPr>
      <w:r w:rsidRPr="00990396">
        <w:t xml:space="preserve">Anton and </w:t>
      </w:r>
      <w:proofErr w:type="spellStart"/>
      <w:r w:rsidRPr="00990396">
        <w:t>Afloarei</w:t>
      </w:r>
      <w:proofErr w:type="spellEnd"/>
      <w:r w:rsidRPr="00990396">
        <w:t xml:space="preserve"> </w:t>
      </w:r>
      <w:proofErr w:type="spellStart"/>
      <w:r w:rsidRPr="00990396">
        <w:t>Nucu</w:t>
      </w:r>
      <w:proofErr w:type="spellEnd"/>
      <w:r w:rsidRPr="00990396">
        <w:t xml:space="preserve"> (2021) examined the effect of working capital on profitability of 719 quoted companies in Poland for the period of 2007–2016 and found an inverted-U relationship. The long panel and non-linearity of the tests seem to favour an optimal-liquidity interpretation over universal minimisation. However, data are not recent shocks and listed Polish companies </w:t>
      </w:r>
      <w:r w:rsidRPr="00990396">
        <w:lastRenderedPageBreak/>
        <w:t xml:space="preserve">are not UK SMEs </w:t>
      </w:r>
      <w:proofErr w:type="gramStart"/>
      <w:r w:rsidRPr="00990396">
        <w:t>with regard to</w:t>
      </w:r>
      <w:proofErr w:type="gramEnd"/>
      <w:r w:rsidRPr="00990396">
        <w:t xml:space="preserve"> financing access, as well as unobserved managerial quality may affect policies and performance.</w:t>
      </w:r>
    </w:p>
    <w:p w14:paraId="433C3F0F" w14:textId="77777777" w:rsidR="00AA68BC" w:rsidRPr="00990396" w:rsidRDefault="00AA68BC" w:rsidP="00990396">
      <w:pPr>
        <w:jc w:val="both"/>
      </w:pPr>
      <w:r w:rsidRPr="00990396">
        <w:t xml:space="preserve">In the present study, </w:t>
      </w:r>
      <w:proofErr w:type="spellStart"/>
      <w:r w:rsidRPr="00990396">
        <w:t>Airout</w:t>
      </w:r>
      <w:proofErr w:type="spellEnd"/>
      <w:r w:rsidRPr="00990396">
        <w:t xml:space="preserve"> et al. (2023) studied secondary data on 200 Jordanian SMEs using descriptive data, correlation and regression. The results indicate that accounting expenditure had a positive moderating impact on the performance, while advertising expenditure had a negative moderating impact, indicating that the impact of resources allocated to the expenses is </w:t>
      </w:r>
      <w:proofErr w:type="gramStart"/>
      <w:r w:rsidRPr="00990396">
        <w:t>context-dependent</w:t>
      </w:r>
      <w:proofErr w:type="gramEnd"/>
      <w:r w:rsidRPr="00990396">
        <w:t>. While direct SME evidence is valuable, its small sample size, the lack of temporal structure and the use of sales as a performance indicator limit causal inference, and simple regressions are subject to endogeneity.</w:t>
      </w:r>
    </w:p>
    <w:p w14:paraId="794BF3F8" w14:textId="77777777" w:rsidR="00AA68BC" w:rsidRPr="00990396" w:rsidRDefault="00AA68BC" w:rsidP="00990396">
      <w:pPr>
        <w:jc w:val="both"/>
      </w:pPr>
      <w:r w:rsidRPr="00990396">
        <w:t xml:space="preserve">Fixed-effects estimation was used by </w:t>
      </w:r>
      <w:proofErr w:type="spellStart"/>
      <w:r w:rsidRPr="00990396">
        <w:t>Mandipa</w:t>
      </w:r>
      <w:proofErr w:type="spellEnd"/>
      <w:r w:rsidRPr="00990396">
        <w:t xml:space="preserve"> and Sibindi (2022) for sixteen listed retailers in South Africa between the years 2010 and 2019. The longer inventory, collection and conversion cycles tended to lower ROA, ROE or margins, helping to achieve a tighter control of working-capital. Industry Level sectoral sampling (focused) leads to increased comparability while 16 firms have weak statistical power and limited generalisability, but fixed effects control time-invariant heterogeneity, not reverse causality or dynamic adjustment processes.</w:t>
      </w:r>
    </w:p>
    <w:p w14:paraId="71DB62E8" w14:textId="77777777" w:rsidR="00AA68BC" w:rsidRPr="00990396" w:rsidRDefault="00AA68BC" w:rsidP="00990396">
      <w:pPr>
        <w:jc w:val="both"/>
      </w:pPr>
      <w:r w:rsidRPr="00990396">
        <w:t xml:space="preserve">In general, across studies, liquidity management seems to be useful when it enhances the conversion efficiency or helps to maintain the survival, but there is here no evidence to support a maximisation of liquid assets. The profitability effect did not show up in the results for Youssef et al. (2023), while Anton and </w:t>
      </w:r>
      <w:proofErr w:type="spellStart"/>
      <w:r w:rsidRPr="00990396">
        <w:t>Afloarei</w:t>
      </w:r>
      <w:proofErr w:type="spellEnd"/>
      <w:r w:rsidRPr="00990396">
        <w:t xml:space="preserve"> </w:t>
      </w:r>
      <w:proofErr w:type="spellStart"/>
      <w:r w:rsidRPr="00990396">
        <w:t>Nucu</w:t>
      </w:r>
      <w:proofErr w:type="spellEnd"/>
      <w:r w:rsidRPr="00990396">
        <w:t xml:space="preserve"> (2021) and Hung and Dinh (2022) detected nonlinear optima, which may be due to model specification, leverage and institutional conditions. Laghari et al. (2023) and </w:t>
      </w:r>
      <w:proofErr w:type="spellStart"/>
      <w:r w:rsidRPr="00990396">
        <w:t>Mandipa</w:t>
      </w:r>
      <w:proofErr w:type="spellEnd"/>
      <w:r w:rsidRPr="00990396">
        <w:t xml:space="preserve"> and Sibindi (2022) back shorter operating cycles, but their samples of listed companies (excluding UK) </w:t>
      </w:r>
      <w:proofErr w:type="gramStart"/>
      <w:r w:rsidRPr="00990396">
        <w:t>decreases</w:t>
      </w:r>
      <w:proofErr w:type="gramEnd"/>
      <w:r w:rsidRPr="00990396">
        <w:t xml:space="preserve"> the direct transferability. </w:t>
      </w:r>
      <w:proofErr w:type="spellStart"/>
      <w:r w:rsidRPr="00990396">
        <w:t>Belghitar</w:t>
      </w:r>
      <w:proofErr w:type="spellEnd"/>
      <w:r w:rsidRPr="00990396">
        <w:t xml:space="preserve"> et al (2022) has the best coverage in the UK, but only for the measure of resilience, not realised profitability. </w:t>
      </w:r>
      <w:proofErr w:type="spellStart"/>
      <w:r w:rsidRPr="00990396">
        <w:t>Airout</w:t>
      </w:r>
      <w:proofErr w:type="spellEnd"/>
      <w:r w:rsidRPr="00990396">
        <w:t xml:space="preserve"> et al. (2023) also demonstrates that liquidity can have positive or negative effects on expenditure returns. Methodological diversity supports meaningful empirical triangulation, but there is a lack of consistency in the measures used to evaluate performance </w:t>
      </w:r>
      <w:proofErr w:type="gramStart"/>
      <w:r w:rsidRPr="00990396">
        <w:t>and in the methods</w:t>
      </w:r>
      <w:proofErr w:type="gramEnd"/>
      <w:r w:rsidRPr="00990396">
        <w:t xml:space="preserve"> used for observations, as well as a lack of representative UK SME panels, making causal conclusions difficult.</w:t>
      </w:r>
    </w:p>
    <w:p w14:paraId="7D05B631" w14:textId="0CAD127D" w:rsidR="00137AE8" w:rsidRPr="00990396" w:rsidRDefault="00AA68BC" w:rsidP="00990396">
      <w:pPr>
        <w:jc w:val="both"/>
      </w:pPr>
      <w:r w:rsidRPr="00990396">
        <w:t>It is thus likely that a sensible, context-specific liquidity management approach is helping to drive better performance of UK SMEs, but there is not yet a clear empirical picture of how and at what levels</w:t>
      </w:r>
      <w:r w:rsidR="00137AE8" w:rsidRPr="00990396">
        <w:t>.</w:t>
      </w:r>
    </w:p>
    <w:p w14:paraId="17B10FD7" w14:textId="363C8D5A" w:rsidR="00137AE8" w:rsidRPr="00990396" w:rsidRDefault="00137AE8" w:rsidP="00990396">
      <w:pPr>
        <w:pStyle w:val="Heading2"/>
        <w:jc w:val="both"/>
        <w:rPr>
          <w:rFonts w:cstheme="minorBidi"/>
        </w:rPr>
      </w:pPr>
      <w:bookmarkStart w:id="16" w:name="_Toc241147006"/>
      <w:r w:rsidRPr="00990396">
        <w:rPr>
          <w:rFonts w:cstheme="minorBidi"/>
        </w:rPr>
        <w:lastRenderedPageBreak/>
        <w:t>Credit Risk Management Practices and the Financial Performance of UK SMEs</w:t>
      </w:r>
      <w:bookmarkEnd w:id="16"/>
    </w:p>
    <w:p w14:paraId="5EE82691" w14:textId="77777777" w:rsidR="00AA68BC" w:rsidRPr="00990396" w:rsidRDefault="00AA68BC" w:rsidP="00990396">
      <w:pPr>
        <w:jc w:val="both"/>
      </w:pPr>
      <w:r w:rsidRPr="00990396">
        <w:t>Credit risk management includes the evaluation of the creditworthiness of the counterparties, determination of credit terms and limits, monitoring of receivables and debt collection to minimize losses arising from credit risks and to enable the company's sales, liquidity, and profitability (Wang et al., 2021).</w:t>
      </w:r>
    </w:p>
    <w:p w14:paraId="0B1C6DC2" w14:textId="77777777" w:rsidR="00AA68BC" w:rsidRPr="00990396" w:rsidRDefault="00AA68BC" w:rsidP="00990396">
      <w:pPr>
        <w:jc w:val="both"/>
      </w:pPr>
      <w:r w:rsidRPr="00990396">
        <w:t>Peter et al. (2022) applied structured thematic analysis and quantitative regression analysis through questionnaires with 285 SMEs in Lagos, and five interviews. Sustainability was linked to credit checks and formal policies/cash discounts. The geographically clustered, non-probability sample and self-reported practices raise the possibility of common-method bias; the self-reported practices also provide an indirect financial-performance test, and the geographically clustered, non-probability sample may have a bias of contextual interpretation and methodological triangulation.</w:t>
      </w:r>
    </w:p>
    <w:p w14:paraId="5CAB603A" w14:textId="77777777" w:rsidR="00AA68BC" w:rsidRPr="00990396" w:rsidRDefault="00AA68BC" w:rsidP="00990396">
      <w:pPr>
        <w:jc w:val="both"/>
      </w:pPr>
      <w:r w:rsidRPr="00990396">
        <w:t xml:space="preserve">Otto (2023) used descriptive statistics and exploratory factor analysis to </w:t>
      </w:r>
      <w:proofErr w:type="spellStart"/>
      <w:r w:rsidRPr="00990396">
        <w:t>analyze</w:t>
      </w:r>
      <w:proofErr w:type="spellEnd"/>
      <w:r w:rsidRPr="00990396">
        <w:t xml:space="preserve"> a survey of 10,450 South African small and medium-sized enterprises (SMEs) that yielded 422 usable responses. A high level of effectiveness was perceived in the respondents' trade-credit management. While the response rate of 4.15% is supported by strong instrument-validity and detailed factor-adequacy tests, the statistical quality of the measurement is severely compromised by the non-response bias; perceptions and purposive sampling as well as a lack of objective performance data make optimistic interpretations particularly suspect.</w:t>
      </w:r>
    </w:p>
    <w:p w14:paraId="3597661D" w14:textId="77777777" w:rsidR="00AA68BC" w:rsidRPr="00990396" w:rsidRDefault="00AA68BC" w:rsidP="00990396">
      <w:pPr>
        <w:jc w:val="both"/>
      </w:pPr>
      <w:r w:rsidRPr="00990396">
        <w:t>Al-Eitan et al. (2023) conducted an empirical analysis on 38 Jordanian listed manufacturing companies during the period 2009-2021, applying the longitudinal panel regressions. Payables' association was positive with profitability, while receivables' association was negative, suggesting that the effects were not the same for the granting and the receiving of credit. The thirteen years of this panel provide useful panel variation over time but only 38 firms are constrained in their power; listed manufacturers are unrepresentative of UK SMEs; and endogeneity is not adequately addressed.</w:t>
      </w:r>
    </w:p>
    <w:p w14:paraId="0C354699" w14:textId="77777777" w:rsidR="00AA68BC" w:rsidRPr="00990396" w:rsidRDefault="00AA68BC" w:rsidP="00990396">
      <w:pPr>
        <w:jc w:val="both"/>
      </w:pPr>
      <w:r w:rsidRPr="00990396">
        <w:t>Kaya (2024) used probability models, controls, fixed effects and nonlinear robustness checks to analyse repeated survey data of SMEs from 11 European countries for the period 2019-2023. Financing consequences: Late payments increased credit constraints, interest costs and other charges. The cross-country coverage and robustness tests are strengths, but self-reported payment experiences and unavailable firm identifiers and repeated cross-sections make it difficult to track firms and establish causality.</w:t>
      </w:r>
    </w:p>
    <w:p w14:paraId="72E209CF" w14:textId="77777777" w:rsidR="00AA68BC" w:rsidRPr="00990396" w:rsidRDefault="00AA68BC" w:rsidP="00990396">
      <w:pPr>
        <w:jc w:val="both"/>
      </w:pPr>
      <w:r w:rsidRPr="00990396">
        <w:lastRenderedPageBreak/>
        <w:t>Lefebvre (2023) analysed a large multi-national European Union sample of SMEs, to link the duration of payment to changes in sales and employment, with more positive associations when national payment conditions were more reliable. With the benefits of hindsight, institutional moderation is a useful corrective of the notion that longer terms are always detrimental. But cross-country heterogeneity and observational data mean it is hard to distinguish between strategic credit extension and selection by stronger firms and to interpret them specifically for the UK.</w:t>
      </w:r>
    </w:p>
    <w:p w14:paraId="649F4D2C" w14:textId="77777777" w:rsidR="00AA68BC" w:rsidRPr="00990396" w:rsidRDefault="00AA68BC" w:rsidP="00990396">
      <w:pPr>
        <w:jc w:val="both"/>
      </w:pPr>
      <w:r w:rsidRPr="00990396">
        <w:t xml:space="preserve">Del Gaudio et al. (2022) examined confidential bank–firm, loan-level data for Italy and discovered that trade credit improved the chances of loan approval for SMEs, particularly for opaque firms. Data, direct lending decisions and proprietary data enhance behavioural validity and enable a signalling mechanism. However, one bank and country </w:t>
      </w:r>
      <w:proofErr w:type="gramStart"/>
      <w:r w:rsidRPr="00990396">
        <w:t>restricts</w:t>
      </w:r>
      <w:proofErr w:type="gramEnd"/>
      <w:r w:rsidRPr="00990396">
        <w:t xml:space="preserve"> the generalisability, supplier credit could be affected by the quality of the firm in the past, and the availability of better financing does not necessarily mean the same amount of realised profits.</w:t>
      </w:r>
    </w:p>
    <w:p w14:paraId="4E607E4E" w14:textId="77777777" w:rsidR="00AA68BC" w:rsidRPr="00990396" w:rsidRDefault="00AA68BC" w:rsidP="00990396">
      <w:pPr>
        <w:jc w:val="both"/>
      </w:pPr>
      <w:r w:rsidRPr="00990396">
        <w:t xml:space="preserve">Baker et al. (2022) investigated 1,660 firm-year observations from listed companies in India and concluded that there is an inverted-U curve between trade credit and profitability. While financing and default costs eventually outweigh the benefits, nonlinear panel analysis shows that benefits exist. But large listed companies aren't </w:t>
      </w:r>
      <w:proofErr w:type="gramStart"/>
      <w:r w:rsidRPr="00990396">
        <w:t>SMEs</w:t>
      </w:r>
      <w:proofErr w:type="gramEnd"/>
      <w:r w:rsidRPr="00990396">
        <w:t xml:space="preserve"> and Indian payment institutions aren't those of Britain and accounting-based regressions cannot entirely account for simultaneity in profitable growth and credit provision.</w:t>
      </w:r>
    </w:p>
    <w:p w14:paraId="66DA50B3" w14:textId="77777777" w:rsidR="00AA68BC" w:rsidRPr="00990396" w:rsidRDefault="00AA68BC" w:rsidP="00990396">
      <w:pPr>
        <w:jc w:val="both"/>
      </w:pPr>
      <w:r w:rsidRPr="00990396">
        <w:t xml:space="preserve">The proof is that the evidence shows that disciplined trade-credit management is not indiscriminate credit expansion. The study of Peter et al. (2022) suggests screening and policies, whereas the study of Otto (2023) indicates positively perceived screening and policies which contradict the low response and survival issues in the study. According to Al-Eitan et al. (2023) and Baker et al. (2022), receivables can have a negative impact on profitability to a certain degree, while Lefebvre (2023) suggests that a longer payment duration contributes to growth when payment institutions are strong. This apparent paradox stems from the trade-offs of voluntary strategic terms for involuntary late payments: Kaya (2024) reports that delayed settlement increases financing costs, whereas Del Gaudio et al. (2022) reports that supplier credit can convey borrower quality to banks. Samples and outcomes range from self-reported to growth and loan approval and profitability. </w:t>
      </w:r>
      <w:proofErr w:type="gramStart"/>
      <w:r w:rsidRPr="00990396">
        <w:t>With this in mind, there</w:t>
      </w:r>
      <w:proofErr w:type="gramEnd"/>
      <w:r w:rsidRPr="00990396">
        <w:t xml:space="preserve"> is a need for triangulation, which indicates that while screening, monitoring, and proportionate terms are important, evidence of these in the UK SMEs is only indirect and causal identification is weak.</w:t>
      </w:r>
    </w:p>
    <w:p w14:paraId="6056BF1D" w14:textId="77777777" w:rsidR="00AA68BC" w:rsidRPr="00990396" w:rsidRDefault="00AA68BC" w:rsidP="00990396">
      <w:pPr>
        <w:jc w:val="both"/>
      </w:pPr>
      <w:r w:rsidRPr="00990396">
        <w:t>In summary, good credit control will benefit the performance of SMEs in the UK, while too many receivables and delayed payments will have a negative impact on performance because of the financing pressures.</w:t>
      </w:r>
    </w:p>
    <w:p w14:paraId="7AEE9E70" w14:textId="77777777" w:rsidR="00AA68BC" w:rsidRPr="00990396" w:rsidRDefault="00AA68BC" w:rsidP="00990396">
      <w:pPr>
        <w:jc w:val="both"/>
      </w:pPr>
    </w:p>
    <w:p w14:paraId="2F4125E6" w14:textId="77777777" w:rsidR="00AA68BC" w:rsidRPr="00990396" w:rsidRDefault="00AA68BC" w:rsidP="00990396">
      <w:pPr>
        <w:jc w:val="both"/>
      </w:pPr>
      <w:r w:rsidRPr="00990396">
        <w:t>2.4</w:t>
      </w:r>
      <w:r w:rsidRPr="00990396">
        <w:tab/>
        <w:t>Market-Risk Management Practices and the Financial Performance of UK SMEs</w:t>
      </w:r>
    </w:p>
    <w:p w14:paraId="7157C217" w14:textId="77777777" w:rsidR="00AA68BC" w:rsidRPr="00990396" w:rsidRDefault="00AA68BC" w:rsidP="00990396">
      <w:pPr>
        <w:jc w:val="both"/>
      </w:pPr>
      <w:r w:rsidRPr="00990396">
        <w:t>Market-risk management, which involves systematic identification and management of exchange-rate, interest-rate, commodity-price and policy-uncertainty exposures via hedging, diversification, pricing, reserves, and flexible adaptation of operations, was conducted by Mthiyane et al. (2022).</w:t>
      </w:r>
    </w:p>
    <w:p w14:paraId="4EBDEEE1" w14:textId="77777777" w:rsidR="00AA68BC" w:rsidRPr="00990396" w:rsidRDefault="00AA68BC" w:rsidP="00990396">
      <w:pPr>
        <w:jc w:val="both"/>
      </w:pPr>
      <w:proofErr w:type="spellStart"/>
      <w:r w:rsidRPr="00990396">
        <w:t>Belghitar</w:t>
      </w:r>
      <w:proofErr w:type="spellEnd"/>
      <w:r w:rsidRPr="00990396">
        <w:t xml:space="preserve"> et al. (2021) developed an estimation of the asymmetric time-varying exchange-rate exposure of 250 UK non-financial SMEs, relating to the volatility in the stock's performance. Heterogeneous sterling, dollar and euro effects are found through direct evidence in UK and by nonlinear modelling. Publicly traded SMEs, however, are larger and more sophisticated than most private companies; returns on the market reflect investor expectations, rather than accounting performance, and hedging </w:t>
      </w:r>
      <w:proofErr w:type="spellStart"/>
      <w:r w:rsidRPr="00990396">
        <w:t>behavior</w:t>
      </w:r>
      <w:proofErr w:type="spellEnd"/>
      <w:r w:rsidRPr="00990396">
        <w:t xml:space="preserve"> cannot be directly observed.</w:t>
      </w:r>
    </w:p>
    <w:p w14:paraId="678217C2" w14:textId="77777777" w:rsidR="00AA68BC" w:rsidRPr="00990396" w:rsidRDefault="00AA68BC" w:rsidP="00990396">
      <w:pPr>
        <w:jc w:val="both"/>
      </w:pPr>
      <w:r w:rsidRPr="00990396">
        <w:t>Dang and Lindsay (2022) used exploratory factor analysis, confirmatory factor analysis and structural equation modelling to survey 177 exporting SMEs in Australia and New Zealand. The hedging strategy determinants were mediated by organisational and human resources. While the cross-sectional self-report method is prone to common-method bias, the small sample size for the regions and the lack of performance outcome and different currency institutions restricts conclusions for UK SMEs.</w:t>
      </w:r>
    </w:p>
    <w:p w14:paraId="04D66E82" w14:textId="77777777" w:rsidR="00AA68BC" w:rsidRPr="00990396" w:rsidRDefault="00AA68BC" w:rsidP="00990396">
      <w:pPr>
        <w:jc w:val="both"/>
      </w:pPr>
      <w:r w:rsidRPr="00990396">
        <w:t>Orden-Cruz et al. (2024) analysed 80,620 Spanish SMEs from 2012–2020 using system GMM. There was a negative effect for economic-policy uncertainty on financial performance of the SMEs, particularly in services, and size, age and financial characteristics influenced the resilience of the SMEs. The very large panel of firms and the dynamic estimation econometrics provide good causal evidence, but evidence from a single country and an aggregate newspaper-based uncertainty index, together with unobserved managerial responses, do not allow for identification of what risk-management practices shielded performance.</w:t>
      </w:r>
    </w:p>
    <w:p w14:paraId="315A1C76" w14:textId="77777777" w:rsidR="00AA68BC" w:rsidRPr="00990396" w:rsidRDefault="00AA68BC" w:rsidP="00990396">
      <w:pPr>
        <w:jc w:val="both"/>
      </w:pPr>
      <w:proofErr w:type="spellStart"/>
      <w:r w:rsidRPr="00990396">
        <w:t>Hawach</w:t>
      </w:r>
      <w:proofErr w:type="spellEnd"/>
      <w:r w:rsidRPr="00990396">
        <w:t xml:space="preserve"> and Requejo (2025) </w:t>
      </w:r>
      <w:proofErr w:type="spellStart"/>
      <w:r w:rsidRPr="00990396">
        <w:t>analyzed</w:t>
      </w:r>
      <w:proofErr w:type="spellEnd"/>
      <w:r w:rsidRPr="00990396">
        <w:t xml:space="preserve"> 145,611 European SMEs between 2012 and </w:t>
      </w:r>
      <w:proofErr w:type="gramStart"/>
      <w:r w:rsidRPr="00990396">
        <w:t>2021, and</w:t>
      </w:r>
      <w:proofErr w:type="gramEnd"/>
      <w:r w:rsidRPr="00990396">
        <w:t xml:space="preserve"> determined that financial distress risk increased with the presence of policy uncertainty, whereas family ownership and performance aspirations reduced financial distress risk exposure. The external empirical breadth is unusually strong in terms of scale (geographical and temporal). However, the likelihood of distress is a modelled proxy for profitability, and ownership selection, national heterogeneity and observational moderation cannot prove specific controls were responsible for the resilience.</w:t>
      </w:r>
    </w:p>
    <w:p w14:paraId="6902AD49" w14:textId="77777777" w:rsidR="00AA68BC" w:rsidRPr="00990396" w:rsidRDefault="00AA68BC" w:rsidP="00990396">
      <w:pPr>
        <w:jc w:val="both"/>
      </w:pPr>
      <w:r w:rsidRPr="00990396">
        <w:t>Following Koroma and Bein (2024), the authors selected 199 of the UK stock-listed non-financial firms over the period 2006-2021 and estimated fixed effects, random effects and two-</w:t>
      </w:r>
      <w:r w:rsidRPr="00990396">
        <w:lastRenderedPageBreak/>
        <w:t xml:space="preserve">stage GMM. The relationship between cash-conversion-cycle and profitability was adversely affected by policy uncertainty. While the use of UK longitudinal data enhances the relevance to the study, the manufacturing sample used was not representative of SMEs; the newspaper index is </w:t>
      </w:r>
      <w:proofErr w:type="gramStart"/>
      <w:r w:rsidRPr="00990396">
        <w:t>crude</w:t>
      </w:r>
      <w:proofErr w:type="gramEnd"/>
      <w:r w:rsidRPr="00990396">
        <w:t xml:space="preserve"> and interaction coefficients can only show the managers' actual mitigation practices.</w:t>
      </w:r>
    </w:p>
    <w:p w14:paraId="3C8EE428" w14:textId="7F2E1CCF" w:rsidR="00137AE8" w:rsidRPr="00990396" w:rsidRDefault="00AA68BC" w:rsidP="00990396">
      <w:pPr>
        <w:jc w:val="both"/>
      </w:pPr>
      <w:r w:rsidRPr="00990396">
        <w:t xml:space="preserve">Using annual data from 2000–2023, </w:t>
      </w:r>
      <w:proofErr w:type="spellStart"/>
      <w:r w:rsidRPr="00990396">
        <w:t>Tazhibayeva</w:t>
      </w:r>
      <w:proofErr w:type="spellEnd"/>
      <w:r w:rsidRPr="00990396">
        <w:t xml:space="preserve"> and </w:t>
      </w:r>
      <w:proofErr w:type="spellStart"/>
      <w:r w:rsidRPr="00990396">
        <w:t>Syzdykova</w:t>
      </w:r>
      <w:proofErr w:type="spellEnd"/>
      <w:r w:rsidRPr="00990396">
        <w:t xml:space="preserve"> (2026) found long-term relationships between exchange rates, oil prices and SME manufacturing production in Kazakhstan. Cointegration testing separates out short-run and long-run effects and only 24 aggregate observations result in unstable estimates. Unlike the British economy, Kazakhstan's commodity dependence gives rise to a lack of economic heterogeneity and macroeconomic relationships are unable to assess the hedging or profitability of enterprises</w:t>
      </w:r>
      <w:r w:rsidR="00137AE8" w:rsidRPr="00990396">
        <w:t>.</w:t>
      </w:r>
    </w:p>
    <w:p w14:paraId="0805B6C3" w14:textId="77777777" w:rsidR="00AA68BC" w:rsidRPr="00990396" w:rsidRDefault="00AA68BC" w:rsidP="00990396">
      <w:pPr>
        <w:jc w:val="both"/>
      </w:pPr>
      <w:r w:rsidRPr="00990396">
        <w:t>The study by Akbar et al., (2021) employed system GMM on the Pakistani listed firms across 12 industries for the period of 2005-2014. A positive (negative) working-capital and cash ratio decreased (increased) the volatility of stock prices, but the excessive working-capital increased the volatility of operating income. Dynamic estimation solves the issues of persistence and some endogeneity, but much older data (not UK listed) are less relevant, risk proxies are not the same as financial performance, and associations reported are not specific to intentional market-risk controls.</w:t>
      </w:r>
    </w:p>
    <w:p w14:paraId="5E41104F" w14:textId="77777777" w:rsidR="00AA68BC" w:rsidRPr="00990396" w:rsidRDefault="00AA68BC" w:rsidP="00990396">
      <w:pPr>
        <w:jc w:val="both"/>
      </w:pPr>
      <w:r w:rsidRPr="00990396">
        <w:t xml:space="preserve">Lumped together, shocks to the market hurt SMEs, while evidence on management practice is less than evidence on exposure. According to the </w:t>
      </w:r>
      <w:proofErr w:type="spellStart"/>
      <w:r w:rsidRPr="00990396">
        <w:t>Belghitar</w:t>
      </w:r>
      <w:proofErr w:type="spellEnd"/>
      <w:r w:rsidRPr="00990396">
        <w:t xml:space="preserve"> et al. (2021), the UK has a sensitivity towards currency while Dang and Lindsay (2022) explain the hedging capability but do not test the performance of the hedge, which suggests, but does not conclude, a hedging-performance mechanism. Orden-Cruz et al. (2024), </w:t>
      </w:r>
      <w:proofErr w:type="spellStart"/>
      <w:r w:rsidRPr="00990396">
        <w:t>Hawach</w:t>
      </w:r>
      <w:proofErr w:type="spellEnd"/>
      <w:r w:rsidRPr="00990396">
        <w:t xml:space="preserve"> and Requejo (2025), and Koroma and Bein (2024) link policy uncertainty to poor results, but not necessarily managerial practices and their proxies are not the same: profitability versus distress. </w:t>
      </w:r>
      <w:proofErr w:type="spellStart"/>
      <w:r w:rsidRPr="00990396">
        <w:t>Tazhibayeva</w:t>
      </w:r>
      <w:proofErr w:type="spellEnd"/>
      <w:r w:rsidRPr="00990396">
        <w:t xml:space="preserve"> and </w:t>
      </w:r>
      <w:proofErr w:type="spellStart"/>
      <w:r w:rsidRPr="00990396">
        <w:t>Syzdykova</w:t>
      </w:r>
      <w:proofErr w:type="spellEnd"/>
      <w:r w:rsidRPr="00990396">
        <w:t xml:space="preserve"> (2026) provide evidence for the commodity but very limited transferability to the UK. ERM's principle of balancing operating risk and market volatility is further reinforced by Akbar et al (2021), which suggests that liquidity cushions can help dampen market volatility, but excess buffers increase operating risk. Large panels enhance precision, while diverse countries, as well as listed-firm bias and aggregate indices and observational designs, limit explanations for UK SMEs.</w:t>
      </w:r>
    </w:p>
    <w:p w14:paraId="3B29B66F" w14:textId="011B8CC1" w:rsidR="00137AE8" w:rsidRPr="00990396" w:rsidRDefault="00AA68BC" w:rsidP="00990396">
      <w:pPr>
        <w:jc w:val="both"/>
      </w:pPr>
      <w:proofErr w:type="gramStart"/>
      <w:r w:rsidRPr="00990396">
        <w:t>So</w:t>
      </w:r>
      <w:proofErr w:type="gramEnd"/>
      <w:r w:rsidRPr="00990396">
        <w:t xml:space="preserve"> diversification, hedging, and flexible liquidity can help shield the performance of UK SMEs from such market risks, but there is limited evidence that can be drawn between certain practices and performance.</w:t>
      </w:r>
    </w:p>
    <w:p w14:paraId="2A0515E2" w14:textId="3413EF39" w:rsidR="00137AE8" w:rsidRPr="00990396" w:rsidRDefault="00137AE8" w:rsidP="00990396">
      <w:pPr>
        <w:pStyle w:val="Heading2"/>
        <w:jc w:val="both"/>
        <w:rPr>
          <w:rFonts w:cstheme="minorBidi"/>
        </w:rPr>
      </w:pPr>
      <w:bookmarkStart w:id="17" w:name="_Toc241147007"/>
      <w:r w:rsidRPr="00990396">
        <w:rPr>
          <w:rFonts w:cstheme="minorBidi"/>
        </w:rPr>
        <w:lastRenderedPageBreak/>
        <w:t>Theoretical Framework</w:t>
      </w:r>
      <w:bookmarkEnd w:id="17"/>
    </w:p>
    <w:p w14:paraId="00D191B7" w14:textId="77777777" w:rsidR="00137AE8" w:rsidRPr="00990396" w:rsidRDefault="00137AE8" w:rsidP="00990396">
      <w:pPr>
        <w:pStyle w:val="Heading3"/>
        <w:jc w:val="both"/>
        <w:rPr>
          <w:rFonts w:cstheme="minorBidi"/>
        </w:rPr>
      </w:pPr>
      <w:bookmarkStart w:id="18" w:name="_Toc241147008"/>
      <w:r w:rsidRPr="00990396">
        <w:rPr>
          <w:rFonts w:cstheme="minorBidi"/>
        </w:rPr>
        <w:t>Enterprise Risk Management Theory</w:t>
      </w:r>
      <w:bookmarkEnd w:id="18"/>
    </w:p>
    <w:p w14:paraId="1526E308" w14:textId="38D69A6B" w:rsidR="00990396" w:rsidRDefault="00AA68BC" w:rsidP="00990396">
      <w:pPr>
        <w:jc w:val="both"/>
      </w:pPr>
      <w:r w:rsidRPr="00990396">
        <w:t>In the context of Enterprise Risk Management (ERM) Theory, risk management is a coordinated process of managing risks across the whole organisation, which aims to identify, assess and manage interdependent risks to safeguard and enhance firm value (Nocco and Stulz, 2006). Instead of dealing with risks individually, ERM makes the organization's risk appetite align with its risk strategy, risk controls, and decision-making, which can decrease earnings volatility, enhance capital allocation and boost organizational resilience and performance (Nocco and Stulz, 2006).</w:t>
      </w:r>
    </w:p>
    <w:p w14:paraId="6F8E8B65" w14:textId="6E09DD84" w:rsidR="00990396" w:rsidRDefault="00004062" w:rsidP="00990396">
      <w:pPr>
        <w:keepNext/>
        <w:jc w:val="center"/>
      </w:pPr>
      <w:r w:rsidRPr="00004062">
        <w:rPr>
          <w:noProof/>
        </w:rPr>
        <w:drawing>
          <wp:inline distT="0" distB="0" distL="0" distR="0" wp14:anchorId="0B83F403" wp14:editId="51C4CC3D">
            <wp:extent cx="5334000" cy="2252146"/>
            <wp:effectExtent l="19050" t="19050" r="19050" b="15240"/>
            <wp:docPr id="392934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934322" name=""/>
                    <pic:cNvPicPr/>
                  </pic:nvPicPr>
                  <pic:blipFill>
                    <a:blip r:embed="rId9"/>
                    <a:stretch>
                      <a:fillRect/>
                    </a:stretch>
                  </pic:blipFill>
                  <pic:spPr>
                    <a:xfrm>
                      <a:off x="0" y="0"/>
                      <a:ext cx="5340749" cy="2254996"/>
                    </a:xfrm>
                    <a:prstGeom prst="rect">
                      <a:avLst/>
                    </a:prstGeom>
                    <a:ln>
                      <a:solidFill>
                        <a:schemeClr val="tx1"/>
                      </a:solidFill>
                    </a:ln>
                  </pic:spPr>
                </pic:pic>
              </a:graphicData>
            </a:graphic>
          </wp:inline>
        </w:drawing>
      </w:r>
    </w:p>
    <w:p w14:paraId="37E74A3C" w14:textId="5BD73DB1" w:rsidR="00990396" w:rsidRPr="00990396" w:rsidRDefault="00990396" w:rsidP="00990396">
      <w:pPr>
        <w:pStyle w:val="Caption"/>
        <w:jc w:val="center"/>
      </w:pPr>
      <w:bookmarkStart w:id="19" w:name="_Toc241147058"/>
      <w:r>
        <w:t xml:space="preserve">Figure </w:t>
      </w:r>
      <w:fldSimple w:instr=" SEQ Figure \* ARABIC ">
        <w:r w:rsidR="00004062">
          <w:rPr>
            <w:noProof/>
          </w:rPr>
          <w:t>1</w:t>
        </w:r>
      </w:fldSimple>
      <w:r>
        <w:t xml:space="preserve"> </w:t>
      </w:r>
      <w:r w:rsidRPr="00350A1C">
        <w:t>Enterprise Risk Management (ERM) Theory (Nocco and Stulz, 2006)</w:t>
      </w:r>
      <w:bookmarkEnd w:id="19"/>
    </w:p>
    <w:p w14:paraId="3E61CE04" w14:textId="77777777" w:rsidR="00AA68BC" w:rsidRPr="00990396" w:rsidRDefault="00AA68BC" w:rsidP="00990396">
      <w:pPr>
        <w:jc w:val="both"/>
      </w:pPr>
      <w:r w:rsidRPr="00990396">
        <w:t xml:space="preserve">There is recent evidence of the performance benefit of ERM, though the evidence of this varies by governance, implementation quality and context. Malik et al. (2020) identified with the UK FTSE 350 companies that ERM effectiveness was linked to firm performance and thus that coordinated oversight can generate value. But their sample limits for listed companies do not apply to resource limited SMEs. Tan and Lee (2022) found that there is a lack of ERM maturity among Malaysian SMEs, with only 43% having business-continuity planning, and 50% and 58% likely to have risk teams and risk-appetite statements, respectively. </w:t>
      </w:r>
      <w:proofErr w:type="spellStart"/>
      <w:r w:rsidRPr="00990396">
        <w:t>Syrová</w:t>
      </w:r>
      <w:proofErr w:type="spellEnd"/>
      <w:r w:rsidRPr="00990396">
        <w:t xml:space="preserve"> and </w:t>
      </w:r>
      <w:proofErr w:type="spellStart"/>
      <w:r w:rsidRPr="00990396">
        <w:t>Špička</w:t>
      </w:r>
      <w:proofErr w:type="spellEnd"/>
      <w:r w:rsidRPr="00990396">
        <w:t xml:space="preserve"> (2023) obtained direct evidence for SMEs, which established that the relationship between ERM and financial performance was positively and fully mediated by the organisational culture and strategic risk-management performance. This means that setting up controls is not enough if risk thinking is not included in strategy and operations. The works of Manas et al. (2024) also highlighted the management quality, employee behaviour, organisational structure and risk culture aspects in the case of manufacturing small and medium-sized enterprises (SMEs) in relation to the ERM practices. Taken together, these studies suggest a general positive relationship, albeit contingent. However, there is scant evidence of ERM's effect on </w:t>
      </w:r>
      <w:r w:rsidRPr="00990396">
        <w:lastRenderedPageBreak/>
        <w:t>the liquidity, credit and market-risk performance of small and medium-sized enterprises (SMEs) in the UK.</w:t>
      </w:r>
    </w:p>
    <w:p w14:paraId="58BFDCF1" w14:textId="4CD157BE" w:rsidR="00137AE8" w:rsidRPr="00990396" w:rsidRDefault="00AA68BC" w:rsidP="00990396">
      <w:pPr>
        <w:jc w:val="both"/>
      </w:pPr>
      <w:r w:rsidRPr="00990396">
        <w:t>ERM is relevant because it brings together the concepts of liquidity, credit risk and market risk and provides an understanding of how these inter-relate in the context of financial performance of UK SMEs</w:t>
      </w:r>
      <w:r w:rsidR="00137AE8" w:rsidRPr="00990396">
        <w:t>.</w:t>
      </w:r>
    </w:p>
    <w:p w14:paraId="094AE971" w14:textId="77777777" w:rsidR="00137AE8" w:rsidRPr="00990396" w:rsidRDefault="00137AE8" w:rsidP="00990396">
      <w:pPr>
        <w:pStyle w:val="Heading3"/>
        <w:jc w:val="both"/>
        <w:rPr>
          <w:rFonts w:cstheme="minorBidi"/>
        </w:rPr>
      </w:pPr>
      <w:bookmarkStart w:id="20" w:name="_Toc241147009"/>
      <w:r w:rsidRPr="00990396">
        <w:rPr>
          <w:rFonts w:cstheme="minorBidi"/>
        </w:rPr>
        <w:t>Resource-Based View</w:t>
      </w:r>
      <w:bookmarkEnd w:id="20"/>
    </w:p>
    <w:p w14:paraId="5443E577" w14:textId="3CFAF47C" w:rsidR="00990396" w:rsidRDefault="00AA68BC" w:rsidP="00990396">
      <w:pPr>
        <w:jc w:val="both"/>
      </w:pPr>
      <w:r w:rsidRPr="00990396">
        <w:t>The Resource-Based View (RBV) suggests that companies gain a sustainable competitive advantage and superior performance through the possession and successful deployment of resources and capabilities that are valuable, scarce, imperfectly imitable and non-substitutable (Barney, 1991). Financial knowledge, managerial expertise, information systems and stakeholder relationships are strategic resources in SMEs which help to identify risks, allocate resources, control operations, make financial decisions and create organisational resilience in the face of uncertainty.</w:t>
      </w:r>
    </w:p>
    <w:p w14:paraId="08C6115D" w14:textId="77777777" w:rsidR="00990396" w:rsidRDefault="00990396" w:rsidP="00004062">
      <w:pPr>
        <w:keepNext/>
        <w:jc w:val="center"/>
      </w:pPr>
      <w:r w:rsidRPr="00990396">
        <w:rPr>
          <w:noProof/>
        </w:rPr>
        <w:drawing>
          <wp:inline distT="0" distB="0" distL="0" distR="0" wp14:anchorId="78931AC9" wp14:editId="3E778A2E">
            <wp:extent cx="5445760" cy="2290284"/>
            <wp:effectExtent l="19050" t="19050" r="21590" b="15240"/>
            <wp:docPr id="2107196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432888" name=""/>
                    <pic:cNvPicPr/>
                  </pic:nvPicPr>
                  <pic:blipFill>
                    <a:blip r:embed="rId10"/>
                    <a:stretch>
                      <a:fillRect/>
                    </a:stretch>
                  </pic:blipFill>
                  <pic:spPr>
                    <a:xfrm>
                      <a:off x="0" y="0"/>
                      <a:ext cx="5451420" cy="2292664"/>
                    </a:xfrm>
                    <a:prstGeom prst="rect">
                      <a:avLst/>
                    </a:prstGeom>
                    <a:ln>
                      <a:solidFill>
                        <a:schemeClr val="tx1"/>
                      </a:solidFill>
                    </a:ln>
                  </pic:spPr>
                </pic:pic>
              </a:graphicData>
            </a:graphic>
          </wp:inline>
        </w:drawing>
      </w:r>
    </w:p>
    <w:p w14:paraId="366180C6" w14:textId="24FBA606" w:rsidR="00990396" w:rsidRPr="00990396" w:rsidRDefault="00990396" w:rsidP="00004062">
      <w:pPr>
        <w:pStyle w:val="Caption"/>
        <w:jc w:val="center"/>
      </w:pPr>
      <w:bookmarkStart w:id="21" w:name="_Toc241147059"/>
      <w:r>
        <w:t xml:space="preserve">Figure </w:t>
      </w:r>
      <w:fldSimple w:instr=" SEQ Figure \* ARABIC ">
        <w:r w:rsidR="00004062">
          <w:rPr>
            <w:noProof/>
          </w:rPr>
          <w:t>2</w:t>
        </w:r>
      </w:fldSimple>
      <w:r>
        <w:t xml:space="preserve"> </w:t>
      </w:r>
      <w:r w:rsidRPr="00793DD8">
        <w:t>Resource-Based View (RBV) (Barney, 1991)</w:t>
      </w:r>
      <w:bookmarkEnd w:id="21"/>
    </w:p>
    <w:p w14:paraId="42BEDC4C" w14:textId="77777777" w:rsidR="00AA68BC" w:rsidRPr="00990396" w:rsidRDefault="00AA68BC" w:rsidP="00990396">
      <w:pPr>
        <w:jc w:val="both"/>
      </w:pPr>
      <w:r w:rsidRPr="00990396">
        <w:t xml:space="preserve">Some recent evidence corroborates RBV's assertion that financial and technological abilities enhance SME performance. Kulathunga et al. (2020) conducted research in Sri Lankan SMEs, finding that financial and technological literacy had a positive impact on ERM practices and performance, and that ERM partially mediated the effect of financial literacy on performance. This means that knowledge is valuable in the form of structured, risk-management routines. The financial literacy of small and medium enterprises in Hungary was found to be positively correlated with management quality and risk management, in line with the findings of Tóth et al. (2022), who confirmed that managerial knowledge and organisational culture can complement each other. </w:t>
      </w:r>
      <w:proofErr w:type="spellStart"/>
      <w:r w:rsidRPr="00990396">
        <w:t>Syrová</w:t>
      </w:r>
      <w:proofErr w:type="spellEnd"/>
      <w:r w:rsidRPr="00990396">
        <w:t xml:space="preserve"> and </w:t>
      </w:r>
      <w:proofErr w:type="spellStart"/>
      <w:r w:rsidRPr="00990396">
        <w:t>Špička</w:t>
      </w:r>
      <w:proofErr w:type="spellEnd"/>
      <w:r w:rsidRPr="00990396">
        <w:t xml:space="preserve"> (2023) identified that organisation culture played a mediating role in the relationship between ERM and SME financial performance, thus providing value only when the capabilities are in place. In addition, Otoo (2024) established </w:t>
      </w:r>
      <w:r w:rsidRPr="00990396">
        <w:lastRenderedPageBreak/>
        <w:t>that financial management practices had significant impact on SME organizational performance, while asset management did not have significant impact; thus, some resources are more strategic than others. However, these studies focus on different contexts outside of the UK, and cross-sectional samples. Their results, therefore, are supportive of RBV in a conceptual sense only, and do not provide conclusive evidence of the effect of configured capabilities on liquidity, credit and market-risk management for UK SMEs.</w:t>
      </w:r>
    </w:p>
    <w:p w14:paraId="2B7DAD6C" w14:textId="7E1ECB05" w:rsidR="00137AE8" w:rsidRPr="00990396" w:rsidRDefault="00AA68BC" w:rsidP="00990396">
      <w:pPr>
        <w:jc w:val="both"/>
      </w:pPr>
      <w:r w:rsidRPr="00990396">
        <w:t>RBV is relevant because it explains the link between financial knowledge/capabilities and the effectiveness of risk management and financial performance outcomes among SMEs</w:t>
      </w:r>
      <w:r w:rsidR="00137AE8" w:rsidRPr="00990396">
        <w:t>.</w:t>
      </w:r>
    </w:p>
    <w:p w14:paraId="05BCF724" w14:textId="77777777" w:rsidR="00137AE8" w:rsidRPr="00990396" w:rsidRDefault="00137AE8" w:rsidP="00990396">
      <w:pPr>
        <w:pStyle w:val="Heading2"/>
        <w:jc w:val="both"/>
        <w:rPr>
          <w:rFonts w:cstheme="minorBidi"/>
        </w:rPr>
      </w:pPr>
      <w:bookmarkStart w:id="22" w:name="_Toc241147010"/>
      <w:r w:rsidRPr="00990396">
        <w:rPr>
          <w:rFonts w:cstheme="minorBidi"/>
        </w:rPr>
        <w:t>Conceptual Framework</w:t>
      </w:r>
      <w:bookmarkEnd w:id="22"/>
    </w:p>
    <w:p w14:paraId="64B7B0AE" w14:textId="77777777" w:rsidR="00004062" w:rsidRDefault="00137AE8" w:rsidP="00004062">
      <w:pPr>
        <w:keepNext/>
        <w:jc w:val="center"/>
      </w:pPr>
      <w:r w:rsidRPr="00990396">
        <w:rPr>
          <w:noProof/>
          <w:lang w:val="en-US"/>
        </w:rPr>
        <w:drawing>
          <wp:inline distT="0" distB="0" distL="0" distR="0" wp14:anchorId="77B8AFD2" wp14:editId="2DB916D1">
            <wp:extent cx="5041415" cy="3098800"/>
            <wp:effectExtent l="19050" t="19050" r="26035" b="25400"/>
            <wp:docPr id="613154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154392" name=""/>
                    <pic:cNvPicPr/>
                  </pic:nvPicPr>
                  <pic:blipFill>
                    <a:blip r:embed="rId11"/>
                    <a:stretch>
                      <a:fillRect/>
                    </a:stretch>
                  </pic:blipFill>
                  <pic:spPr>
                    <a:xfrm>
                      <a:off x="0" y="0"/>
                      <a:ext cx="5045858" cy="3101531"/>
                    </a:xfrm>
                    <a:prstGeom prst="rect">
                      <a:avLst/>
                    </a:prstGeom>
                    <a:ln>
                      <a:solidFill>
                        <a:schemeClr val="tx1"/>
                      </a:solidFill>
                    </a:ln>
                  </pic:spPr>
                </pic:pic>
              </a:graphicData>
            </a:graphic>
          </wp:inline>
        </w:drawing>
      </w:r>
    </w:p>
    <w:p w14:paraId="73E71F26" w14:textId="0C46CE20" w:rsidR="00137AE8" w:rsidRPr="00990396" w:rsidRDefault="00004062" w:rsidP="00004062">
      <w:pPr>
        <w:pStyle w:val="Caption"/>
        <w:jc w:val="center"/>
      </w:pPr>
      <w:bookmarkStart w:id="23" w:name="_Toc241147060"/>
      <w:r>
        <w:t xml:space="preserve">Figure </w:t>
      </w:r>
      <w:fldSimple w:instr=" SEQ Figure \* ARABIC ">
        <w:r>
          <w:rPr>
            <w:noProof/>
          </w:rPr>
          <w:t>3</w:t>
        </w:r>
      </w:fldSimple>
      <w:r>
        <w:t xml:space="preserve"> Conceptual Framework</w:t>
      </w:r>
      <w:bookmarkEnd w:id="23"/>
    </w:p>
    <w:p w14:paraId="0B9AF1AC" w14:textId="1CB60819" w:rsidR="00137AE8" w:rsidRPr="00990396" w:rsidRDefault="00137AE8" w:rsidP="00990396">
      <w:pPr>
        <w:jc w:val="both"/>
      </w:pPr>
      <w:r w:rsidRPr="00990396">
        <w:t xml:space="preserve">The conceptual framework proposes that liquidity, credit and market-risk management practices influence the financial performance of UK SMEs. Enterprise Risk Management Theory provides the foundation by explaining how coordinated identification, assessment and treatment of risks can protect and create value (Nocco and Stulz, 2006). Accordingly, cash-flow forecasting, working-capital control, credit assessment, receivables monitoring, hedging and pricing controls are expected to reduce losses, stabilise cash flows and support profitability, solvency and growth. The Resource-Based View complements this explanation by suggesting that performance differences arise from firms’ ability to develop and deploy valuable, rare and difficult-to-imitate resources (Barney, 1991). Thus, financial knowledge, managerial expertise, information systems and stakeholder relationships determine how effectively UK SMEs implement risk-management practices. SME evidence indicates that organisational culture and strategic risk-management capabilities transmit ERM’s positive </w:t>
      </w:r>
      <w:r w:rsidRPr="00990396">
        <w:lastRenderedPageBreak/>
        <w:t>influence on financial performance (</w:t>
      </w:r>
      <w:proofErr w:type="spellStart"/>
      <w:r w:rsidRPr="00990396">
        <w:t>Syrová</w:t>
      </w:r>
      <w:proofErr w:type="spellEnd"/>
      <w:r w:rsidRPr="00990396">
        <w:t xml:space="preserve"> and </w:t>
      </w:r>
      <w:proofErr w:type="spellStart"/>
      <w:r w:rsidRPr="00990396">
        <w:t>Špička</w:t>
      </w:r>
      <w:proofErr w:type="spellEnd"/>
      <w:r w:rsidRPr="00990396">
        <w:t>, 2023). The framework therefore expects each risk-management dimension to contribute positively to SME financial performance.</w:t>
      </w:r>
    </w:p>
    <w:p w14:paraId="157C379B" w14:textId="77777777" w:rsidR="00137AE8" w:rsidRPr="00990396" w:rsidRDefault="00137AE8" w:rsidP="00990396">
      <w:pPr>
        <w:pStyle w:val="Heading2"/>
        <w:jc w:val="both"/>
        <w:rPr>
          <w:rFonts w:cstheme="minorBidi"/>
        </w:rPr>
      </w:pPr>
      <w:bookmarkStart w:id="24" w:name="_Toc241147011"/>
      <w:r w:rsidRPr="00990396">
        <w:rPr>
          <w:rFonts w:cstheme="minorBidi"/>
        </w:rPr>
        <w:t>Literature Gap</w:t>
      </w:r>
      <w:bookmarkEnd w:id="24"/>
    </w:p>
    <w:p w14:paraId="7F484AEE" w14:textId="6542F22F" w:rsidR="00137AE8" w:rsidRPr="00990396" w:rsidRDefault="00AA68BC" w:rsidP="00990396">
      <w:pPr>
        <w:jc w:val="both"/>
      </w:pPr>
      <w:r w:rsidRPr="00990396">
        <w:t xml:space="preserve">The literature indicates that financial risk-management activities have received little attention in terms of its implications for the financial performance of SMEs in the UK. First, limited evidence exists and is mainly available for listed firms, although these tend to be larger, better resourced and more financially sophisticated than private SMEs (Youssef et al., 2023; </w:t>
      </w:r>
      <w:proofErr w:type="spellStart"/>
      <w:r w:rsidRPr="00990396">
        <w:t>Belghitar</w:t>
      </w:r>
      <w:proofErr w:type="spellEnd"/>
      <w:r w:rsidRPr="00990396">
        <w:t xml:space="preserve"> et al., 2021). This means that results could not be representative of the wider UK SME population. Second, most of the evidence available is from emerging economies or cross-country samples, which limits contextual transferability due to significant differences in financing structures, payment cultures and institutional conditions (Hung and Dinh, 2022; Peter et al., 2022; Orden-Cruz et al., 2024). Third, the studies use different definitions of performance, such as profitability, growth, survival, loan approval, distress and market volatility, making it difficult to compare the results and to draw cumulative conclusions (Del Gaudio et al., 2022; </w:t>
      </w:r>
      <w:proofErr w:type="spellStart"/>
      <w:r w:rsidRPr="00990396">
        <w:t>Belghitar</w:t>
      </w:r>
      <w:proofErr w:type="spellEnd"/>
      <w:r w:rsidRPr="00990396">
        <w:t xml:space="preserve"> et al., 2022; </w:t>
      </w:r>
      <w:proofErr w:type="spellStart"/>
      <w:r w:rsidRPr="00990396">
        <w:t>Hawach</w:t>
      </w:r>
      <w:proofErr w:type="spellEnd"/>
      <w:r w:rsidRPr="00990396">
        <w:t xml:space="preserve"> and </w:t>
      </w:r>
      <w:proofErr w:type="spellStart"/>
      <w:r w:rsidRPr="00990396">
        <w:t>Requeo</w:t>
      </w:r>
      <w:proofErr w:type="spellEnd"/>
      <w:r w:rsidRPr="00990396">
        <w:t xml:space="preserve">, 2025). Methodologically, a significant number of studies suffer from a lack of addressing endogeneity, reverse causality and common-method bias, while relying on cross-sectional surveys, self-reported practices, small samples or simulations or observational panel models (Otto, 2023; </w:t>
      </w:r>
      <w:proofErr w:type="spellStart"/>
      <w:r w:rsidRPr="00990396">
        <w:t>Airout</w:t>
      </w:r>
      <w:proofErr w:type="spellEnd"/>
      <w:r w:rsidRPr="00990396">
        <w:t xml:space="preserve"> et al., 2023). Furthermore, the liquidity risk, the credit risk, and the market risk are typically analysed as distinct risks, although they are likely to be interrelated. </w:t>
      </w:r>
      <w:proofErr w:type="gramStart"/>
      <w:r w:rsidRPr="00990396">
        <w:t>Last but not least</w:t>
      </w:r>
      <w:proofErr w:type="gramEnd"/>
      <w:r w:rsidRPr="00990396">
        <w:t>, there is little attention to managerial capacity and ERM processes as explanatory mechanisms. Thus, there is a need for an integrated secondary qualitative synthesis to explain how these practices in totality impact on financial performance of UK SMEs and why the outcomes vary according to contexts</w:t>
      </w:r>
      <w:r w:rsidR="00137AE8" w:rsidRPr="00990396">
        <w:t>.</w:t>
      </w:r>
    </w:p>
    <w:p w14:paraId="42692147" w14:textId="77777777" w:rsidR="00137AE8" w:rsidRPr="00990396" w:rsidRDefault="00137AE8" w:rsidP="00990396">
      <w:pPr>
        <w:pStyle w:val="Heading2"/>
        <w:jc w:val="both"/>
        <w:rPr>
          <w:rFonts w:cstheme="minorBidi"/>
        </w:rPr>
      </w:pPr>
      <w:bookmarkStart w:id="25" w:name="_Toc241147012"/>
      <w:r w:rsidRPr="00990396">
        <w:rPr>
          <w:rFonts w:cstheme="minorBidi"/>
        </w:rPr>
        <w:t>Literature Review Conclusion</w:t>
      </w:r>
      <w:bookmarkEnd w:id="25"/>
    </w:p>
    <w:p w14:paraId="35FF848E" w14:textId="77777777" w:rsidR="00AA68BC" w:rsidRPr="00990396" w:rsidRDefault="00AA68BC" w:rsidP="00990396">
      <w:pPr>
        <w:jc w:val="both"/>
      </w:pPr>
      <w:r w:rsidRPr="00990396">
        <w:t xml:space="preserve">In general, the literature suggests that effective liquidity, credit and market-risk management will improve the financial performance of SMEs, but not without some caveats: The relationship is not automatic and is not necessarily linear. Liquidity efficiency could be key to </w:t>
      </w:r>
      <w:proofErr w:type="gramStart"/>
      <w:r w:rsidRPr="00990396">
        <w:t>profitability</w:t>
      </w:r>
      <w:proofErr w:type="gramEnd"/>
      <w:r w:rsidRPr="00990396">
        <w:t xml:space="preserve"> and too many reserves will lower returns. The effect of the credit controls is to ensure cash flow, but these can also lead to financing pressures from extended receivables and late payment. There is limited evidence of direct market exposure in the UK SME sector, but hedging, diversification and flexible resources can help to reduce market exposure. Previous research has varied in terms of sample, context, methodology, and measures of performance, thus limiting conclusions to causality. Thus, integrated context-specific risk </w:t>
      </w:r>
      <w:r w:rsidRPr="00990396">
        <w:lastRenderedPageBreak/>
        <w:t>management, supported by managerial skills and organisational resources, shows to be most likely to improve the UK SME resilience and performance.</w:t>
      </w:r>
    </w:p>
    <w:p w14:paraId="63D2CFDA" w14:textId="77777777" w:rsidR="00004062" w:rsidRDefault="00004062">
      <w:pPr>
        <w:spacing w:line="259" w:lineRule="auto"/>
        <w:rPr>
          <w:rFonts w:eastAsiaTheme="majorEastAsia"/>
          <w:b/>
          <w:sz w:val="32"/>
          <w:szCs w:val="40"/>
        </w:rPr>
      </w:pPr>
      <w:r>
        <w:br w:type="page"/>
      </w:r>
    </w:p>
    <w:p w14:paraId="268D13EE" w14:textId="59C1331D" w:rsidR="00AA68BC" w:rsidRPr="00990396" w:rsidRDefault="00990396" w:rsidP="00990396">
      <w:pPr>
        <w:pStyle w:val="Heading1"/>
        <w:jc w:val="both"/>
        <w:rPr>
          <w:rFonts w:cstheme="minorBidi"/>
        </w:rPr>
      </w:pPr>
      <w:bookmarkStart w:id="26" w:name="_Toc241147013"/>
      <w:r w:rsidRPr="00990396">
        <w:rPr>
          <w:rFonts w:cstheme="minorBidi"/>
        </w:rPr>
        <w:lastRenderedPageBreak/>
        <w:t>CHAPTER 3: RESEARCH METHODOLOGY</w:t>
      </w:r>
      <w:bookmarkEnd w:id="26"/>
    </w:p>
    <w:p w14:paraId="0D424ADC" w14:textId="4BE975E7" w:rsidR="00AA68BC" w:rsidRPr="00990396" w:rsidRDefault="00AA68BC" w:rsidP="00990396">
      <w:pPr>
        <w:pStyle w:val="Heading2"/>
        <w:jc w:val="both"/>
        <w:rPr>
          <w:rFonts w:cstheme="minorBidi"/>
        </w:rPr>
      </w:pPr>
      <w:bookmarkStart w:id="27" w:name="_Toc241147014"/>
      <w:r w:rsidRPr="00990396">
        <w:rPr>
          <w:rFonts w:cstheme="minorBidi"/>
        </w:rPr>
        <w:t>Introduction</w:t>
      </w:r>
      <w:bookmarkEnd w:id="27"/>
    </w:p>
    <w:p w14:paraId="433E92A5" w14:textId="77777777" w:rsidR="00AA68BC" w:rsidRDefault="00AA68BC" w:rsidP="00990396">
      <w:pPr>
        <w:jc w:val="both"/>
      </w:pPr>
      <w:r w:rsidRPr="00990396">
        <w:t>The methodology adopted to investigate the financial risk management practices and their impact on the financial performance of UK SMEs is explained in this chapter. It sets out the philosophy, research approach, choice of method, research strategy, time frame, selection of sources, research data collection, data management, thematic analysis, the safeguards of quality, and ethical procedures. These decisions serve as a starting point in solving the aim and objectives of the study (Saunders et al., 2023).</w:t>
      </w:r>
    </w:p>
    <w:p w14:paraId="25A0105C" w14:textId="77777777" w:rsidR="00004062" w:rsidRPr="00990396" w:rsidRDefault="00004062" w:rsidP="00990396">
      <w:pPr>
        <w:jc w:val="both"/>
      </w:pPr>
    </w:p>
    <w:p w14:paraId="528C8AAC" w14:textId="2818E82B" w:rsidR="00AA68BC" w:rsidRPr="00990396" w:rsidRDefault="00AA68BC" w:rsidP="00990396">
      <w:pPr>
        <w:pStyle w:val="Heading2"/>
        <w:jc w:val="both"/>
        <w:rPr>
          <w:rFonts w:cstheme="minorBidi"/>
        </w:rPr>
      </w:pPr>
      <w:bookmarkStart w:id="28" w:name="_Toc241147015"/>
      <w:r w:rsidRPr="00990396">
        <w:rPr>
          <w:rFonts w:cstheme="minorBidi"/>
        </w:rPr>
        <w:t>Research Philosophy</w:t>
      </w:r>
      <w:bookmarkEnd w:id="28"/>
    </w:p>
    <w:p w14:paraId="74B0D44E" w14:textId="77777777" w:rsidR="00AA68BC" w:rsidRPr="00990396" w:rsidRDefault="00AA68BC" w:rsidP="00990396">
      <w:pPr>
        <w:jc w:val="both"/>
      </w:pPr>
      <w:r w:rsidRPr="00990396">
        <w:t xml:space="preserve">The study used interpretivism as it aimed to give an understanding of and look at the relationship between the financial performance of SMEs and the liquidity and credit and market risk management practices and make a critical comparison between the SME studies. Interpretivism is based on the idea that the meaning, context and interpretation of the researcher </w:t>
      </w:r>
      <w:proofErr w:type="gramStart"/>
      <w:r w:rsidRPr="00990396">
        <w:t>influences</w:t>
      </w:r>
      <w:proofErr w:type="gramEnd"/>
      <w:r w:rsidRPr="00990396">
        <w:t xml:space="preserve"> the construction of social knowledge, rather than one absolute reality (Saunders et al., 2023; Bell et al., 2022). This philosophy was appropriate given the variability of concepts, measures, national contexts and explanations in the studies that were reviewed.</w:t>
      </w:r>
    </w:p>
    <w:p w14:paraId="3ECD9CC9" w14:textId="77777777" w:rsidR="00AA68BC" w:rsidRPr="00990396" w:rsidRDefault="00AA68BC" w:rsidP="00990396">
      <w:pPr>
        <w:jc w:val="both"/>
      </w:pPr>
      <w:r w:rsidRPr="00990396">
        <w:t>Positivism was considered, as it emphasises a measurement approach, hypothesis testing and statistical generalisation (Creswell and Creswell, 2023). This study, however, did not gather numerical data, test causal hypotheses or calculate pooled effects. Although critical realism could have been used to explore the underlying mechanisms in the organization as they occurred under the surface of the observable results, evidence available was not directly able to prove these mechanisms. Pragmatism allows for the choice of research methods depending on the need for practical research and is often linked to mixed methods (Saunders et al., 2023). However, this study's interpretive purpose could not be met by methodological flexibility. Interpretivism thus offered the greatest alignment to the extent that a reflexivity was needed since the researcher actively had to select, appraise and combine published evidence.</w:t>
      </w:r>
    </w:p>
    <w:p w14:paraId="7104ACF3" w14:textId="701480EE" w:rsidR="00AA68BC" w:rsidRPr="00990396" w:rsidRDefault="00AA68BC" w:rsidP="00990396">
      <w:pPr>
        <w:pStyle w:val="Heading2"/>
        <w:jc w:val="both"/>
        <w:rPr>
          <w:rFonts w:cstheme="minorBidi"/>
        </w:rPr>
      </w:pPr>
      <w:bookmarkStart w:id="29" w:name="_Toc241147016"/>
      <w:r w:rsidRPr="00990396">
        <w:rPr>
          <w:rFonts w:cstheme="minorBidi"/>
        </w:rPr>
        <w:t>Research Approach</w:t>
      </w:r>
      <w:bookmarkEnd w:id="29"/>
    </w:p>
    <w:p w14:paraId="5B6BCFA0" w14:textId="77777777" w:rsidR="00AA68BC" w:rsidRPr="00990396" w:rsidRDefault="00AA68BC" w:rsidP="00990396">
      <w:pPr>
        <w:jc w:val="both"/>
      </w:pPr>
      <w:r w:rsidRPr="00990396">
        <w:t xml:space="preserve">An inductive approach was used as conclusions were formed from recurring patterns, contradictions and explanations found in the literature selected. Where evidence is broken up and/or dependent on context, induction moves from specific observations to general concepts (Saunders et al., 2023; Bell et al., 2022). The analysis thus enabled the emergence of themes </w:t>
      </w:r>
      <w:r w:rsidRPr="00990396">
        <w:lastRenderedPageBreak/>
        <w:t>from the studies related to the efficiency of liquidity, credit discipline, market exposure and organisational capacity.</w:t>
      </w:r>
    </w:p>
    <w:p w14:paraId="520915F3" w14:textId="77777777" w:rsidR="00AA68BC" w:rsidRPr="00990396" w:rsidRDefault="00AA68BC" w:rsidP="00990396">
      <w:pPr>
        <w:jc w:val="both"/>
      </w:pPr>
      <w:r w:rsidRPr="00990396">
        <w:t xml:space="preserve">Theories of Enterprise Risk Management were </w:t>
      </w:r>
      <w:proofErr w:type="gramStart"/>
      <w:r w:rsidRPr="00990396">
        <w:t>considered</w:t>
      </w:r>
      <w:proofErr w:type="gramEnd"/>
      <w:r w:rsidRPr="00990396">
        <w:t xml:space="preserve"> and the Resource Based View </w:t>
      </w:r>
      <w:proofErr w:type="gramStart"/>
      <w:r w:rsidRPr="00990396">
        <w:t>was considered to be</w:t>
      </w:r>
      <w:proofErr w:type="gramEnd"/>
      <w:r w:rsidRPr="00990396">
        <w:t xml:space="preserve"> able to produce propositions for testing. But if deductions were strictly followed it would be impossible to be surprised or to be led to new ideas and findings (Creswell and Creswell, 2023). The iterative process of going back and forth between evidence and theory was also relevant, as was abduction. An abductive component was included in the study with the themes emerging in the interpretation of the theories, while the coding was also largely inductive as there was not a full coding scheme in advance. This flexibility was important because the evidence was still not balance in theory.</w:t>
      </w:r>
    </w:p>
    <w:p w14:paraId="419BE98A" w14:textId="51E8309E" w:rsidR="00AA68BC" w:rsidRPr="00990396" w:rsidRDefault="00AA68BC" w:rsidP="00990396">
      <w:pPr>
        <w:pStyle w:val="Heading2"/>
        <w:jc w:val="both"/>
        <w:rPr>
          <w:rFonts w:cstheme="minorBidi"/>
        </w:rPr>
      </w:pPr>
      <w:bookmarkStart w:id="30" w:name="_Toc241147017"/>
      <w:r w:rsidRPr="00990396">
        <w:rPr>
          <w:rFonts w:cstheme="minorBidi"/>
        </w:rPr>
        <w:t>Methodological Choice</w:t>
      </w:r>
      <w:bookmarkEnd w:id="30"/>
    </w:p>
    <w:p w14:paraId="155B19F1" w14:textId="77777777" w:rsidR="00AA68BC" w:rsidRPr="00990396" w:rsidRDefault="00AA68BC" w:rsidP="00990396">
      <w:pPr>
        <w:jc w:val="both"/>
      </w:pPr>
      <w:r w:rsidRPr="00990396">
        <w:t xml:space="preserve">Mono method qualitative choice was the type of research applied to this research, which was based on secondary textual evidence only. Qualitative research is used for interpretation of meanings, relationships and explanations in their context beyond mere numerical estimation (Creswell and Creswell, 2023). No original data set or common effect measure was identified across the studies reviewed making it inappropriate to use a quantitative choice. There were inconsistent performance indicators and samples, making it difficult to meaningfully aggregate findings using mixed methods. The choice of mono method was thus in line with the research aim, the interpretivist philosophy and critical </w:t>
      </w:r>
      <w:proofErr w:type="gramStart"/>
      <w:r w:rsidRPr="00990396">
        <w:t>literature based</w:t>
      </w:r>
      <w:proofErr w:type="gramEnd"/>
      <w:r w:rsidRPr="00990396">
        <w:t xml:space="preserve"> analysis, during the research process (Saunders et al., 2023; Bell et al., 2022).</w:t>
      </w:r>
    </w:p>
    <w:p w14:paraId="62FEFEFA" w14:textId="3F4F0F92" w:rsidR="00AA68BC" w:rsidRPr="00990396" w:rsidRDefault="00AA68BC" w:rsidP="00990396">
      <w:pPr>
        <w:pStyle w:val="Heading2"/>
        <w:jc w:val="both"/>
        <w:rPr>
          <w:rFonts w:cstheme="minorBidi"/>
        </w:rPr>
      </w:pPr>
      <w:bookmarkStart w:id="31" w:name="_Toc241147018"/>
      <w:r w:rsidRPr="00990396">
        <w:rPr>
          <w:rFonts w:cstheme="minorBidi"/>
        </w:rPr>
        <w:t>Research Strategy</w:t>
      </w:r>
      <w:bookmarkEnd w:id="31"/>
    </w:p>
    <w:p w14:paraId="6B88A126" w14:textId="77777777" w:rsidR="00AA68BC" w:rsidRPr="00990396" w:rsidRDefault="00AA68BC" w:rsidP="00990396">
      <w:pPr>
        <w:jc w:val="both"/>
      </w:pPr>
      <w:r w:rsidRPr="00990396">
        <w:t>The method of research chosen was structured literature review. A literature review is a method of research once sources are identified, selected, evaluated and synthesized in an explicit and reproducible manner (Snyder 2019; Booth et al. 2022). This approach allowed the incorporation of evidence on liquidity, credit and market risks into a single strategy and highlighted methodologic weaknesses, differences and gaps in knowledge.</w:t>
      </w:r>
    </w:p>
    <w:p w14:paraId="739B10F5" w14:textId="77777777" w:rsidR="00AA68BC" w:rsidRPr="00990396" w:rsidRDefault="00AA68BC" w:rsidP="00990396">
      <w:pPr>
        <w:jc w:val="both"/>
      </w:pPr>
      <w:r w:rsidRPr="00990396">
        <w:t xml:space="preserve">Other methods were explored. The current perception of SME managers could have been obtained through a </w:t>
      </w:r>
      <w:proofErr w:type="gramStart"/>
      <w:r w:rsidRPr="00990396">
        <w:t>survey, but</w:t>
      </w:r>
      <w:proofErr w:type="gramEnd"/>
      <w:r w:rsidRPr="00990396">
        <w:t xml:space="preserve"> would need primary participants and may have suffered from response bias and common method bias as well (Bell et al., 2022). The case study may be used to give detailed organisational information, but a small number of firms may lead to less </w:t>
      </w:r>
      <w:proofErr w:type="gramStart"/>
      <w:r w:rsidRPr="00990396">
        <w:t>breadth</w:t>
      </w:r>
      <w:proofErr w:type="gramEnd"/>
      <w:r w:rsidRPr="00990396">
        <w:t xml:space="preserve"> and the secondary research design would change (Yin, 2018). However, experimental methods </w:t>
      </w:r>
      <w:proofErr w:type="gramStart"/>
      <w:r w:rsidRPr="00990396">
        <w:t>were</w:t>
      </w:r>
      <w:proofErr w:type="gramEnd"/>
      <w:r w:rsidRPr="00990396">
        <w:t xml:space="preserve"> impractical as financial risk practices cannot be realistically varied among operational SMEs. The archival quantitative approach was also not feasible, since there were no similar variables at the level of the firm across all objectives. The structured review thus </w:t>
      </w:r>
      <w:r w:rsidRPr="00990396">
        <w:lastRenderedPageBreak/>
        <w:t>provided the best review of breadth, critical depth, practicality and congruence with purpose and design of the study.</w:t>
      </w:r>
    </w:p>
    <w:p w14:paraId="1EE68569" w14:textId="6F1A6E5E" w:rsidR="00AA68BC" w:rsidRPr="00990396" w:rsidRDefault="00AA68BC" w:rsidP="00990396">
      <w:pPr>
        <w:pStyle w:val="Heading2"/>
        <w:jc w:val="both"/>
        <w:rPr>
          <w:rFonts w:cstheme="minorBidi"/>
        </w:rPr>
      </w:pPr>
      <w:bookmarkStart w:id="32" w:name="_Toc241147019"/>
      <w:r w:rsidRPr="00990396">
        <w:rPr>
          <w:rFonts w:cstheme="minorBidi"/>
        </w:rPr>
        <w:t>Time Horizon</w:t>
      </w:r>
      <w:bookmarkEnd w:id="32"/>
    </w:p>
    <w:p w14:paraId="0C98D11C" w14:textId="77777777" w:rsidR="00AA68BC" w:rsidRPr="00990396" w:rsidRDefault="00AA68BC" w:rsidP="00990396">
      <w:pPr>
        <w:jc w:val="both"/>
      </w:pPr>
      <w:r w:rsidRPr="00990396">
        <w:t xml:space="preserve">A </w:t>
      </w:r>
      <w:proofErr w:type="gramStart"/>
      <w:r w:rsidRPr="00990396">
        <w:t>cross sectional</w:t>
      </w:r>
      <w:proofErr w:type="gramEnd"/>
      <w:r w:rsidRPr="00990396">
        <w:t xml:space="preserve"> time horizon was used, as literature was gathered and examined over a specific </w:t>
      </w:r>
      <w:proofErr w:type="gramStart"/>
      <w:r w:rsidRPr="00990396">
        <w:t>time period</w:t>
      </w:r>
      <w:proofErr w:type="gramEnd"/>
      <w:r w:rsidRPr="00990396">
        <w:t xml:space="preserve"> in one research project. Cross sectional designs focus on a phenomenon at one specific time, while longitudinal designs focus on a phenomenon by repeated observations over time (Saunders et al., 2023; Bell et al., 2022). This review was not repeated collection of evidence from the same sources, although articles included were sometimes longitudinal, from the company. A longitudinal study may be used to follow changes in SME risk management in the </w:t>
      </w:r>
      <w:proofErr w:type="gramStart"/>
      <w:r w:rsidRPr="00990396">
        <w:t>future, but</w:t>
      </w:r>
      <w:proofErr w:type="gramEnd"/>
      <w:r w:rsidRPr="00990396">
        <w:t xml:space="preserve"> was beyond the scope of this project. The </w:t>
      </w:r>
      <w:proofErr w:type="gramStart"/>
      <w:r w:rsidRPr="00990396">
        <w:t>cross sectional</w:t>
      </w:r>
      <w:proofErr w:type="gramEnd"/>
      <w:r w:rsidRPr="00990396">
        <w:t xml:space="preserve"> horizon was thus an appropriate one, but with an understanding that future economic circumstances and publications could change the conclusions.</w:t>
      </w:r>
    </w:p>
    <w:p w14:paraId="5D9AC8FB" w14:textId="410EEACF" w:rsidR="00AA68BC" w:rsidRPr="00990396" w:rsidRDefault="00AA68BC" w:rsidP="00990396">
      <w:pPr>
        <w:pStyle w:val="Heading2"/>
        <w:jc w:val="both"/>
        <w:rPr>
          <w:rFonts w:cstheme="minorBidi"/>
        </w:rPr>
      </w:pPr>
      <w:bookmarkStart w:id="33" w:name="_Toc241147020"/>
      <w:r w:rsidRPr="00990396">
        <w:rPr>
          <w:rFonts w:cstheme="minorBidi"/>
        </w:rPr>
        <w:t>Source Selection and Eligibility Criteria</w:t>
      </w:r>
      <w:bookmarkEnd w:id="33"/>
    </w:p>
    <w:p w14:paraId="3DC1F04E" w14:textId="065425F6" w:rsidR="00137AE8" w:rsidRPr="00990396" w:rsidRDefault="00AA68BC" w:rsidP="00990396">
      <w:pPr>
        <w:jc w:val="both"/>
      </w:pPr>
      <w:r w:rsidRPr="00990396">
        <w:t>A purposive selection process was used to select publications that could meet the research objectives. While there was detailed analysis, it was preceded by defining eligibility criteria to ensure that any decisions on eligibility were not arbitrary, and that the review was consistent (Booth et al., 2022; Page et al., 2021). Eligible sources were peer reviewed journal articles published in English from January 2021 to August 2026. Each study should address issues of liquidity, working capital, cash flow, trade credit, receivables, default, exchange rates, interest rates, commodity prices, hedging or economic uncertainty and relate it to a financial outcome</w:t>
      </w:r>
      <w:r w:rsidR="00137AE8" w:rsidRPr="00990396">
        <w:t>.</w:t>
      </w:r>
    </w:p>
    <w:p w14:paraId="4B2C63BA" w14:textId="77777777" w:rsidR="00AA68BC" w:rsidRPr="00990396" w:rsidRDefault="00AA68BC" w:rsidP="00990396">
      <w:pPr>
        <w:jc w:val="both"/>
      </w:pPr>
      <w:r w:rsidRPr="00990396">
        <w:t xml:space="preserve">Studies in the UK were included as the population it would study was most representative of the population being studied. Where international SME evidence provided relevant mechanisms or comparative insights not captured in UK studies, this evidence was incorporated. Only methods and/or findings from selected listed firm studies were kept when they directly connected to an objective and limited transferability was explicit. Research on banks, big financial firms, household, or non-operational risks were not included. No conference abstracts, dissertations, textbooks, opinion pieces or commercial </w:t>
      </w:r>
      <w:proofErr w:type="gramStart"/>
      <w:r w:rsidRPr="00990396">
        <w:t>web-pages</w:t>
      </w:r>
      <w:proofErr w:type="gramEnd"/>
      <w:r w:rsidRPr="00990396">
        <w:t xml:space="preserve"> were considered as empirical evidence.</w:t>
      </w:r>
    </w:p>
    <w:p w14:paraId="00FAA806" w14:textId="77777777" w:rsidR="00AA68BC" w:rsidRPr="00990396" w:rsidRDefault="00AA68BC" w:rsidP="00990396">
      <w:pPr>
        <w:jc w:val="both"/>
      </w:pPr>
      <w:r w:rsidRPr="00990396">
        <w:t xml:space="preserve">Titles were screened and abstracts reviewed then full text was assessed. Records were duplicated and reasons for discarding borderline articles were noted. The study was structured business literature review, not a clinical systematic review, but transparently reported identification and selection of the record was done based on PRISMA (Page et al., 2021). The appraisement method of each included article was done in research context, sample, design, analysis, measurement, findings, limitations and relevance. This process ensured that no </w:t>
      </w:r>
      <w:r w:rsidRPr="00990396">
        <w:lastRenderedPageBreak/>
        <w:t>publications were considered equally persuasive and aided in the development of an evidence base that was narrow enough to be auditable (Snyder, 2019). Searches were also prioritised with recent evidence, and with maintaining methodological guidance where this furthered an interpretation.</w:t>
      </w:r>
    </w:p>
    <w:p w14:paraId="2B0C8C4D" w14:textId="05810FA8" w:rsidR="00AA68BC" w:rsidRPr="00990396" w:rsidRDefault="00AA68BC" w:rsidP="00990396">
      <w:pPr>
        <w:pStyle w:val="Heading2"/>
        <w:jc w:val="both"/>
        <w:rPr>
          <w:rFonts w:cstheme="minorBidi"/>
        </w:rPr>
      </w:pPr>
      <w:bookmarkStart w:id="34" w:name="_Toc241147021"/>
      <w:r w:rsidRPr="00990396">
        <w:rPr>
          <w:rFonts w:cstheme="minorBidi"/>
        </w:rPr>
        <w:t>Inclusion and Exclusion Criteria</w:t>
      </w:r>
      <w:bookmarkEnd w:id="34"/>
    </w:p>
    <w:p w14:paraId="1B6F4091" w14:textId="77777777" w:rsidR="00AA68BC" w:rsidRPr="00990396" w:rsidRDefault="00AA68BC" w:rsidP="00990396">
      <w:pPr>
        <w:jc w:val="both"/>
      </w:pPr>
      <w:r w:rsidRPr="00990396">
        <w:t>Studies included were peer-reviewed journal articles published in English from January 2021 to August 2026 that discussed liquidity, credit or market-risk management and financial performance of SMEs. The focus was on UK SMEs and international SME studies were maintained if they provided comparative evidence not available from UK studies. Articles were not included if they were limited to banks/financial institutions or households or operational risks that had nothing to do with banks. Abstracts, dissertations, textbooks, opinion pieces, commercial websites and studies that did not provide sufficient methodological information were not included. Full-text availability was needed, and duplicate records were eliminated. They were designed to make sure that the evidence base was recent, relevant, methodologically transparent and aligned to the research aim and objectives, as outlined in Booth et al. (2022) and Page et al. (2021).</w:t>
      </w:r>
    </w:p>
    <w:p w14:paraId="160CAA72" w14:textId="0C5091B0" w:rsidR="00AA68BC" w:rsidRPr="00990396" w:rsidRDefault="00AA68BC" w:rsidP="00990396">
      <w:pPr>
        <w:pStyle w:val="Heading2"/>
        <w:jc w:val="both"/>
        <w:rPr>
          <w:rFonts w:cstheme="minorBidi"/>
        </w:rPr>
      </w:pPr>
      <w:bookmarkStart w:id="35" w:name="_Toc241147022"/>
      <w:r w:rsidRPr="00990396">
        <w:rPr>
          <w:rFonts w:cstheme="minorBidi"/>
        </w:rPr>
        <w:t>Data Collection Method</w:t>
      </w:r>
      <w:bookmarkEnd w:id="35"/>
    </w:p>
    <w:p w14:paraId="7EF3963D" w14:textId="77777777" w:rsidR="00AA68BC" w:rsidRPr="00990396" w:rsidRDefault="00AA68BC" w:rsidP="00990396">
      <w:pPr>
        <w:jc w:val="both"/>
      </w:pPr>
      <w:r w:rsidRPr="00990396">
        <w:t>Secondary data was gathered by means of structured electronic search of Scopus, Web of Science, Business Source Complete, ScienceDirect and Google Scholar. Multiple databases also eliminate the reliance on a single indexing system, and enhance disciplinary coverage (Booth et al., 2022). In addition to the results of the database search, backward reference and forward citation search was used to help locate additional studies that might have been missed by the keyword search.</w:t>
      </w:r>
    </w:p>
    <w:p w14:paraId="61D79AE8" w14:textId="16E5B5ED" w:rsidR="00AA68BC" w:rsidRPr="00990396" w:rsidRDefault="00AA68BC" w:rsidP="00990396">
      <w:pPr>
        <w:jc w:val="both"/>
      </w:pPr>
      <w:r w:rsidRPr="00990396">
        <w:t>Use</w:t>
      </w:r>
      <w:r w:rsidR="0097285E" w:rsidRPr="00990396">
        <w:t>d</w:t>
      </w:r>
      <w:r w:rsidRPr="00990396">
        <w:t xml:space="preserve"> </w:t>
      </w:r>
      <w:proofErr w:type="spellStart"/>
      <w:r w:rsidRPr="00990396">
        <w:t>boolean</w:t>
      </w:r>
      <w:proofErr w:type="spellEnd"/>
      <w:r w:rsidRPr="00990396">
        <w:t xml:space="preserve"> operators to join search strings together for population + risk practice + risk outcome. One representative string was: (“UK SME” OR small and medium enterprise) AND (“liquidity risk” OR working capital OR credit risk OR trade credit OR market risk OR foreign exchange risk) AND (“financial performance” OR profitability OR growth). Filters and wording were customized for each of the databases.</w:t>
      </w:r>
    </w:p>
    <w:p w14:paraId="275E985D" w14:textId="77777777" w:rsidR="00AA68BC" w:rsidRPr="00990396" w:rsidRDefault="00AA68BC" w:rsidP="00990396">
      <w:pPr>
        <w:jc w:val="both"/>
      </w:pPr>
      <w:r w:rsidRPr="00990396">
        <w:t xml:space="preserve">The search log documented the names of the databases searched, search dates, exact terms, filters used, number of hits and screening decisions. The bibliographic details and full texts were systematically stored. Studies were only </w:t>
      </w:r>
      <w:proofErr w:type="spellStart"/>
      <w:r w:rsidRPr="00990396">
        <w:t>analyzed</w:t>
      </w:r>
      <w:proofErr w:type="spellEnd"/>
      <w:r w:rsidRPr="00990396">
        <w:t xml:space="preserve"> if appropriate methodological details were available. This systematic approach to collecting was in line with recommendations by literature reviews that the search and selection process need to be documented so that the readers can understand how the evidence base was created (Snyder, 2019; Booth et al., 2022; </w:t>
      </w:r>
      <w:r w:rsidRPr="00990396">
        <w:lastRenderedPageBreak/>
        <w:t>Page et al., 2021). Search results were screened on a consistent basis and new terms recorded in search results when new terms were introduced during the reading of articles that were relevant to the search.</w:t>
      </w:r>
    </w:p>
    <w:p w14:paraId="7307F8B4" w14:textId="1C123A86" w:rsidR="00AA68BC" w:rsidRPr="00990396" w:rsidRDefault="00AA68BC" w:rsidP="00990396">
      <w:pPr>
        <w:pStyle w:val="Heading2"/>
        <w:jc w:val="both"/>
        <w:rPr>
          <w:rFonts w:cstheme="minorBidi"/>
        </w:rPr>
      </w:pPr>
      <w:bookmarkStart w:id="36" w:name="_Toc241147023"/>
      <w:r w:rsidRPr="00990396">
        <w:rPr>
          <w:rFonts w:cstheme="minorBidi"/>
        </w:rPr>
        <w:t>Data Extraction and Management</w:t>
      </w:r>
      <w:bookmarkEnd w:id="36"/>
    </w:p>
    <w:p w14:paraId="13DD1831" w14:textId="77777777" w:rsidR="00AA68BC" w:rsidRPr="00990396" w:rsidRDefault="00AA68BC" w:rsidP="00990396">
      <w:pPr>
        <w:jc w:val="both"/>
      </w:pPr>
      <w:r w:rsidRPr="00990396">
        <w:t xml:space="preserve">The included articles were </w:t>
      </w:r>
      <w:proofErr w:type="spellStart"/>
      <w:r w:rsidRPr="00990396">
        <w:t>analyzed</w:t>
      </w:r>
      <w:proofErr w:type="spellEnd"/>
      <w:r w:rsidRPr="00990396">
        <w:t xml:space="preserve"> to obtain similar information by using a standardized evidence matrix. Standardised extraction minimizes variations in attention to studies and aids in systematic comparison between different studies representing heterogeneous evidence (Booth et al., 2022). The variables recorded were author, year, country, industry, SME definition, theory, purpose, sample size, data period, data source, research design, analytical method, risk variable, performance measure, principal result, limitation and UK relevance. Separate columns contained the researcher’s critical comments on causality, validity and transferability.</w:t>
      </w:r>
    </w:p>
    <w:p w14:paraId="23F5BA96" w14:textId="77777777" w:rsidR="00AA68BC" w:rsidRPr="00990396" w:rsidRDefault="00AA68BC" w:rsidP="00990396">
      <w:pPr>
        <w:jc w:val="both"/>
      </w:pPr>
      <w:r w:rsidRPr="00990396">
        <w:t>Evidence was structured around the liquidity, credit and market risk objectives. When the publications covered more than one of the categories, findings applicable to each objective were recorded under each objective but the article was not used more than once as evidence. The files were consistently named and sorted into retrieved and included – and excluded folders. Where available, published versions were preferred to preprint versions.</w:t>
      </w:r>
    </w:p>
    <w:p w14:paraId="2503DB78" w14:textId="77777777" w:rsidR="00AA68BC" w:rsidRPr="00990396" w:rsidRDefault="00AA68BC" w:rsidP="00990396">
      <w:pPr>
        <w:jc w:val="both"/>
      </w:pPr>
      <w:r w:rsidRPr="00990396">
        <w:t>An audit trail was maintained to record inclusion decisions, conceptual interpretations, coding changes and the emergence of themes. Audit trails help to provide greater qualitative transparency of how interpretations were developed, as opposed to offering analysis as an automatic process (Nowell et al., 2017). The quotations are recorded on a page number; in most cases they have been paraphrased to avoid needless duplication and to retain context. To avoid transcription mistakes and to clarify the authors' conclusions from those of the present researcher, matrix entries were cross-checked against the original articles.</w:t>
      </w:r>
    </w:p>
    <w:p w14:paraId="20074F4E" w14:textId="77777777" w:rsidR="00AA68BC" w:rsidRPr="00990396" w:rsidRDefault="00AA68BC" w:rsidP="00990396">
      <w:pPr>
        <w:jc w:val="both"/>
      </w:pPr>
      <w:r w:rsidRPr="00990396">
        <w:t xml:space="preserve">A summary sheet showed evidence in terms of objective, method and context – negative, insignificant and contradictory findings appeared as evidence. Version control had copies of the matrix that were dated. A </w:t>
      </w:r>
      <w:proofErr w:type="spellStart"/>
      <w:proofErr w:type="gramStart"/>
      <w:r w:rsidRPr="00990396">
        <w:t>meta analysis</w:t>
      </w:r>
      <w:proofErr w:type="spellEnd"/>
      <w:proofErr w:type="gramEnd"/>
      <w:r w:rsidRPr="00990396">
        <w:t xml:space="preserve"> was not attempted due to the heterogenicity of the measurements, populations and designs. Rather, structured management facilitated high-quality synthesis, while minimizing the possibility of selectively reporting positive studies (Snyder, 2019). This organisation also allowed for the comparison between the competing explanations and outcomes.</w:t>
      </w:r>
    </w:p>
    <w:p w14:paraId="537A2C77" w14:textId="66AC16BA" w:rsidR="00AA68BC" w:rsidRPr="00990396" w:rsidRDefault="00AA68BC" w:rsidP="00990396">
      <w:pPr>
        <w:pStyle w:val="Heading2"/>
        <w:jc w:val="both"/>
        <w:rPr>
          <w:rFonts w:cstheme="minorBidi"/>
        </w:rPr>
      </w:pPr>
      <w:bookmarkStart w:id="37" w:name="_Toc241147024"/>
      <w:r w:rsidRPr="00990396">
        <w:rPr>
          <w:rFonts w:cstheme="minorBidi"/>
        </w:rPr>
        <w:t>Data Analysis Techniques</w:t>
      </w:r>
      <w:bookmarkEnd w:id="37"/>
    </w:p>
    <w:p w14:paraId="1108B5DD" w14:textId="77777777" w:rsidR="00AA68BC" w:rsidRPr="00990396" w:rsidRDefault="00AA68BC" w:rsidP="00990396">
      <w:pPr>
        <w:jc w:val="both"/>
      </w:pPr>
      <w:r w:rsidRPr="00990396">
        <w:t xml:space="preserve">The extracted evidence was analysed using reflexive thematic analysis that is the form of analysis that can identify and interpret patterned meaning and acknowledge the active role </w:t>
      </w:r>
      <w:r w:rsidRPr="00990396">
        <w:lastRenderedPageBreak/>
        <w:t>played by the researcher in the analysis (Braun and Clarke, 2021). The analysis started with repeated reading of the full articles and matrix entries to familiarize oneself with them. First codes reflected risks practices, financial outcomes, explanatory mechanisms, contextual conditions, methodological strengths, and both strengths and weaknesses, as well as contradictory results.</w:t>
      </w:r>
    </w:p>
    <w:p w14:paraId="16359097" w14:textId="77777777" w:rsidR="00AA68BC" w:rsidRPr="00990396" w:rsidRDefault="00AA68BC" w:rsidP="00990396">
      <w:pPr>
        <w:jc w:val="both"/>
      </w:pPr>
      <w:r w:rsidRPr="00990396">
        <w:t xml:space="preserve">Themes of candidates were clustered into the themes of the objectives. This meant the ability to operate efficiently with less liquidity, the ability to provide credit in a disciplined fashion without dealing with late payments, and the ability to hedge without running into unmanaged market exposure. Themes were aligned with the full body of </w:t>
      </w:r>
      <w:proofErr w:type="gramStart"/>
      <w:r w:rsidRPr="00990396">
        <w:t>evidence, and</w:t>
      </w:r>
      <w:proofErr w:type="gramEnd"/>
      <w:r w:rsidRPr="00990396">
        <w:t xml:space="preserve"> are refined and linked to the Enterprise Risk Management Theory and the Resource Based View. The familiarisation, coding, construction of themes, review, definition and reporting were guided by the Braun and Clarke’s (2021) guidance.</w:t>
      </w:r>
    </w:p>
    <w:p w14:paraId="1841E608" w14:textId="1FF8B844" w:rsidR="00137AE8" w:rsidRPr="00990396" w:rsidRDefault="00AA68BC" w:rsidP="00990396">
      <w:pPr>
        <w:jc w:val="both"/>
      </w:pPr>
      <w:r w:rsidRPr="00990396">
        <w:t xml:space="preserve">This analysis was continued and not descriptive. The evidence was assessed based on population relevance, sample size, design, quality of measurement, and analytical rigour and transferability. Where populations differed significantly from UK SMEs, large panels were not automatically given higher priority, and where </w:t>
      </w:r>
      <w:proofErr w:type="spellStart"/>
      <w:r w:rsidRPr="00990396">
        <w:t>self reporting</w:t>
      </w:r>
      <w:proofErr w:type="spellEnd"/>
      <w:r w:rsidRPr="00990396">
        <w:t xml:space="preserve"> was reduced, the data from direct SME surveys was treated with caution. Comparing convergence with disagreement and methodological explanations across the three research objectives facilitated the final synthesis to provide plausible relationships while avoiding observational associations as established causalities (Nowell et al., 2017).</w:t>
      </w:r>
    </w:p>
    <w:p w14:paraId="332286D1" w14:textId="0A32CBCD" w:rsidR="00137AE8" w:rsidRPr="00990396" w:rsidRDefault="00004062" w:rsidP="00990396">
      <w:pPr>
        <w:pStyle w:val="Heading2"/>
        <w:jc w:val="both"/>
        <w:rPr>
          <w:rFonts w:cstheme="minorBidi"/>
        </w:rPr>
      </w:pPr>
      <w:bookmarkStart w:id="38" w:name="_Toc241147025"/>
      <w:r>
        <w:rPr>
          <w:rFonts w:cstheme="minorBidi"/>
        </w:rPr>
        <w:t>Research Quality and Trustworthiness</w:t>
      </w:r>
      <w:bookmarkEnd w:id="38"/>
    </w:p>
    <w:p w14:paraId="4E9AC575" w14:textId="5E5F140F" w:rsidR="00137AE8" w:rsidRPr="00990396" w:rsidRDefault="009D0313" w:rsidP="00990396">
      <w:pPr>
        <w:jc w:val="both"/>
      </w:pPr>
      <w:r w:rsidRPr="00990396">
        <w:t xml:space="preserve">The concept of trustworthiness was covered by the concepts of credibility, dependability, confirmability and transferability, which offer qualitative alternatives to statistical validity and reliability (Lincoln and Guba, 1985; Nowell et al., 2017). Comparing databases, research contexts, methods and contradictory findings helped to enhance the credibility of the results. A consistent screening, extraction and analytical process ensured dependability. A reflexive note was </w:t>
      </w:r>
      <w:proofErr w:type="gramStart"/>
      <w:r w:rsidRPr="00990396">
        <w:t>added</w:t>
      </w:r>
      <w:proofErr w:type="gramEnd"/>
      <w:r w:rsidRPr="00990396">
        <w:t xml:space="preserve"> and an audit trail was maintained to differentiate source claims from researcher interpretations to confirmability. Direct UK SME evidence was isolated from international and listed firm studies to ensure transferability. Some articles were selected to be recoded after </w:t>
      </w:r>
      <w:proofErr w:type="gramStart"/>
      <w:r w:rsidRPr="00990396">
        <w:t>a period of time</w:t>
      </w:r>
      <w:proofErr w:type="gramEnd"/>
      <w:r w:rsidRPr="00990396">
        <w:t xml:space="preserve"> to assess the coding consistency and clarify themes that were not clearly defined (Braun and Clarke, 2021)</w:t>
      </w:r>
      <w:r w:rsidR="00137AE8" w:rsidRPr="00990396">
        <w:t>.</w:t>
      </w:r>
    </w:p>
    <w:p w14:paraId="229608ED" w14:textId="75A66174" w:rsidR="00137AE8" w:rsidRPr="00990396" w:rsidRDefault="00137AE8" w:rsidP="00990396">
      <w:pPr>
        <w:pStyle w:val="Heading2"/>
        <w:jc w:val="both"/>
        <w:rPr>
          <w:rFonts w:cstheme="minorBidi"/>
        </w:rPr>
      </w:pPr>
      <w:bookmarkStart w:id="39" w:name="_Toc241147026"/>
      <w:r w:rsidRPr="00990396">
        <w:rPr>
          <w:rFonts w:cstheme="minorBidi"/>
        </w:rPr>
        <w:t>Ethical Considerations</w:t>
      </w:r>
      <w:bookmarkEnd w:id="39"/>
    </w:p>
    <w:p w14:paraId="23060DAA" w14:textId="77777777" w:rsidR="009D0313" w:rsidRPr="00990396" w:rsidRDefault="009D0313" w:rsidP="00990396">
      <w:pPr>
        <w:jc w:val="both"/>
      </w:pPr>
      <w:r w:rsidRPr="00990396">
        <w:t xml:space="preserve">The study was based on secondary sources and no interviews, surveys or confidential business records. So, the risks of consent, anonymity and physical harm were low. Even with </w:t>
      </w:r>
      <w:r w:rsidRPr="00990396">
        <w:lastRenderedPageBreak/>
        <w:t>secondary research, though, there is a need for the responsibility, appropriate attribution and transparency reporting (Saunders et al., 2023; Bell et al., 2022).</w:t>
      </w:r>
    </w:p>
    <w:p w14:paraId="3A46F153" w14:textId="77777777" w:rsidR="009D0313" w:rsidRPr="00990396" w:rsidRDefault="009D0313" w:rsidP="00990396">
      <w:pPr>
        <w:jc w:val="both"/>
      </w:pPr>
      <w:r w:rsidRPr="00990396">
        <w:t>Any ideas, evidence and methodological advice taken from other authors were cited using the Harvard system. Limited and identified direct quotations. Findings were presented in a fair manner including evidence that contradicts the evolving interpretation. Methods that supported association, but not causality, did not result in a selective reporting or description of results as causal.</w:t>
      </w:r>
    </w:p>
    <w:p w14:paraId="1099F6CB" w14:textId="22F2D5CE" w:rsidR="00137AE8" w:rsidRPr="00990396" w:rsidRDefault="009D0313" w:rsidP="00990396">
      <w:pPr>
        <w:jc w:val="both"/>
      </w:pPr>
      <w:r w:rsidRPr="00990396">
        <w:t>Articles were accessed via databases, libraries or publisher access. Academic files were kept safe and secure on electronic files. Selective inclusion was reduced by explicit eligibility criteria and reflexive notes helped identify confirmation bias. No stigma placed on SMEs, industries or countries with respect to weak performance or risk control. These practices were conducive to integrity, IP and ethical secondary analysis (Creswell and Creswell, 2023)</w:t>
      </w:r>
      <w:r w:rsidR="00137AE8" w:rsidRPr="00990396">
        <w:t>.</w:t>
      </w:r>
    </w:p>
    <w:p w14:paraId="7D9D8BAE" w14:textId="168F05E4" w:rsidR="00137AE8" w:rsidRPr="00990396" w:rsidRDefault="00137AE8" w:rsidP="00990396">
      <w:pPr>
        <w:pStyle w:val="Heading2"/>
        <w:jc w:val="both"/>
        <w:rPr>
          <w:rFonts w:cstheme="minorBidi"/>
        </w:rPr>
      </w:pPr>
      <w:bookmarkStart w:id="40" w:name="_Toc241147027"/>
      <w:r w:rsidRPr="00990396">
        <w:rPr>
          <w:rFonts w:cstheme="minorBidi"/>
        </w:rPr>
        <w:t>Chapter Summary</w:t>
      </w:r>
      <w:bookmarkEnd w:id="40"/>
    </w:p>
    <w:p w14:paraId="20048C6C" w14:textId="17420447" w:rsidR="00137AE8" w:rsidRPr="00990396" w:rsidRDefault="00AA68BC" w:rsidP="00990396">
      <w:pPr>
        <w:jc w:val="both"/>
      </w:pPr>
      <w:r w:rsidRPr="00990396">
        <w:t xml:space="preserve">Based on the results of the literature review and the </w:t>
      </w:r>
      <w:proofErr w:type="gramStart"/>
      <w:r w:rsidRPr="00990396">
        <w:t>cross sectional</w:t>
      </w:r>
      <w:proofErr w:type="gramEnd"/>
      <w:r w:rsidRPr="00990396">
        <w:t xml:space="preserve"> horizon, this chapter justified the use of an interpretivist, qualitative, inductive, mono method. The methodology was in line with the objectives as </w:t>
      </w:r>
      <w:proofErr w:type="spellStart"/>
      <w:r w:rsidRPr="00990396">
        <w:t>systematical</w:t>
      </w:r>
      <w:proofErr w:type="spellEnd"/>
      <w:r w:rsidRPr="00990396">
        <w:t xml:space="preserve"> searching, evidence extraction and reflexive thematic analysis were implemented. Audit trail, trustworthiness procedures and ethical safeguards enhanced conclusions regarding financial risk management and performance of SMEs in the UK</w:t>
      </w:r>
      <w:r w:rsidR="00137AE8" w:rsidRPr="00990396">
        <w:t>.</w:t>
      </w:r>
    </w:p>
    <w:p w14:paraId="32481073" w14:textId="77777777" w:rsidR="00004062" w:rsidRDefault="00004062">
      <w:pPr>
        <w:spacing w:line="259" w:lineRule="auto"/>
        <w:rPr>
          <w:rFonts w:eastAsiaTheme="majorEastAsia"/>
          <w:b/>
          <w:sz w:val="32"/>
          <w:szCs w:val="40"/>
        </w:rPr>
      </w:pPr>
      <w:r>
        <w:br w:type="page"/>
      </w:r>
    </w:p>
    <w:p w14:paraId="117A8189" w14:textId="297CC2C0" w:rsidR="001A4F3D" w:rsidRPr="00990396" w:rsidRDefault="00990396" w:rsidP="00990396">
      <w:pPr>
        <w:pStyle w:val="Heading1"/>
        <w:jc w:val="both"/>
        <w:rPr>
          <w:rFonts w:cstheme="minorBidi"/>
        </w:rPr>
      </w:pPr>
      <w:bookmarkStart w:id="41" w:name="_Toc241147028"/>
      <w:r w:rsidRPr="00990396">
        <w:rPr>
          <w:rFonts w:cstheme="minorBidi"/>
        </w:rPr>
        <w:lastRenderedPageBreak/>
        <w:t>CHAPTER 4: DATA ANALYSIS AND DISCUSSION</w:t>
      </w:r>
      <w:bookmarkEnd w:id="41"/>
    </w:p>
    <w:p w14:paraId="23C80D28" w14:textId="256A7A40" w:rsidR="001A4F3D" w:rsidRPr="00990396" w:rsidRDefault="001A4F3D" w:rsidP="00990396">
      <w:pPr>
        <w:pStyle w:val="Heading2"/>
        <w:jc w:val="both"/>
        <w:rPr>
          <w:rFonts w:cstheme="minorBidi"/>
        </w:rPr>
      </w:pPr>
      <w:bookmarkStart w:id="42" w:name="_Toc241147029"/>
      <w:r w:rsidRPr="00990396">
        <w:rPr>
          <w:rFonts w:cstheme="minorBidi"/>
        </w:rPr>
        <w:t>Introduction</w:t>
      </w:r>
      <w:bookmarkEnd w:id="42"/>
    </w:p>
    <w:p w14:paraId="4CAD8DB3" w14:textId="2224E31D" w:rsidR="001A4F3D" w:rsidRPr="00990396" w:rsidRDefault="00AA68BC" w:rsidP="00990396">
      <w:pPr>
        <w:jc w:val="both"/>
      </w:pPr>
      <w:r w:rsidRPr="00990396">
        <w:t>This chapter describes the analysis of evidence which examines the financial risk management practices and their effect on the financial performance of UK SMEs. The process of analysis is conducted in a reflexive thematic procedure, as outlined in Chapter Three, and is broken down into three stages: familiarisation, coding, theme development, comparison and interpretation (Braun and Clarke, 2021). The evidence was structured according to the three research objectives and contradictory evidence, methodological quality and transferability to the UK SME context were discussed. Instead of reporting rates of positive and negative results, the analysis looks at what accounts for the differences in relationships across studies, and how the context conditions influence outcomes. Three themes stood out: Liquidity efficiency and resilience; Disciplined credit management; Adaptive market-risk capability. The themes are linked with Enterprise Risk Management Theory and Resource Based View in an integrative analysis</w:t>
      </w:r>
      <w:r w:rsidR="001A4F3D" w:rsidRPr="00990396">
        <w:t>.</w:t>
      </w:r>
    </w:p>
    <w:p w14:paraId="3921E185" w14:textId="68FEFA43" w:rsidR="001A4F3D" w:rsidRPr="00990396" w:rsidRDefault="001A4F3D" w:rsidP="00990396">
      <w:pPr>
        <w:pStyle w:val="Heading2"/>
        <w:jc w:val="both"/>
        <w:rPr>
          <w:rFonts w:cstheme="minorBidi"/>
        </w:rPr>
      </w:pPr>
      <w:bookmarkStart w:id="43" w:name="_Toc241147030"/>
      <w:r w:rsidRPr="00990396">
        <w:rPr>
          <w:rFonts w:cstheme="minorBidi"/>
        </w:rPr>
        <w:t>Data Analysis Process</w:t>
      </w:r>
      <w:bookmarkEnd w:id="43"/>
    </w:p>
    <w:p w14:paraId="12D4F086" w14:textId="258BDAC1" w:rsidR="001A4F3D" w:rsidRPr="00990396" w:rsidRDefault="00AA68BC" w:rsidP="00990396">
      <w:pPr>
        <w:jc w:val="both"/>
      </w:pPr>
      <w:r w:rsidRPr="00990396">
        <w:t>This analysis started with repeated reading of each of the included studies and the evidence matrix to familiarize the researcher with the purpose, sample, method, risk variables, performance variables, and findings and limitations of each individual article. Coding was viewed as an interpretive rather than mechanical task, following Braun and Clarke (2021). Initial codes were added to repeated concepts including cash-conversion efficiency, too much liquidity, pressure on paying, discipline on trade credit, exposure to exchange rates, hedging ability, managerial resources and performance resilience. Concurrently, methodological codes were developed, such as listed-firm bias, small sample, self-reporting, cross-country transferability, endogeneity and inconsistent performance measures. This prevented substantive findings from being divorced from the weight of the evidence supporting these findings. Reports of conflicting relationships were not excluded but coded, as disagreement proved analytically valuable in determining circumstances in which risk-management practices had either more or less merit. The resulting code set was then compared between the three research objectives. Codes with similar ideas were grouped into potential themes; single codes were kept for further consideration. In this phase, the first drafts of liquidity evidence focused on efficiency and resilience, credit evidence focused on disciplined extension and collection, and evidence of market-risk on exposure, adaptation and organisational capability in the empirical literature reviewed as a whole</w:t>
      </w:r>
      <w:r w:rsidR="001A4F3D" w:rsidRPr="00990396">
        <w:t>.</w:t>
      </w:r>
    </w:p>
    <w:p w14:paraId="2EC456B5" w14:textId="7EFCA262" w:rsidR="001A4F3D" w:rsidRPr="00990396" w:rsidRDefault="001A4F3D" w:rsidP="00004062">
      <w:pPr>
        <w:pStyle w:val="Caption"/>
        <w:keepNext/>
        <w:spacing w:line="360" w:lineRule="auto"/>
        <w:jc w:val="center"/>
      </w:pPr>
      <w:bookmarkStart w:id="44" w:name="_Toc241147051"/>
      <w:r w:rsidRPr="00990396">
        <w:lastRenderedPageBreak/>
        <w:t xml:space="preserve">Table </w:t>
      </w:r>
      <w:fldSimple w:instr=" SEQ Table \* ARABIC ">
        <w:r w:rsidRPr="00990396">
          <w:rPr>
            <w:noProof/>
          </w:rPr>
          <w:t>1</w:t>
        </w:r>
      </w:fldSimple>
      <w:r w:rsidRPr="00990396">
        <w:t xml:space="preserve"> Data Analysis Process</w:t>
      </w:r>
      <w:bookmarkEnd w:id="44"/>
    </w:p>
    <w:tbl>
      <w:tblPr>
        <w:tblStyle w:val="TableGrid"/>
        <w:tblW w:w="8844" w:type="dxa"/>
        <w:jc w:val="center"/>
        <w:shd w:val="clear" w:color="auto" w:fill="F2F2F2" w:themeFill="background1" w:themeFillShade="F2"/>
        <w:tblLook w:val="04A0" w:firstRow="1" w:lastRow="0" w:firstColumn="1" w:lastColumn="0" w:noHBand="0" w:noVBand="1"/>
      </w:tblPr>
      <w:tblGrid>
        <w:gridCol w:w="1803"/>
        <w:gridCol w:w="1898"/>
        <w:gridCol w:w="3617"/>
        <w:gridCol w:w="1526"/>
      </w:tblGrid>
      <w:tr w:rsidR="001A4F3D" w:rsidRPr="00990396" w14:paraId="7B1A5D13" w14:textId="77777777" w:rsidTr="00004062">
        <w:trPr>
          <w:trHeight w:val="233"/>
          <w:jc w:val="center"/>
        </w:trPr>
        <w:tc>
          <w:tcPr>
            <w:tcW w:w="1803" w:type="dxa"/>
            <w:shd w:val="clear" w:color="auto" w:fill="F2F2F2" w:themeFill="background1" w:themeFillShade="F2"/>
            <w:hideMark/>
          </w:tcPr>
          <w:p w14:paraId="0E1BFD2E" w14:textId="77777777" w:rsidR="001A4F3D" w:rsidRPr="00990396" w:rsidRDefault="001A4F3D" w:rsidP="00004062">
            <w:pPr>
              <w:spacing w:line="240" w:lineRule="auto"/>
              <w:jc w:val="both"/>
              <w:rPr>
                <w:b/>
                <w:bCs/>
                <w:sz w:val="20"/>
                <w:szCs w:val="20"/>
              </w:rPr>
            </w:pPr>
            <w:r w:rsidRPr="00990396">
              <w:rPr>
                <w:b/>
                <w:bCs/>
                <w:sz w:val="20"/>
                <w:szCs w:val="20"/>
              </w:rPr>
              <w:t>Stage</w:t>
            </w:r>
          </w:p>
        </w:tc>
        <w:tc>
          <w:tcPr>
            <w:tcW w:w="1898" w:type="dxa"/>
            <w:shd w:val="clear" w:color="auto" w:fill="F2F2F2" w:themeFill="background1" w:themeFillShade="F2"/>
            <w:hideMark/>
          </w:tcPr>
          <w:p w14:paraId="62CC7F89" w14:textId="77777777" w:rsidR="001A4F3D" w:rsidRPr="00990396" w:rsidRDefault="001A4F3D" w:rsidP="00004062">
            <w:pPr>
              <w:spacing w:line="240" w:lineRule="auto"/>
              <w:jc w:val="both"/>
              <w:rPr>
                <w:b/>
                <w:bCs/>
                <w:sz w:val="20"/>
                <w:szCs w:val="20"/>
              </w:rPr>
            </w:pPr>
            <w:r w:rsidRPr="00990396">
              <w:rPr>
                <w:b/>
                <w:bCs/>
                <w:sz w:val="20"/>
                <w:szCs w:val="20"/>
              </w:rPr>
              <w:t>Analytical activity</w:t>
            </w:r>
          </w:p>
        </w:tc>
        <w:tc>
          <w:tcPr>
            <w:tcW w:w="0" w:type="auto"/>
            <w:shd w:val="clear" w:color="auto" w:fill="F2F2F2" w:themeFill="background1" w:themeFillShade="F2"/>
            <w:hideMark/>
          </w:tcPr>
          <w:p w14:paraId="5A45A2F4" w14:textId="77777777" w:rsidR="001A4F3D" w:rsidRPr="00990396" w:rsidRDefault="001A4F3D" w:rsidP="00004062">
            <w:pPr>
              <w:spacing w:line="240" w:lineRule="auto"/>
              <w:jc w:val="both"/>
              <w:rPr>
                <w:b/>
                <w:bCs/>
                <w:sz w:val="20"/>
                <w:szCs w:val="20"/>
              </w:rPr>
            </w:pPr>
            <w:r w:rsidRPr="00990396">
              <w:rPr>
                <w:b/>
                <w:bCs/>
                <w:sz w:val="20"/>
                <w:szCs w:val="20"/>
              </w:rPr>
              <w:t>Application in this study</w:t>
            </w:r>
          </w:p>
        </w:tc>
        <w:tc>
          <w:tcPr>
            <w:tcW w:w="0" w:type="auto"/>
            <w:shd w:val="clear" w:color="auto" w:fill="F2F2F2" w:themeFill="background1" w:themeFillShade="F2"/>
            <w:hideMark/>
          </w:tcPr>
          <w:p w14:paraId="3C8951F8" w14:textId="77777777" w:rsidR="001A4F3D" w:rsidRPr="00990396" w:rsidRDefault="001A4F3D" w:rsidP="00004062">
            <w:pPr>
              <w:spacing w:line="240" w:lineRule="auto"/>
              <w:jc w:val="both"/>
              <w:rPr>
                <w:b/>
                <w:bCs/>
                <w:sz w:val="20"/>
                <w:szCs w:val="20"/>
              </w:rPr>
            </w:pPr>
            <w:r w:rsidRPr="00990396">
              <w:rPr>
                <w:b/>
                <w:bCs/>
                <w:sz w:val="20"/>
                <w:szCs w:val="20"/>
              </w:rPr>
              <w:t>Output</w:t>
            </w:r>
          </w:p>
        </w:tc>
      </w:tr>
      <w:tr w:rsidR="001A4F3D" w:rsidRPr="00990396" w14:paraId="42A91443" w14:textId="77777777" w:rsidTr="00004062">
        <w:trPr>
          <w:trHeight w:val="467"/>
          <w:jc w:val="center"/>
        </w:trPr>
        <w:tc>
          <w:tcPr>
            <w:tcW w:w="1803" w:type="dxa"/>
            <w:shd w:val="clear" w:color="auto" w:fill="F2F2F2" w:themeFill="background1" w:themeFillShade="F2"/>
            <w:hideMark/>
          </w:tcPr>
          <w:p w14:paraId="3D7194C5" w14:textId="77777777" w:rsidR="001A4F3D" w:rsidRPr="00990396" w:rsidRDefault="001A4F3D" w:rsidP="00004062">
            <w:pPr>
              <w:spacing w:line="240" w:lineRule="auto"/>
              <w:jc w:val="both"/>
              <w:rPr>
                <w:sz w:val="20"/>
                <w:szCs w:val="20"/>
              </w:rPr>
            </w:pPr>
            <w:r w:rsidRPr="00990396">
              <w:rPr>
                <w:sz w:val="20"/>
                <w:szCs w:val="20"/>
              </w:rPr>
              <w:t>1. Familiarisation</w:t>
            </w:r>
          </w:p>
        </w:tc>
        <w:tc>
          <w:tcPr>
            <w:tcW w:w="1898" w:type="dxa"/>
            <w:shd w:val="clear" w:color="auto" w:fill="F2F2F2" w:themeFill="background1" w:themeFillShade="F2"/>
            <w:hideMark/>
          </w:tcPr>
          <w:p w14:paraId="49650E93" w14:textId="77777777" w:rsidR="001A4F3D" w:rsidRPr="00990396" w:rsidRDefault="001A4F3D" w:rsidP="00004062">
            <w:pPr>
              <w:spacing w:line="240" w:lineRule="auto"/>
              <w:jc w:val="both"/>
              <w:rPr>
                <w:sz w:val="20"/>
                <w:szCs w:val="20"/>
              </w:rPr>
            </w:pPr>
            <w:r w:rsidRPr="00990396">
              <w:rPr>
                <w:sz w:val="20"/>
                <w:szCs w:val="20"/>
              </w:rPr>
              <w:t>Repeated reading of evidence</w:t>
            </w:r>
          </w:p>
        </w:tc>
        <w:tc>
          <w:tcPr>
            <w:tcW w:w="0" w:type="auto"/>
            <w:shd w:val="clear" w:color="auto" w:fill="F2F2F2" w:themeFill="background1" w:themeFillShade="F2"/>
            <w:hideMark/>
          </w:tcPr>
          <w:p w14:paraId="44ED0268" w14:textId="77777777" w:rsidR="001A4F3D" w:rsidRPr="00990396" w:rsidRDefault="001A4F3D" w:rsidP="00004062">
            <w:pPr>
              <w:spacing w:line="240" w:lineRule="auto"/>
              <w:jc w:val="both"/>
              <w:rPr>
                <w:sz w:val="20"/>
                <w:szCs w:val="20"/>
              </w:rPr>
            </w:pPr>
            <w:r w:rsidRPr="00990396">
              <w:rPr>
                <w:sz w:val="20"/>
                <w:szCs w:val="20"/>
              </w:rPr>
              <w:t>Reviewed findings, methods, samples and limitations</w:t>
            </w:r>
          </w:p>
        </w:tc>
        <w:tc>
          <w:tcPr>
            <w:tcW w:w="0" w:type="auto"/>
            <w:shd w:val="clear" w:color="auto" w:fill="F2F2F2" w:themeFill="background1" w:themeFillShade="F2"/>
            <w:hideMark/>
          </w:tcPr>
          <w:p w14:paraId="538223ED" w14:textId="77777777" w:rsidR="001A4F3D" w:rsidRPr="00990396" w:rsidRDefault="001A4F3D" w:rsidP="00004062">
            <w:pPr>
              <w:spacing w:line="240" w:lineRule="auto"/>
              <w:jc w:val="both"/>
              <w:rPr>
                <w:sz w:val="20"/>
                <w:szCs w:val="20"/>
              </w:rPr>
            </w:pPr>
            <w:r w:rsidRPr="00990396">
              <w:rPr>
                <w:sz w:val="20"/>
                <w:szCs w:val="20"/>
              </w:rPr>
              <w:t>Analytical notes</w:t>
            </w:r>
          </w:p>
        </w:tc>
      </w:tr>
      <w:tr w:rsidR="001A4F3D" w:rsidRPr="00990396" w14:paraId="5ECF1CE7" w14:textId="77777777" w:rsidTr="00004062">
        <w:trPr>
          <w:trHeight w:val="701"/>
          <w:jc w:val="center"/>
        </w:trPr>
        <w:tc>
          <w:tcPr>
            <w:tcW w:w="1803" w:type="dxa"/>
            <w:shd w:val="clear" w:color="auto" w:fill="F2F2F2" w:themeFill="background1" w:themeFillShade="F2"/>
            <w:hideMark/>
          </w:tcPr>
          <w:p w14:paraId="6B7B2E05" w14:textId="77777777" w:rsidR="001A4F3D" w:rsidRPr="00990396" w:rsidRDefault="001A4F3D" w:rsidP="00004062">
            <w:pPr>
              <w:spacing w:line="240" w:lineRule="auto"/>
              <w:jc w:val="both"/>
              <w:rPr>
                <w:sz w:val="20"/>
                <w:szCs w:val="20"/>
              </w:rPr>
            </w:pPr>
            <w:r w:rsidRPr="00990396">
              <w:rPr>
                <w:sz w:val="20"/>
                <w:szCs w:val="20"/>
              </w:rPr>
              <w:t>2. Initial coding</w:t>
            </w:r>
          </w:p>
        </w:tc>
        <w:tc>
          <w:tcPr>
            <w:tcW w:w="1898" w:type="dxa"/>
            <w:shd w:val="clear" w:color="auto" w:fill="F2F2F2" w:themeFill="background1" w:themeFillShade="F2"/>
            <w:hideMark/>
          </w:tcPr>
          <w:p w14:paraId="6FA1744B" w14:textId="77777777" w:rsidR="001A4F3D" w:rsidRPr="00990396" w:rsidRDefault="001A4F3D" w:rsidP="00004062">
            <w:pPr>
              <w:spacing w:line="240" w:lineRule="auto"/>
              <w:jc w:val="both"/>
              <w:rPr>
                <w:sz w:val="20"/>
                <w:szCs w:val="20"/>
              </w:rPr>
            </w:pPr>
            <w:r w:rsidRPr="00990396">
              <w:rPr>
                <w:sz w:val="20"/>
                <w:szCs w:val="20"/>
              </w:rPr>
              <w:t>Identification of meaningful patterns</w:t>
            </w:r>
          </w:p>
        </w:tc>
        <w:tc>
          <w:tcPr>
            <w:tcW w:w="0" w:type="auto"/>
            <w:shd w:val="clear" w:color="auto" w:fill="F2F2F2" w:themeFill="background1" w:themeFillShade="F2"/>
            <w:hideMark/>
          </w:tcPr>
          <w:p w14:paraId="1FF75277" w14:textId="77777777" w:rsidR="001A4F3D" w:rsidRPr="00990396" w:rsidRDefault="001A4F3D" w:rsidP="00004062">
            <w:pPr>
              <w:spacing w:line="240" w:lineRule="auto"/>
              <w:jc w:val="both"/>
              <w:rPr>
                <w:sz w:val="20"/>
                <w:szCs w:val="20"/>
              </w:rPr>
            </w:pPr>
            <w:r w:rsidRPr="00990396">
              <w:rPr>
                <w:sz w:val="20"/>
                <w:szCs w:val="20"/>
              </w:rPr>
              <w:t>Coded risk practices, outcomes, mechanisms and methodological issues</w:t>
            </w:r>
          </w:p>
        </w:tc>
        <w:tc>
          <w:tcPr>
            <w:tcW w:w="0" w:type="auto"/>
            <w:shd w:val="clear" w:color="auto" w:fill="F2F2F2" w:themeFill="background1" w:themeFillShade="F2"/>
            <w:hideMark/>
          </w:tcPr>
          <w:p w14:paraId="6E236463" w14:textId="77777777" w:rsidR="001A4F3D" w:rsidRPr="00990396" w:rsidRDefault="001A4F3D" w:rsidP="00004062">
            <w:pPr>
              <w:spacing w:line="240" w:lineRule="auto"/>
              <w:jc w:val="both"/>
              <w:rPr>
                <w:sz w:val="20"/>
                <w:szCs w:val="20"/>
              </w:rPr>
            </w:pPr>
            <w:r w:rsidRPr="00990396">
              <w:rPr>
                <w:sz w:val="20"/>
                <w:szCs w:val="20"/>
              </w:rPr>
              <w:t>Initial code set</w:t>
            </w:r>
          </w:p>
        </w:tc>
      </w:tr>
      <w:tr w:rsidR="001A4F3D" w:rsidRPr="00990396" w14:paraId="58E4FF1C" w14:textId="77777777" w:rsidTr="00004062">
        <w:trPr>
          <w:trHeight w:val="467"/>
          <w:jc w:val="center"/>
        </w:trPr>
        <w:tc>
          <w:tcPr>
            <w:tcW w:w="1803" w:type="dxa"/>
            <w:shd w:val="clear" w:color="auto" w:fill="F2F2F2" w:themeFill="background1" w:themeFillShade="F2"/>
            <w:hideMark/>
          </w:tcPr>
          <w:p w14:paraId="4A94BC55" w14:textId="77777777" w:rsidR="001A4F3D" w:rsidRPr="00990396" w:rsidRDefault="001A4F3D" w:rsidP="00004062">
            <w:pPr>
              <w:spacing w:line="240" w:lineRule="auto"/>
              <w:jc w:val="both"/>
              <w:rPr>
                <w:sz w:val="20"/>
                <w:szCs w:val="20"/>
              </w:rPr>
            </w:pPr>
            <w:r w:rsidRPr="00990396">
              <w:rPr>
                <w:sz w:val="20"/>
                <w:szCs w:val="20"/>
              </w:rPr>
              <w:t>3. Code comparison</w:t>
            </w:r>
          </w:p>
        </w:tc>
        <w:tc>
          <w:tcPr>
            <w:tcW w:w="1898" w:type="dxa"/>
            <w:shd w:val="clear" w:color="auto" w:fill="F2F2F2" w:themeFill="background1" w:themeFillShade="F2"/>
            <w:hideMark/>
          </w:tcPr>
          <w:p w14:paraId="4709F0BB" w14:textId="77777777" w:rsidR="001A4F3D" w:rsidRPr="00990396" w:rsidRDefault="001A4F3D" w:rsidP="00004062">
            <w:pPr>
              <w:spacing w:line="240" w:lineRule="auto"/>
              <w:jc w:val="both"/>
              <w:rPr>
                <w:sz w:val="20"/>
                <w:szCs w:val="20"/>
              </w:rPr>
            </w:pPr>
            <w:r w:rsidRPr="00990396">
              <w:rPr>
                <w:sz w:val="20"/>
                <w:szCs w:val="20"/>
              </w:rPr>
              <w:t>Comparison across studies</w:t>
            </w:r>
          </w:p>
        </w:tc>
        <w:tc>
          <w:tcPr>
            <w:tcW w:w="0" w:type="auto"/>
            <w:shd w:val="clear" w:color="auto" w:fill="F2F2F2" w:themeFill="background1" w:themeFillShade="F2"/>
            <w:hideMark/>
          </w:tcPr>
          <w:p w14:paraId="63650654" w14:textId="77777777" w:rsidR="001A4F3D" w:rsidRPr="00990396" w:rsidRDefault="001A4F3D" w:rsidP="00004062">
            <w:pPr>
              <w:spacing w:line="240" w:lineRule="auto"/>
              <w:jc w:val="both"/>
              <w:rPr>
                <w:sz w:val="20"/>
                <w:szCs w:val="20"/>
              </w:rPr>
            </w:pPr>
            <w:r w:rsidRPr="00990396">
              <w:rPr>
                <w:sz w:val="20"/>
                <w:szCs w:val="20"/>
              </w:rPr>
              <w:t>Identified similarities, contradictions and contextual differences</w:t>
            </w:r>
          </w:p>
        </w:tc>
        <w:tc>
          <w:tcPr>
            <w:tcW w:w="0" w:type="auto"/>
            <w:shd w:val="clear" w:color="auto" w:fill="F2F2F2" w:themeFill="background1" w:themeFillShade="F2"/>
            <w:hideMark/>
          </w:tcPr>
          <w:p w14:paraId="35B0C0E6" w14:textId="77777777" w:rsidR="001A4F3D" w:rsidRPr="00990396" w:rsidRDefault="001A4F3D" w:rsidP="00004062">
            <w:pPr>
              <w:spacing w:line="240" w:lineRule="auto"/>
              <w:jc w:val="both"/>
              <w:rPr>
                <w:sz w:val="20"/>
                <w:szCs w:val="20"/>
              </w:rPr>
            </w:pPr>
            <w:r w:rsidRPr="00990396">
              <w:rPr>
                <w:sz w:val="20"/>
                <w:szCs w:val="20"/>
              </w:rPr>
              <w:t>Code clusters</w:t>
            </w:r>
          </w:p>
        </w:tc>
      </w:tr>
      <w:tr w:rsidR="001A4F3D" w:rsidRPr="00990396" w14:paraId="58617669" w14:textId="77777777" w:rsidTr="00004062">
        <w:trPr>
          <w:trHeight w:val="467"/>
          <w:jc w:val="center"/>
        </w:trPr>
        <w:tc>
          <w:tcPr>
            <w:tcW w:w="1803" w:type="dxa"/>
            <w:shd w:val="clear" w:color="auto" w:fill="F2F2F2" w:themeFill="background1" w:themeFillShade="F2"/>
            <w:hideMark/>
          </w:tcPr>
          <w:p w14:paraId="641BC0EB" w14:textId="77777777" w:rsidR="001A4F3D" w:rsidRPr="00990396" w:rsidRDefault="001A4F3D" w:rsidP="00004062">
            <w:pPr>
              <w:spacing w:line="240" w:lineRule="auto"/>
              <w:jc w:val="both"/>
              <w:rPr>
                <w:sz w:val="20"/>
                <w:szCs w:val="20"/>
              </w:rPr>
            </w:pPr>
            <w:r w:rsidRPr="00990396">
              <w:rPr>
                <w:sz w:val="20"/>
                <w:szCs w:val="20"/>
              </w:rPr>
              <w:t>4. Theme generation</w:t>
            </w:r>
          </w:p>
        </w:tc>
        <w:tc>
          <w:tcPr>
            <w:tcW w:w="1898" w:type="dxa"/>
            <w:shd w:val="clear" w:color="auto" w:fill="F2F2F2" w:themeFill="background1" w:themeFillShade="F2"/>
            <w:hideMark/>
          </w:tcPr>
          <w:p w14:paraId="17C4D8DB" w14:textId="77777777" w:rsidR="001A4F3D" w:rsidRPr="00990396" w:rsidRDefault="001A4F3D" w:rsidP="00004062">
            <w:pPr>
              <w:spacing w:line="240" w:lineRule="auto"/>
              <w:jc w:val="both"/>
              <w:rPr>
                <w:sz w:val="20"/>
                <w:szCs w:val="20"/>
              </w:rPr>
            </w:pPr>
            <w:r w:rsidRPr="00990396">
              <w:rPr>
                <w:sz w:val="20"/>
                <w:szCs w:val="20"/>
              </w:rPr>
              <w:t>Grouping related codes</w:t>
            </w:r>
          </w:p>
        </w:tc>
        <w:tc>
          <w:tcPr>
            <w:tcW w:w="0" w:type="auto"/>
            <w:shd w:val="clear" w:color="auto" w:fill="F2F2F2" w:themeFill="background1" w:themeFillShade="F2"/>
            <w:hideMark/>
          </w:tcPr>
          <w:p w14:paraId="75C00918" w14:textId="77777777" w:rsidR="001A4F3D" w:rsidRPr="00990396" w:rsidRDefault="001A4F3D" w:rsidP="00004062">
            <w:pPr>
              <w:spacing w:line="240" w:lineRule="auto"/>
              <w:jc w:val="both"/>
              <w:rPr>
                <w:sz w:val="20"/>
                <w:szCs w:val="20"/>
              </w:rPr>
            </w:pPr>
            <w:r w:rsidRPr="00990396">
              <w:rPr>
                <w:sz w:val="20"/>
                <w:szCs w:val="20"/>
              </w:rPr>
              <w:t>Connected codes to broader patterns across the three objectives</w:t>
            </w:r>
          </w:p>
        </w:tc>
        <w:tc>
          <w:tcPr>
            <w:tcW w:w="0" w:type="auto"/>
            <w:shd w:val="clear" w:color="auto" w:fill="F2F2F2" w:themeFill="background1" w:themeFillShade="F2"/>
            <w:hideMark/>
          </w:tcPr>
          <w:p w14:paraId="6329DF1E" w14:textId="77777777" w:rsidR="001A4F3D" w:rsidRPr="00990396" w:rsidRDefault="001A4F3D" w:rsidP="00004062">
            <w:pPr>
              <w:spacing w:line="240" w:lineRule="auto"/>
              <w:jc w:val="both"/>
              <w:rPr>
                <w:sz w:val="20"/>
                <w:szCs w:val="20"/>
              </w:rPr>
            </w:pPr>
            <w:r w:rsidRPr="00990396">
              <w:rPr>
                <w:sz w:val="20"/>
                <w:szCs w:val="20"/>
              </w:rPr>
              <w:t>Candidate themes</w:t>
            </w:r>
          </w:p>
        </w:tc>
      </w:tr>
      <w:tr w:rsidR="001A4F3D" w:rsidRPr="00990396" w14:paraId="3487B9AC" w14:textId="77777777" w:rsidTr="00004062">
        <w:trPr>
          <w:trHeight w:val="467"/>
          <w:jc w:val="center"/>
        </w:trPr>
        <w:tc>
          <w:tcPr>
            <w:tcW w:w="1803" w:type="dxa"/>
            <w:shd w:val="clear" w:color="auto" w:fill="F2F2F2" w:themeFill="background1" w:themeFillShade="F2"/>
            <w:hideMark/>
          </w:tcPr>
          <w:p w14:paraId="2E08854B" w14:textId="77777777" w:rsidR="001A4F3D" w:rsidRPr="00990396" w:rsidRDefault="001A4F3D" w:rsidP="00004062">
            <w:pPr>
              <w:spacing w:line="240" w:lineRule="auto"/>
              <w:jc w:val="both"/>
              <w:rPr>
                <w:sz w:val="20"/>
                <w:szCs w:val="20"/>
              </w:rPr>
            </w:pPr>
            <w:r w:rsidRPr="00990396">
              <w:rPr>
                <w:sz w:val="20"/>
                <w:szCs w:val="20"/>
              </w:rPr>
              <w:t>5. Theme review</w:t>
            </w:r>
          </w:p>
        </w:tc>
        <w:tc>
          <w:tcPr>
            <w:tcW w:w="1898" w:type="dxa"/>
            <w:shd w:val="clear" w:color="auto" w:fill="F2F2F2" w:themeFill="background1" w:themeFillShade="F2"/>
            <w:hideMark/>
          </w:tcPr>
          <w:p w14:paraId="17EE5E59" w14:textId="77777777" w:rsidR="001A4F3D" w:rsidRPr="00990396" w:rsidRDefault="001A4F3D" w:rsidP="00004062">
            <w:pPr>
              <w:spacing w:line="240" w:lineRule="auto"/>
              <w:jc w:val="both"/>
              <w:rPr>
                <w:sz w:val="20"/>
                <w:szCs w:val="20"/>
              </w:rPr>
            </w:pPr>
            <w:r w:rsidRPr="00990396">
              <w:rPr>
                <w:sz w:val="20"/>
                <w:szCs w:val="20"/>
              </w:rPr>
              <w:t>Checking themes against evidence</w:t>
            </w:r>
          </w:p>
        </w:tc>
        <w:tc>
          <w:tcPr>
            <w:tcW w:w="0" w:type="auto"/>
            <w:shd w:val="clear" w:color="auto" w:fill="F2F2F2" w:themeFill="background1" w:themeFillShade="F2"/>
            <w:hideMark/>
          </w:tcPr>
          <w:p w14:paraId="2EA6367A" w14:textId="77777777" w:rsidR="001A4F3D" w:rsidRPr="00990396" w:rsidRDefault="001A4F3D" w:rsidP="00004062">
            <w:pPr>
              <w:spacing w:line="240" w:lineRule="auto"/>
              <w:jc w:val="both"/>
              <w:rPr>
                <w:sz w:val="20"/>
                <w:szCs w:val="20"/>
              </w:rPr>
            </w:pPr>
            <w:r w:rsidRPr="00990396">
              <w:rPr>
                <w:sz w:val="20"/>
                <w:szCs w:val="20"/>
              </w:rPr>
              <w:t>Assessed coherence, distinctiveness and contradictory evidence</w:t>
            </w:r>
          </w:p>
        </w:tc>
        <w:tc>
          <w:tcPr>
            <w:tcW w:w="0" w:type="auto"/>
            <w:shd w:val="clear" w:color="auto" w:fill="F2F2F2" w:themeFill="background1" w:themeFillShade="F2"/>
            <w:hideMark/>
          </w:tcPr>
          <w:p w14:paraId="3984BE5D" w14:textId="77777777" w:rsidR="001A4F3D" w:rsidRPr="00990396" w:rsidRDefault="001A4F3D" w:rsidP="00004062">
            <w:pPr>
              <w:spacing w:line="240" w:lineRule="auto"/>
              <w:jc w:val="both"/>
              <w:rPr>
                <w:sz w:val="20"/>
                <w:szCs w:val="20"/>
              </w:rPr>
            </w:pPr>
            <w:r w:rsidRPr="00990396">
              <w:rPr>
                <w:sz w:val="20"/>
                <w:szCs w:val="20"/>
              </w:rPr>
              <w:t>Refined themes</w:t>
            </w:r>
          </w:p>
        </w:tc>
      </w:tr>
      <w:tr w:rsidR="001A4F3D" w:rsidRPr="00990396" w14:paraId="1D46188C" w14:textId="77777777" w:rsidTr="00004062">
        <w:trPr>
          <w:trHeight w:val="701"/>
          <w:jc w:val="center"/>
        </w:trPr>
        <w:tc>
          <w:tcPr>
            <w:tcW w:w="1803" w:type="dxa"/>
            <w:shd w:val="clear" w:color="auto" w:fill="F2F2F2" w:themeFill="background1" w:themeFillShade="F2"/>
            <w:hideMark/>
          </w:tcPr>
          <w:p w14:paraId="55EAC4B0" w14:textId="77777777" w:rsidR="001A4F3D" w:rsidRPr="00990396" w:rsidRDefault="001A4F3D" w:rsidP="00004062">
            <w:pPr>
              <w:spacing w:line="240" w:lineRule="auto"/>
              <w:jc w:val="both"/>
              <w:rPr>
                <w:sz w:val="20"/>
                <w:szCs w:val="20"/>
              </w:rPr>
            </w:pPr>
            <w:r w:rsidRPr="00990396">
              <w:rPr>
                <w:sz w:val="20"/>
                <w:szCs w:val="20"/>
              </w:rPr>
              <w:t>6. Interpretation</w:t>
            </w:r>
          </w:p>
        </w:tc>
        <w:tc>
          <w:tcPr>
            <w:tcW w:w="1898" w:type="dxa"/>
            <w:shd w:val="clear" w:color="auto" w:fill="F2F2F2" w:themeFill="background1" w:themeFillShade="F2"/>
            <w:hideMark/>
          </w:tcPr>
          <w:p w14:paraId="2A887F89" w14:textId="77777777" w:rsidR="001A4F3D" w:rsidRPr="00990396" w:rsidRDefault="001A4F3D" w:rsidP="00004062">
            <w:pPr>
              <w:spacing w:line="240" w:lineRule="auto"/>
              <w:jc w:val="both"/>
              <w:rPr>
                <w:sz w:val="20"/>
                <w:szCs w:val="20"/>
              </w:rPr>
            </w:pPr>
            <w:r w:rsidRPr="00990396">
              <w:rPr>
                <w:sz w:val="20"/>
                <w:szCs w:val="20"/>
              </w:rPr>
              <w:t>Critical synthesis</w:t>
            </w:r>
          </w:p>
        </w:tc>
        <w:tc>
          <w:tcPr>
            <w:tcW w:w="0" w:type="auto"/>
            <w:shd w:val="clear" w:color="auto" w:fill="F2F2F2" w:themeFill="background1" w:themeFillShade="F2"/>
            <w:hideMark/>
          </w:tcPr>
          <w:p w14:paraId="51917E50" w14:textId="77777777" w:rsidR="001A4F3D" w:rsidRPr="00990396" w:rsidRDefault="001A4F3D" w:rsidP="00004062">
            <w:pPr>
              <w:spacing w:line="240" w:lineRule="auto"/>
              <w:jc w:val="both"/>
              <w:rPr>
                <w:sz w:val="20"/>
                <w:szCs w:val="20"/>
              </w:rPr>
            </w:pPr>
            <w:r w:rsidRPr="00990396">
              <w:rPr>
                <w:sz w:val="20"/>
                <w:szCs w:val="20"/>
              </w:rPr>
              <w:t>Compared methodological strength and interpreted themes through ERM and RBV</w:t>
            </w:r>
          </w:p>
        </w:tc>
        <w:tc>
          <w:tcPr>
            <w:tcW w:w="0" w:type="auto"/>
            <w:shd w:val="clear" w:color="auto" w:fill="F2F2F2" w:themeFill="background1" w:themeFillShade="F2"/>
            <w:hideMark/>
          </w:tcPr>
          <w:p w14:paraId="55A7B135" w14:textId="77777777" w:rsidR="001A4F3D" w:rsidRPr="00990396" w:rsidRDefault="001A4F3D" w:rsidP="00004062">
            <w:pPr>
              <w:spacing w:line="240" w:lineRule="auto"/>
              <w:jc w:val="both"/>
              <w:rPr>
                <w:sz w:val="20"/>
                <w:szCs w:val="20"/>
              </w:rPr>
            </w:pPr>
            <w:r w:rsidRPr="00990396">
              <w:rPr>
                <w:sz w:val="20"/>
                <w:szCs w:val="20"/>
              </w:rPr>
              <w:t>Final analytical findings</w:t>
            </w:r>
          </w:p>
        </w:tc>
      </w:tr>
    </w:tbl>
    <w:p w14:paraId="78DFBA9F" w14:textId="4FEAE829" w:rsidR="001A4F3D" w:rsidRPr="00990396" w:rsidRDefault="00AA68BC" w:rsidP="00004062">
      <w:pPr>
        <w:jc w:val="both"/>
      </w:pPr>
      <w:r w:rsidRPr="00990396">
        <w:t xml:space="preserve">The process of theme development was iterative, comparisons were made between coded extracts, between whole studies and the research questions. Themes were developed through reflexive thematic analysis (Braun and Clarke, 2021), and local and internal coherence was checked by the candidate </w:t>
      </w:r>
      <w:proofErr w:type="spellStart"/>
      <w:proofErr w:type="gramStart"/>
      <w:r w:rsidRPr="00990396">
        <w:t>themes.The</w:t>
      </w:r>
      <w:proofErr w:type="spellEnd"/>
      <w:proofErr w:type="gramEnd"/>
      <w:r w:rsidRPr="00990396">
        <w:t xml:space="preserve"> candidate themes were examined for internal coherence and for variation from the other themes, and for sufficient supporting evidence. The process also adhered to Nowell et al. (2017) where an audit trail was ensured between the extracted findings, codes, themes and interpretive decisions. A few codes were merged during the refinement process. For instance, cash-flow forecasting, shorter collection periods and working capital control were organised under the theme of liquidity efficiency while reserves, survival horizons and financial cushions were grouped under the theme of resilience. The credit assessment, payment terms, receivables monitoring and debt collection were clubbed under disciplined credit management. The factors of exchange-rate sensitivity, policy uncertainty, hedging and flexible resources were </w:t>
      </w:r>
      <w:proofErr w:type="gramStart"/>
      <w:r w:rsidRPr="00990396">
        <w:t>taken into account</w:t>
      </w:r>
      <w:proofErr w:type="gramEnd"/>
      <w:r w:rsidRPr="00990396">
        <w:t xml:space="preserve"> as parts of adaptive market-risk capability</w:t>
      </w:r>
      <w:r w:rsidR="001A4F3D" w:rsidRPr="00990396">
        <w:t>.</w:t>
      </w:r>
    </w:p>
    <w:p w14:paraId="2453BC20" w14:textId="18146F08" w:rsidR="001A4F3D" w:rsidRPr="00990396" w:rsidRDefault="001A4F3D" w:rsidP="00004062">
      <w:pPr>
        <w:pStyle w:val="Caption"/>
        <w:keepNext/>
        <w:spacing w:line="360" w:lineRule="auto"/>
        <w:jc w:val="center"/>
      </w:pPr>
      <w:bookmarkStart w:id="45" w:name="_Toc241147052"/>
      <w:r w:rsidRPr="00990396">
        <w:t xml:space="preserve">Table </w:t>
      </w:r>
      <w:fldSimple w:instr=" SEQ Table \* ARABIC ">
        <w:r w:rsidRPr="00990396">
          <w:rPr>
            <w:noProof/>
          </w:rPr>
          <w:t>2</w:t>
        </w:r>
      </w:fldSimple>
      <w:r w:rsidRPr="00990396">
        <w:t xml:space="preserve"> Initial Code and Theme Generation</w:t>
      </w:r>
      <w:bookmarkEnd w:id="45"/>
    </w:p>
    <w:tbl>
      <w:tblPr>
        <w:tblStyle w:val="TableGrid"/>
        <w:tblW w:w="8883" w:type="dxa"/>
        <w:jc w:val="center"/>
        <w:shd w:val="clear" w:color="auto" w:fill="F2F2F2" w:themeFill="background1" w:themeFillShade="F2"/>
        <w:tblLook w:val="04A0" w:firstRow="1" w:lastRow="0" w:firstColumn="1" w:lastColumn="0" w:noHBand="0" w:noVBand="1"/>
      </w:tblPr>
      <w:tblGrid>
        <w:gridCol w:w="2759"/>
        <w:gridCol w:w="2529"/>
        <w:gridCol w:w="1662"/>
        <w:gridCol w:w="1933"/>
      </w:tblGrid>
      <w:tr w:rsidR="001A4F3D" w:rsidRPr="00990396" w14:paraId="087D9CEB" w14:textId="77777777" w:rsidTr="00004062">
        <w:trPr>
          <w:trHeight w:val="459"/>
          <w:jc w:val="center"/>
        </w:trPr>
        <w:tc>
          <w:tcPr>
            <w:tcW w:w="0" w:type="auto"/>
            <w:shd w:val="clear" w:color="auto" w:fill="F2F2F2" w:themeFill="background1" w:themeFillShade="F2"/>
            <w:hideMark/>
          </w:tcPr>
          <w:p w14:paraId="3AF05549" w14:textId="77777777" w:rsidR="001A4F3D" w:rsidRPr="00990396" w:rsidRDefault="001A4F3D" w:rsidP="00004062">
            <w:pPr>
              <w:spacing w:line="240" w:lineRule="auto"/>
              <w:jc w:val="both"/>
              <w:rPr>
                <w:b/>
                <w:bCs/>
                <w:sz w:val="20"/>
                <w:szCs w:val="20"/>
              </w:rPr>
            </w:pPr>
            <w:r w:rsidRPr="00990396">
              <w:rPr>
                <w:b/>
                <w:bCs/>
                <w:sz w:val="20"/>
                <w:szCs w:val="20"/>
              </w:rPr>
              <w:t>Evidence identified during coding</w:t>
            </w:r>
          </w:p>
        </w:tc>
        <w:tc>
          <w:tcPr>
            <w:tcW w:w="0" w:type="auto"/>
            <w:shd w:val="clear" w:color="auto" w:fill="F2F2F2" w:themeFill="background1" w:themeFillShade="F2"/>
            <w:hideMark/>
          </w:tcPr>
          <w:p w14:paraId="3104AE82" w14:textId="77777777" w:rsidR="001A4F3D" w:rsidRPr="00990396" w:rsidRDefault="001A4F3D" w:rsidP="00004062">
            <w:pPr>
              <w:spacing w:line="240" w:lineRule="auto"/>
              <w:jc w:val="both"/>
              <w:rPr>
                <w:b/>
                <w:bCs/>
                <w:sz w:val="20"/>
                <w:szCs w:val="20"/>
              </w:rPr>
            </w:pPr>
            <w:r w:rsidRPr="00990396">
              <w:rPr>
                <w:b/>
                <w:bCs/>
                <w:sz w:val="20"/>
                <w:szCs w:val="20"/>
              </w:rPr>
              <w:t>Initial codes</w:t>
            </w:r>
          </w:p>
        </w:tc>
        <w:tc>
          <w:tcPr>
            <w:tcW w:w="0" w:type="auto"/>
            <w:shd w:val="clear" w:color="auto" w:fill="F2F2F2" w:themeFill="background1" w:themeFillShade="F2"/>
            <w:hideMark/>
          </w:tcPr>
          <w:p w14:paraId="1BA774AA" w14:textId="77777777" w:rsidR="001A4F3D" w:rsidRPr="00990396" w:rsidRDefault="001A4F3D" w:rsidP="00004062">
            <w:pPr>
              <w:spacing w:line="240" w:lineRule="auto"/>
              <w:jc w:val="both"/>
              <w:rPr>
                <w:b/>
                <w:bCs/>
                <w:sz w:val="20"/>
                <w:szCs w:val="20"/>
              </w:rPr>
            </w:pPr>
            <w:r w:rsidRPr="00990396">
              <w:rPr>
                <w:b/>
                <w:bCs/>
                <w:sz w:val="20"/>
                <w:szCs w:val="20"/>
              </w:rPr>
              <w:t>Candidate subtheme</w:t>
            </w:r>
          </w:p>
        </w:tc>
        <w:tc>
          <w:tcPr>
            <w:tcW w:w="0" w:type="auto"/>
            <w:shd w:val="clear" w:color="auto" w:fill="F2F2F2" w:themeFill="background1" w:themeFillShade="F2"/>
            <w:hideMark/>
          </w:tcPr>
          <w:p w14:paraId="02336385" w14:textId="77777777" w:rsidR="001A4F3D" w:rsidRPr="00990396" w:rsidRDefault="001A4F3D" w:rsidP="00004062">
            <w:pPr>
              <w:spacing w:line="240" w:lineRule="auto"/>
              <w:jc w:val="both"/>
              <w:rPr>
                <w:b/>
                <w:bCs/>
                <w:sz w:val="20"/>
                <w:szCs w:val="20"/>
              </w:rPr>
            </w:pPr>
            <w:r w:rsidRPr="00990396">
              <w:rPr>
                <w:b/>
                <w:bCs/>
                <w:sz w:val="20"/>
                <w:szCs w:val="20"/>
              </w:rPr>
              <w:t>Final theme</w:t>
            </w:r>
          </w:p>
        </w:tc>
      </w:tr>
      <w:tr w:rsidR="001A4F3D" w:rsidRPr="00990396" w14:paraId="638A194E" w14:textId="77777777" w:rsidTr="00004062">
        <w:trPr>
          <w:trHeight w:val="688"/>
          <w:jc w:val="center"/>
        </w:trPr>
        <w:tc>
          <w:tcPr>
            <w:tcW w:w="0" w:type="auto"/>
            <w:shd w:val="clear" w:color="auto" w:fill="F2F2F2" w:themeFill="background1" w:themeFillShade="F2"/>
            <w:hideMark/>
          </w:tcPr>
          <w:p w14:paraId="55F98E4E" w14:textId="77777777" w:rsidR="001A4F3D" w:rsidRPr="00990396" w:rsidRDefault="001A4F3D" w:rsidP="00004062">
            <w:pPr>
              <w:spacing w:line="240" w:lineRule="auto"/>
              <w:jc w:val="both"/>
              <w:rPr>
                <w:sz w:val="20"/>
                <w:szCs w:val="20"/>
              </w:rPr>
            </w:pPr>
            <w:r w:rsidRPr="00990396">
              <w:rPr>
                <w:sz w:val="20"/>
                <w:szCs w:val="20"/>
              </w:rPr>
              <w:t>Shorter cash-conversion periods, receivables control, inventory efficiency</w:t>
            </w:r>
          </w:p>
        </w:tc>
        <w:tc>
          <w:tcPr>
            <w:tcW w:w="0" w:type="auto"/>
            <w:shd w:val="clear" w:color="auto" w:fill="F2F2F2" w:themeFill="background1" w:themeFillShade="F2"/>
            <w:hideMark/>
          </w:tcPr>
          <w:p w14:paraId="61D53A3D" w14:textId="77777777" w:rsidR="001A4F3D" w:rsidRPr="00990396" w:rsidRDefault="001A4F3D" w:rsidP="00004062">
            <w:pPr>
              <w:spacing w:line="240" w:lineRule="auto"/>
              <w:jc w:val="both"/>
              <w:rPr>
                <w:sz w:val="20"/>
                <w:szCs w:val="20"/>
              </w:rPr>
            </w:pPr>
            <w:r w:rsidRPr="00990396">
              <w:rPr>
                <w:sz w:val="20"/>
                <w:szCs w:val="20"/>
              </w:rPr>
              <w:t>Cash release; working-capital efficiency; collection efficiency</w:t>
            </w:r>
          </w:p>
        </w:tc>
        <w:tc>
          <w:tcPr>
            <w:tcW w:w="0" w:type="auto"/>
            <w:shd w:val="clear" w:color="auto" w:fill="F2F2F2" w:themeFill="background1" w:themeFillShade="F2"/>
            <w:hideMark/>
          </w:tcPr>
          <w:p w14:paraId="4C282700" w14:textId="77777777" w:rsidR="001A4F3D" w:rsidRPr="00990396" w:rsidRDefault="001A4F3D" w:rsidP="00004062">
            <w:pPr>
              <w:spacing w:line="240" w:lineRule="auto"/>
              <w:jc w:val="both"/>
              <w:rPr>
                <w:sz w:val="20"/>
                <w:szCs w:val="20"/>
              </w:rPr>
            </w:pPr>
            <w:r w:rsidRPr="00990396">
              <w:rPr>
                <w:sz w:val="20"/>
                <w:szCs w:val="20"/>
              </w:rPr>
              <w:t>Efficient cash conversion</w:t>
            </w:r>
          </w:p>
        </w:tc>
        <w:tc>
          <w:tcPr>
            <w:tcW w:w="0" w:type="auto"/>
            <w:shd w:val="clear" w:color="auto" w:fill="F2F2F2" w:themeFill="background1" w:themeFillShade="F2"/>
            <w:hideMark/>
          </w:tcPr>
          <w:p w14:paraId="3B6D19F8" w14:textId="77777777" w:rsidR="001A4F3D" w:rsidRPr="00990396" w:rsidRDefault="001A4F3D" w:rsidP="00004062">
            <w:pPr>
              <w:spacing w:line="240" w:lineRule="auto"/>
              <w:jc w:val="both"/>
              <w:rPr>
                <w:sz w:val="20"/>
                <w:szCs w:val="20"/>
              </w:rPr>
            </w:pPr>
            <w:r w:rsidRPr="00990396">
              <w:rPr>
                <w:sz w:val="20"/>
                <w:szCs w:val="20"/>
              </w:rPr>
              <w:t>Liquidity efficiency and resilience</w:t>
            </w:r>
          </w:p>
        </w:tc>
      </w:tr>
      <w:tr w:rsidR="001A4F3D" w:rsidRPr="00990396" w14:paraId="79F5DCCC" w14:textId="77777777" w:rsidTr="00004062">
        <w:trPr>
          <w:trHeight w:val="688"/>
          <w:jc w:val="center"/>
        </w:trPr>
        <w:tc>
          <w:tcPr>
            <w:tcW w:w="0" w:type="auto"/>
            <w:shd w:val="clear" w:color="auto" w:fill="F2F2F2" w:themeFill="background1" w:themeFillShade="F2"/>
            <w:hideMark/>
          </w:tcPr>
          <w:p w14:paraId="43F9B9D9" w14:textId="77777777" w:rsidR="001A4F3D" w:rsidRPr="00990396" w:rsidRDefault="001A4F3D" w:rsidP="00004062">
            <w:pPr>
              <w:spacing w:line="240" w:lineRule="auto"/>
              <w:jc w:val="both"/>
              <w:rPr>
                <w:sz w:val="20"/>
                <w:szCs w:val="20"/>
              </w:rPr>
            </w:pPr>
            <w:r w:rsidRPr="00990396">
              <w:rPr>
                <w:sz w:val="20"/>
                <w:szCs w:val="20"/>
              </w:rPr>
              <w:t>Cash buffers, survival horizons, capacity to absorb shocks</w:t>
            </w:r>
          </w:p>
        </w:tc>
        <w:tc>
          <w:tcPr>
            <w:tcW w:w="0" w:type="auto"/>
            <w:shd w:val="clear" w:color="auto" w:fill="F2F2F2" w:themeFill="background1" w:themeFillShade="F2"/>
            <w:hideMark/>
          </w:tcPr>
          <w:p w14:paraId="5E5BA4FA" w14:textId="77777777" w:rsidR="001A4F3D" w:rsidRPr="00990396" w:rsidRDefault="001A4F3D" w:rsidP="00004062">
            <w:pPr>
              <w:spacing w:line="240" w:lineRule="auto"/>
              <w:jc w:val="both"/>
              <w:rPr>
                <w:sz w:val="20"/>
                <w:szCs w:val="20"/>
              </w:rPr>
            </w:pPr>
            <w:r w:rsidRPr="00990396">
              <w:rPr>
                <w:sz w:val="20"/>
                <w:szCs w:val="20"/>
              </w:rPr>
              <w:t>Liquidity reserve; financial cushion; shock absorption</w:t>
            </w:r>
          </w:p>
        </w:tc>
        <w:tc>
          <w:tcPr>
            <w:tcW w:w="0" w:type="auto"/>
            <w:shd w:val="clear" w:color="auto" w:fill="F2F2F2" w:themeFill="background1" w:themeFillShade="F2"/>
            <w:hideMark/>
          </w:tcPr>
          <w:p w14:paraId="7CD50147" w14:textId="77777777" w:rsidR="001A4F3D" w:rsidRPr="00990396" w:rsidRDefault="001A4F3D" w:rsidP="00004062">
            <w:pPr>
              <w:spacing w:line="240" w:lineRule="auto"/>
              <w:jc w:val="both"/>
              <w:rPr>
                <w:sz w:val="20"/>
                <w:szCs w:val="20"/>
              </w:rPr>
            </w:pPr>
            <w:r w:rsidRPr="00990396">
              <w:rPr>
                <w:sz w:val="20"/>
                <w:szCs w:val="20"/>
              </w:rPr>
              <w:t>Liquidity resilience</w:t>
            </w:r>
          </w:p>
        </w:tc>
        <w:tc>
          <w:tcPr>
            <w:tcW w:w="0" w:type="auto"/>
            <w:shd w:val="clear" w:color="auto" w:fill="F2F2F2" w:themeFill="background1" w:themeFillShade="F2"/>
            <w:hideMark/>
          </w:tcPr>
          <w:p w14:paraId="129F07AB" w14:textId="77777777" w:rsidR="001A4F3D" w:rsidRPr="00990396" w:rsidRDefault="001A4F3D" w:rsidP="00004062">
            <w:pPr>
              <w:spacing w:line="240" w:lineRule="auto"/>
              <w:jc w:val="both"/>
              <w:rPr>
                <w:sz w:val="20"/>
                <w:szCs w:val="20"/>
              </w:rPr>
            </w:pPr>
            <w:r w:rsidRPr="00990396">
              <w:rPr>
                <w:sz w:val="20"/>
                <w:szCs w:val="20"/>
              </w:rPr>
              <w:t>Liquidity efficiency and resilience</w:t>
            </w:r>
          </w:p>
        </w:tc>
      </w:tr>
      <w:tr w:rsidR="001A4F3D" w:rsidRPr="00990396" w14:paraId="3773BF4D" w14:textId="77777777" w:rsidTr="00004062">
        <w:trPr>
          <w:trHeight w:val="688"/>
          <w:jc w:val="center"/>
        </w:trPr>
        <w:tc>
          <w:tcPr>
            <w:tcW w:w="0" w:type="auto"/>
            <w:shd w:val="clear" w:color="auto" w:fill="F2F2F2" w:themeFill="background1" w:themeFillShade="F2"/>
            <w:hideMark/>
          </w:tcPr>
          <w:p w14:paraId="6824685B" w14:textId="77777777" w:rsidR="001A4F3D" w:rsidRPr="00990396" w:rsidRDefault="001A4F3D" w:rsidP="00004062">
            <w:pPr>
              <w:spacing w:line="240" w:lineRule="auto"/>
              <w:jc w:val="both"/>
              <w:rPr>
                <w:sz w:val="20"/>
                <w:szCs w:val="20"/>
              </w:rPr>
            </w:pPr>
            <w:r w:rsidRPr="00990396">
              <w:rPr>
                <w:sz w:val="20"/>
                <w:szCs w:val="20"/>
              </w:rPr>
              <w:t>Credit checks, limits, payment terms and customer monitoring</w:t>
            </w:r>
          </w:p>
        </w:tc>
        <w:tc>
          <w:tcPr>
            <w:tcW w:w="0" w:type="auto"/>
            <w:shd w:val="clear" w:color="auto" w:fill="F2F2F2" w:themeFill="background1" w:themeFillShade="F2"/>
            <w:hideMark/>
          </w:tcPr>
          <w:p w14:paraId="57C45AC7" w14:textId="77777777" w:rsidR="001A4F3D" w:rsidRPr="00990396" w:rsidRDefault="001A4F3D" w:rsidP="00004062">
            <w:pPr>
              <w:spacing w:line="240" w:lineRule="auto"/>
              <w:jc w:val="both"/>
              <w:rPr>
                <w:sz w:val="20"/>
                <w:szCs w:val="20"/>
              </w:rPr>
            </w:pPr>
            <w:r w:rsidRPr="00990396">
              <w:rPr>
                <w:sz w:val="20"/>
                <w:szCs w:val="20"/>
              </w:rPr>
              <w:t>Screening; credit discipline; receivables monitoring</w:t>
            </w:r>
          </w:p>
        </w:tc>
        <w:tc>
          <w:tcPr>
            <w:tcW w:w="0" w:type="auto"/>
            <w:shd w:val="clear" w:color="auto" w:fill="F2F2F2" w:themeFill="background1" w:themeFillShade="F2"/>
            <w:hideMark/>
          </w:tcPr>
          <w:p w14:paraId="22DB5777" w14:textId="77777777" w:rsidR="001A4F3D" w:rsidRPr="00990396" w:rsidRDefault="001A4F3D" w:rsidP="00004062">
            <w:pPr>
              <w:spacing w:line="240" w:lineRule="auto"/>
              <w:jc w:val="both"/>
              <w:rPr>
                <w:sz w:val="20"/>
                <w:szCs w:val="20"/>
              </w:rPr>
            </w:pPr>
            <w:r w:rsidRPr="00990396">
              <w:rPr>
                <w:sz w:val="20"/>
                <w:szCs w:val="20"/>
              </w:rPr>
              <w:t>Controlled credit extension</w:t>
            </w:r>
          </w:p>
        </w:tc>
        <w:tc>
          <w:tcPr>
            <w:tcW w:w="0" w:type="auto"/>
            <w:shd w:val="clear" w:color="auto" w:fill="F2F2F2" w:themeFill="background1" w:themeFillShade="F2"/>
            <w:hideMark/>
          </w:tcPr>
          <w:p w14:paraId="53B73B88" w14:textId="77777777" w:rsidR="001A4F3D" w:rsidRPr="00990396" w:rsidRDefault="001A4F3D" w:rsidP="00004062">
            <w:pPr>
              <w:spacing w:line="240" w:lineRule="auto"/>
              <w:jc w:val="both"/>
              <w:rPr>
                <w:sz w:val="20"/>
                <w:szCs w:val="20"/>
              </w:rPr>
            </w:pPr>
            <w:r w:rsidRPr="00990396">
              <w:rPr>
                <w:sz w:val="20"/>
                <w:szCs w:val="20"/>
              </w:rPr>
              <w:t>Disciplined credit management</w:t>
            </w:r>
          </w:p>
        </w:tc>
      </w:tr>
      <w:tr w:rsidR="001A4F3D" w:rsidRPr="00990396" w14:paraId="2F1519D2" w14:textId="77777777" w:rsidTr="00004062">
        <w:trPr>
          <w:trHeight w:val="688"/>
          <w:jc w:val="center"/>
        </w:trPr>
        <w:tc>
          <w:tcPr>
            <w:tcW w:w="0" w:type="auto"/>
            <w:shd w:val="clear" w:color="auto" w:fill="F2F2F2" w:themeFill="background1" w:themeFillShade="F2"/>
            <w:hideMark/>
          </w:tcPr>
          <w:p w14:paraId="6E7EC037" w14:textId="77777777" w:rsidR="001A4F3D" w:rsidRPr="00990396" w:rsidRDefault="001A4F3D" w:rsidP="00004062">
            <w:pPr>
              <w:spacing w:line="240" w:lineRule="auto"/>
              <w:jc w:val="both"/>
              <w:rPr>
                <w:sz w:val="20"/>
                <w:szCs w:val="20"/>
              </w:rPr>
            </w:pPr>
            <w:r w:rsidRPr="00990396">
              <w:rPr>
                <w:sz w:val="20"/>
                <w:szCs w:val="20"/>
              </w:rPr>
              <w:t>Late payments, collection delays and higher financing costs</w:t>
            </w:r>
          </w:p>
        </w:tc>
        <w:tc>
          <w:tcPr>
            <w:tcW w:w="0" w:type="auto"/>
            <w:shd w:val="clear" w:color="auto" w:fill="F2F2F2" w:themeFill="background1" w:themeFillShade="F2"/>
            <w:hideMark/>
          </w:tcPr>
          <w:p w14:paraId="0FA0F69E" w14:textId="77777777" w:rsidR="001A4F3D" w:rsidRPr="00990396" w:rsidRDefault="001A4F3D" w:rsidP="00004062">
            <w:pPr>
              <w:spacing w:line="240" w:lineRule="auto"/>
              <w:jc w:val="both"/>
              <w:rPr>
                <w:sz w:val="20"/>
                <w:szCs w:val="20"/>
              </w:rPr>
            </w:pPr>
            <w:r w:rsidRPr="00990396">
              <w:rPr>
                <w:sz w:val="20"/>
                <w:szCs w:val="20"/>
              </w:rPr>
              <w:t>Payment pressure; overdue accounts; financing burden</w:t>
            </w:r>
          </w:p>
        </w:tc>
        <w:tc>
          <w:tcPr>
            <w:tcW w:w="0" w:type="auto"/>
            <w:shd w:val="clear" w:color="auto" w:fill="F2F2F2" w:themeFill="background1" w:themeFillShade="F2"/>
            <w:hideMark/>
          </w:tcPr>
          <w:p w14:paraId="2D21CFF6" w14:textId="77777777" w:rsidR="001A4F3D" w:rsidRPr="00990396" w:rsidRDefault="001A4F3D" w:rsidP="00004062">
            <w:pPr>
              <w:spacing w:line="240" w:lineRule="auto"/>
              <w:jc w:val="both"/>
              <w:rPr>
                <w:sz w:val="20"/>
                <w:szCs w:val="20"/>
              </w:rPr>
            </w:pPr>
            <w:r w:rsidRPr="00990396">
              <w:rPr>
                <w:sz w:val="20"/>
                <w:szCs w:val="20"/>
              </w:rPr>
              <w:t>Late-payment exposure</w:t>
            </w:r>
          </w:p>
        </w:tc>
        <w:tc>
          <w:tcPr>
            <w:tcW w:w="0" w:type="auto"/>
            <w:shd w:val="clear" w:color="auto" w:fill="F2F2F2" w:themeFill="background1" w:themeFillShade="F2"/>
            <w:hideMark/>
          </w:tcPr>
          <w:p w14:paraId="0533CB91" w14:textId="77777777" w:rsidR="001A4F3D" w:rsidRPr="00990396" w:rsidRDefault="001A4F3D" w:rsidP="00004062">
            <w:pPr>
              <w:spacing w:line="240" w:lineRule="auto"/>
              <w:jc w:val="both"/>
              <w:rPr>
                <w:sz w:val="20"/>
                <w:szCs w:val="20"/>
              </w:rPr>
            </w:pPr>
            <w:r w:rsidRPr="00990396">
              <w:rPr>
                <w:sz w:val="20"/>
                <w:szCs w:val="20"/>
              </w:rPr>
              <w:t>Disciplined credit management</w:t>
            </w:r>
          </w:p>
        </w:tc>
      </w:tr>
      <w:tr w:rsidR="001A4F3D" w:rsidRPr="00990396" w14:paraId="2191F840" w14:textId="77777777" w:rsidTr="00004062">
        <w:trPr>
          <w:trHeight w:val="688"/>
          <w:jc w:val="center"/>
        </w:trPr>
        <w:tc>
          <w:tcPr>
            <w:tcW w:w="0" w:type="auto"/>
            <w:shd w:val="clear" w:color="auto" w:fill="F2F2F2" w:themeFill="background1" w:themeFillShade="F2"/>
            <w:hideMark/>
          </w:tcPr>
          <w:p w14:paraId="578C6434" w14:textId="77777777" w:rsidR="001A4F3D" w:rsidRPr="00990396" w:rsidRDefault="001A4F3D" w:rsidP="00004062">
            <w:pPr>
              <w:spacing w:line="240" w:lineRule="auto"/>
              <w:jc w:val="both"/>
              <w:rPr>
                <w:sz w:val="20"/>
                <w:szCs w:val="20"/>
              </w:rPr>
            </w:pPr>
            <w:r w:rsidRPr="00990396">
              <w:rPr>
                <w:sz w:val="20"/>
                <w:szCs w:val="20"/>
              </w:rPr>
              <w:lastRenderedPageBreak/>
              <w:t>Exchange-rate movements and economic-policy uncertainty</w:t>
            </w:r>
          </w:p>
        </w:tc>
        <w:tc>
          <w:tcPr>
            <w:tcW w:w="0" w:type="auto"/>
            <w:shd w:val="clear" w:color="auto" w:fill="F2F2F2" w:themeFill="background1" w:themeFillShade="F2"/>
            <w:hideMark/>
          </w:tcPr>
          <w:p w14:paraId="3FED13B4" w14:textId="77777777" w:rsidR="001A4F3D" w:rsidRPr="00990396" w:rsidRDefault="001A4F3D" w:rsidP="00004062">
            <w:pPr>
              <w:spacing w:line="240" w:lineRule="auto"/>
              <w:jc w:val="both"/>
              <w:rPr>
                <w:sz w:val="20"/>
                <w:szCs w:val="20"/>
              </w:rPr>
            </w:pPr>
            <w:r w:rsidRPr="00990396">
              <w:rPr>
                <w:sz w:val="20"/>
                <w:szCs w:val="20"/>
              </w:rPr>
              <w:t>Currency exposure; external volatility; uncertainty</w:t>
            </w:r>
          </w:p>
        </w:tc>
        <w:tc>
          <w:tcPr>
            <w:tcW w:w="0" w:type="auto"/>
            <w:shd w:val="clear" w:color="auto" w:fill="F2F2F2" w:themeFill="background1" w:themeFillShade="F2"/>
            <w:hideMark/>
          </w:tcPr>
          <w:p w14:paraId="0519C10D" w14:textId="77777777" w:rsidR="001A4F3D" w:rsidRPr="00990396" w:rsidRDefault="001A4F3D" w:rsidP="00004062">
            <w:pPr>
              <w:spacing w:line="240" w:lineRule="auto"/>
              <w:jc w:val="both"/>
              <w:rPr>
                <w:sz w:val="20"/>
                <w:szCs w:val="20"/>
              </w:rPr>
            </w:pPr>
            <w:r w:rsidRPr="00990396">
              <w:rPr>
                <w:sz w:val="20"/>
                <w:szCs w:val="20"/>
              </w:rPr>
              <w:t>Market sensitivity</w:t>
            </w:r>
          </w:p>
        </w:tc>
        <w:tc>
          <w:tcPr>
            <w:tcW w:w="0" w:type="auto"/>
            <w:shd w:val="clear" w:color="auto" w:fill="F2F2F2" w:themeFill="background1" w:themeFillShade="F2"/>
            <w:hideMark/>
          </w:tcPr>
          <w:p w14:paraId="480FCF56" w14:textId="77777777" w:rsidR="001A4F3D" w:rsidRPr="00990396" w:rsidRDefault="001A4F3D" w:rsidP="00004062">
            <w:pPr>
              <w:spacing w:line="240" w:lineRule="auto"/>
              <w:jc w:val="both"/>
              <w:rPr>
                <w:sz w:val="20"/>
                <w:szCs w:val="20"/>
              </w:rPr>
            </w:pPr>
            <w:r w:rsidRPr="00990396">
              <w:rPr>
                <w:sz w:val="20"/>
                <w:szCs w:val="20"/>
              </w:rPr>
              <w:t>Adaptive market-risk capability</w:t>
            </w:r>
          </w:p>
        </w:tc>
      </w:tr>
      <w:tr w:rsidR="001A4F3D" w:rsidRPr="00990396" w14:paraId="5126D4E6" w14:textId="77777777" w:rsidTr="00004062">
        <w:trPr>
          <w:trHeight w:val="688"/>
          <w:jc w:val="center"/>
        </w:trPr>
        <w:tc>
          <w:tcPr>
            <w:tcW w:w="0" w:type="auto"/>
            <w:shd w:val="clear" w:color="auto" w:fill="F2F2F2" w:themeFill="background1" w:themeFillShade="F2"/>
            <w:hideMark/>
          </w:tcPr>
          <w:p w14:paraId="77ED7933" w14:textId="77777777" w:rsidR="001A4F3D" w:rsidRPr="00990396" w:rsidRDefault="001A4F3D" w:rsidP="00004062">
            <w:pPr>
              <w:spacing w:line="240" w:lineRule="auto"/>
              <w:jc w:val="both"/>
              <w:rPr>
                <w:sz w:val="20"/>
                <w:szCs w:val="20"/>
              </w:rPr>
            </w:pPr>
            <w:r w:rsidRPr="00990396">
              <w:rPr>
                <w:sz w:val="20"/>
                <w:szCs w:val="20"/>
              </w:rPr>
              <w:t>Hedging, flexible liquidity, pricing and organisational resources</w:t>
            </w:r>
          </w:p>
        </w:tc>
        <w:tc>
          <w:tcPr>
            <w:tcW w:w="0" w:type="auto"/>
            <w:shd w:val="clear" w:color="auto" w:fill="F2F2F2" w:themeFill="background1" w:themeFillShade="F2"/>
            <w:hideMark/>
          </w:tcPr>
          <w:p w14:paraId="6C4FA471" w14:textId="77777777" w:rsidR="001A4F3D" w:rsidRPr="00990396" w:rsidRDefault="001A4F3D" w:rsidP="00004062">
            <w:pPr>
              <w:spacing w:line="240" w:lineRule="auto"/>
              <w:jc w:val="both"/>
              <w:rPr>
                <w:sz w:val="20"/>
                <w:szCs w:val="20"/>
              </w:rPr>
            </w:pPr>
            <w:r w:rsidRPr="00990396">
              <w:rPr>
                <w:sz w:val="20"/>
                <w:szCs w:val="20"/>
              </w:rPr>
              <w:t>Hedging capacity; adaptation; managerial capability</w:t>
            </w:r>
          </w:p>
        </w:tc>
        <w:tc>
          <w:tcPr>
            <w:tcW w:w="0" w:type="auto"/>
            <w:shd w:val="clear" w:color="auto" w:fill="F2F2F2" w:themeFill="background1" w:themeFillShade="F2"/>
            <w:hideMark/>
          </w:tcPr>
          <w:p w14:paraId="46647A43" w14:textId="77777777" w:rsidR="001A4F3D" w:rsidRPr="00990396" w:rsidRDefault="001A4F3D" w:rsidP="00004062">
            <w:pPr>
              <w:spacing w:line="240" w:lineRule="auto"/>
              <w:jc w:val="both"/>
              <w:rPr>
                <w:sz w:val="20"/>
                <w:szCs w:val="20"/>
              </w:rPr>
            </w:pPr>
            <w:r w:rsidRPr="00990396">
              <w:rPr>
                <w:sz w:val="20"/>
                <w:szCs w:val="20"/>
              </w:rPr>
              <w:t>Risk-response capability</w:t>
            </w:r>
          </w:p>
        </w:tc>
        <w:tc>
          <w:tcPr>
            <w:tcW w:w="0" w:type="auto"/>
            <w:shd w:val="clear" w:color="auto" w:fill="F2F2F2" w:themeFill="background1" w:themeFillShade="F2"/>
            <w:hideMark/>
          </w:tcPr>
          <w:p w14:paraId="17B335E2" w14:textId="77777777" w:rsidR="001A4F3D" w:rsidRPr="00990396" w:rsidRDefault="001A4F3D" w:rsidP="00004062">
            <w:pPr>
              <w:spacing w:line="240" w:lineRule="auto"/>
              <w:jc w:val="both"/>
              <w:rPr>
                <w:sz w:val="20"/>
                <w:szCs w:val="20"/>
              </w:rPr>
            </w:pPr>
            <w:r w:rsidRPr="00990396">
              <w:rPr>
                <w:sz w:val="20"/>
                <w:szCs w:val="20"/>
              </w:rPr>
              <w:t>Adaptive market-risk capability</w:t>
            </w:r>
          </w:p>
        </w:tc>
      </w:tr>
      <w:tr w:rsidR="001A4F3D" w:rsidRPr="00990396" w14:paraId="79EBB21E" w14:textId="77777777" w:rsidTr="00004062">
        <w:trPr>
          <w:trHeight w:val="688"/>
          <w:jc w:val="center"/>
        </w:trPr>
        <w:tc>
          <w:tcPr>
            <w:tcW w:w="0" w:type="auto"/>
            <w:shd w:val="clear" w:color="auto" w:fill="F2F2F2" w:themeFill="background1" w:themeFillShade="F2"/>
            <w:hideMark/>
          </w:tcPr>
          <w:p w14:paraId="59C2656D" w14:textId="77777777" w:rsidR="001A4F3D" w:rsidRPr="00990396" w:rsidRDefault="001A4F3D" w:rsidP="00004062">
            <w:pPr>
              <w:spacing w:line="240" w:lineRule="auto"/>
              <w:jc w:val="both"/>
              <w:rPr>
                <w:sz w:val="20"/>
                <w:szCs w:val="20"/>
              </w:rPr>
            </w:pPr>
            <w:r w:rsidRPr="00990396">
              <w:rPr>
                <w:sz w:val="20"/>
                <w:szCs w:val="20"/>
              </w:rPr>
              <w:t>Listed samples, small samples and self-reporting</w:t>
            </w:r>
          </w:p>
        </w:tc>
        <w:tc>
          <w:tcPr>
            <w:tcW w:w="0" w:type="auto"/>
            <w:shd w:val="clear" w:color="auto" w:fill="F2F2F2" w:themeFill="background1" w:themeFillShade="F2"/>
            <w:hideMark/>
          </w:tcPr>
          <w:p w14:paraId="11B9F9B1" w14:textId="77777777" w:rsidR="001A4F3D" w:rsidRPr="00990396" w:rsidRDefault="001A4F3D" w:rsidP="00004062">
            <w:pPr>
              <w:spacing w:line="240" w:lineRule="auto"/>
              <w:jc w:val="both"/>
              <w:rPr>
                <w:sz w:val="20"/>
                <w:szCs w:val="20"/>
              </w:rPr>
            </w:pPr>
            <w:r w:rsidRPr="00990396">
              <w:rPr>
                <w:sz w:val="20"/>
                <w:szCs w:val="20"/>
              </w:rPr>
              <w:t>Transferability; measurement weakness; bias</w:t>
            </w:r>
          </w:p>
        </w:tc>
        <w:tc>
          <w:tcPr>
            <w:tcW w:w="0" w:type="auto"/>
            <w:shd w:val="clear" w:color="auto" w:fill="F2F2F2" w:themeFill="background1" w:themeFillShade="F2"/>
            <w:hideMark/>
          </w:tcPr>
          <w:p w14:paraId="26ACAEC7" w14:textId="77777777" w:rsidR="001A4F3D" w:rsidRPr="00990396" w:rsidRDefault="001A4F3D" w:rsidP="00004062">
            <w:pPr>
              <w:spacing w:line="240" w:lineRule="auto"/>
              <w:jc w:val="both"/>
              <w:rPr>
                <w:sz w:val="20"/>
                <w:szCs w:val="20"/>
              </w:rPr>
            </w:pPr>
            <w:r w:rsidRPr="00990396">
              <w:rPr>
                <w:sz w:val="20"/>
                <w:szCs w:val="20"/>
              </w:rPr>
              <w:t>Evidence-quality assessment</w:t>
            </w:r>
          </w:p>
        </w:tc>
        <w:tc>
          <w:tcPr>
            <w:tcW w:w="0" w:type="auto"/>
            <w:shd w:val="clear" w:color="auto" w:fill="F2F2F2" w:themeFill="background1" w:themeFillShade="F2"/>
            <w:hideMark/>
          </w:tcPr>
          <w:p w14:paraId="49B9D9F7" w14:textId="77777777" w:rsidR="001A4F3D" w:rsidRPr="00990396" w:rsidRDefault="001A4F3D" w:rsidP="00004062">
            <w:pPr>
              <w:spacing w:line="240" w:lineRule="auto"/>
              <w:jc w:val="both"/>
              <w:rPr>
                <w:sz w:val="20"/>
                <w:szCs w:val="20"/>
              </w:rPr>
            </w:pPr>
            <w:r w:rsidRPr="00990396">
              <w:rPr>
                <w:sz w:val="20"/>
                <w:szCs w:val="20"/>
              </w:rPr>
              <w:t>Cross-cutting analytical consideration</w:t>
            </w:r>
          </w:p>
        </w:tc>
      </w:tr>
      <w:tr w:rsidR="001A4F3D" w:rsidRPr="00990396" w14:paraId="1289ECBC" w14:textId="77777777" w:rsidTr="00004062">
        <w:trPr>
          <w:trHeight w:val="688"/>
          <w:jc w:val="center"/>
        </w:trPr>
        <w:tc>
          <w:tcPr>
            <w:tcW w:w="0" w:type="auto"/>
            <w:shd w:val="clear" w:color="auto" w:fill="F2F2F2" w:themeFill="background1" w:themeFillShade="F2"/>
            <w:hideMark/>
          </w:tcPr>
          <w:p w14:paraId="621D1D7C" w14:textId="77777777" w:rsidR="001A4F3D" w:rsidRPr="00990396" w:rsidRDefault="001A4F3D" w:rsidP="00004062">
            <w:pPr>
              <w:spacing w:line="240" w:lineRule="auto"/>
              <w:jc w:val="both"/>
              <w:rPr>
                <w:sz w:val="20"/>
                <w:szCs w:val="20"/>
              </w:rPr>
            </w:pPr>
            <w:r w:rsidRPr="00990396">
              <w:rPr>
                <w:sz w:val="20"/>
                <w:szCs w:val="20"/>
              </w:rPr>
              <w:t>Financial knowledge, culture and managerial expertise</w:t>
            </w:r>
          </w:p>
        </w:tc>
        <w:tc>
          <w:tcPr>
            <w:tcW w:w="0" w:type="auto"/>
            <w:shd w:val="clear" w:color="auto" w:fill="F2F2F2" w:themeFill="background1" w:themeFillShade="F2"/>
            <w:hideMark/>
          </w:tcPr>
          <w:p w14:paraId="1201102A" w14:textId="77777777" w:rsidR="001A4F3D" w:rsidRPr="00990396" w:rsidRDefault="001A4F3D" w:rsidP="00004062">
            <w:pPr>
              <w:spacing w:line="240" w:lineRule="auto"/>
              <w:jc w:val="both"/>
              <w:rPr>
                <w:sz w:val="20"/>
                <w:szCs w:val="20"/>
              </w:rPr>
            </w:pPr>
            <w:r w:rsidRPr="00990396">
              <w:rPr>
                <w:sz w:val="20"/>
                <w:szCs w:val="20"/>
              </w:rPr>
              <w:t>Organisational capability; financial literacy</w:t>
            </w:r>
          </w:p>
        </w:tc>
        <w:tc>
          <w:tcPr>
            <w:tcW w:w="0" w:type="auto"/>
            <w:shd w:val="clear" w:color="auto" w:fill="F2F2F2" w:themeFill="background1" w:themeFillShade="F2"/>
            <w:hideMark/>
          </w:tcPr>
          <w:p w14:paraId="4DD5E73C" w14:textId="77777777" w:rsidR="001A4F3D" w:rsidRPr="00990396" w:rsidRDefault="001A4F3D" w:rsidP="00004062">
            <w:pPr>
              <w:spacing w:line="240" w:lineRule="auto"/>
              <w:jc w:val="both"/>
              <w:rPr>
                <w:sz w:val="20"/>
                <w:szCs w:val="20"/>
              </w:rPr>
            </w:pPr>
            <w:r w:rsidRPr="00990396">
              <w:rPr>
                <w:sz w:val="20"/>
                <w:szCs w:val="20"/>
              </w:rPr>
              <w:t>Capability mechanism</w:t>
            </w:r>
          </w:p>
        </w:tc>
        <w:tc>
          <w:tcPr>
            <w:tcW w:w="0" w:type="auto"/>
            <w:shd w:val="clear" w:color="auto" w:fill="F2F2F2" w:themeFill="background1" w:themeFillShade="F2"/>
            <w:hideMark/>
          </w:tcPr>
          <w:p w14:paraId="2214C9AE" w14:textId="77777777" w:rsidR="001A4F3D" w:rsidRPr="00990396" w:rsidRDefault="001A4F3D" w:rsidP="00004062">
            <w:pPr>
              <w:spacing w:line="240" w:lineRule="auto"/>
              <w:jc w:val="both"/>
              <w:rPr>
                <w:sz w:val="20"/>
                <w:szCs w:val="20"/>
              </w:rPr>
            </w:pPr>
            <w:r w:rsidRPr="00990396">
              <w:rPr>
                <w:sz w:val="20"/>
                <w:szCs w:val="20"/>
              </w:rPr>
              <w:t>Cross-cutting theoretical mechanism</w:t>
            </w:r>
          </w:p>
        </w:tc>
      </w:tr>
    </w:tbl>
    <w:p w14:paraId="504B9793" w14:textId="4536C0F4" w:rsidR="001A4F3D" w:rsidRPr="00990396" w:rsidRDefault="00AA68BC" w:rsidP="00990396">
      <w:pPr>
        <w:jc w:val="both"/>
      </w:pPr>
      <w:r w:rsidRPr="00990396">
        <w:t xml:space="preserve">This was then compared with the methodological characteristics of the themes so that results from large longitudinal panels would not </w:t>
      </w:r>
      <w:proofErr w:type="gramStart"/>
      <w:r w:rsidRPr="00990396">
        <w:t>be considered to be</w:t>
      </w:r>
      <w:proofErr w:type="gramEnd"/>
      <w:r w:rsidRPr="00990396">
        <w:t xml:space="preserve"> identical to small surveys or listed-firm studies. The last step was the interpretation of the relationship of the themes with financial performance measures like profitability, cash-flow stability, growth, distress and survival. After developing themes, Enterprise Risk Management Theory and Resource Based View were employed to further explain the themes developed instead of coding themes a priori, which would otherwise limit the inductive nature of the study and conclusion from evidence.</w:t>
      </w:r>
    </w:p>
    <w:p w14:paraId="7F02D3D7" w14:textId="3A075302" w:rsidR="001A4F3D" w:rsidRPr="00990396" w:rsidRDefault="001A4F3D" w:rsidP="00990396">
      <w:pPr>
        <w:pStyle w:val="Heading2"/>
        <w:jc w:val="both"/>
        <w:rPr>
          <w:rFonts w:cstheme="minorBidi"/>
        </w:rPr>
      </w:pPr>
      <w:bookmarkStart w:id="46" w:name="_Toc241147031"/>
      <w:r w:rsidRPr="00990396">
        <w:rPr>
          <w:rFonts w:cstheme="minorBidi"/>
        </w:rPr>
        <w:t>Theme One: Liquidity Efficiency and Financial Resilience</w:t>
      </w:r>
      <w:bookmarkEnd w:id="46"/>
    </w:p>
    <w:p w14:paraId="7DC41895" w14:textId="77777777" w:rsidR="009D0313" w:rsidRPr="00990396" w:rsidRDefault="00AA68BC" w:rsidP="00990396">
      <w:pPr>
        <w:jc w:val="both"/>
      </w:pPr>
      <w:r w:rsidRPr="00990396">
        <w:t xml:space="preserve">The first liquidity theme has nothing to do with just the building up of liquid assets, but it is about efficiency. In general, an operating cycle managed so that cash tied up in inventory and receivables was turned over quickly and efficiently was linked to higher performance in the evidence. Laghari et al. (2023) showed that a shorter cash-conversion cycle benefited South Africa listed companies' value; similarly, </w:t>
      </w:r>
      <w:proofErr w:type="spellStart"/>
      <w:r w:rsidRPr="00990396">
        <w:t>Mandipa</w:t>
      </w:r>
      <w:proofErr w:type="spellEnd"/>
      <w:r w:rsidRPr="00990396">
        <w:t xml:space="preserve"> and Sibindi (2022) noted that longer inventory, collection and conversion cycle had a negative effect on profitability of the retailers in South Africa. These results all coalesce into the concept that liquidity management adds value when it speeds and regularizes the flow of cash. Nevertheless, the significance of the findings for UK SMEs should be qualified due to the fact they have been both based on listed SMEs and on SMEs that are operating in different institutional environments. The advantage of Laghari et al. (2023) is that it has a larger quarterly data set, while </w:t>
      </w:r>
      <w:proofErr w:type="spellStart"/>
      <w:r w:rsidRPr="00990396">
        <w:t>Mandipa</w:t>
      </w:r>
      <w:proofErr w:type="spellEnd"/>
      <w:r w:rsidRPr="00990396">
        <w:t xml:space="preserve"> and Sibindi (2022) employed only sixteen firms which reduced the statistical power</w:t>
      </w:r>
      <w:r w:rsidR="001A4F3D" w:rsidRPr="00990396">
        <w:t xml:space="preserve">. </w:t>
      </w:r>
      <w:r w:rsidR="009D0313" w:rsidRPr="00990396">
        <w:t>The contrast shows the importance of not considering directionally similar results as equally convincing. The analytical upshot for UK SMEs is that holding extra cash is more of a defensive measure than a general one than efficiency in working capital. The benefits of efficient receivables collection, inventory discipline and payable scheduling seems to be existing to the benefit of financial performance, both by limiting companies' need for financing and by safeguarding the continuity of their operations, but the extent of the benefit is context dependent, especially in cases where companies have limited or high costs of access to outside financing.</w:t>
      </w:r>
    </w:p>
    <w:p w14:paraId="124EE88E" w14:textId="2371BAE8" w:rsidR="001A4F3D" w:rsidRPr="00990396" w:rsidRDefault="009D0313" w:rsidP="00990396">
      <w:pPr>
        <w:jc w:val="both"/>
      </w:pPr>
      <w:r w:rsidRPr="00990396">
        <w:lastRenderedPageBreak/>
        <w:t xml:space="preserve">Another trend in the liquidity evidence is the phenomenon of nonlinearity; too little and too much working capital can hurt performance. Anton and </w:t>
      </w:r>
      <w:proofErr w:type="spellStart"/>
      <w:r w:rsidRPr="00990396">
        <w:t>Afloarei</w:t>
      </w:r>
      <w:proofErr w:type="spellEnd"/>
      <w:r w:rsidRPr="00990396">
        <w:t xml:space="preserve"> </w:t>
      </w:r>
      <w:proofErr w:type="spellStart"/>
      <w:r w:rsidRPr="00990396">
        <w:t>Nucu</w:t>
      </w:r>
      <w:proofErr w:type="spellEnd"/>
      <w:r w:rsidRPr="00990396">
        <w:t xml:space="preserve"> (2021) found that the relationship between working capital and profitability for Polish listed companies is an inverted U shape because the profitability of a company first increases and then decreases at the point where a new source of liquidity starts to impose opportunity costs. In a comparable study in Vietnam, Hung and Dinh (2022) identified the threshold effects of the listed firms, where leverage has a different impact on the relationship between working capital and profitability. These studies refute the notion that greater liquidity is always safer and more beneficial. They have some nonlinear specifications that are an analytical advantage as they capture trade-offs that are not captured by the usual linear specifications. Both studies are carried out outside the UK and relate to listed companies, so the environment in which they fund themselves, operate and make their liquidity decisions is distinct from that of many private SMEs. Finally, Youssef et al. (2023) note that there is direct relevance to the UK, since the authors report that there is no significant relationship between liquidity and ROA or ROE for 93 listed UK SMEs. However, this negligible figure does not in itself suggest poor liquidity management, it could simply mean that liquidity ratios do not reflect the quality of underlying practices. Overall, the evidence indicates that UK SMEs need to be in a healthy liquidity position – with sufficient liquidity to endure shocks and clear liabilities, but not so much that their liquidity is unnecessarily high, which could stifle profitability and return on investment. This is not a balance that is mechanically ratio </w:t>
      </w:r>
      <w:proofErr w:type="gramStart"/>
      <w:r w:rsidRPr="00990396">
        <w:t>driven, but</w:t>
      </w:r>
      <w:proofErr w:type="gramEnd"/>
      <w:r w:rsidRPr="00990396">
        <w:t xml:space="preserve"> is rather managerial and situational</w:t>
      </w:r>
      <w:r w:rsidR="001A4F3D" w:rsidRPr="00990396">
        <w:t>.</w:t>
      </w:r>
    </w:p>
    <w:p w14:paraId="6F026FF1" w14:textId="26AF2C3B" w:rsidR="001A4F3D" w:rsidRPr="00990396" w:rsidRDefault="001A4F3D" w:rsidP="00004062">
      <w:pPr>
        <w:pStyle w:val="Caption"/>
        <w:keepNext/>
        <w:spacing w:line="360" w:lineRule="auto"/>
        <w:jc w:val="center"/>
      </w:pPr>
      <w:bookmarkStart w:id="47" w:name="_Toc241147053"/>
      <w:r w:rsidRPr="00990396">
        <w:t xml:space="preserve">Table </w:t>
      </w:r>
      <w:fldSimple w:instr=" SEQ Table \* ARABIC ">
        <w:r w:rsidRPr="00990396">
          <w:rPr>
            <w:noProof/>
          </w:rPr>
          <w:t>3</w:t>
        </w:r>
      </w:fldSimple>
      <w:r w:rsidRPr="00990396">
        <w:t xml:space="preserve"> Evidence Supporting the Liquidity Theme</w:t>
      </w:r>
      <w:bookmarkEnd w:id="47"/>
    </w:p>
    <w:tbl>
      <w:tblPr>
        <w:tblStyle w:val="TableGrid"/>
        <w:tblW w:w="8924" w:type="dxa"/>
        <w:jc w:val="center"/>
        <w:shd w:val="clear" w:color="auto" w:fill="F2F2F2" w:themeFill="background1" w:themeFillShade="F2"/>
        <w:tblLook w:val="04A0" w:firstRow="1" w:lastRow="0" w:firstColumn="1" w:lastColumn="0" w:noHBand="0" w:noVBand="1"/>
      </w:tblPr>
      <w:tblGrid>
        <w:gridCol w:w="1269"/>
        <w:gridCol w:w="1861"/>
        <w:gridCol w:w="2036"/>
        <w:gridCol w:w="1753"/>
        <w:gridCol w:w="2005"/>
      </w:tblGrid>
      <w:tr w:rsidR="001A4F3D" w:rsidRPr="00990396" w14:paraId="5685B5C6" w14:textId="77777777" w:rsidTr="00004062">
        <w:trPr>
          <w:trHeight w:val="688"/>
          <w:jc w:val="center"/>
        </w:trPr>
        <w:tc>
          <w:tcPr>
            <w:tcW w:w="0" w:type="auto"/>
            <w:shd w:val="clear" w:color="auto" w:fill="F2F2F2" w:themeFill="background1" w:themeFillShade="F2"/>
            <w:hideMark/>
          </w:tcPr>
          <w:p w14:paraId="783C5A70" w14:textId="77777777" w:rsidR="001A4F3D" w:rsidRPr="00990396" w:rsidRDefault="001A4F3D" w:rsidP="00004062">
            <w:pPr>
              <w:spacing w:line="240" w:lineRule="auto"/>
              <w:jc w:val="both"/>
              <w:rPr>
                <w:b/>
                <w:bCs/>
                <w:sz w:val="20"/>
                <w:szCs w:val="20"/>
              </w:rPr>
            </w:pPr>
            <w:r w:rsidRPr="00990396">
              <w:rPr>
                <w:b/>
                <w:bCs/>
                <w:sz w:val="20"/>
                <w:szCs w:val="20"/>
              </w:rPr>
              <w:t>Study</w:t>
            </w:r>
          </w:p>
        </w:tc>
        <w:tc>
          <w:tcPr>
            <w:tcW w:w="0" w:type="auto"/>
            <w:shd w:val="clear" w:color="auto" w:fill="F2F2F2" w:themeFill="background1" w:themeFillShade="F2"/>
            <w:hideMark/>
          </w:tcPr>
          <w:p w14:paraId="3E666623" w14:textId="77777777" w:rsidR="001A4F3D" w:rsidRPr="00990396" w:rsidRDefault="001A4F3D" w:rsidP="00004062">
            <w:pPr>
              <w:spacing w:line="240" w:lineRule="auto"/>
              <w:jc w:val="both"/>
              <w:rPr>
                <w:b/>
                <w:bCs/>
                <w:sz w:val="20"/>
                <w:szCs w:val="20"/>
              </w:rPr>
            </w:pPr>
            <w:r w:rsidRPr="00990396">
              <w:rPr>
                <w:b/>
                <w:bCs/>
                <w:sz w:val="20"/>
                <w:szCs w:val="20"/>
              </w:rPr>
              <w:t>Main evidence</w:t>
            </w:r>
          </w:p>
        </w:tc>
        <w:tc>
          <w:tcPr>
            <w:tcW w:w="0" w:type="auto"/>
            <w:shd w:val="clear" w:color="auto" w:fill="F2F2F2" w:themeFill="background1" w:themeFillShade="F2"/>
            <w:hideMark/>
          </w:tcPr>
          <w:p w14:paraId="79691278" w14:textId="77777777" w:rsidR="001A4F3D" w:rsidRPr="00990396" w:rsidRDefault="001A4F3D" w:rsidP="00004062">
            <w:pPr>
              <w:spacing w:line="240" w:lineRule="auto"/>
              <w:jc w:val="both"/>
              <w:rPr>
                <w:b/>
                <w:bCs/>
                <w:sz w:val="20"/>
                <w:szCs w:val="20"/>
              </w:rPr>
            </w:pPr>
            <w:r w:rsidRPr="00990396">
              <w:rPr>
                <w:b/>
                <w:bCs/>
                <w:sz w:val="20"/>
                <w:szCs w:val="20"/>
              </w:rPr>
              <w:t>Methodological strength</w:t>
            </w:r>
          </w:p>
        </w:tc>
        <w:tc>
          <w:tcPr>
            <w:tcW w:w="0" w:type="auto"/>
            <w:shd w:val="clear" w:color="auto" w:fill="F2F2F2" w:themeFill="background1" w:themeFillShade="F2"/>
            <w:hideMark/>
          </w:tcPr>
          <w:p w14:paraId="4EF689EB" w14:textId="77777777" w:rsidR="001A4F3D" w:rsidRPr="00990396" w:rsidRDefault="001A4F3D" w:rsidP="00004062">
            <w:pPr>
              <w:spacing w:line="240" w:lineRule="auto"/>
              <w:jc w:val="both"/>
              <w:rPr>
                <w:b/>
                <w:bCs/>
                <w:sz w:val="20"/>
                <w:szCs w:val="20"/>
              </w:rPr>
            </w:pPr>
            <w:r w:rsidRPr="00990396">
              <w:rPr>
                <w:b/>
                <w:bCs/>
                <w:sz w:val="20"/>
                <w:szCs w:val="20"/>
              </w:rPr>
              <w:t>Limitation affecting interpretation</w:t>
            </w:r>
          </w:p>
        </w:tc>
        <w:tc>
          <w:tcPr>
            <w:tcW w:w="0" w:type="auto"/>
            <w:shd w:val="clear" w:color="auto" w:fill="F2F2F2" w:themeFill="background1" w:themeFillShade="F2"/>
            <w:hideMark/>
          </w:tcPr>
          <w:p w14:paraId="6315CDD1" w14:textId="77777777" w:rsidR="001A4F3D" w:rsidRPr="00990396" w:rsidRDefault="001A4F3D" w:rsidP="00004062">
            <w:pPr>
              <w:spacing w:line="240" w:lineRule="auto"/>
              <w:jc w:val="both"/>
              <w:rPr>
                <w:b/>
                <w:bCs/>
                <w:sz w:val="20"/>
                <w:szCs w:val="20"/>
              </w:rPr>
            </w:pPr>
            <w:r w:rsidRPr="00990396">
              <w:rPr>
                <w:b/>
                <w:bCs/>
                <w:sz w:val="20"/>
                <w:szCs w:val="20"/>
              </w:rPr>
              <w:t>Analytical contribution</w:t>
            </w:r>
          </w:p>
        </w:tc>
      </w:tr>
      <w:tr w:rsidR="001A4F3D" w:rsidRPr="00990396" w14:paraId="10402C58" w14:textId="77777777" w:rsidTr="00004062">
        <w:trPr>
          <w:trHeight w:val="918"/>
          <w:jc w:val="center"/>
        </w:trPr>
        <w:tc>
          <w:tcPr>
            <w:tcW w:w="0" w:type="auto"/>
            <w:shd w:val="clear" w:color="auto" w:fill="F2F2F2" w:themeFill="background1" w:themeFillShade="F2"/>
            <w:hideMark/>
          </w:tcPr>
          <w:p w14:paraId="629B4784" w14:textId="77777777" w:rsidR="001A4F3D" w:rsidRPr="00990396" w:rsidRDefault="001A4F3D" w:rsidP="00004062">
            <w:pPr>
              <w:spacing w:line="240" w:lineRule="auto"/>
              <w:jc w:val="both"/>
              <w:rPr>
                <w:sz w:val="20"/>
                <w:szCs w:val="20"/>
              </w:rPr>
            </w:pPr>
            <w:r w:rsidRPr="00990396">
              <w:rPr>
                <w:sz w:val="20"/>
                <w:szCs w:val="20"/>
              </w:rPr>
              <w:t>Youssef et al. (2023)</w:t>
            </w:r>
          </w:p>
        </w:tc>
        <w:tc>
          <w:tcPr>
            <w:tcW w:w="0" w:type="auto"/>
            <w:shd w:val="clear" w:color="auto" w:fill="F2F2F2" w:themeFill="background1" w:themeFillShade="F2"/>
            <w:hideMark/>
          </w:tcPr>
          <w:p w14:paraId="7A1383F1" w14:textId="77777777" w:rsidR="001A4F3D" w:rsidRPr="00990396" w:rsidRDefault="001A4F3D" w:rsidP="00004062">
            <w:pPr>
              <w:spacing w:line="240" w:lineRule="auto"/>
              <w:jc w:val="both"/>
              <w:rPr>
                <w:sz w:val="20"/>
                <w:szCs w:val="20"/>
              </w:rPr>
            </w:pPr>
            <w:r w:rsidRPr="00990396">
              <w:rPr>
                <w:sz w:val="20"/>
                <w:szCs w:val="20"/>
              </w:rPr>
              <w:t>Liquidity insignificant for ROA and ROE</w:t>
            </w:r>
          </w:p>
        </w:tc>
        <w:tc>
          <w:tcPr>
            <w:tcW w:w="0" w:type="auto"/>
            <w:shd w:val="clear" w:color="auto" w:fill="F2F2F2" w:themeFill="background1" w:themeFillShade="F2"/>
            <w:hideMark/>
          </w:tcPr>
          <w:p w14:paraId="59B9B174" w14:textId="77777777" w:rsidR="001A4F3D" w:rsidRPr="00990396" w:rsidRDefault="001A4F3D" w:rsidP="00004062">
            <w:pPr>
              <w:spacing w:line="240" w:lineRule="auto"/>
              <w:jc w:val="both"/>
              <w:rPr>
                <w:sz w:val="20"/>
                <w:szCs w:val="20"/>
              </w:rPr>
            </w:pPr>
            <w:r w:rsidRPr="00990396">
              <w:rPr>
                <w:sz w:val="20"/>
                <w:szCs w:val="20"/>
              </w:rPr>
              <w:t>Direct UK SME evidence; multiple estimators</w:t>
            </w:r>
          </w:p>
        </w:tc>
        <w:tc>
          <w:tcPr>
            <w:tcW w:w="0" w:type="auto"/>
            <w:shd w:val="clear" w:color="auto" w:fill="F2F2F2" w:themeFill="background1" w:themeFillShade="F2"/>
            <w:hideMark/>
          </w:tcPr>
          <w:p w14:paraId="43D9A78D" w14:textId="77777777" w:rsidR="001A4F3D" w:rsidRPr="00990396" w:rsidRDefault="001A4F3D" w:rsidP="00004062">
            <w:pPr>
              <w:spacing w:line="240" w:lineRule="auto"/>
              <w:jc w:val="both"/>
              <w:rPr>
                <w:sz w:val="20"/>
                <w:szCs w:val="20"/>
              </w:rPr>
            </w:pPr>
            <w:r w:rsidRPr="00990396">
              <w:rPr>
                <w:sz w:val="20"/>
                <w:szCs w:val="20"/>
              </w:rPr>
              <w:t>Only 93 listed SMEs</w:t>
            </w:r>
          </w:p>
        </w:tc>
        <w:tc>
          <w:tcPr>
            <w:tcW w:w="0" w:type="auto"/>
            <w:shd w:val="clear" w:color="auto" w:fill="F2F2F2" w:themeFill="background1" w:themeFillShade="F2"/>
            <w:hideMark/>
          </w:tcPr>
          <w:p w14:paraId="0FFDA218" w14:textId="77777777" w:rsidR="001A4F3D" w:rsidRPr="00990396" w:rsidRDefault="001A4F3D" w:rsidP="00004062">
            <w:pPr>
              <w:spacing w:line="240" w:lineRule="auto"/>
              <w:jc w:val="both"/>
              <w:rPr>
                <w:sz w:val="20"/>
                <w:szCs w:val="20"/>
              </w:rPr>
            </w:pPr>
            <w:r w:rsidRPr="00990396">
              <w:rPr>
                <w:sz w:val="20"/>
                <w:szCs w:val="20"/>
              </w:rPr>
              <w:t>Questions simple positive liquidity–performance assumptions</w:t>
            </w:r>
          </w:p>
        </w:tc>
      </w:tr>
      <w:tr w:rsidR="001A4F3D" w:rsidRPr="00990396" w14:paraId="7DBEEFCA" w14:textId="77777777" w:rsidTr="00004062">
        <w:trPr>
          <w:trHeight w:val="688"/>
          <w:jc w:val="center"/>
        </w:trPr>
        <w:tc>
          <w:tcPr>
            <w:tcW w:w="0" w:type="auto"/>
            <w:shd w:val="clear" w:color="auto" w:fill="F2F2F2" w:themeFill="background1" w:themeFillShade="F2"/>
            <w:hideMark/>
          </w:tcPr>
          <w:p w14:paraId="08F1D33C" w14:textId="77777777" w:rsidR="001A4F3D" w:rsidRPr="00990396" w:rsidRDefault="001A4F3D" w:rsidP="00004062">
            <w:pPr>
              <w:spacing w:line="240" w:lineRule="auto"/>
              <w:jc w:val="both"/>
              <w:rPr>
                <w:sz w:val="20"/>
                <w:szCs w:val="20"/>
              </w:rPr>
            </w:pPr>
            <w:proofErr w:type="spellStart"/>
            <w:r w:rsidRPr="00990396">
              <w:rPr>
                <w:sz w:val="20"/>
                <w:szCs w:val="20"/>
              </w:rPr>
              <w:t>Belghitar</w:t>
            </w:r>
            <w:proofErr w:type="spellEnd"/>
            <w:r w:rsidRPr="00990396">
              <w:rPr>
                <w:sz w:val="20"/>
                <w:szCs w:val="20"/>
              </w:rPr>
              <w:t xml:space="preserve"> et al. (2022)</w:t>
            </w:r>
          </w:p>
        </w:tc>
        <w:tc>
          <w:tcPr>
            <w:tcW w:w="0" w:type="auto"/>
            <w:shd w:val="clear" w:color="auto" w:fill="F2F2F2" w:themeFill="background1" w:themeFillShade="F2"/>
            <w:hideMark/>
          </w:tcPr>
          <w:p w14:paraId="40415F2B" w14:textId="77777777" w:rsidR="001A4F3D" w:rsidRPr="00990396" w:rsidRDefault="001A4F3D" w:rsidP="00004062">
            <w:pPr>
              <w:spacing w:line="240" w:lineRule="auto"/>
              <w:jc w:val="both"/>
              <w:rPr>
                <w:sz w:val="20"/>
                <w:szCs w:val="20"/>
              </w:rPr>
            </w:pPr>
            <w:r w:rsidRPr="00990396">
              <w:rPr>
                <w:sz w:val="20"/>
                <w:szCs w:val="20"/>
              </w:rPr>
              <w:t xml:space="preserve">Liquidity </w:t>
            </w:r>
            <w:proofErr w:type="gramStart"/>
            <w:r w:rsidRPr="00990396">
              <w:rPr>
                <w:sz w:val="20"/>
                <w:szCs w:val="20"/>
              </w:rPr>
              <w:t>support</w:t>
            </w:r>
            <w:proofErr w:type="gramEnd"/>
            <w:r w:rsidRPr="00990396">
              <w:rPr>
                <w:sz w:val="20"/>
                <w:szCs w:val="20"/>
              </w:rPr>
              <w:t xml:space="preserve"> prolonged SME survival</w:t>
            </w:r>
          </w:p>
        </w:tc>
        <w:tc>
          <w:tcPr>
            <w:tcW w:w="0" w:type="auto"/>
            <w:shd w:val="clear" w:color="auto" w:fill="F2F2F2" w:themeFill="background1" w:themeFillShade="F2"/>
            <w:hideMark/>
          </w:tcPr>
          <w:p w14:paraId="26ECBB35" w14:textId="77777777" w:rsidR="001A4F3D" w:rsidRPr="00990396" w:rsidRDefault="001A4F3D" w:rsidP="00004062">
            <w:pPr>
              <w:spacing w:line="240" w:lineRule="auto"/>
              <w:jc w:val="both"/>
              <w:rPr>
                <w:sz w:val="20"/>
                <w:szCs w:val="20"/>
              </w:rPr>
            </w:pPr>
            <w:r w:rsidRPr="00990396">
              <w:rPr>
                <w:sz w:val="20"/>
                <w:szCs w:val="20"/>
              </w:rPr>
              <w:t>42,401 UK SMEs</w:t>
            </w:r>
          </w:p>
        </w:tc>
        <w:tc>
          <w:tcPr>
            <w:tcW w:w="0" w:type="auto"/>
            <w:shd w:val="clear" w:color="auto" w:fill="F2F2F2" w:themeFill="background1" w:themeFillShade="F2"/>
            <w:hideMark/>
          </w:tcPr>
          <w:p w14:paraId="62D697C6" w14:textId="77777777" w:rsidR="001A4F3D" w:rsidRPr="00990396" w:rsidRDefault="001A4F3D" w:rsidP="00004062">
            <w:pPr>
              <w:spacing w:line="240" w:lineRule="auto"/>
              <w:jc w:val="both"/>
              <w:rPr>
                <w:sz w:val="20"/>
                <w:szCs w:val="20"/>
              </w:rPr>
            </w:pPr>
            <w:r w:rsidRPr="00990396">
              <w:rPr>
                <w:sz w:val="20"/>
                <w:szCs w:val="20"/>
              </w:rPr>
              <w:t>Simulation assumptions</w:t>
            </w:r>
          </w:p>
        </w:tc>
        <w:tc>
          <w:tcPr>
            <w:tcW w:w="0" w:type="auto"/>
            <w:shd w:val="clear" w:color="auto" w:fill="F2F2F2" w:themeFill="background1" w:themeFillShade="F2"/>
            <w:hideMark/>
          </w:tcPr>
          <w:p w14:paraId="5D89779F" w14:textId="77777777" w:rsidR="001A4F3D" w:rsidRPr="00990396" w:rsidRDefault="001A4F3D" w:rsidP="00004062">
            <w:pPr>
              <w:spacing w:line="240" w:lineRule="auto"/>
              <w:jc w:val="both"/>
              <w:rPr>
                <w:sz w:val="20"/>
                <w:szCs w:val="20"/>
              </w:rPr>
            </w:pPr>
            <w:r w:rsidRPr="00990396">
              <w:rPr>
                <w:sz w:val="20"/>
                <w:szCs w:val="20"/>
              </w:rPr>
              <w:t>Demonstrates resilience function</w:t>
            </w:r>
          </w:p>
        </w:tc>
      </w:tr>
      <w:tr w:rsidR="001A4F3D" w:rsidRPr="00990396" w14:paraId="55809CD9" w14:textId="77777777" w:rsidTr="00004062">
        <w:trPr>
          <w:trHeight w:val="1147"/>
          <w:jc w:val="center"/>
        </w:trPr>
        <w:tc>
          <w:tcPr>
            <w:tcW w:w="0" w:type="auto"/>
            <w:shd w:val="clear" w:color="auto" w:fill="F2F2F2" w:themeFill="background1" w:themeFillShade="F2"/>
            <w:hideMark/>
          </w:tcPr>
          <w:p w14:paraId="21022134" w14:textId="77777777" w:rsidR="001A4F3D" w:rsidRPr="00990396" w:rsidRDefault="001A4F3D" w:rsidP="00004062">
            <w:pPr>
              <w:spacing w:line="240" w:lineRule="auto"/>
              <w:jc w:val="both"/>
              <w:rPr>
                <w:sz w:val="20"/>
                <w:szCs w:val="20"/>
              </w:rPr>
            </w:pPr>
            <w:r w:rsidRPr="00990396">
              <w:rPr>
                <w:sz w:val="20"/>
                <w:szCs w:val="20"/>
              </w:rPr>
              <w:t>Laghari et al. (2023)</w:t>
            </w:r>
          </w:p>
        </w:tc>
        <w:tc>
          <w:tcPr>
            <w:tcW w:w="0" w:type="auto"/>
            <w:shd w:val="clear" w:color="auto" w:fill="F2F2F2" w:themeFill="background1" w:themeFillShade="F2"/>
            <w:hideMark/>
          </w:tcPr>
          <w:p w14:paraId="69C09570" w14:textId="77777777" w:rsidR="001A4F3D" w:rsidRPr="00990396" w:rsidRDefault="001A4F3D" w:rsidP="00004062">
            <w:pPr>
              <w:spacing w:line="240" w:lineRule="auto"/>
              <w:jc w:val="both"/>
              <w:rPr>
                <w:sz w:val="20"/>
                <w:szCs w:val="20"/>
              </w:rPr>
            </w:pPr>
            <w:r w:rsidRPr="00990396">
              <w:rPr>
                <w:sz w:val="20"/>
                <w:szCs w:val="20"/>
              </w:rPr>
              <w:t>Shorter cash-conversion components improved firm value</w:t>
            </w:r>
          </w:p>
        </w:tc>
        <w:tc>
          <w:tcPr>
            <w:tcW w:w="0" w:type="auto"/>
            <w:shd w:val="clear" w:color="auto" w:fill="F2F2F2" w:themeFill="background1" w:themeFillShade="F2"/>
            <w:hideMark/>
          </w:tcPr>
          <w:p w14:paraId="1C31E9D1" w14:textId="77777777" w:rsidR="001A4F3D" w:rsidRPr="00990396" w:rsidRDefault="001A4F3D" w:rsidP="00004062">
            <w:pPr>
              <w:spacing w:line="240" w:lineRule="auto"/>
              <w:jc w:val="both"/>
              <w:rPr>
                <w:sz w:val="20"/>
                <w:szCs w:val="20"/>
              </w:rPr>
            </w:pPr>
            <w:r w:rsidRPr="00990396">
              <w:rPr>
                <w:sz w:val="20"/>
                <w:szCs w:val="20"/>
              </w:rPr>
              <w:t>Large longitudinal dataset; endogeneity checks</w:t>
            </w:r>
          </w:p>
        </w:tc>
        <w:tc>
          <w:tcPr>
            <w:tcW w:w="0" w:type="auto"/>
            <w:shd w:val="clear" w:color="auto" w:fill="F2F2F2" w:themeFill="background1" w:themeFillShade="F2"/>
            <w:hideMark/>
          </w:tcPr>
          <w:p w14:paraId="41E3C1A1" w14:textId="77777777" w:rsidR="001A4F3D" w:rsidRPr="00990396" w:rsidRDefault="001A4F3D" w:rsidP="00004062">
            <w:pPr>
              <w:spacing w:line="240" w:lineRule="auto"/>
              <w:jc w:val="both"/>
              <w:rPr>
                <w:sz w:val="20"/>
                <w:szCs w:val="20"/>
              </w:rPr>
            </w:pPr>
            <w:r w:rsidRPr="00990396">
              <w:rPr>
                <w:sz w:val="20"/>
                <w:szCs w:val="20"/>
              </w:rPr>
              <w:t>Chinese listed firms</w:t>
            </w:r>
          </w:p>
        </w:tc>
        <w:tc>
          <w:tcPr>
            <w:tcW w:w="0" w:type="auto"/>
            <w:shd w:val="clear" w:color="auto" w:fill="F2F2F2" w:themeFill="background1" w:themeFillShade="F2"/>
            <w:hideMark/>
          </w:tcPr>
          <w:p w14:paraId="59881AFF" w14:textId="77777777" w:rsidR="001A4F3D" w:rsidRPr="00990396" w:rsidRDefault="001A4F3D" w:rsidP="00004062">
            <w:pPr>
              <w:spacing w:line="240" w:lineRule="auto"/>
              <w:jc w:val="both"/>
              <w:rPr>
                <w:sz w:val="20"/>
                <w:szCs w:val="20"/>
              </w:rPr>
            </w:pPr>
            <w:r w:rsidRPr="00990396">
              <w:rPr>
                <w:sz w:val="20"/>
                <w:szCs w:val="20"/>
              </w:rPr>
              <w:t>Supports working-capital efficiency</w:t>
            </w:r>
          </w:p>
        </w:tc>
      </w:tr>
      <w:tr w:rsidR="001A4F3D" w:rsidRPr="00990396" w14:paraId="2D4D1C88" w14:textId="77777777" w:rsidTr="00004062">
        <w:trPr>
          <w:trHeight w:val="688"/>
          <w:jc w:val="center"/>
        </w:trPr>
        <w:tc>
          <w:tcPr>
            <w:tcW w:w="0" w:type="auto"/>
            <w:shd w:val="clear" w:color="auto" w:fill="F2F2F2" w:themeFill="background1" w:themeFillShade="F2"/>
            <w:hideMark/>
          </w:tcPr>
          <w:p w14:paraId="420E2678" w14:textId="77777777" w:rsidR="001A4F3D" w:rsidRPr="00990396" w:rsidRDefault="001A4F3D" w:rsidP="00004062">
            <w:pPr>
              <w:spacing w:line="240" w:lineRule="auto"/>
              <w:jc w:val="both"/>
              <w:rPr>
                <w:sz w:val="20"/>
                <w:szCs w:val="20"/>
              </w:rPr>
            </w:pPr>
            <w:r w:rsidRPr="00990396">
              <w:rPr>
                <w:sz w:val="20"/>
                <w:szCs w:val="20"/>
              </w:rPr>
              <w:t>Hung and Dinh (2022)</w:t>
            </w:r>
          </w:p>
        </w:tc>
        <w:tc>
          <w:tcPr>
            <w:tcW w:w="0" w:type="auto"/>
            <w:shd w:val="clear" w:color="auto" w:fill="F2F2F2" w:themeFill="background1" w:themeFillShade="F2"/>
            <w:hideMark/>
          </w:tcPr>
          <w:p w14:paraId="33E6AA2D" w14:textId="77777777" w:rsidR="001A4F3D" w:rsidRPr="00990396" w:rsidRDefault="001A4F3D" w:rsidP="00004062">
            <w:pPr>
              <w:spacing w:line="240" w:lineRule="auto"/>
              <w:jc w:val="both"/>
              <w:rPr>
                <w:sz w:val="20"/>
                <w:szCs w:val="20"/>
              </w:rPr>
            </w:pPr>
            <w:r w:rsidRPr="00990396">
              <w:rPr>
                <w:sz w:val="20"/>
                <w:szCs w:val="20"/>
              </w:rPr>
              <w:t>Nonlinear threshold relationship</w:t>
            </w:r>
          </w:p>
        </w:tc>
        <w:tc>
          <w:tcPr>
            <w:tcW w:w="0" w:type="auto"/>
            <w:shd w:val="clear" w:color="auto" w:fill="F2F2F2" w:themeFill="background1" w:themeFillShade="F2"/>
            <w:hideMark/>
          </w:tcPr>
          <w:p w14:paraId="331B5F5C" w14:textId="77777777" w:rsidR="001A4F3D" w:rsidRPr="00990396" w:rsidRDefault="001A4F3D" w:rsidP="00004062">
            <w:pPr>
              <w:spacing w:line="240" w:lineRule="auto"/>
              <w:jc w:val="both"/>
              <w:rPr>
                <w:sz w:val="20"/>
                <w:szCs w:val="20"/>
              </w:rPr>
            </w:pPr>
            <w:r w:rsidRPr="00990396">
              <w:rPr>
                <w:sz w:val="20"/>
                <w:szCs w:val="20"/>
              </w:rPr>
              <w:t>Threshold modelling</w:t>
            </w:r>
          </w:p>
        </w:tc>
        <w:tc>
          <w:tcPr>
            <w:tcW w:w="0" w:type="auto"/>
            <w:shd w:val="clear" w:color="auto" w:fill="F2F2F2" w:themeFill="background1" w:themeFillShade="F2"/>
            <w:hideMark/>
          </w:tcPr>
          <w:p w14:paraId="3C260C30" w14:textId="77777777" w:rsidR="001A4F3D" w:rsidRPr="00990396" w:rsidRDefault="001A4F3D" w:rsidP="00004062">
            <w:pPr>
              <w:spacing w:line="240" w:lineRule="auto"/>
              <w:jc w:val="both"/>
              <w:rPr>
                <w:sz w:val="20"/>
                <w:szCs w:val="20"/>
              </w:rPr>
            </w:pPr>
            <w:r w:rsidRPr="00990396">
              <w:rPr>
                <w:sz w:val="20"/>
                <w:szCs w:val="20"/>
              </w:rPr>
              <w:t>Vietnamese listed firms</w:t>
            </w:r>
          </w:p>
        </w:tc>
        <w:tc>
          <w:tcPr>
            <w:tcW w:w="0" w:type="auto"/>
            <w:shd w:val="clear" w:color="auto" w:fill="F2F2F2" w:themeFill="background1" w:themeFillShade="F2"/>
            <w:hideMark/>
          </w:tcPr>
          <w:p w14:paraId="1AAE5705" w14:textId="77777777" w:rsidR="001A4F3D" w:rsidRPr="00990396" w:rsidRDefault="001A4F3D" w:rsidP="00004062">
            <w:pPr>
              <w:spacing w:line="240" w:lineRule="auto"/>
              <w:jc w:val="both"/>
              <w:rPr>
                <w:sz w:val="20"/>
                <w:szCs w:val="20"/>
              </w:rPr>
            </w:pPr>
            <w:r w:rsidRPr="00990396">
              <w:rPr>
                <w:sz w:val="20"/>
                <w:szCs w:val="20"/>
              </w:rPr>
              <w:t>Shows liquidity optimum is conditional</w:t>
            </w:r>
          </w:p>
        </w:tc>
      </w:tr>
      <w:tr w:rsidR="001A4F3D" w:rsidRPr="00990396" w14:paraId="7CC4F76C" w14:textId="77777777" w:rsidTr="00004062">
        <w:trPr>
          <w:trHeight w:val="918"/>
          <w:jc w:val="center"/>
        </w:trPr>
        <w:tc>
          <w:tcPr>
            <w:tcW w:w="0" w:type="auto"/>
            <w:shd w:val="clear" w:color="auto" w:fill="F2F2F2" w:themeFill="background1" w:themeFillShade="F2"/>
            <w:hideMark/>
          </w:tcPr>
          <w:p w14:paraId="024C4C5A" w14:textId="77777777" w:rsidR="001A4F3D" w:rsidRPr="00990396" w:rsidRDefault="001A4F3D" w:rsidP="00004062">
            <w:pPr>
              <w:spacing w:line="240" w:lineRule="auto"/>
              <w:jc w:val="both"/>
              <w:rPr>
                <w:sz w:val="20"/>
                <w:szCs w:val="20"/>
              </w:rPr>
            </w:pPr>
            <w:r w:rsidRPr="00990396">
              <w:rPr>
                <w:sz w:val="20"/>
                <w:szCs w:val="20"/>
              </w:rPr>
              <w:t xml:space="preserve">Anton and </w:t>
            </w:r>
            <w:proofErr w:type="spellStart"/>
            <w:r w:rsidRPr="00990396">
              <w:rPr>
                <w:sz w:val="20"/>
                <w:szCs w:val="20"/>
              </w:rPr>
              <w:t>Afloarei</w:t>
            </w:r>
            <w:proofErr w:type="spellEnd"/>
            <w:r w:rsidRPr="00990396">
              <w:rPr>
                <w:sz w:val="20"/>
                <w:szCs w:val="20"/>
              </w:rPr>
              <w:t xml:space="preserve"> </w:t>
            </w:r>
            <w:proofErr w:type="spellStart"/>
            <w:r w:rsidRPr="00990396">
              <w:rPr>
                <w:sz w:val="20"/>
                <w:szCs w:val="20"/>
              </w:rPr>
              <w:t>Nucu</w:t>
            </w:r>
            <w:proofErr w:type="spellEnd"/>
            <w:r w:rsidRPr="00990396">
              <w:rPr>
                <w:sz w:val="20"/>
                <w:szCs w:val="20"/>
              </w:rPr>
              <w:t xml:space="preserve"> (2021)</w:t>
            </w:r>
          </w:p>
        </w:tc>
        <w:tc>
          <w:tcPr>
            <w:tcW w:w="0" w:type="auto"/>
            <w:shd w:val="clear" w:color="auto" w:fill="F2F2F2" w:themeFill="background1" w:themeFillShade="F2"/>
            <w:hideMark/>
          </w:tcPr>
          <w:p w14:paraId="4419BBFD" w14:textId="77777777" w:rsidR="001A4F3D" w:rsidRPr="00990396" w:rsidRDefault="001A4F3D" w:rsidP="00004062">
            <w:pPr>
              <w:spacing w:line="240" w:lineRule="auto"/>
              <w:jc w:val="both"/>
              <w:rPr>
                <w:sz w:val="20"/>
                <w:szCs w:val="20"/>
              </w:rPr>
            </w:pPr>
            <w:r w:rsidRPr="00990396">
              <w:rPr>
                <w:sz w:val="20"/>
                <w:szCs w:val="20"/>
              </w:rPr>
              <w:t>Inverted-U working-capital relationship</w:t>
            </w:r>
          </w:p>
        </w:tc>
        <w:tc>
          <w:tcPr>
            <w:tcW w:w="0" w:type="auto"/>
            <w:shd w:val="clear" w:color="auto" w:fill="F2F2F2" w:themeFill="background1" w:themeFillShade="F2"/>
            <w:hideMark/>
          </w:tcPr>
          <w:p w14:paraId="2A4DA198" w14:textId="77777777" w:rsidR="001A4F3D" w:rsidRPr="00990396" w:rsidRDefault="001A4F3D" w:rsidP="00004062">
            <w:pPr>
              <w:spacing w:line="240" w:lineRule="auto"/>
              <w:jc w:val="both"/>
              <w:rPr>
                <w:sz w:val="20"/>
                <w:szCs w:val="20"/>
              </w:rPr>
            </w:pPr>
            <w:r w:rsidRPr="00990396">
              <w:rPr>
                <w:sz w:val="20"/>
                <w:szCs w:val="20"/>
              </w:rPr>
              <w:t>Long panel and nonlinear analysis</w:t>
            </w:r>
          </w:p>
        </w:tc>
        <w:tc>
          <w:tcPr>
            <w:tcW w:w="0" w:type="auto"/>
            <w:shd w:val="clear" w:color="auto" w:fill="F2F2F2" w:themeFill="background1" w:themeFillShade="F2"/>
            <w:hideMark/>
          </w:tcPr>
          <w:p w14:paraId="7F3D1609" w14:textId="77777777" w:rsidR="001A4F3D" w:rsidRPr="00990396" w:rsidRDefault="001A4F3D" w:rsidP="00004062">
            <w:pPr>
              <w:spacing w:line="240" w:lineRule="auto"/>
              <w:jc w:val="both"/>
              <w:rPr>
                <w:sz w:val="20"/>
                <w:szCs w:val="20"/>
              </w:rPr>
            </w:pPr>
            <w:r w:rsidRPr="00990396">
              <w:rPr>
                <w:sz w:val="20"/>
                <w:szCs w:val="20"/>
              </w:rPr>
              <w:t>Polish listed firms; older data</w:t>
            </w:r>
          </w:p>
        </w:tc>
        <w:tc>
          <w:tcPr>
            <w:tcW w:w="0" w:type="auto"/>
            <w:shd w:val="clear" w:color="auto" w:fill="F2F2F2" w:themeFill="background1" w:themeFillShade="F2"/>
            <w:hideMark/>
          </w:tcPr>
          <w:p w14:paraId="658364F5" w14:textId="77777777" w:rsidR="001A4F3D" w:rsidRPr="00990396" w:rsidRDefault="001A4F3D" w:rsidP="00004062">
            <w:pPr>
              <w:spacing w:line="240" w:lineRule="auto"/>
              <w:jc w:val="both"/>
              <w:rPr>
                <w:sz w:val="20"/>
                <w:szCs w:val="20"/>
              </w:rPr>
            </w:pPr>
            <w:r w:rsidRPr="00990396">
              <w:rPr>
                <w:sz w:val="20"/>
                <w:szCs w:val="20"/>
              </w:rPr>
              <w:t>Demonstrates opportunity cost of excess liquidity</w:t>
            </w:r>
          </w:p>
        </w:tc>
      </w:tr>
      <w:tr w:rsidR="001A4F3D" w:rsidRPr="00990396" w14:paraId="7F1D8A29" w14:textId="77777777" w:rsidTr="00004062">
        <w:trPr>
          <w:trHeight w:val="918"/>
          <w:jc w:val="center"/>
        </w:trPr>
        <w:tc>
          <w:tcPr>
            <w:tcW w:w="0" w:type="auto"/>
            <w:shd w:val="clear" w:color="auto" w:fill="F2F2F2" w:themeFill="background1" w:themeFillShade="F2"/>
            <w:hideMark/>
          </w:tcPr>
          <w:p w14:paraId="2B54E412" w14:textId="77777777" w:rsidR="001A4F3D" w:rsidRPr="00990396" w:rsidRDefault="001A4F3D" w:rsidP="00004062">
            <w:pPr>
              <w:spacing w:line="240" w:lineRule="auto"/>
              <w:jc w:val="both"/>
              <w:rPr>
                <w:sz w:val="20"/>
                <w:szCs w:val="20"/>
              </w:rPr>
            </w:pPr>
            <w:proofErr w:type="spellStart"/>
            <w:r w:rsidRPr="00990396">
              <w:rPr>
                <w:sz w:val="20"/>
                <w:szCs w:val="20"/>
              </w:rPr>
              <w:lastRenderedPageBreak/>
              <w:t>Airout</w:t>
            </w:r>
            <w:proofErr w:type="spellEnd"/>
            <w:r w:rsidRPr="00990396">
              <w:rPr>
                <w:sz w:val="20"/>
                <w:szCs w:val="20"/>
              </w:rPr>
              <w:t xml:space="preserve"> et al. (2023)</w:t>
            </w:r>
          </w:p>
        </w:tc>
        <w:tc>
          <w:tcPr>
            <w:tcW w:w="0" w:type="auto"/>
            <w:shd w:val="clear" w:color="auto" w:fill="F2F2F2" w:themeFill="background1" w:themeFillShade="F2"/>
            <w:hideMark/>
          </w:tcPr>
          <w:p w14:paraId="72BE4780" w14:textId="77777777" w:rsidR="001A4F3D" w:rsidRPr="00990396" w:rsidRDefault="001A4F3D" w:rsidP="00004062">
            <w:pPr>
              <w:spacing w:line="240" w:lineRule="auto"/>
              <w:jc w:val="both"/>
              <w:rPr>
                <w:sz w:val="20"/>
                <w:szCs w:val="20"/>
              </w:rPr>
            </w:pPr>
            <w:r w:rsidRPr="00990396">
              <w:rPr>
                <w:sz w:val="20"/>
                <w:szCs w:val="20"/>
              </w:rPr>
              <w:t>Liquidity altered expenditure-performance relationships</w:t>
            </w:r>
          </w:p>
        </w:tc>
        <w:tc>
          <w:tcPr>
            <w:tcW w:w="0" w:type="auto"/>
            <w:shd w:val="clear" w:color="auto" w:fill="F2F2F2" w:themeFill="background1" w:themeFillShade="F2"/>
            <w:hideMark/>
          </w:tcPr>
          <w:p w14:paraId="08C9E5DA" w14:textId="77777777" w:rsidR="001A4F3D" w:rsidRPr="00990396" w:rsidRDefault="001A4F3D" w:rsidP="00004062">
            <w:pPr>
              <w:spacing w:line="240" w:lineRule="auto"/>
              <w:jc w:val="both"/>
              <w:rPr>
                <w:sz w:val="20"/>
                <w:szCs w:val="20"/>
              </w:rPr>
            </w:pPr>
            <w:r w:rsidRPr="00990396">
              <w:rPr>
                <w:sz w:val="20"/>
                <w:szCs w:val="20"/>
              </w:rPr>
              <w:t>Direct SME evidence</w:t>
            </w:r>
          </w:p>
        </w:tc>
        <w:tc>
          <w:tcPr>
            <w:tcW w:w="0" w:type="auto"/>
            <w:shd w:val="clear" w:color="auto" w:fill="F2F2F2" w:themeFill="background1" w:themeFillShade="F2"/>
            <w:hideMark/>
          </w:tcPr>
          <w:p w14:paraId="4483827C" w14:textId="77777777" w:rsidR="001A4F3D" w:rsidRPr="00990396" w:rsidRDefault="001A4F3D" w:rsidP="00004062">
            <w:pPr>
              <w:spacing w:line="240" w:lineRule="auto"/>
              <w:jc w:val="both"/>
              <w:rPr>
                <w:sz w:val="20"/>
                <w:szCs w:val="20"/>
              </w:rPr>
            </w:pPr>
            <w:r w:rsidRPr="00990396">
              <w:rPr>
                <w:sz w:val="20"/>
                <w:szCs w:val="20"/>
              </w:rPr>
              <w:t>200 firms; simple regression</w:t>
            </w:r>
          </w:p>
        </w:tc>
        <w:tc>
          <w:tcPr>
            <w:tcW w:w="0" w:type="auto"/>
            <w:shd w:val="clear" w:color="auto" w:fill="F2F2F2" w:themeFill="background1" w:themeFillShade="F2"/>
            <w:hideMark/>
          </w:tcPr>
          <w:p w14:paraId="0431A1EC" w14:textId="77777777" w:rsidR="001A4F3D" w:rsidRPr="00990396" w:rsidRDefault="001A4F3D" w:rsidP="00004062">
            <w:pPr>
              <w:spacing w:line="240" w:lineRule="auto"/>
              <w:jc w:val="both"/>
              <w:rPr>
                <w:sz w:val="20"/>
                <w:szCs w:val="20"/>
              </w:rPr>
            </w:pPr>
            <w:r w:rsidRPr="00990396">
              <w:rPr>
                <w:sz w:val="20"/>
                <w:szCs w:val="20"/>
              </w:rPr>
              <w:t>Shows context-dependent liquidity effect</w:t>
            </w:r>
          </w:p>
        </w:tc>
      </w:tr>
      <w:tr w:rsidR="001A4F3D" w:rsidRPr="00990396" w14:paraId="0CF2230D" w14:textId="77777777" w:rsidTr="00004062">
        <w:trPr>
          <w:trHeight w:val="688"/>
          <w:jc w:val="center"/>
        </w:trPr>
        <w:tc>
          <w:tcPr>
            <w:tcW w:w="0" w:type="auto"/>
            <w:shd w:val="clear" w:color="auto" w:fill="F2F2F2" w:themeFill="background1" w:themeFillShade="F2"/>
            <w:hideMark/>
          </w:tcPr>
          <w:p w14:paraId="2B4A4646" w14:textId="77777777" w:rsidR="001A4F3D" w:rsidRPr="00990396" w:rsidRDefault="001A4F3D" w:rsidP="00004062">
            <w:pPr>
              <w:spacing w:line="240" w:lineRule="auto"/>
              <w:jc w:val="both"/>
              <w:rPr>
                <w:sz w:val="20"/>
                <w:szCs w:val="20"/>
              </w:rPr>
            </w:pPr>
            <w:proofErr w:type="spellStart"/>
            <w:r w:rsidRPr="00990396">
              <w:rPr>
                <w:sz w:val="20"/>
                <w:szCs w:val="20"/>
              </w:rPr>
              <w:t>Mandipa</w:t>
            </w:r>
            <w:proofErr w:type="spellEnd"/>
            <w:r w:rsidRPr="00990396">
              <w:rPr>
                <w:sz w:val="20"/>
                <w:szCs w:val="20"/>
              </w:rPr>
              <w:t xml:space="preserve"> and Sibindi (2022)</w:t>
            </w:r>
          </w:p>
        </w:tc>
        <w:tc>
          <w:tcPr>
            <w:tcW w:w="0" w:type="auto"/>
            <w:shd w:val="clear" w:color="auto" w:fill="F2F2F2" w:themeFill="background1" w:themeFillShade="F2"/>
            <w:hideMark/>
          </w:tcPr>
          <w:p w14:paraId="5B76BD2D" w14:textId="77777777" w:rsidR="001A4F3D" w:rsidRPr="00990396" w:rsidRDefault="001A4F3D" w:rsidP="00004062">
            <w:pPr>
              <w:spacing w:line="240" w:lineRule="auto"/>
              <w:jc w:val="both"/>
              <w:rPr>
                <w:sz w:val="20"/>
                <w:szCs w:val="20"/>
              </w:rPr>
            </w:pPr>
            <w:r w:rsidRPr="00990396">
              <w:rPr>
                <w:sz w:val="20"/>
                <w:szCs w:val="20"/>
              </w:rPr>
              <w:t>Longer operating cycle weakened profitability</w:t>
            </w:r>
          </w:p>
        </w:tc>
        <w:tc>
          <w:tcPr>
            <w:tcW w:w="0" w:type="auto"/>
            <w:shd w:val="clear" w:color="auto" w:fill="F2F2F2" w:themeFill="background1" w:themeFillShade="F2"/>
            <w:hideMark/>
          </w:tcPr>
          <w:p w14:paraId="754447B4" w14:textId="77777777" w:rsidR="001A4F3D" w:rsidRPr="00990396" w:rsidRDefault="001A4F3D" w:rsidP="00004062">
            <w:pPr>
              <w:spacing w:line="240" w:lineRule="auto"/>
              <w:jc w:val="both"/>
              <w:rPr>
                <w:sz w:val="20"/>
                <w:szCs w:val="20"/>
              </w:rPr>
            </w:pPr>
            <w:r w:rsidRPr="00990396">
              <w:rPr>
                <w:sz w:val="20"/>
                <w:szCs w:val="20"/>
              </w:rPr>
              <w:t>Sector-specific fixed effects</w:t>
            </w:r>
          </w:p>
        </w:tc>
        <w:tc>
          <w:tcPr>
            <w:tcW w:w="0" w:type="auto"/>
            <w:shd w:val="clear" w:color="auto" w:fill="F2F2F2" w:themeFill="background1" w:themeFillShade="F2"/>
            <w:hideMark/>
          </w:tcPr>
          <w:p w14:paraId="577FB4DB" w14:textId="77777777" w:rsidR="001A4F3D" w:rsidRPr="00990396" w:rsidRDefault="001A4F3D" w:rsidP="00004062">
            <w:pPr>
              <w:spacing w:line="240" w:lineRule="auto"/>
              <w:jc w:val="both"/>
              <w:rPr>
                <w:sz w:val="20"/>
                <w:szCs w:val="20"/>
              </w:rPr>
            </w:pPr>
            <w:r w:rsidRPr="00990396">
              <w:rPr>
                <w:sz w:val="20"/>
                <w:szCs w:val="20"/>
              </w:rPr>
              <w:t>Only sixteen listed retailers</w:t>
            </w:r>
          </w:p>
        </w:tc>
        <w:tc>
          <w:tcPr>
            <w:tcW w:w="0" w:type="auto"/>
            <w:shd w:val="clear" w:color="auto" w:fill="F2F2F2" w:themeFill="background1" w:themeFillShade="F2"/>
            <w:hideMark/>
          </w:tcPr>
          <w:p w14:paraId="594A281F" w14:textId="77777777" w:rsidR="001A4F3D" w:rsidRPr="00990396" w:rsidRDefault="001A4F3D" w:rsidP="00004062">
            <w:pPr>
              <w:spacing w:line="240" w:lineRule="auto"/>
              <w:jc w:val="both"/>
              <w:rPr>
                <w:sz w:val="20"/>
                <w:szCs w:val="20"/>
              </w:rPr>
            </w:pPr>
            <w:r w:rsidRPr="00990396">
              <w:rPr>
                <w:sz w:val="20"/>
                <w:szCs w:val="20"/>
              </w:rPr>
              <w:t>Supports tighter working-capital control</w:t>
            </w:r>
          </w:p>
        </w:tc>
      </w:tr>
    </w:tbl>
    <w:p w14:paraId="570CDA29" w14:textId="77777777" w:rsidR="009D0313" w:rsidRPr="00990396" w:rsidRDefault="009D0313" w:rsidP="00990396">
      <w:pPr>
        <w:jc w:val="both"/>
      </w:pPr>
      <w:r w:rsidRPr="00990396">
        <w:t xml:space="preserve">Liquidity evidence also produced a theme of resilience when it was viewed as surviving instead of making a quick profit. </w:t>
      </w:r>
      <w:proofErr w:type="spellStart"/>
      <w:r w:rsidRPr="00990396">
        <w:t>Belghitar</w:t>
      </w:r>
      <w:proofErr w:type="spellEnd"/>
      <w:r w:rsidRPr="00990396">
        <w:t xml:space="preserve"> et al. (2022) simulated pandemic liquidity shocks and found that government support increased the survival time for pandemic shocks, particularly for weaker financial firms, using 42,401 UK SMEs. This source of large UK sample provides greater contextual relevance than most international studies and proves that liquidity can maintain the continuity of an organisation in times of extreme revenue disruption. However, this study used some simulations without complete post-intervention observations so that estimates of the effects are affected by assumptions about revenue losses, eligibility, and behavioural responses. </w:t>
      </w:r>
      <w:proofErr w:type="spellStart"/>
      <w:r w:rsidRPr="00990396">
        <w:t>Airout</w:t>
      </w:r>
      <w:proofErr w:type="spellEnd"/>
      <w:r w:rsidRPr="00990396">
        <w:t xml:space="preserve"> et al. (2023) demonstrate a different angle of 200 Jordanian SMEs where accounting expenditure had a positive impact on performance, while advertising expenditure had a negative impact, and that liquidity moderated the performance effect of accounting expenditure. The finding only supports a relationship between liquidity and the way in which resources are converted to performance; however, the small sample size and relatively straightforward regression model does not allow for causal inferences. In these studies, then, the scope of financial performance is extended. Value may result from liquidity, as it can prevent distress, keep the payments going and maintain strategic flexibility even if accounting returns don't immediately increase. This differentiation is useful for UK SMEs to reconcile the insignificant profitability result in Youssef et al. (2023) with the evidence of the importance of liquid capacity in shocks where other funding sources might be unattainable, delayed or costly.</w:t>
      </w:r>
    </w:p>
    <w:p w14:paraId="2A189B82" w14:textId="428F62A5" w:rsidR="001A4F3D" w:rsidRPr="00990396" w:rsidRDefault="009D0313" w:rsidP="00990396">
      <w:pPr>
        <w:jc w:val="both"/>
      </w:pPr>
      <w:r w:rsidRPr="00990396">
        <w:t xml:space="preserve">The overall picture in the liquidity theme suggests that the correlation with financial performance depends on the way liquidity is measured, is multidimensional and conditional. Research based on operating-cycle efficiency generally reports positive effects on profitability from reducing cash holdings in working capital (Laghari et al., 2023; </w:t>
      </w:r>
      <w:proofErr w:type="spellStart"/>
      <w:r w:rsidRPr="00990396">
        <w:t>Mandipa</w:t>
      </w:r>
      <w:proofErr w:type="spellEnd"/>
      <w:r w:rsidRPr="00990396">
        <w:t xml:space="preserve"> and Sibindi, 2022), while research based on static liquidity measures yields weaker or insignificant profitability impacts (Youssef et al., 2023). Additionally, in nonlinear studies, it turns out that a high level of working capital turns out to be expensive (Anton and </w:t>
      </w:r>
      <w:proofErr w:type="spellStart"/>
      <w:r w:rsidRPr="00990396">
        <w:t>Afloarei</w:t>
      </w:r>
      <w:proofErr w:type="spellEnd"/>
      <w:r w:rsidRPr="00990396">
        <w:t xml:space="preserve"> </w:t>
      </w:r>
      <w:proofErr w:type="spellStart"/>
      <w:r w:rsidRPr="00990396">
        <w:t>Nucu</w:t>
      </w:r>
      <w:proofErr w:type="spellEnd"/>
      <w:r w:rsidRPr="00990396">
        <w:t>, 2021; Hung and Dinh, 2022), and in the shock studies, there is a protective survival function (</w:t>
      </w:r>
      <w:proofErr w:type="spellStart"/>
      <w:r w:rsidRPr="00990396">
        <w:t>Belghitar</w:t>
      </w:r>
      <w:proofErr w:type="spellEnd"/>
      <w:r w:rsidRPr="00990396">
        <w:t xml:space="preserve"> et al., 2022). This paradoxical nature is therefore not to be interpreted as a single unstable relationship but rather as different aspects of liquidity. It is necessary to separate in an analytical manner efficiency from precautionary reserves and resilience. The best advice for UK SMEs is not to maximise liquidity, but to ensure that cash flow forecasting, receivables </w:t>
      </w:r>
      <w:r w:rsidRPr="00990396">
        <w:lastRenderedPageBreak/>
        <w:t xml:space="preserve">control and working capital discipline is matched to the volatility of the business and access to financing. This interpretation also reveals an evidence gap - direct studies in the UK are less likely to explore the managerial practices in question and the actual financial outcomes. The majority of infer management quality rely on accounting ratios or simulated shocks. In conclusion, the evidence indicates that effective liquidity-risk management could have a positive influence on performance, but there is no clear universal optimum level which can be applied across sectors, size and economic conditions. This makes the liquidity governance in context more credible than a "one size fits all" prescription of liquidity benchmarks for </w:t>
      </w:r>
      <w:proofErr w:type="gramStart"/>
      <w:r w:rsidRPr="00990396">
        <w:t>SMEs as a whole</w:t>
      </w:r>
      <w:proofErr w:type="gramEnd"/>
      <w:r w:rsidR="001A4F3D" w:rsidRPr="00990396">
        <w:t>.</w:t>
      </w:r>
    </w:p>
    <w:p w14:paraId="0D128ABE" w14:textId="057023BC" w:rsidR="001A4F3D" w:rsidRPr="00990396" w:rsidRDefault="001A4F3D" w:rsidP="00990396">
      <w:pPr>
        <w:pStyle w:val="Heading2"/>
        <w:jc w:val="both"/>
        <w:rPr>
          <w:rFonts w:cstheme="minorBidi"/>
        </w:rPr>
      </w:pPr>
      <w:bookmarkStart w:id="48" w:name="_Toc241147032"/>
      <w:r w:rsidRPr="00990396">
        <w:rPr>
          <w:rFonts w:cstheme="minorBidi"/>
        </w:rPr>
        <w:t>Theme Two: Disciplined Credit Management and Payment Control</w:t>
      </w:r>
      <w:bookmarkEnd w:id="48"/>
    </w:p>
    <w:p w14:paraId="27A91033" w14:textId="77777777" w:rsidR="009D0313" w:rsidRPr="00990396" w:rsidRDefault="009D0313" w:rsidP="00990396">
      <w:pPr>
        <w:jc w:val="both"/>
      </w:pPr>
      <w:r w:rsidRPr="00990396">
        <w:t xml:space="preserve">The second main theme is disciplined credit extension, and the importance of separating strategic trade credit from unmanaged exposure to receivables. When customer selection and payment incentives are formalized, the credit checks and policies for cash discounts were associated with SME sustainability in Lagos, according to Peter et al. (2022). Otto (2023) also found positive attitudes towards trade-credit management in the South African SMEs. The strength of this evidence, however, varies significantly. Peter et al. (2022) employed a multi-method approach of questionnaires and interviews, with some methodological triangulation but the non-probability sampling that was geographically concentrated and self-reported measures restrict generalisability. Otto (2023) only got 422 usable responses from 10,450 firms surveyed, resulting in a very low response rate and high risk of non-response bias. The results thus endorse the value of formal credit </w:t>
      </w:r>
      <w:proofErr w:type="gramStart"/>
      <w:r w:rsidRPr="00990396">
        <w:t>controls, but</w:t>
      </w:r>
      <w:proofErr w:type="gramEnd"/>
      <w:r w:rsidRPr="00990396">
        <w:t xml:space="preserve"> offer less support for the direct link between formal credit controls and better financial outcomes. For UK SMEs the pragmatic analytical take-out is that credit risk is not just an amount of outstanding receivables but a commercial decision. Proportional limits and the screening of customers as well as monitoring of payment behaviour can help to support sales and lower default risk; however, the effectiveness of these measures will depend on the quality of implementation, customer concentration and firms' ability to enforce agreed terms. These are particularly significant for smaller suppliers who are less likely to have leverage and reserves during uncertainty times.</w:t>
      </w:r>
    </w:p>
    <w:p w14:paraId="52F8D365" w14:textId="0ACCECAB" w:rsidR="001A4F3D" w:rsidRPr="00990396" w:rsidRDefault="009D0313" w:rsidP="00990396">
      <w:pPr>
        <w:jc w:val="both"/>
      </w:pPr>
      <w:r w:rsidRPr="00990396">
        <w:t>Another closely related credit theme is that of involuntary late payment turning a commercial credit into a financing constraint. Based on SME evidence in 11 European countries from 2019 to 2023, Kaya (2024) discovered that late payments lead to higher credit constraints, higher interest costs and other borrowing charges</w:t>
      </w:r>
      <w:r w:rsidR="001A4F3D" w:rsidRPr="00990396">
        <w:t xml:space="preserve">. </w:t>
      </w:r>
      <w:r w:rsidRPr="00990396">
        <w:t xml:space="preserve">Cross-country sample check and robustness checks support this conclusion, but repeated cross-sections and missing firm identifiers are hindrances to the possibility of tracking the same firms over time, which means that causal interpretation should be kept in mind. Complementary evidence from Jordanian manufacturing </w:t>
      </w:r>
      <w:r w:rsidRPr="00990396">
        <w:lastRenderedPageBreak/>
        <w:t xml:space="preserve">firms is provided by Al-Eitan et al. (2023): payables were found to be positively related to profitability whereas receivables were negatively related. This imbalance could imply that firms can gain from suppliers providing </w:t>
      </w:r>
      <w:proofErr w:type="gramStart"/>
      <w:r w:rsidRPr="00990396">
        <w:t>finance, but</w:t>
      </w:r>
      <w:proofErr w:type="gramEnd"/>
      <w:r w:rsidRPr="00990396">
        <w:t xml:space="preserve"> lose from the suppliers providing finance on customers for too long. However, the study was limited to 38 listed companies which lowered statistical power and the relevance to UK SMEs. These studies demonstrate that the performance impact of credit is dependent on who is paying for it. Even if sales are recorded as high, delayed collections can hurt liquidity, make loans more reliant on selling, and cut back on investment opportunities. For UK SMEs, who may have less leverage when dealing with their larger customers, efficient credit-risk management, therefore, needs to have active monitoring of receivables and escalation processes. The evidence suggests that more stringent policies on overdue accounts are </w:t>
      </w:r>
      <w:proofErr w:type="gramStart"/>
      <w:r w:rsidRPr="00990396">
        <w:t>justified, but</w:t>
      </w:r>
      <w:proofErr w:type="gramEnd"/>
      <w:r w:rsidRPr="00990396">
        <w:t xml:space="preserve"> does not identify one optimal payment period across sectors, as commercial norms and customer relations are different between sectors and businesses</w:t>
      </w:r>
      <w:r w:rsidR="001A4F3D" w:rsidRPr="00990396">
        <w:t>.</w:t>
      </w:r>
    </w:p>
    <w:p w14:paraId="4E35CA5B" w14:textId="625B5874" w:rsidR="001A4F3D" w:rsidRPr="00990396" w:rsidRDefault="001A4F3D" w:rsidP="00004062">
      <w:pPr>
        <w:pStyle w:val="Caption"/>
        <w:keepNext/>
        <w:spacing w:line="360" w:lineRule="auto"/>
        <w:jc w:val="center"/>
      </w:pPr>
      <w:bookmarkStart w:id="49" w:name="_Toc241147054"/>
      <w:r w:rsidRPr="00990396">
        <w:t xml:space="preserve">Table </w:t>
      </w:r>
      <w:fldSimple w:instr=" SEQ Table \* ARABIC ">
        <w:r w:rsidRPr="00990396">
          <w:rPr>
            <w:noProof/>
          </w:rPr>
          <w:t>4</w:t>
        </w:r>
      </w:fldSimple>
      <w:r w:rsidRPr="00990396">
        <w:t xml:space="preserve"> Evidence Supporting the Credit-Risk Theme</w:t>
      </w:r>
      <w:bookmarkEnd w:id="49"/>
    </w:p>
    <w:tbl>
      <w:tblPr>
        <w:tblStyle w:val="TableGrid"/>
        <w:tblW w:w="8904" w:type="dxa"/>
        <w:jc w:val="center"/>
        <w:shd w:val="clear" w:color="auto" w:fill="F2F2F2" w:themeFill="background1" w:themeFillShade="F2"/>
        <w:tblLook w:val="04A0" w:firstRow="1" w:lastRow="0" w:firstColumn="1" w:lastColumn="0" w:noHBand="0" w:noVBand="1"/>
      </w:tblPr>
      <w:tblGrid>
        <w:gridCol w:w="1347"/>
        <w:gridCol w:w="2622"/>
        <w:gridCol w:w="2613"/>
        <w:gridCol w:w="2322"/>
      </w:tblGrid>
      <w:tr w:rsidR="001A4F3D" w:rsidRPr="00990396" w14:paraId="480FD279" w14:textId="77777777" w:rsidTr="00004062">
        <w:trPr>
          <w:trHeight w:val="459"/>
          <w:jc w:val="center"/>
        </w:trPr>
        <w:tc>
          <w:tcPr>
            <w:tcW w:w="0" w:type="auto"/>
            <w:shd w:val="clear" w:color="auto" w:fill="F2F2F2" w:themeFill="background1" w:themeFillShade="F2"/>
            <w:hideMark/>
          </w:tcPr>
          <w:p w14:paraId="2ED2BCDC" w14:textId="77777777" w:rsidR="001A4F3D" w:rsidRPr="00990396" w:rsidRDefault="001A4F3D" w:rsidP="00004062">
            <w:pPr>
              <w:spacing w:line="240" w:lineRule="auto"/>
              <w:jc w:val="both"/>
              <w:rPr>
                <w:b/>
                <w:bCs/>
                <w:sz w:val="20"/>
                <w:szCs w:val="20"/>
              </w:rPr>
            </w:pPr>
            <w:r w:rsidRPr="00990396">
              <w:rPr>
                <w:b/>
                <w:bCs/>
                <w:sz w:val="20"/>
                <w:szCs w:val="20"/>
              </w:rPr>
              <w:t>Study</w:t>
            </w:r>
          </w:p>
        </w:tc>
        <w:tc>
          <w:tcPr>
            <w:tcW w:w="0" w:type="auto"/>
            <w:shd w:val="clear" w:color="auto" w:fill="F2F2F2" w:themeFill="background1" w:themeFillShade="F2"/>
            <w:hideMark/>
          </w:tcPr>
          <w:p w14:paraId="65A409D4" w14:textId="77777777" w:rsidR="001A4F3D" w:rsidRPr="00990396" w:rsidRDefault="001A4F3D" w:rsidP="00004062">
            <w:pPr>
              <w:spacing w:line="240" w:lineRule="auto"/>
              <w:jc w:val="both"/>
              <w:rPr>
                <w:b/>
                <w:bCs/>
                <w:sz w:val="20"/>
                <w:szCs w:val="20"/>
              </w:rPr>
            </w:pPr>
            <w:r w:rsidRPr="00990396">
              <w:rPr>
                <w:b/>
                <w:bCs/>
                <w:sz w:val="20"/>
                <w:szCs w:val="20"/>
              </w:rPr>
              <w:t>Key coded finding</w:t>
            </w:r>
          </w:p>
        </w:tc>
        <w:tc>
          <w:tcPr>
            <w:tcW w:w="0" w:type="auto"/>
            <w:shd w:val="clear" w:color="auto" w:fill="F2F2F2" w:themeFill="background1" w:themeFillShade="F2"/>
            <w:hideMark/>
          </w:tcPr>
          <w:p w14:paraId="6119F5E9" w14:textId="77777777" w:rsidR="001A4F3D" w:rsidRPr="00990396" w:rsidRDefault="001A4F3D" w:rsidP="00004062">
            <w:pPr>
              <w:spacing w:line="240" w:lineRule="auto"/>
              <w:jc w:val="both"/>
              <w:rPr>
                <w:b/>
                <w:bCs/>
                <w:sz w:val="20"/>
                <w:szCs w:val="20"/>
              </w:rPr>
            </w:pPr>
            <w:r w:rsidRPr="00990396">
              <w:rPr>
                <w:b/>
                <w:bCs/>
                <w:sz w:val="20"/>
                <w:szCs w:val="20"/>
              </w:rPr>
              <w:t>Interpretation</w:t>
            </w:r>
          </w:p>
        </w:tc>
        <w:tc>
          <w:tcPr>
            <w:tcW w:w="0" w:type="auto"/>
            <w:shd w:val="clear" w:color="auto" w:fill="F2F2F2" w:themeFill="background1" w:themeFillShade="F2"/>
            <w:hideMark/>
          </w:tcPr>
          <w:p w14:paraId="3BFBDB10" w14:textId="77777777" w:rsidR="001A4F3D" w:rsidRPr="00990396" w:rsidRDefault="001A4F3D" w:rsidP="00004062">
            <w:pPr>
              <w:spacing w:line="240" w:lineRule="auto"/>
              <w:jc w:val="both"/>
              <w:rPr>
                <w:b/>
                <w:bCs/>
                <w:sz w:val="20"/>
                <w:szCs w:val="20"/>
              </w:rPr>
            </w:pPr>
            <w:r w:rsidRPr="00990396">
              <w:rPr>
                <w:b/>
                <w:bCs/>
                <w:sz w:val="20"/>
                <w:szCs w:val="20"/>
              </w:rPr>
              <w:t>Main methodological qualification</w:t>
            </w:r>
          </w:p>
        </w:tc>
      </w:tr>
      <w:tr w:rsidR="001A4F3D" w:rsidRPr="00990396" w14:paraId="78A51DB5" w14:textId="77777777" w:rsidTr="00004062">
        <w:trPr>
          <w:trHeight w:val="688"/>
          <w:jc w:val="center"/>
        </w:trPr>
        <w:tc>
          <w:tcPr>
            <w:tcW w:w="0" w:type="auto"/>
            <w:shd w:val="clear" w:color="auto" w:fill="F2F2F2" w:themeFill="background1" w:themeFillShade="F2"/>
            <w:hideMark/>
          </w:tcPr>
          <w:p w14:paraId="220A47BF" w14:textId="77777777" w:rsidR="001A4F3D" w:rsidRPr="00990396" w:rsidRDefault="001A4F3D" w:rsidP="00004062">
            <w:pPr>
              <w:spacing w:line="240" w:lineRule="auto"/>
              <w:jc w:val="both"/>
              <w:rPr>
                <w:sz w:val="20"/>
                <w:szCs w:val="20"/>
              </w:rPr>
            </w:pPr>
            <w:r w:rsidRPr="00990396">
              <w:rPr>
                <w:sz w:val="20"/>
                <w:szCs w:val="20"/>
              </w:rPr>
              <w:t>Peter et al. (2022)</w:t>
            </w:r>
          </w:p>
        </w:tc>
        <w:tc>
          <w:tcPr>
            <w:tcW w:w="0" w:type="auto"/>
            <w:shd w:val="clear" w:color="auto" w:fill="F2F2F2" w:themeFill="background1" w:themeFillShade="F2"/>
            <w:hideMark/>
          </w:tcPr>
          <w:p w14:paraId="7F6F316A" w14:textId="77777777" w:rsidR="001A4F3D" w:rsidRPr="00990396" w:rsidRDefault="001A4F3D" w:rsidP="00004062">
            <w:pPr>
              <w:spacing w:line="240" w:lineRule="auto"/>
              <w:jc w:val="both"/>
              <w:rPr>
                <w:sz w:val="20"/>
                <w:szCs w:val="20"/>
              </w:rPr>
            </w:pPr>
            <w:r w:rsidRPr="00990396">
              <w:rPr>
                <w:sz w:val="20"/>
                <w:szCs w:val="20"/>
              </w:rPr>
              <w:t>Credit checks, policies and discounts associated with sustainability</w:t>
            </w:r>
          </w:p>
        </w:tc>
        <w:tc>
          <w:tcPr>
            <w:tcW w:w="0" w:type="auto"/>
            <w:shd w:val="clear" w:color="auto" w:fill="F2F2F2" w:themeFill="background1" w:themeFillShade="F2"/>
            <w:hideMark/>
          </w:tcPr>
          <w:p w14:paraId="67C7B733" w14:textId="77777777" w:rsidR="001A4F3D" w:rsidRPr="00990396" w:rsidRDefault="001A4F3D" w:rsidP="00004062">
            <w:pPr>
              <w:spacing w:line="240" w:lineRule="auto"/>
              <w:jc w:val="both"/>
              <w:rPr>
                <w:sz w:val="20"/>
                <w:szCs w:val="20"/>
              </w:rPr>
            </w:pPr>
            <w:r w:rsidRPr="00990396">
              <w:rPr>
                <w:sz w:val="20"/>
                <w:szCs w:val="20"/>
              </w:rPr>
              <w:t>Formal control supports disciplined credit extension</w:t>
            </w:r>
          </w:p>
        </w:tc>
        <w:tc>
          <w:tcPr>
            <w:tcW w:w="0" w:type="auto"/>
            <w:shd w:val="clear" w:color="auto" w:fill="F2F2F2" w:themeFill="background1" w:themeFillShade="F2"/>
            <w:hideMark/>
          </w:tcPr>
          <w:p w14:paraId="73CC1DEE" w14:textId="77777777" w:rsidR="001A4F3D" w:rsidRPr="00990396" w:rsidRDefault="001A4F3D" w:rsidP="00004062">
            <w:pPr>
              <w:spacing w:line="240" w:lineRule="auto"/>
              <w:jc w:val="both"/>
              <w:rPr>
                <w:sz w:val="20"/>
                <w:szCs w:val="20"/>
              </w:rPr>
            </w:pPr>
            <w:r w:rsidRPr="00990396">
              <w:rPr>
                <w:sz w:val="20"/>
                <w:szCs w:val="20"/>
              </w:rPr>
              <w:t>Non-probability, self-reported Lagos sample</w:t>
            </w:r>
          </w:p>
        </w:tc>
      </w:tr>
      <w:tr w:rsidR="001A4F3D" w:rsidRPr="00990396" w14:paraId="499376A2" w14:textId="77777777" w:rsidTr="00004062">
        <w:trPr>
          <w:trHeight w:val="688"/>
          <w:jc w:val="center"/>
        </w:trPr>
        <w:tc>
          <w:tcPr>
            <w:tcW w:w="0" w:type="auto"/>
            <w:shd w:val="clear" w:color="auto" w:fill="F2F2F2" w:themeFill="background1" w:themeFillShade="F2"/>
            <w:hideMark/>
          </w:tcPr>
          <w:p w14:paraId="71719878" w14:textId="77777777" w:rsidR="001A4F3D" w:rsidRPr="00990396" w:rsidRDefault="001A4F3D" w:rsidP="00004062">
            <w:pPr>
              <w:spacing w:line="240" w:lineRule="auto"/>
              <w:jc w:val="both"/>
              <w:rPr>
                <w:sz w:val="20"/>
                <w:szCs w:val="20"/>
              </w:rPr>
            </w:pPr>
            <w:r w:rsidRPr="00990396">
              <w:rPr>
                <w:sz w:val="20"/>
                <w:szCs w:val="20"/>
              </w:rPr>
              <w:t>Otto (2023)</w:t>
            </w:r>
          </w:p>
        </w:tc>
        <w:tc>
          <w:tcPr>
            <w:tcW w:w="0" w:type="auto"/>
            <w:shd w:val="clear" w:color="auto" w:fill="F2F2F2" w:themeFill="background1" w:themeFillShade="F2"/>
            <w:hideMark/>
          </w:tcPr>
          <w:p w14:paraId="2DF32D34" w14:textId="77777777" w:rsidR="001A4F3D" w:rsidRPr="00990396" w:rsidRDefault="001A4F3D" w:rsidP="00004062">
            <w:pPr>
              <w:spacing w:line="240" w:lineRule="auto"/>
              <w:jc w:val="both"/>
              <w:rPr>
                <w:sz w:val="20"/>
                <w:szCs w:val="20"/>
              </w:rPr>
            </w:pPr>
            <w:r w:rsidRPr="00990396">
              <w:rPr>
                <w:sz w:val="20"/>
                <w:szCs w:val="20"/>
              </w:rPr>
              <w:t>SMEs perceived trade-credit management positively</w:t>
            </w:r>
          </w:p>
        </w:tc>
        <w:tc>
          <w:tcPr>
            <w:tcW w:w="0" w:type="auto"/>
            <w:shd w:val="clear" w:color="auto" w:fill="F2F2F2" w:themeFill="background1" w:themeFillShade="F2"/>
            <w:hideMark/>
          </w:tcPr>
          <w:p w14:paraId="6519F63C" w14:textId="77777777" w:rsidR="001A4F3D" w:rsidRPr="00990396" w:rsidRDefault="001A4F3D" w:rsidP="00004062">
            <w:pPr>
              <w:spacing w:line="240" w:lineRule="auto"/>
              <w:jc w:val="both"/>
              <w:rPr>
                <w:sz w:val="20"/>
                <w:szCs w:val="20"/>
              </w:rPr>
            </w:pPr>
            <w:r w:rsidRPr="00990396">
              <w:rPr>
                <w:sz w:val="20"/>
                <w:szCs w:val="20"/>
              </w:rPr>
              <w:t>Firms recognise value of structured credit management</w:t>
            </w:r>
          </w:p>
        </w:tc>
        <w:tc>
          <w:tcPr>
            <w:tcW w:w="0" w:type="auto"/>
            <w:shd w:val="clear" w:color="auto" w:fill="F2F2F2" w:themeFill="background1" w:themeFillShade="F2"/>
            <w:hideMark/>
          </w:tcPr>
          <w:p w14:paraId="30084D8A" w14:textId="77777777" w:rsidR="001A4F3D" w:rsidRPr="00990396" w:rsidRDefault="001A4F3D" w:rsidP="00004062">
            <w:pPr>
              <w:spacing w:line="240" w:lineRule="auto"/>
              <w:jc w:val="both"/>
              <w:rPr>
                <w:sz w:val="20"/>
                <w:szCs w:val="20"/>
              </w:rPr>
            </w:pPr>
            <w:r w:rsidRPr="00990396">
              <w:rPr>
                <w:sz w:val="20"/>
                <w:szCs w:val="20"/>
              </w:rPr>
              <w:t>Very low usable response rate</w:t>
            </w:r>
          </w:p>
        </w:tc>
      </w:tr>
      <w:tr w:rsidR="001A4F3D" w:rsidRPr="00990396" w14:paraId="28BF2670" w14:textId="77777777" w:rsidTr="00004062">
        <w:trPr>
          <w:trHeight w:val="688"/>
          <w:jc w:val="center"/>
        </w:trPr>
        <w:tc>
          <w:tcPr>
            <w:tcW w:w="0" w:type="auto"/>
            <w:shd w:val="clear" w:color="auto" w:fill="F2F2F2" w:themeFill="background1" w:themeFillShade="F2"/>
            <w:hideMark/>
          </w:tcPr>
          <w:p w14:paraId="393AF3FA" w14:textId="77777777" w:rsidR="001A4F3D" w:rsidRPr="00990396" w:rsidRDefault="001A4F3D" w:rsidP="00004062">
            <w:pPr>
              <w:spacing w:line="240" w:lineRule="auto"/>
              <w:jc w:val="both"/>
              <w:rPr>
                <w:sz w:val="20"/>
                <w:szCs w:val="20"/>
              </w:rPr>
            </w:pPr>
            <w:r w:rsidRPr="00990396">
              <w:rPr>
                <w:sz w:val="20"/>
                <w:szCs w:val="20"/>
              </w:rPr>
              <w:t>Al-Eitan et al. (2023)</w:t>
            </w:r>
          </w:p>
        </w:tc>
        <w:tc>
          <w:tcPr>
            <w:tcW w:w="0" w:type="auto"/>
            <w:shd w:val="clear" w:color="auto" w:fill="F2F2F2" w:themeFill="background1" w:themeFillShade="F2"/>
            <w:hideMark/>
          </w:tcPr>
          <w:p w14:paraId="25AE9078" w14:textId="77777777" w:rsidR="001A4F3D" w:rsidRPr="00990396" w:rsidRDefault="001A4F3D" w:rsidP="00004062">
            <w:pPr>
              <w:spacing w:line="240" w:lineRule="auto"/>
              <w:jc w:val="both"/>
              <w:rPr>
                <w:sz w:val="20"/>
                <w:szCs w:val="20"/>
              </w:rPr>
            </w:pPr>
            <w:r w:rsidRPr="00990396">
              <w:rPr>
                <w:sz w:val="20"/>
                <w:szCs w:val="20"/>
              </w:rPr>
              <w:t>Payables positive; receivables detrimental</w:t>
            </w:r>
          </w:p>
        </w:tc>
        <w:tc>
          <w:tcPr>
            <w:tcW w:w="0" w:type="auto"/>
            <w:shd w:val="clear" w:color="auto" w:fill="F2F2F2" w:themeFill="background1" w:themeFillShade="F2"/>
            <w:hideMark/>
          </w:tcPr>
          <w:p w14:paraId="34E90C7C" w14:textId="77777777" w:rsidR="001A4F3D" w:rsidRPr="00990396" w:rsidRDefault="001A4F3D" w:rsidP="00004062">
            <w:pPr>
              <w:spacing w:line="240" w:lineRule="auto"/>
              <w:jc w:val="both"/>
              <w:rPr>
                <w:sz w:val="20"/>
                <w:szCs w:val="20"/>
              </w:rPr>
            </w:pPr>
            <w:r w:rsidRPr="00990396">
              <w:rPr>
                <w:sz w:val="20"/>
                <w:szCs w:val="20"/>
              </w:rPr>
              <w:t>Financing burden differs between granting and receiving credit</w:t>
            </w:r>
          </w:p>
        </w:tc>
        <w:tc>
          <w:tcPr>
            <w:tcW w:w="0" w:type="auto"/>
            <w:shd w:val="clear" w:color="auto" w:fill="F2F2F2" w:themeFill="background1" w:themeFillShade="F2"/>
            <w:hideMark/>
          </w:tcPr>
          <w:p w14:paraId="6B90B00F" w14:textId="77777777" w:rsidR="001A4F3D" w:rsidRPr="00990396" w:rsidRDefault="001A4F3D" w:rsidP="00004062">
            <w:pPr>
              <w:spacing w:line="240" w:lineRule="auto"/>
              <w:jc w:val="both"/>
              <w:rPr>
                <w:sz w:val="20"/>
                <w:szCs w:val="20"/>
              </w:rPr>
            </w:pPr>
            <w:r w:rsidRPr="00990396">
              <w:rPr>
                <w:sz w:val="20"/>
                <w:szCs w:val="20"/>
              </w:rPr>
              <w:t>Only 38 listed Jordanian firms</w:t>
            </w:r>
          </w:p>
        </w:tc>
      </w:tr>
      <w:tr w:rsidR="001A4F3D" w:rsidRPr="00990396" w14:paraId="7EB9911D" w14:textId="77777777" w:rsidTr="00004062">
        <w:trPr>
          <w:trHeight w:val="688"/>
          <w:jc w:val="center"/>
        </w:trPr>
        <w:tc>
          <w:tcPr>
            <w:tcW w:w="0" w:type="auto"/>
            <w:shd w:val="clear" w:color="auto" w:fill="F2F2F2" w:themeFill="background1" w:themeFillShade="F2"/>
            <w:hideMark/>
          </w:tcPr>
          <w:p w14:paraId="48325B3F" w14:textId="77777777" w:rsidR="001A4F3D" w:rsidRPr="00990396" w:rsidRDefault="001A4F3D" w:rsidP="00004062">
            <w:pPr>
              <w:spacing w:line="240" w:lineRule="auto"/>
              <w:jc w:val="both"/>
              <w:rPr>
                <w:sz w:val="20"/>
                <w:szCs w:val="20"/>
              </w:rPr>
            </w:pPr>
            <w:r w:rsidRPr="00990396">
              <w:rPr>
                <w:sz w:val="20"/>
                <w:szCs w:val="20"/>
              </w:rPr>
              <w:t>Kaya (2024)</w:t>
            </w:r>
          </w:p>
        </w:tc>
        <w:tc>
          <w:tcPr>
            <w:tcW w:w="0" w:type="auto"/>
            <w:shd w:val="clear" w:color="auto" w:fill="F2F2F2" w:themeFill="background1" w:themeFillShade="F2"/>
            <w:hideMark/>
          </w:tcPr>
          <w:p w14:paraId="4EE36171" w14:textId="77777777" w:rsidR="001A4F3D" w:rsidRPr="00990396" w:rsidRDefault="001A4F3D" w:rsidP="00004062">
            <w:pPr>
              <w:spacing w:line="240" w:lineRule="auto"/>
              <w:jc w:val="both"/>
              <w:rPr>
                <w:sz w:val="20"/>
                <w:szCs w:val="20"/>
              </w:rPr>
            </w:pPr>
            <w:r w:rsidRPr="00990396">
              <w:rPr>
                <w:sz w:val="20"/>
                <w:szCs w:val="20"/>
              </w:rPr>
              <w:t>Late payments increased financing constraints and costs</w:t>
            </w:r>
          </w:p>
        </w:tc>
        <w:tc>
          <w:tcPr>
            <w:tcW w:w="0" w:type="auto"/>
            <w:shd w:val="clear" w:color="auto" w:fill="F2F2F2" w:themeFill="background1" w:themeFillShade="F2"/>
            <w:hideMark/>
          </w:tcPr>
          <w:p w14:paraId="041E18ED" w14:textId="77777777" w:rsidR="001A4F3D" w:rsidRPr="00990396" w:rsidRDefault="001A4F3D" w:rsidP="00004062">
            <w:pPr>
              <w:spacing w:line="240" w:lineRule="auto"/>
              <w:jc w:val="both"/>
              <w:rPr>
                <w:sz w:val="20"/>
                <w:szCs w:val="20"/>
              </w:rPr>
            </w:pPr>
            <w:r w:rsidRPr="00990396">
              <w:rPr>
                <w:sz w:val="20"/>
                <w:szCs w:val="20"/>
              </w:rPr>
              <w:t>Involuntary delay creates liquidity and funding pressure</w:t>
            </w:r>
          </w:p>
        </w:tc>
        <w:tc>
          <w:tcPr>
            <w:tcW w:w="0" w:type="auto"/>
            <w:shd w:val="clear" w:color="auto" w:fill="F2F2F2" w:themeFill="background1" w:themeFillShade="F2"/>
            <w:hideMark/>
          </w:tcPr>
          <w:p w14:paraId="11AEECA8" w14:textId="77777777" w:rsidR="001A4F3D" w:rsidRPr="00990396" w:rsidRDefault="001A4F3D" w:rsidP="00004062">
            <w:pPr>
              <w:spacing w:line="240" w:lineRule="auto"/>
              <w:jc w:val="both"/>
              <w:rPr>
                <w:sz w:val="20"/>
                <w:szCs w:val="20"/>
              </w:rPr>
            </w:pPr>
            <w:r w:rsidRPr="00990396">
              <w:rPr>
                <w:sz w:val="20"/>
                <w:szCs w:val="20"/>
              </w:rPr>
              <w:t>Repeated cross-sectional evidence</w:t>
            </w:r>
          </w:p>
        </w:tc>
      </w:tr>
      <w:tr w:rsidR="001A4F3D" w:rsidRPr="00990396" w14:paraId="6A5E380E" w14:textId="77777777" w:rsidTr="00004062">
        <w:trPr>
          <w:trHeight w:val="688"/>
          <w:jc w:val="center"/>
        </w:trPr>
        <w:tc>
          <w:tcPr>
            <w:tcW w:w="0" w:type="auto"/>
            <w:shd w:val="clear" w:color="auto" w:fill="F2F2F2" w:themeFill="background1" w:themeFillShade="F2"/>
            <w:hideMark/>
          </w:tcPr>
          <w:p w14:paraId="30010C8F" w14:textId="77777777" w:rsidR="001A4F3D" w:rsidRPr="00990396" w:rsidRDefault="001A4F3D" w:rsidP="00004062">
            <w:pPr>
              <w:spacing w:line="240" w:lineRule="auto"/>
              <w:jc w:val="both"/>
              <w:rPr>
                <w:sz w:val="20"/>
                <w:szCs w:val="20"/>
              </w:rPr>
            </w:pPr>
            <w:r w:rsidRPr="00990396">
              <w:rPr>
                <w:sz w:val="20"/>
                <w:szCs w:val="20"/>
              </w:rPr>
              <w:t>Lefebvre (2023)</w:t>
            </w:r>
          </w:p>
        </w:tc>
        <w:tc>
          <w:tcPr>
            <w:tcW w:w="0" w:type="auto"/>
            <w:shd w:val="clear" w:color="auto" w:fill="F2F2F2" w:themeFill="background1" w:themeFillShade="F2"/>
            <w:hideMark/>
          </w:tcPr>
          <w:p w14:paraId="334B89B7" w14:textId="77777777" w:rsidR="001A4F3D" w:rsidRPr="00990396" w:rsidRDefault="001A4F3D" w:rsidP="00004062">
            <w:pPr>
              <w:spacing w:line="240" w:lineRule="auto"/>
              <w:jc w:val="both"/>
              <w:rPr>
                <w:sz w:val="20"/>
                <w:szCs w:val="20"/>
              </w:rPr>
            </w:pPr>
            <w:r w:rsidRPr="00990396">
              <w:rPr>
                <w:sz w:val="20"/>
                <w:szCs w:val="20"/>
              </w:rPr>
              <w:t>Longer payment periods supported growth in reliable systems</w:t>
            </w:r>
          </w:p>
        </w:tc>
        <w:tc>
          <w:tcPr>
            <w:tcW w:w="0" w:type="auto"/>
            <w:shd w:val="clear" w:color="auto" w:fill="F2F2F2" w:themeFill="background1" w:themeFillShade="F2"/>
            <w:hideMark/>
          </w:tcPr>
          <w:p w14:paraId="73EEFB0F" w14:textId="77777777" w:rsidR="001A4F3D" w:rsidRPr="00990396" w:rsidRDefault="001A4F3D" w:rsidP="00004062">
            <w:pPr>
              <w:spacing w:line="240" w:lineRule="auto"/>
              <w:jc w:val="both"/>
              <w:rPr>
                <w:sz w:val="20"/>
                <w:szCs w:val="20"/>
              </w:rPr>
            </w:pPr>
            <w:r w:rsidRPr="00990396">
              <w:rPr>
                <w:sz w:val="20"/>
                <w:szCs w:val="20"/>
              </w:rPr>
              <w:t>Strategic credit can create commercial value</w:t>
            </w:r>
          </w:p>
        </w:tc>
        <w:tc>
          <w:tcPr>
            <w:tcW w:w="0" w:type="auto"/>
            <w:shd w:val="clear" w:color="auto" w:fill="F2F2F2" w:themeFill="background1" w:themeFillShade="F2"/>
            <w:hideMark/>
          </w:tcPr>
          <w:p w14:paraId="32225687" w14:textId="77777777" w:rsidR="001A4F3D" w:rsidRPr="00990396" w:rsidRDefault="001A4F3D" w:rsidP="00004062">
            <w:pPr>
              <w:spacing w:line="240" w:lineRule="auto"/>
              <w:jc w:val="both"/>
              <w:rPr>
                <w:sz w:val="20"/>
                <w:szCs w:val="20"/>
              </w:rPr>
            </w:pPr>
            <w:r w:rsidRPr="00990396">
              <w:rPr>
                <w:sz w:val="20"/>
                <w:szCs w:val="20"/>
              </w:rPr>
              <w:t>Observational cross-country design</w:t>
            </w:r>
          </w:p>
        </w:tc>
      </w:tr>
      <w:tr w:rsidR="001A4F3D" w:rsidRPr="00990396" w14:paraId="142717BA" w14:textId="77777777" w:rsidTr="00004062">
        <w:trPr>
          <w:trHeight w:val="688"/>
          <w:jc w:val="center"/>
        </w:trPr>
        <w:tc>
          <w:tcPr>
            <w:tcW w:w="0" w:type="auto"/>
            <w:shd w:val="clear" w:color="auto" w:fill="F2F2F2" w:themeFill="background1" w:themeFillShade="F2"/>
            <w:hideMark/>
          </w:tcPr>
          <w:p w14:paraId="3B996813" w14:textId="77777777" w:rsidR="001A4F3D" w:rsidRPr="00990396" w:rsidRDefault="001A4F3D" w:rsidP="00004062">
            <w:pPr>
              <w:spacing w:line="240" w:lineRule="auto"/>
              <w:jc w:val="both"/>
              <w:rPr>
                <w:sz w:val="20"/>
                <w:szCs w:val="20"/>
              </w:rPr>
            </w:pPr>
            <w:r w:rsidRPr="00990396">
              <w:rPr>
                <w:sz w:val="20"/>
                <w:szCs w:val="20"/>
              </w:rPr>
              <w:t>Del Gaudio et al. (2022)</w:t>
            </w:r>
          </w:p>
        </w:tc>
        <w:tc>
          <w:tcPr>
            <w:tcW w:w="0" w:type="auto"/>
            <w:shd w:val="clear" w:color="auto" w:fill="F2F2F2" w:themeFill="background1" w:themeFillShade="F2"/>
            <w:hideMark/>
          </w:tcPr>
          <w:p w14:paraId="073A6577" w14:textId="77777777" w:rsidR="001A4F3D" w:rsidRPr="00990396" w:rsidRDefault="001A4F3D" w:rsidP="00004062">
            <w:pPr>
              <w:spacing w:line="240" w:lineRule="auto"/>
              <w:jc w:val="both"/>
              <w:rPr>
                <w:sz w:val="20"/>
                <w:szCs w:val="20"/>
              </w:rPr>
            </w:pPr>
            <w:r w:rsidRPr="00990396">
              <w:rPr>
                <w:sz w:val="20"/>
                <w:szCs w:val="20"/>
              </w:rPr>
              <w:t>Trade credit increased bank-loan approval probability</w:t>
            </w:r>
          </w:p>
        </w:tc>
        <w:tc>
          <w:tcPr>
            <w:tcW w:w="0" w:type="auto"/>
            <w:shd w:val="clear" w:color="auto" w:fill="F2F2F2" w:themeFill="background1" w:themeFillShade="F2"/>
            <w:hideMark/>
          </w:tcPr>
          <w:p w14:paraId="6653416C" w14:textId="77777777" w:rsidR="001A4F3D" w:rsidRPr="00990396" w:rsidRDefault="001A4F3D" w:rsidP="00004062">
            <w:pPr>
              <w:spacing w:line="240" w:lineRule="auto"/>
              <w:jc w:val="both"/>
              <w:rPr>
                <w:sz w:val="20"/>
                <w:szCs w:val="20"/>
              </w:rPr>
            </w:pPr>
            <w:r w:rsidRPr="00990396">
              <w:rPr>
                <w:sz w:val="20"/>
                <w:szCs w:val="20"/>
              </w:rPr>
              <w:t>Supplier credit can signal borrower quality</w:t>
            </w:r>
          </w:p>
        </w:tc>
        <w:tc>
          <w:tcPr>
            <w:tcW w:w="0" w:type="auto"/>
            <w:shd w:val="clear" w:color="auto" w:fill="F2F2F2" w:themeFill="background1" w:themeFillShade="F2"/>
            <w:hideMark/>
          </w:tcPr>
          <w:p w14:paraId="2301B91B" w14:textId="77777777" w:rsidR="001A4F3D" w:rsidRPr="00990396" w:rsidRDefault="001A4F3D" w:rsidP="00004062">
            <w:pPr>
              <w:spacing w:line="240" w:lineRule="auto"/>
              <w:jc w:val="both"/>
              <w:rPr>
                <w:sz w:val="20"/>
                <w:szCs w:val="20"/>
              </w:rPr>
            </w:pPr>
            <w:r w:rsidRPr="00990396">
              <w:rPr>
                <w:sz w:val="20"/>
                <w:szCs w:val="20"/>
              </w:rPr>
              <w:t>One country and one banking context</w:t>
            </w:r>
          </w:p>
        </w:tc>
      </w:tr>
      <w:tr w:rsidR="001A4F3D" w:rsidRPr="00990396" w14:paraId="78615754" w14:textId="77777777" w:rsidTr="00004062">
        <w:trPr>
          <w:trHeight w:val="688"/>
          <w:jc w:val="center"/>
        </w:trPr>
        <w:tc>
          <w:tcPr>
            <w:tcW w:w="0" w:type="auto"/>
            <w:shd w:val="clear" w:color="auto" w:fill="F2F2F2" w:themeFill="background1" w:themeFillShade="F2"/>
            <w:hideMark/>
          </w:tcPr>
          <w:p w14:paraId="3AC60905" w14:textId="77777777" w:rsidR="001A4F3D" w:rsidRPr="00990396" w:rsidRDefault="001A4F3D" w:rsidP="00004062">
            <w:pPr>
              <w:spacing w:line="240" w:lineRule="auto"/>
              <w:jc w:val="both"/>
              <w:rPr>
                <w:sz w:val="20"/>
                <w:szCs w:val="20"/>
              </w:rPr>
            </w:pPr>
            <w:r w:rsidRPr="00990396">
              <w:rPr>
                <w:sz w:val="20"/>
                <w:szCs w:val="20"/>
              </w:rPr>
              <w:t>Baker et al. (2022)</w:t>
            </w:r>
          </w:p>
        </w:tc>
        <w:tc>
          <w:tcPr>
            <w:tcW w:w="0" w:type="auto"/>
            <w:shd w:val="clear" w:color="auto" w:fill="F2F2F2" w:themeFill="background1" w:themeFillShade="F2"/>
            <w:hideMark/>
          </w:tcPr>
          <w:p w14:paraId="5A54E579" w14:textId="77777777" w:rsidR="001A4F3D" w:rsidRPr="00990396" w:rsidRDefault="001A4F3D" w:rsidP="00004062">
            <w:pPr>
              <w:spacing w:line="240" w:lineRule="auto"/>
              <w:jc w:val="both"/>
              <w:rPr>
                <w:sz w:val="20"/>
                <w:szCs w:val="20"/>
              </w:rPr>
            </w:pPr>
            <w:r w:rsidRPr="00990396">
              <w:rPr>
                <w:sz w:val="20"/>
                <w:szCs w:val="20"/>
              </w:rPr>
              <w:t>Inverted-U credit–profitability relationship</w:t>
            </w:r>
          </w:p>
        </w:tc>
        <w:tc>
          <w:tcPr>
            <w:tcW w:w="0" w:type="auto"/>
            <w:shd w:val="clear" w:color="auto" w:fill="F2F2F2" w:themeFill="background1" w:themeFillShade="F2"/>
            <w:hideMark/>
          </w:tcPr>
          <w:p w14:paraId="05F438F0" w14:textId="77777777" w:rsidR="001A4F3D" w:rsidRPr="00990396" w:rsidRDefault="001A4F3D" w:rsidP="00004062">
            <w:pPr>
              <w:spacing w:line="240" w:lineRule="auto"/>
              <w:jc w:val="both"/>
              <w:rPr>
                <w:sz w:val="20"/>
                <w:szCs w:val="20"/>
              </w:rPr>
            </w:pPr>
            <w:r w:rsidRPr="00990396">
              <w:rPr>
                <w:sz w:val="20"/>
                <w:szCs w:val="20"/>
              </w:rPr>
              <w:t>Benefits decline after an efficient level</w:t>
            </w:r>
          </w:p>
        </w:tc>
        <w:tc>
          <w:tcPr>
            <w:tcW w:w="0" w:type="auto"/>
            <w:shd w:val="clear" w:color="auto" w:fill="F2F2F2" w:themeFill="background1" w:themeFillShade="F2"/>
            <w:hideMark/>
          </w:tcPr>
          <w:p w14:paraId="05390AD6" w14:textId="77777777" w:rsidR="001A4F3D" w:rsidRPr="00990396" w:rsidRDefault="001A4F3D" w:rsidP="00004062">
            <w:pPr>
              <w:spacing w:line="240" w:lineRule="auto"/>
              <w:jc w:val="both"/>
              <w:rPr>
                <w:sz w:val="20"/>
                <w:szCs w:val="20"/>
              </w:rPr>
            </w:pPr>
            <w:r w:rsidRPr="00990396">
              <w:rPr>
                <w:sz w:val="20"/>
                <w:szCs w:val="20"/>
              </w:rPr>
              <w:t>Indian listed corporations rather than SMEs</w:t>
            </w:r>
          </w:p>
        </w:tc>
      </w:tr>
    </w:tbl>
    <w:p w14:paraId="51BAAC36" w14:textId="77777777" w:rsidR="009D0313" w:rsidRPr="00990396" w:rsidRDefault="009D0313" w:rsidP="00990396">
      <w:pPr>
        <w:jc w:val="both"/>
      </w:pPr>
      <w:r w:rsidRPr="00990396">
        <w:t xml:space="preserve">It is also evident from the evidence that trade credit can add value if it is used purposefully and strategically for purposes of growth, relationship or external financing. Contrary to this presumed preference for shorter credit terms, Lefebvre (2023) discovered that the longer the payment period, the better were the SME sales and employment growth in cases of reliable national payment conditions. Del Gaudio et al. (2022) also demonstrated, based on confidential data at the bank–firm level in Italy, how the rise in trade credit raised the chances of SMEs for bank finance, especially for opaque borrowers. The proprietary lending data would be very useful for behavioural relevance and would indicate that there is a signal effect that </w:t>
      </w:r>
      <w:r w:rsidRPr="00990396">
        <w:lastRenderedPageBreak/>
        <w:t xml:space="preserve">banks may use to dampen the informational uncertainty. But both studies do not prove that granting more credit directly boosts profit. While Lefebvre's observational design cannot rule out the possibility that the more credit-worthy firms can provide more generous credit terms, Del Gaudio et al. (2022) </w:t>
      </w:r>
      <w:proofErr w:type="spellStart"/>
      <w:r w:rsidRPr="00990396">
        <w:t>analyzed</w:t>
      </w:r>
      <w:proofErr w:type="spellEnd"/>
      <w:r w:rsidRPr="00990396">
        <w:t xml:space="preserve"> one bank and one loan approval but not actual credit returns. This is not an attack on the late-payment evidence, but rather an amendment to it. Monitored trade credit (voluntary) can be beneficial for commerce growth and credibility, while uncontrolled overdue receivables lead to liquidity and financing costs. The difference is critical for UK SMEs between deliberate credit policy and credit policy that cannot be managed by the business. This distinction should be </w:t>
      </w:r>
      <w:proofErr w:type="gramStart"/>
      <w:r w:rsidRPr="00990396">
        <w:t>taken into account</w:t>
      </w:r>
      <w:proofErr w:type="gramEnd"/>
      <w:r w:rsidRPr="00990396">
        <w:t xml:space="preserve"> when interpreting the ratios of receivables and should not be interpreted as a sign of poor management simply because the payment period is extended.</w:t>
      </w:r>
    </w:p>
    <w:p w14:paraId="0BFB3F2D" w14:textId="5DA577D4" w:rsidR="001A4F3D" w:rsidRPr="00990396" w:rsidRDefault="009D0313" w:rsidP="00990396">
      <w:pPr>
        <w:jc w:val="both"/>
      </w:pPr>
      <w:r w:rsidRPr="00990396">
        <w:t xml:space="preserve">The two pieces of credit evidence thus suggest an inverse relationship between trade credit and financial outcomes which is conditional on context. Baker et al (2022) found an inverted-U relationship between trade credit and profitability for Indian listed corporations; this is a useful conceptual link between the growth benefits and receivables costs literature. When it comes to moderate levels, credit can encourage sales and build the business relationship, but at a point beyond efficient, financing cost, default exposure and delayed cash conversion can exceed benefits. However, the listed Indian sample used by Baker et al. (2022) is </w:t>
      </w:r>
      <w:proofErr w:type="gramStart"/>
      <w:r w:rsidRPr="00990396">
        <w:t>definitely dissimilar</w:t>
      </w:r>
      <w:proofErr w:type="gramEnd"/>
      <w:r w:rsidRPr="00990396">
        <w:t xml:space="preserve"> to the UK SMEs and accounting regressions do not fully address simultaneity between profitable growth and credit provision. Together with Kaya (2024), Lefebvre (2023) and Del Gaudio et al. (2022), the more defensible conclusion is that credit-management quality is more important than just credit volume. Compliance with screening, limits, documented terms and ongoing monitoring and collection discipline can ensure the strategic advantage of trade credit while mitigating the default and liquidity risks. The evidence base for the UK is much less robust, however. No study examined in this review tracks both credit-management practices and objective financial performance and late-payment experience in a representative sample of UK SMEs. The theme thus suggests a positive correlation between disciplined credit-risk management and performance, yet the nature of this connection will depend on payment institutions, customer power, access to financing and firm capability. Therefore, there is still a need to have UK specific evidence before prescribing uniform credit policies</w:t>
      </w:r>
      <w:r w:rsidR="001A4F3D" w:rsidRPr="00990396">
        <w:t>.</w:t>
      </w:r>
    </w:p>
    <w:p w14:paraId="40B35473" w14:textId="4E974A7A" w:rsidR="001A4F3D" w:rsidRPr="00990396" w:rsidRDefault="001A4F3D" w:rsidP="00990396">
      <w:pPr>
        <w:pStyle w:val="Heading2"/>
        <w:jc w:val="both"/>
        <w:rPr>
          <w:rFonts w:cstheme="minorBidi"/>
        </w:rPr>
      </w:pPr>
      <w:bookmarkStart w:id="50" w:name="_Toc241147033"/>
      <w:r w:rsidRPr="00990396">
        <w:rPr>
          <w:rFonts w:cstheme="minorBidi"/>
        </w:rPr>
        <w:t>Theme Three: Adaptive Market-Risk Capability</w:t>
      </w:r>
      <w:bookmarkEnd w:id="50"/>
    </w:p>
    <w:p w14:paraId="17ED8289" w14:textId="77777777" w:rsidR="009D0313" w:rsidRPr="00990396" w:rsidRDefault="009D0313" w:rsidP="00990396">
      <w:pPr>
        <w:jc w:val="both"/>
      </w:pPr>
      <w:r w:rsidRPr="00990396">
        <w:t xml:space="preserve">The third key theme relates to adaptive market-risk capability, starting with the UK SMEs being materially affected by exchange-rate fluctuations. </w:t>
      </w:r>
      <w:proofErr w:type="spellStart"/>
      <w:r w:rsidRPr="00990396">
        <w:t>Belghitar</w:t>
      </w:r>
      <w:proofErr w:type="spellEnd"/>
      <w:r w:rsidRPr="00990396">
        <w:t xml:space="preserve"> et al. (2021) examined 250 non-financial SMEs in the UK and found that the volatility of the sterling, dollar and euro call for asymmetric reactions from non-financial SMEs. The study is of great relevance as it directly </w:t>
      </w:r>
      <w:r w:rsidRPr="00990396">
        <w:lastRenderedPageBreak/>
        <w:t xml:space="preserve">targets UK SMEs and provides empirical evidence that the impact of currency exposure on market behaviour can vary between different firms and times. The sample is made up of </w:t>
      </w:r>
      <w:proofErr w:type="gramStart"/>
      <w:r w:rsidRPr="00990396">
        <w:t>publicly-traded</w:t>
      </w:r>
      <w:proofErr w:type="gramEnd"/>
      <w:r w:rsidRPr="00990396">
        <w:t xml:space="preserve"> SMEs, however, which tend to be larger and more financially advanced than private businesses, and stock returns are therefore indicative of investor expectations, not operating profitability. More crucially, the study does not directly observe hedging </w:t>
      </w:r>
      <w:proofErr w:type="gramStart"/>
      <w:r w:rsidRPr="00990396">
        <w:t>behaviour, but</w:t>
      </w:r>
      <w:proofErr w:type="gramEnd"/>
      <w:r w:rsidRPr="00990396">
        <w:t xml:space="preserve"> rather measures exposure. Dang and Lindsay (2022) </w:t>
      </w:r>
      <w:proofErr w:type="gramStart"/>
      <w:r w:rsidRPr="00990396">
        <w:t>builds</w:t>
      </w:r>
      <w:proofErr w:type="gramEnd"/>
      <w:r w:rsidRPr="00990396">
        <w:t xml:space="preserve"> on this void by </w:t>
      </w:r>
      <w:proofErr w:type="spellStart"/>
      <w:r w:rsidRPr="00990396">
        <w:t>analyzing</w:t>
      </w:r>
      <w:proofErr w:type="spellEnd"/>
      <w:r w:rsidRPr="00990396">
        <w:t xml:space="preserve"> 177 exporting SMEs in Australia and New Zealand and revealing the relationship between organisational and human resources and foreign-exchange hedging strategy. They adopt factor analysis and structural equation modelling in assessing the construct, which helps increase construct assessment, but because they rely on cross sectional self-report and do not use a direct performance outcome, the causal interpretation is limited. Combined, these studies suggest that the exposure to market risk is not enough to explain results. Financial performance is partly related to the knowledge, systems and resources that firms </w:t>
      </w:r>
      <w:proofErr w:type="gramStart"/>
      <w:r w:rsidRPr="00990396">
        <w:t>have to</w:t>
      </w:r>
      <w:proofErr w:type="gramEnd"/>
      <w:r w:rsidRPr="00990396">
        <w:t xml:space="preserve"> recognize the currency sensitivity and adjust accordingly, e.g., by hedging, adjusting prices or matching operations. This capability differentiation is particularly significant in cases where SMEs are importing from or exporting to foreign </w:t>
      </w:r>
      <w:proofErr w:type="gramStart"/>
      <w:r w:rsidRPr="00990396">
        <w:t>markets, or</w:t>
      </w:r>
      <w:proofErr w:type="gramEnd"/>
      <w:r w:rsidRPr="00990396">
        <w:t xml:space="preserve"> billing their customers in different currencies.</w:t>
      </w:r>
    </w:p>
    <w:p w14:paraId="715E2AB4" w14:textId="140BB785" w:rsidR="001A4F3D" w:rsidRPr="00990396" w:rsidRDefault="009D0313" w:rsidP="00990396">
      <w:pPr>
        <w:jc w:val="both"/>
      </w:pPr>
      <w:r w:rsidRPr="00990396">
        <w:t xml:space="preserve">The other market risk pattern relates to uncertainty regarding economic policy and its ability to undermine financial results, even if not involve in the direct trading of currencies or commodities. In a Spanish context, Orden-Cruz et al. (2024) used system GMM to analyse 80,620 Spanish SMEs and concluded that policy uncertainty decreased the financial performance of the firms, depending on the sector and firm characteristics. The powerful panel and dynamic estimator </w:t>
      </w:r>
      <w:proofErr w:type="gramStart"/>
      <w:r w:rsidRPr="00990396">
        <w:t>enhances</w:t>
      </w:r>
      <w:proofErr w:type="gramEnd"/>
      <w:r w:rsidRPr="00990396">
        <w:t xml:space="preserve"> inference, but an aggregate uncertainty index fails to identify which managerial practices shielded individual firms. In a similar study of 145,611 European SMEs, </w:t>
      </w:r>
      <w:proofErr w:type="spellStart"/>
      <w:r w:rsidRPr="00990396">
        <w:t>Hawach</w:t>
      </w:r>
      <w:proofErr w:type="spellEnd"/>
      <w:r w:rsidRPr="00990396">
        <w:t xml:space="preserve"> and </w:t>
      </w:r>
      <w:proofErr w:type="spellStart"/>
      <w:r w:rsidRPr="00990396">
        <w:t>Requeyo</w:t>
      </w:r>
      <w:proofErr w:type="spellEnd"/>
      <w:r w:rsidRPr="00990396">
        <w:t xml:space="preserve"> (2025) found that policy uncertainty raised the risk of a financial distress is a greater risk for SMEs, while family ownership and performance aspirations reduced the risk. The scale of their cross-country has an external broadening effect, but distress is a modelled outcome and differences in national institutions are not easy to separate. These studies move the focus of the analysis from market-risk instruments to organisational resilience. Market uncertainty can have an impact on the expectations of demand, financing, investment timing and cash needs, and can lead to performance consequences even if there is no directly visible trading loss</w:t>
      </w:r>
      <w:r w:rsidR="001A4F3D" w:rsidRPr="00990396">
        <w:t xml:space="preserve">. </w:t>
      </w:r>
      <w:r w:rsidRPr="00990396">
        <w:t xml:space="preserve">The findings indicate that scenario planning, flexible financing and responsive pricing are important aspects of market-risk management for UK SMEs in addition to formal hedging. </w:t>
      </w:r>
      <w:proofErr w:type="gramStart"/>
      <w:r w:rsidRPr="00990396">
        <w:t>Both of these</w:t>
      </w:r>
      <w:proofErr w:type="gramEnd"/>
      <w:r w:rsidRPr="00990396">
        <w:t xml:space="preserve"> studies co-relate exposure and moderation, but because they do not directly measure these practices, the evidence is more compelling for exposure and moderation than for the effectiveness of specific </w:t>
      </w:r>
      <w:r w:rsidRPr="00990396">
        <w:lastRenderedPageBreak/>
        <w:t xml:space="preserve">risk-management responses. This distinction does not expand the breadth of causal </w:t>
      </w:r>
      <w:proofErr w:type="gramStart"/>
      <w:r w:rsidRPr="00990396">
        <w:t>claims, but</w:t>
      </w:r>
      <w:proofErr w:type="gramEnd"/>
      <w:r w:rsidRPr="00990396">
        <w:t xml:space="preserve"> can enhance the preparedness argument in the face of uncertainty on the part of SMEs</w:t>
      </w:r>
      <w:r w:rsidR="001A4F3D" w:rsidRPr="00990396">
        <w:t>.</w:t>
      </w:r>
    </w:p>
    <w:p w14:paraId="26E262CA" w14:textId="4FAF5793" w:rsidR="001A4F3D" w:rsidRPr="00990396" w:rsidRDefault="001A4F3D" w:rsidP="00004062">
      <w:pPr>
        <w:pStyle w:val="Caption"/>
        <w:keepNext/>
        <w:spacing w:line="360" w:lineRule="auto"/>
        <w:jc w:val="center"/>
      </w:pPr>
      <w:bookmarkStart w:id="51" w:name="_Toc241147055"/>
      <w:r w:rsidRPr="00990396">
        <w:t xml:space="preserve">Table </w:t>
      </w:r>
      <w:fldSimple w:instr=" SEQ Table \* ARABIC ">
        <w:r w:rsidRPr="00990396">
          <w:rPr>
            <w:noProof/>
          </w:rPr>
          <w:t>5</w:t>
        </w:r>
      </w:fldSimple>
      <w:r w:rsidRPr="00990396">
        <w:t xml:space="preserve"> Evidence Supporting the Market-Risk Theme</w:t>
      </w:r>
      <w:bookmarkEnd w:id="51"/>
    </w:p>
    <w:tbl>
      <w:tblPr>
        <w:tblStyle w:val="TableGrid"/>
        <w:tblW w:w="8924" w:type="dxa"/>
        <w:jc w:val="center"/>
        <w:shd w:val="clear" w:color="auto" w:fill="F2F2F2" w:themeFill="background1" w:themeFillShade="F2"/>
        <w:tblLook w:val="04A0" w:firstRow="1" w:lastRow="0" w:firstColumn="1" w:lastColumn="0" w:noHBand="0" w:noVBand="1"/>
      </w:tblPr>
      <w:tblGrid>
        <w:gridCol w:w="1758"/>
        <w:gridCol w:w="2771"/>
        <w:gridCol w:w="2139"/>
        <w:gridCol w:w="2256"/>
      </w:tblGrid>
      <w:tr w:rsidR="001A4F3D" w:rsidRPr="00990396" w14:paraId="0588488C" w14:textId="77777777" w:rsidTr="00004062">
        <w:trPr>
          <w:trHeight w:val="690"/>
          <w:jc w:val="center"/>
        </w:trPr>
        <w:tc>
          <w:tcPr>
            <w:tcW w:w="0" w:type="auto"/>
            <w:shd w:val="clear" w:color="auto" w:fill="F2F2F2" w:themeFill="background1" w:themeFillShade="F2"/>
            <w:hideMark/>
          </w:tcPr>
          <w:p w14:paraId="44993F1D" w14:textId="77777777" w:rsidR="001A4F3D" w:rsidRPr="00990396" w:rsidRDefault="001A4F3D" w:rsidP="00004062">
            <w:pPr>
              <w:spacing w:line="240" w:lineRule="auto"/>
              <w:jc w:val="both"/>
              <w:rPr>
                <w:b/>
                <w:bCs/>
                <w:sz w:val="20"/>
                <w:szCs w:val="20"/>
              </w:rPr>
            </w:pPr>
            <w:r w:rsidRPr="00990396">
              <w:rPr>
                <w:b/>
                <w:bCs/>
                <w:sz w:val="20"/>
                <w:szCs w:val="20"/>
              </w:rPr>
              <w:t>Study</w:t>
            </w:r>
          </w:p>
        </w:tc>
        <w:tc>
          <w:tcPr>
            <w:tcW w:w="0" w:type="auto"/>
            <w:shd w:val="clear" w:color="auto" w:fill="F2F2F2" w:themeFill="background1" w:themeFillShade="F2"/>
            <w:hideMark/>
          </w:tcPr>
          <w:p w14:paraId="461721F6" w14:textId="77777777" w:rsidR="001A4F3D" w:rsidRPr="00990396" w:rsidRDefault="001A4F3D" w:rsidP="00004062">
            <w:pPr>
              <w:spacing w:line="240" w:lineRule="auto"/>
              <w:jc w:val="both"/>
              <w:rPr>
                <w:b/>
                <w:bCs/>
                <w:sz w:val="20"/>
                <w:szCs w:val="20"/>
              </w:rPr>
            </w:pPr>
            <w:r w:rsidRPr="00990396">
              <w:rPr>
                <w:b/>
                <w:bCs/>
                <w:sz w:val="20"/>
                <w:szCs w:val="20"/>
              </w:rPr>
              <w:t>Market-risk evidence</w:t>
            </w:r>
          </w:p>
        </w:tc>
        <w:tc>
          <w:tcPr>
            <w:tcW w:w="0" w:type="auto"/>
            <w:shd w:val="clear" w:color="auto" w:fill="F2F2F2" w:themeFill="background1" w:themeFillShade="F2"/>
            <w:hideMark/>
          </w:tcPr>
          <w:p w14:paraId="007EBFD3" w14:textId="77777777" w:rsidR="001A4F3D" w:rsidRPr="00990396" w:rsidRDefault="001A4F3D" w:rsidP="00004062">
            <w:pPr>
              <w:spacing w:line="240" w:lineRule="auto"/>
              <w:jc w:val="both"/>
              <w:rPr>
                <w:b/>
                <w:bCs/>
                <w:sz w:val="20"/>
                <w:szCs w:val="20"/>
              </w:rPr>
            </w:pPr>
            <w:r w:rsidRPr="00990396">
              <w:rPr>
                <w:b/>
                <w:bCs/>
                <w:sz w:val="20"/>
                <w:szCs w:val="20"/>
              </w:rPr>
              <w:t>Implied management response</w:t>
            </w:r>
          </w:p>
        </w:tc>
        <w:tc>
          <w:tcPr>
            <w:tcW w:w="0" w:type="auto"/>
            <w:shd w:val="clear" w:color="auto" w:fill="F2F2F2" w:themeFill="background1" w:themeFillShade="F2"/>
            <w:hideMark/>
          </w:tcPr>
          <w:p w14:paraId="1991B2E2" w14:textId="77777777" w:rsidR="001A4F3D" w:rsidRPr="00990396" w:rsidRDefault="001A4F3D" w:rsidP="00004062">
            <w:pPr>
              <w:spacing w:line="240" w:lineRule="auto"/>
              <w:jc w:val="both"/>
              <w:rPr>
                <w:b/>
                <w:bCs/>
                <w:sz w:val="20"/>
                <w:szCs w:val="20"/>
              </w:rPr>
            </w:pPr>
            <w:r w:rsidRPr="00990396">
              <w:rPr>
                <w:b/>
                <w:bCs/>
                <w:sz w:val="20"/>
                <w:szCs w:val="20"/>
              </w:rPr>
              <w:t>Analytical limitation</w:t>
            </w:r>
          </w:p>
        </w:tc>
      </w:tr>
      <w:tr w:rsidR="001A4F3D" w:rsidRPr="00990396" w14:paraId="4A3CF208" w14:textId="77777777" w:rsidTr="00004062">
        <w:trPr>
          <w:trHeight w:val="690"/>
          <w:jc w:val="center"/>
        </w:trPr>
        <w:tc>
          <w:tcPr>
            <w:tcW w:w="0" w:type="auto"/>
            <w:shd w:val="clear" w:color="auto" w:fill="F2F2F2" w:themeFill="background1" w:themeFillShade="F2"/>
            <w:hideMark/>
          </w:tcPr>
          <w:p w14:paraId="5853C390" w14:textId="77777777" w:rsidR="001A4F3D" w:rsidRPr="00990396" w:rsidRDefault="001A4F3D" w:rsidP="00004062">
            <w:pPr>
              <w:spacing w:line="240" w:lineRule="auto"/>
              <w:jc w:val="both"/>
              <w:rPr>
                <w:sz w:val="20"/>
                <w:szCs w:val="20"/>
              </w:rPr>
            </w:pPr>
            <w:proofErr w:type="spellStart"/>
            <w:r w:rsidRPr="00990396">
              <w:rPr>
                <w:sz w:val="20"/>
                <w:szCs w:val="20"/>
              </w:rPr>
              <w:t>Belghitar</w:t>
            </w:r>
            <w:proofErr w:type="spellEnd"/>
            <w:r w:rsidRPr="00990396">
              <w:rPr>
                <w:sz w:val="20"/>
                <w:szCs w:val="20"/>
              </w:rPr>
              <w:t xml:space="preserve"> et al. (2021)</w:t>
            </w:r>
          </w:p>
        </w:tc>
        <w:tc>
          <w:tcPr>
            <w:tcW w:w="0" w:type="auto"/>
            <w:shd w:val="clear" w:color="auto" w:fill="F2F2F2" w:themeFill="background1" w:themeFillShade="F2"/>
            <w:hideMark/>
          </w:tcPr>
          <w:p w14:paraId="20826350" w14:textId="77777777" w:rsidR="001A4F3D" w:rsidRPr="00990396" w:rsidRDefault="001A4F3D" w:rsidP="00004062">
            <w:pPr>
              <w:spacing w:line="240" w:lineRule="auto"/>
              <w:jc w:val="both"/>
              <w:rPr>
                <w:sz w:val="20"/>
                <w:szCs w:val="20"/>
              </w:rPr>
            </w:pPr>
            <w:r w:rsidRPr="00990396">
              <w:rPr>
                <w:sz w:val="20"/>
                <w:szCs w:val="20"/>
              </w:rPr>
              <w:t>UK SME performance exposed to currency fluctuations</w:t>
            </w:r>
          </w:p>
        </w:tc>
        <w:tc>
          <w:tcPr>
            <w:tcW w:w="0" w:type="auto"/>
            <w:shd w:val="clear" w:color="auto" w:fill="F2F2F2" w:themeFill="background1" w:themeFillShade="F2"/>
            <w:hideMark/>
          </w:tcPr>
          <w:p w14:paraId="4528B6C0" w14:textId="77777777" w:rsidR="001A4F3D" w:rsidRPr="00990396" w:rsidRDefault="001A4F3D" w:rsidP="00004062">
            <w:pPr>
              <w:spacing w:line="240" w:lineRule="auto"/>
              <w:jc w:val="both"/>
              <w:rPr>
                <w:sz w:val="20"/>
                <w:szCs w:val="20"/>
              </w:rPr>
            </w:pPr>
            <w:r w:rsidRPr="00990396">
              <w:rPr>
                <w:sz w:val="20"/>
                <w:szCs w:val="20"/>
              </w:rPr>
              <w:t>Currency monitoring and hedging</w:t>
            </w:r>
          </w:p>
        </w:tc>
        <w:tc>
          <w:tcPr>
            <w:tcW w:w="0" w:type="auto"/>
            <w:shd w:val="clear" w:color="auto" w:fill="F2F2F2" w:themeFill="background1" w:themeFillShade="F2"/>
            <w:hideMark/>
          </w:tcPr>
          <w:p w14:paraId="45F7B08D" w14:textId="77777777" w:rsidR="001A4F3D" w:rsidRPr="00990396" w:rsidRDefault="001A4F3D" w:rsidP="00004062">
            <w:pPr>
              <w:spacing w:line="240" w:lineRule="auto"/>
              <w:jc w:val="both"/>
              <w:rPr>
                <w:sz w:val="20"/>
                <w:szCs w:val="20"/>
              </w:rPr>
            </w:pPr>
            <w:r w:rsidRPr="00990396">
              <w:rPr>
                <w:sz w:val="20"/>
                <w:szCs w:val="20"/>
              </w:rPr>
              <w:t>Publicly traded SMEs; hedging not directly observed</w:t>
            </w:r>
          </w:p>
        </w:tc>
      </w:tr>
      <w:tr w:rsidR="001A4F3D" w:rsidRPr="00990396" w14:paraId="7667A11D" w14:textId="77777777" w:rsidTr="00004062">
        <w:trPr>
          <w:trHeight w:val="690"/>
          <w:jc w:val="center"/>
        </w:trPr>
        <w:tc>
          <w:tcPr>
            <w:tcW w:w="0" w:type="auto"/>
            <w:shd w:val="clear" w:color="auto" w:fill="F2F2F2" w:themeFill="background1" w:themeFillShade="F2"/>
            <w:hideMark/>
          </w:tcPr>
          <w:p w14:paraId="1F1DEA76" w14:textId="77777777" w:rsidR="001A4F3D" w:rsidRPr="00990396" w:rsidRDefault="001A4F3D" w:rsidP="00004062">
            <w:pPr>
              <w:spacing w:line="240" w:lineRule="auto"/>
              <w:jc w:val="both"/>
              <w:rPr>
                <w:sz w:val="20"/>
                <w:szCs w:val="20"/>
              </w:rPr>
            </w:pPr>
            <w:r w:rsidRPr="00990396">
              <w:rPr>
                <w:sz w:val="20"/>
                <w:szCs w:val="20"/>
              </w:rPr>
              <w:t>Dang and Lindsay (2022)</w:t>
            </w:r>
          </w:p>
        </w:tc>
        <w:tc>
          <w:tcPr>
            <w:tcW w:w="0" w:type="auto"/>
            <w:shd w:val="clear" w:color="auto" w:fill="F2F2F2" w:themeFill="background1" w:themeFillShade="F2"/>
            <w:hideMark/>
          </w:tcPr>
          <w:p w14:paraId="59B86444" w14:textId="77777777" w:rsidR="001A4F3D" w:rsidRPr="00990396" w:rsidRDefault="001A4F3D" w:rsidP="00004062">
            <w:pPr>
              <w:spacing w:line="240" w:lineRule="auto"/>
              <w:jc w:val="both"/>
              <w:rPr>
                <w:sz w:val="20"/>
                <w:szCs w:val="20"/>
              </w:rPr>
            </w:pPr>
            <w:r w:rsidRPr="00990396">
              <w:rPr>
                <w:sz w:val="20"/>
                <w:szCs w:val="20"/>
              </w:rPr>
              <w:t>Resources influence hedging strategy</w:t>
            </w:r>
          </w:p>
        </w:tc>
        <w:tc>
          <w:tcPr>
            <w:tcW w:w="0" w:type="auto"/>
            <w:shd w:val="clear" w:color="auto" w:fill="F2F2F2" w:themeFill="background1" w:themeFillShade="F2"/>
            <w:hideMark/>
          </w:tcPr>
          <w:p w14:paraId="11EB75C6" w14:textId="77777777" w:rsidR="001A4F3D" w:rsidRPr="00990396" w:rsidRDefault="001A4F3D" w:rsidP="00004062">
            <w:pPr>
              <w:spacing w:line="240" w:lineRule="auto"/>
              <w:jc w:val="both"/>
              <w:rPr>
                <w:sz w:val="20"/>
                <w:szCs w:val="20"/>
              </w:rPr>
            </w:pPr>
            <w:r w:rsidRPr="00990396">
              <w:rPr>
                <w:sz w:val="20"/>
                <w:szCs w:val="20"/>
              </w:rPr>
              <w:t>Develop human and organisational capability</w:t>
            </w:r>
          </w:p>
        </w:tc>
        <w:tc>
          <w:tcPr>
            <w:tcW w:w="0" w:type="auto"/>
            <w:shd w:val="clear" w:color="auto" w:fill="F2F2F2" w:themeFill="background1" w:themeFillShade="F2"/>
            <w:hideMark/>
          </w:tcPr>
          <w:p w14:paraId="1111E415" w14:textId="77777777" w:rsidR="001A4F3D" w:rsidRPr="00990396" w:rsidRDefault="001A4F3D" w:rsidP="00004062">
            <w:pPr>
              <w:spacing w:line="240" w:lineRule="auto"/>
              <w:jc w:val="both"/>
              <w:rPr>
                <w:sz w:val="20"/>
                <w:szCs w:val="20"/>
              </w:rPr>
            </w:pPr>
            <w:r w:rsidRPr="00990396">
              <w:rPr>
                <w:sz w:val="20"/>
                <w:szCs w:val="20"/>
              </w:rPr>
              <w:t>Non-UK, cross-sectional and no direct performance outcome</w:t>
            </w:r>
          </w:p>
        </w:tc>
      </w:tr>
      <w:tr w:rsidR="001A4F3D" w:rsidRPr="00990396" w14:paraId="6A391686" w14:textId="77777777" w:rsidTr="00004062">
        <w:trPr>
          <w:trHeight w:val="460"/>
          <w:jc w:val="center"/>
        </w:trPr>
        <w:tc>
          <w:tcPr>
            <w:tcW w:w="0" w:type="auto"/>
            <w:shd w:val="clear" w:color="auto" w:fill="F2F2F2" w:themeFill="background1" w:themeFillShade="F2"/>
            <w:hideMark/>
          </w:tcPr>
          <w:p w14:paraId="009CCB2D" w14:textId="77777777" w:rsidR="001A4F3D" w:rsidRPr="00990396" w:rsidRDefault="001A4F3D" w:rsidP="00004062">
            <w:pPr>
              <w:spacing w:line="240" w:lineRule="auto"/>
              <w:jc w:val="both"/>
              <w:rPr>
                <w:sz w:val="20"/>
                <w:szCs w:val="20"/>
              </w:rPr>
            </w:pPr>
            <w:r w:rsidRPr="00990396">
              <w:rPr>
                <w:sz w:val="20"/>
                <w:szCs w:val="20"/>
              </w:rPr>
              <w:t>Orden-Cruz et al. (2024)</w:t>
            </w:r>
          </w:p>
        </w:tc>
        <w:tc>
          <w:tcPr>
            <w:tcW w:w="0" w:type="auto"/>
            <w:shd w:val="clear" w:color="auto" w:fill="F2F2F2" w:themeFill="background1" w:themeFillShade="F2"/>
            <w:hideMark/>
          </w:tcPr>
          <w:p w14:paraId="1A2B37B8" w14:textId="77777777" w:rsidR="001A4F3D" w:rsidRPr="00990396" w:rsidRDefault="001A4F3D" w:rsidP="00004062">
            <w:pPr>
              <w:spacing w:line="240" w:lineRule="auto"/>
              <w:jc w:val="both"/>
              <w:rPr>
                <w:sz w:val="20"/>
                <w:szCs w:val="20"/>
              </w:rPr>
            </w:pPr>
            <w:r w:rsidRPr="00990396">
              <w:rPr>
                <w:sz w:val="20"/>
                <w:szCs w:val="20"/>
              </w:rPr>
              <w:t>Policy uncertainty reduces SME financial performance</w:t>
            </w:r>
          </w:p>
        </w:tc>
        <w:tc>
          <w:tcPr>
            <w:tcW w:w="0" w:type="auto"/>
            <w:shd w:val="clear" w:color="auto" w:fill="F2F2F2" w:themeFill="background1" w:themeFillShade="F2"/>
            <w:hideMark/>
          </w:tcPr>
          <w:p w14:paraId="0705546E" w14:textId="77777777" w:rsidR="001A4F3D" w:rsidRPr="00990396" w:rsidRDefault="001A4F3D" w:rsidP="00004062">
            <w:pPr>
              <w:spacing w:line="240" w:lineRule="auto"/>
              <w:jc w:val="both"/>
              <w:rPr>
                <w:sz w:val="20"/>
                <w:szCs w:val="20"/>
              </w:rPr>
            </w:pPr>
            <w:r w:rsidRPr="00990396">
              <w:rPr>
                <w:sz w:val="20"/>
                <w:szCs w:val="20"/>
              </w:rPr>
              <w:t>Scenario planning and flexibility</w:t>
            </w:r>
          </w:p>
        </w:tc>
        <w:tc>
          <w:tcPr>
            <w:tcW w:w="0" w:type="auto"/>
            <w:shd w:val="clear" w:color="auto" w:fill="F2F2F2" w:themeFill="background1" w:themeFillShade="F2"/>
            <w:hideMark/>
          </w:tcPr>
          <w:p w14:paraId="7284C2FB" w14:textId="77777777" w:rsidR="001A4F3D" w:rsidRPr="00990396" w:rsidRDefault="001A4F3D" w:rsidP="00004062">
            <w:pPr>
              <w:spacing w:line="240" w:lineRule="auto"/>
              <w:jc w:val="both"/>
              <w:rPr>
                <w:sz w:val="20"/>
                <w:szCs w:val="20"/>
              </w:rPr>
            </w:pPr>
            <w:r w:rsidRPr="00990396">
              <w:rPr>
                <w:sz w:val="20"/>
                <w:szCs w:val="20"/>
              </w:rPr>
              <w:t>Aggregate uncertainty index</w:t>
            </w:r>
          </w:p>
        </w:tc>
      </w:tr>
      <w:tr w:rsidR="001A4F3D" w:rsidRPr="00990396" w14:paraId="6C65B9EA" w14:textId="77777777" w:rsidTr="00004062">
        <w:trPr>
          <w:trHeight w:val="460"/>
          <w:jc w:val="center"/>
        </w:trPr>
        <w:tc>
          <w:tcPr>
            <w:tcW w:w="0" w:type="auto"/>
            <w:shd w:val="clear" w:color="auto" w:fill="F2F2F2" w:themeFill="background1" w:themeFillShade="F2"/>
            <w:hideMark/>
          </w:tcPr>
          <w:p w14:paraId="2B21F42A" w14:textId="77777777" w:rsidR="001A4F3D" w:rsidRPr="00990396" w:rsidRDefault="001A4F3D" w:rsidP="00004062">
            <w:pPr>
              <w:spacing w:line="240" w:lineRule="auto"/>
              <w:jc w:val="both"/>
              <w:rPr>
                <w:sz w:val="20"/>
                <w:szCs w:val="20"/>
              </w:rPr>
            </w:pPr>
            <w:proofErr w:type="spellStart"/>
            <w:r w:rsidRPr="00990396">
              <w:rPr>
                <w:sz w:val="20"/>
                <w:szCs w:val="20"/>
              </w:rPr>
              <w:t>Hawach</w:t>
            </w:r>
            <w:proofErr w:type="spellEnd"/>
            <w:r w:rsidRPr="00990396">
              <w:rPr>
                <w:sz w:val="20"/>
                <w:szCs w:val="20"/>
              </w:rPr>
              <w:t xml:space="preserve"> and Requejo (2025)</w:t>
            </w:r>
          </w:p>
        </w:tc>
        <w:tc>
          <w:tcPr>
            <w:tcW w:w="0" w:type="auto"/>
            <w:shd w:val="clear" w:color="auto" w:fill="F2F2F2" w:themeFill="background1" w:themeFillShade="F2"/>
            <w:hideMark/>
          </w:tcPr>
          <w:p w14:paraId="50A0AECC" w14:textId="77777777" w:rsidR="001A4F3D" w:rsidRPr="00990396" w:rsidRDefault="001A4F3D" w:rsidP="00004062">
            <w:pPr>
              <w:spacing w:line="240" w:lineRule="auto"/>
              <w:jc w:val="both"/>
              <w:rPr>
                <w:sz w:val="20"/>
                <w:szCs w:val="20"/>
              </w:rPr>
            </w:pPr>
            <w:r w:rsidRPr="00990396">
              <w:rPr>
                <w:sz w:val="20"/>
                <w:szCs w:val="20"/>
              </w:rPr>
              <w:t>Uncertainty raises distress likelihood</w:t>
            </w:r>
          </w:p>
        </w:tc>
        <w:tc>
          <w:tcPr>
            <w:tcW w:w="0" w:type="auto"/>
            <w:shd w:val="clear" w:color="auto" w:fill="F2F2F2" w:themeFill="background1" w:themeFillShade="F2"/>
            <w:hideMark/>
          </w:tcPr>
          <w:p w14:paraId="3F5EA326" w14:textId="77777777" w:rsidR="001A4F3D" w:rsidRPr="00990396" w:rsidRDefault="001A4F3D" w:rsidP="00004062">
            <w:pPr>
              <w:spacing w:line="240" w:lineRule="auto"/>
              <w:jc w:val="both"/>
              <w:rPr>
                <w:sz w:val="20"/>
                <w:szCs w:val="20"/>
              </w:rPr>
            </w:pPr>
            <w:r w:rsidRPr="00990396">
              <w:rPr>
                <w:sz w:val="20"/>
                <w:szCs w:val="20"/>
              </w:rPr>
              <w:t>Organisational resilience</w:t>
            </w:r>
          </w:p>
        </w:tc>
        <w:tc>
          <w:tcPr>
            <w:tcW w:w="0" w:type="auto"/>
            <w:shd w:val="clear" w:color="auto" w:fill="F2F2F2" w:themeFill="background1" w:themeFillShade="F2"/>
            <w:hideMark/>
          </w:tcPr>
          <w:p w14:paraId="2CA5B6E2" w14:textId="77777777" w:rsidR="001A4F3D" w:rsidRPr="00990396" w:rsidRDefault="001A4F3D" w:rsidP="00004062">
            <w:pPr>
              <w:spacing w:line="240" w:lineRule="auto"/>
              <w:jc w:val="both"/>
              <w:rPr>
                <w:sz w:val="20"/>
                <w:szCs w:val="20"/>
              </w:rPr>
            </w:pPr>
            <w:r w:rsidRPr="00990396">
              <w:rPr>
                <w:sz w:val="20"/>
                <w:szCs w:val="20"/>
              </w:rPr>
              <w:t>Distress proxy and national heterogeneity</w:t>
            </w:r>
          </w:p>
        </w:tc>
      </w:tr>
      <w:tr w:rsidR="001A4F3D" w:rsidRPr="00990396" w14:paraId="5628421C" w14:textId="77777777" w:rsidTr="00004062">
        <w:trPr>
          <w:trHeight w:val="690"/>
          <w:jc w:val="center"/>
        </w:trPr>
        <w:tc>
          <w:tcPr>
            <w:tcW w:w="0" w:type="auto"/>
            <w:shd w:val="clear" w:color="auto" w:fill="F2F2F2" w:themeFill="background1" w:themeFillShade="F2"/>
            <w:hideMark/>
          </w:tcPr>
          <w:p w14:paraId="159A4098" w14:textId="77777777" w:rsidR="001A4F3D" w:rsidRPr="00990396" w:rsidRDefault="001A4F3D" w:rsidP="00004062">
            <w:pPr>
              <w:spacing w:line="240" w:lineRule="auto"/>
              <w:jc w:val="both"/>
              <w:rPr>
                <w:sz w:val="20"/>
                <w:szCs w:val="20"/>
              </w:rPr>
            </w:pPr>
            <w:r w:rsidRPr="00990396">
              <w:rPr>
                <w:sz w:val="20"/>
                <w:szCs w:val="20"/>
              </w:rPr>
              <w:t>Koroma and Bein (2024)</w:t>
            </w:r>
          </w:p>
        </w:tc>
        <w:tc>
          <w:tcPr>
            <w:tcW w:w="0" w:type="auto"/>
            <w:shd w:val="clear" w:color="auto" w:fill="F2F2F2" w:themeFill="background1" w:themeFillShade="F2"/>
            <w:hideMark/>
          </w:tcPr>
          <w:p w14:paraId="59ACC0FD" w14:textId="77777777" w:rsidR="001A4F3D" w:rsidRPr="00990396" w:rsidRDefault="001A4F3D" w:rsidP="00004062">
            <w:pPr>
              <w:spacing w:line="240" w:lineRule="auto"/>
              <w:jc w:val="both"/>
              <w:rPr>
                <w:sz w:val="20"/>
                <w:szCs w:val="20"/>
              </w:rPr>
            </w:pPr>
            <w:r w:rsidRPr="00990396">
              <w:rPr>
                <w:sz w:val="20"/>
                <w:szCs w:val="20"/>
              </w:rPr>
              <w:t>Policy uncertainty alters working-capital profitability effects</w:t>
            </w:r>
          </w:p>
        </w:tc>
        <w:tc>
          <w:tcPr>
            <w:tcW w:w="0" w:type="auto"/>
            <w:shd w:val="clear" w:color="auto" w:fill="F2F2F2" w:themeFill="background1" w:themeFillShade="F2"/>
            <w:hideMark/>
          </w:tcPr>
          <w:p w14:paraId="53748579" w14:textId="77777777" w:rsidR="001A4F3D" w:rsidRPr="00990396" w:rsidRDefault="001A4F3D" w:rsidP="00004062">
            <w:pPr>
              <w:spacing w:line="240" w:lineRule="auto"/>
              <w:jc w:val="both"/>
              <w:rPr>
                <w:sz w:val="20"/>
                <w:szCs w:val="20"/>
              </w:rPr>
            </w:pPr>
            <w:r w:rsidRPr="00990396">
              <w:rPr>
                <w:sz w:val="20"/>
                <w:szCs w:val="20"/>
              </w:rPr>
              <w:t>Integrate market and liquidity planning</w:t>
            </w:r>
          </w:p>
        </w:tc>
        <w:tc>
          <w:tcPr>
            <w:tcW w:w="0" w:type="auto"/>
            <w:shd w:val="clear" w:color="auto" w:fill="F2F2F2" w:themeFill="background1" w:themeFillShade="F2"/>
            <w:hideMark/>
          </w:tcPr>
          <w:p w14:paraId="38314B73" w14:textId="77777777" w:rsidR="001A4F3D" w:rsidRPr="00990396" w:rsidRDefault="001A4F3D" w:rsidP="00004062">
            <w:pPr>
              <w:spacing w:line="240" w:lineRule="auto"/>
              <w:jc w:val="both"/>
              <w:rPr>
                <w:sz w:val="20"/>
                <w:szCs w:val="20"/>
              </w:rPr>
            </w:pPr>
            <w:r w:rsidRPr="00990396">
              <w:rPr>
                <w:sz w:val="20"/>
                <w:szCs w:val="20"/>
              </w:rPr>
              <w:t>Listed UK non-financial firms</w:t>
            </w:r>
          </w:p>
        </w:tc>
      </w:tr>
      <w:tr w:rsidR="001A4F3D" w:rsidRPr="00990396" w14:paraId="058FC564" w14:textId="77777777" w:rsidTr="00004062">
        <w:trPr>
          <w:trHeight w:val="690"/>
          <w:jc w:val="center"/>
        </w:trPr>
        <w:tc>
          <w:tcPr>
            <w:tcW w:w="0" w:type="auto"/>
            <w:shd w:val="clear" w:color="auto" w:fill="F2F2F2" w:themeFill="background1" w:themeFillShade="F2"/>
            <w:hideMark/>
          </w:tcPr>
          <w:p w14:paraId="617D0303" w14:textId="77777777" w:rsidR="001A4F3D" w:rsidRPr="00990396" w:rsidRDefault="001A4F3D" w:rsidP="00004062">
            <w:pPr>
              <w:spacing w:line="240" w:lineRule="auto"/>
              <w:jc w:val="both"/>
              <w:rPr>
                <w:sz w:val="20"/>
                <w:szCs w:val="20"/>
              </w:rPr>
            </w:pPr>
            <w:proofErr w:type="spellStart"/>
            <w:r w:rsidRPr="00990396">
              <w:rPr>
                <w:sz w:val="20"/>
                <w:szCs w:val="20"/>
              </w:rPr>
              <w:t>Tazhibayeva</w:t>
            </w:r>
            <w:proofErr w:type="spellEnd"/>
            <w:r w:rsidRPr="00990396">
              <w:rPr>
                <w:sz w:val="20"/>
                <w:szCs w:val="20"/>
              </w:rPr>
              <w:t xml:space="preserve"> and </w:t>
            </w:r>
            <w:proofErr w:type="spellStart"/>
            <w:r w:rsidRPr="00990396">
              <w:rPr>
                <w:sz w:val="20"/>
                <w:szCs w:val="20"/>
              </w:rPr>
              <w:t>Syzdykova</w:t>
            </w:r>
            <w:proofErr w:type="spellEnd"/>
            <w:r w:rsidRPr="00990396">
              <w:rPr>
                <w:sz w:val="20"/>
                <w:szCs w:val="20"/>
              </w:rPr>
              <w:t xml:space="preserve"> (2026)</w:t>
            </w:r>
          </w:p>
        </w:tc>
        <w:tc>
          <w:tcPr>
            <w:tcW w:w="0" w:type="auto"/>
            <w:shd w:val="clear" w:color="auto" w:fill="F2F2F2" w:themeFill="background1" w:themeFillShade="F2"/>
            <w:hideMark/>
          </w:tcPr>
          <w:p w14:paraId="13E977F0" w14:textId="77777777" w:rsidR="001A4F3D" w:rsidRPr="00990396" w:rsidRDefault="001A4F3D" w:rsidP="00004062">
            <w:pPr>
              <w:spacing w:line="240" w:lineRule="auto"/>
              <w:jc w:val="both"/>
              <w:rPr>
                <w:sz w:val="20"/>
                <w:szCs w:val="20"/>
              </w:rPr>
            </w:pPr>
            <w:r w:rsidRPr="00990396">
              <w:rPr>
                <w:sz w:val="20"/>
                <w:szCs w:val="20"/>
              </w:rPr>
              <w:t>Exchange rates and oil prices associated with SME output</w:t>
            </w:r>
          </w:p>
        </w:tc>
        <w:tc>
          <w:tcPr>
            <w:tcW w:w="0" w:type="auto"/>
            <w:shd w:val="clear" w:color="auto" w:fill="F2F2F2" w:themeFill="background1" w:themeFillShade="F2"/>
            <w:hideMark/>
          </w:tcPr>
          <w:p w14:paraId="7EAAF099" w14:textId="77777777" w:rsidR="001A4F3D" w:rsidRPr="00990396" w:rsidRDefault="001A4F3D" w:rsidP="00004062">
            <w:pPr>
              <w:spacing w:line="240" w:lineRule="auto"/>
              <w:jc w:val="both"/>
              <w:rPr>
                <w:sz w:val="20"/>
                <w:szCs w:val="20"/>
              </w:rPr>
            </w:pPr>
            <w:r w:rsidRPr="00990396">
              <w:rPr>
                <w:sz w:val="20"/>
                <w:szCs w:val="20"/>
              </w:rPr>
              <w:t>Adapt to macroeconomic price movements</w:t>
            </w:r>
          </w:p>
        </w:tc>
        <w:tc>
          <w:tcPr>
            <w:tcW w:w="0" w:type="auto"/>
            <w:shd w:val="clear" w:color="auto" w:fill="F2F2F2" w:themeFill="background1" w:themeFillShade="F2"/>
            <w:hideMark/>
          </w:tcPr>
          <w:p w14:paraId="7EDD298B" w14:textId="77777777" w:rsidR="001A4F3D" w:rsidRPr="00990396" w:rsidRDefault="001A4F3D" w:rsidP="00004062">
            <w:pPr>
              <w:spacing w:line="240" w:lineRule="auto"/>
              <w:jc w:val="both"/>
              <w:rPr>
                <w:sz w:val="20"/>
                <w:szCs w:val="20"/>
              </w:rPr>
            </w:pPr>
            <w:r w:rsidRPr="00990396">
              <w:rPr>
                <w:sz w:val="20"/>
                <w:szCs w:val="20"/>
              </w:rPr>
              <w:t>Only 24 aggregate observations; Kazakhstan</w:t>
            </w:r>
          </w:p>
        </w:tc>
      </w:tr>
      <w:tr w:rsidR="001A4F3D" w:rsidRPr="00990396" w14:paraId="3BF2C446" w14:textId="77777777" w:rsidTr="00004062">
        <w:trPr>
          <w:trHeight w:val="920"/>
          <w:jc w:val="center"/>
        </w:trPr>
        <w:tc>
          <w:tcPr>
            <w:tcW w:w="0" w:type="auto"/>
            <w:shd w:val="clear" w:color="auto" w:fill="F2F2F2" w:themeFill="background1" w:themeFillShade="F2"/>
            <w:hideMark/>
          </w:tcPr>
          <w:p w14:paraId="77944599" w14:textId="77777777" w:rsidR="001A4F3D" w:rsidRPr="00990396" w:rsidRDefault="001A4F3D" w:rsidP="00004062">
            <w:pPr>
              <w:spacing w:line="240" w:lineRule="auto"/>
              <w:jc w:val="both"/>
              <w:rPr>
                <w:sz w:val="20"/>
                <w:szCs w:val="20"/>
              </w:rPr>
            </w:pPr>
            <w:r w:rsidRPr="00990396">
              <w:rPr>
                <w:sz w:val="20"/>
                <w:szCs w:val="20"/>
              </w:rPr>
              <w:t>Akbar et al. (2021)</w:t>
            </w:r>
          </w:p>
        </w:tc>
        <w:tc>
          <w:tcPr>
            <w:tcW w:w="0" w:type="auto"/>
            <w:shd w:val="clear" w:color="auto" w:fill="F2F2F2" w:themeFill="background1" w:themeFillShade="F2"/>
            <w:hideMark/>
          </w:tcPr>
          <w:p w14:paraId="0E3EE83C" w14:textId="77777777" w:rsidR="001A4F3D" w:rsidRPr="00990396" w:rsidRDefault="001A4F3D" w:rsidP="00004062">
            <w:pPr>
              <w:spacing w:line="240" w:lineRule="auto"/>
              <w:jc w:val="both"/>
              <w:rPr>
                <w:sz w:val="20"/>
                <w:szCs w:val="20"/>
              </w:rPr>
            </w:pPr>
            <w:r w:rsidRPr="00990396">
              <w:rPr>
                <w:sz w:val="20"/>
                <w:szCs w:val="20"/>
              </w:rPr>
              <w:t xml:space="preserve">Cash buffers reduced market </w:t>
            </w:r>
            <w:proofErr w:type="gramStart"/>
            <w:r w:rsidRPr="00990396">
              <w:rPr>
                <w:sz w:val="20"/>
                <w:szCs w:val="20"/>
              </w:rPr>
              <w:t>volatility</w:t>
            </w:r>
            <w:proofErr w:type="gramEnd"/>
            <w:r w:rsidRPr="00990396">
              <w:rPr>
                <w:sz w:val="20"/>
                <w:szCs w:val="20"/>
              </w:rPr>
              <w:t xml:space="preserve"> but excess working capital increased operating volatility</w:t>
            </w:r>
          </w:p>
        </w:tc>
        <w:tc>
          <w:tcPr>
            <w:tcW w:w="0" w:type="auto"/>
            <w:shd w:val="clear" w:color="auto" w:fill="F2F2F2" w:themeFill="background1" w:themeFillShade="F2"/>
            <w:hideMark/>
          </w:tcPr>
          <w:p w14:paraId="1E5FFDC5" w14:textId="77777777" w:rsidR="001A4F3D" w:rsidRPr="00990396" w:rsidRDefault="001A4F3D" w:rsidP="00004062">
            <w:pPr>
              <w:spacing w:line="240" w:lineRule="auto"/>
              <w:jc w:val="both"/>
              <w:rPr>
                <w:sz w:val="20"/>
                <w:szCs w:val="20"/>
              </w:rPr>
            </w:pPr>
            <w:r w:rsidRPr="00990396">
              <w:rPr>
                <w:sz w:val="20"/>
                <w:szCs w:val="20"/>
              </w:rPr>
              <w:t>Maintain flexible but efficient buffers</w:t>
            </w:r>
          </w:p>
        </w:tc>
        <w:tc>
          <w:tcPr>
            <w:tcW w:w="0" w:type="auto"/>
            <w:shd w:val="clear" w:color="auto" w:fill="F2F2F2" w:themeFill="background1" w:themeFillShade="F2"/>
            <w:hideMark/>
          </w:tcPr>
          <w:p w14:paraId="63973C57" w14:textId="77777777" w:rsidR="001A4F3D" w:rsidRPr="00990396" w:rsidRDefault="001A4F3D" w:rsidP="00004062">
            <w:pPr>
              <w:spacing w:line="240" w:lineRule="auto"/>
              <w:jc w:val="both"/>
              <w:rPr>
                <w:sz w:val="20"/>
                <w:szCs w:val="20"/>
              </w:rPr>
            </w:pPr>
            <w:r w:rsidRPr="00990396">
              <w:rPr>
                <w:sz w:val="20"/>
                <w:szCs w:val="20"/>
              </w:rPr>
              <w:t>Older Pakistani listed-firm data</w:t>
            </w:r>
          </w:p>
        </w:tc>
      </w:tr>
    </w:tbl>
    <w:p w14:paraId="736C74FC" w14:textId="422B5465" w:rsidR="001A4F3D" w:rsidRPr="00990396" w:rsidRDefault="009D0313" w:rsidP="00990396">
      <w:pPr>
        <w:jc w:val="both"/>
      </w:pPr>
      <w:r w:rsidRPr="00990396">
        <w:t xml:space="preserve">One also observes from the market risk evidence that external uncertainty can have an interaction with the internal financial policies, resulting in effects that cannot be grasped by focusing on isolated risk categories. Koroma and Bein (2024) </w:t>
      </w:r>
      <w:proofErr w:type="spellStart"/>
      <w:r w:rsidRPr="00990396">
        <w:t>analyzed</w:t>
      </w:r>
      <w:proofErr w:type="spellEnd"/>
      <w:r w:rsidRPr="00990396">
        <w:t xml:space="preserve"> 199 non-financial companies listed on the UK stock exchange, and found that as economic-policy uncertainty increased, the relationship between cash-conversion cycle and profitability weakened. While the index is relevant to their UK context, and they use fixed effects, random effects, and two-stage GMM, the sample is not representative of private SMEs, and the newspaper-based uncertainty index is an indirect measurement of firms' exposures. Similar conclusions were drawn by </w:t>
      </w:r>
      <w:proofErr w:type="spellStart"/>
      <w:r w:rsidRPr="00990396">
        <w:t>Tazhibayeva</w:t>
      </w:r>
      <w:proofErr w:type="spellEnd"/>
      <w:r w:rsidRPr="00990396">
        <w:t xml:space="preserve"> and </w:t>
      </w:r>
      <w:proofErr w:type="spellStart"/>
      <w:r w:rsidRPr="00990396">
        <w:t>Syzdykova</w:t>
      </w:r>
      <w:proofErr w:type="spellEnd"/>
      <w:r w:rsidRPr="00990396">
        <w:t xml:space="preserve"> (2026) for Kazakhstan, where the exchange rates and oil prices were correlated with SME manufacturing activity for the period 2000–2023. The autoregressive distributed-lag design separates short- and long-run relationships, but with only twenty-four annual observations, and Kazakhstan's commodity dependence, the transferability to Britain is complicated. These limitations aside, both studies show that market shocks have impact on performance via operating and financing </w:t>
      </w:r>
      <w:proofErr w:type="gramStart"/>
      <w:r w:rsidRPr="00990396">
        <w:t>channels, and</w:t>
      </w:r>
      <w:proofErr w:type="gramEnd"/>
      <w:r w:rsidRPr="00990396">
        <w:t xml:space="preserve"> not just hedging channels. Market-risk management, therefore, overlaps with liquidity planning and cost control and financing for UK SMEs. Even if formal derivatives are not available or not appropriate, rising interest rates or currency depreciation and/or input-price shocks can change working-capital needs, so that adaptive cash management can be a market-risk response. This is a key interaction for financial risk analysis since external volatility may turn </w:t>
      </w:r>
      <w:r w:rsidRPr="00990396">
        <w:lastRenderedPageBreak/>
        <w:t>otherwise controllable operating exposures in liquidity pressure. The last market-risk pattern has to do with the benefits of financial buffers and flexibility, but here again, the evidence suggests that taking too much precaution is not beneficial. Akbar et al. (2021) concluded that listed companies in Pakistan had less volatility in their stock prices when their working capital and cash positions were higher, but operating-income volatility was higher with excessive working capital positions. This is in line with the overall liquidity evidence: buffers can absorb shocks, but high levels of idle balances could indicate inefficiency or poor allocation. Overall, methodologically system GMM is suitable to account for persistence and some endogeneity; however, the study period (2005–2014), the fact that it is not conducted in the UK and the set of listed firms make it difficult to be relevant to most SMEs today. While Mthiyane et al. (2022) offers a more comprehensive risk-management framework for SMEs, which includes structured risk identification and management, the model is geared towards developing countries and assumes different institutions to those of British firms. The evidence together, then, points to adaptive capacity and not to any single market-risk technique. Flexible liquidity, supplier diversification, pricing adjustments and scenario planning might be more suitable for smaller businesses, whereas hedging may be suitable for more predictable foreign-currency exposures. The analytical weakness lies in the fact that most studies assume that protection is the consequence of outcomes or organisational characteristics without observing specific controls and subsequent performance. Therefore, it is still plausible to maintain a positive link between market-risk management and the performance of UK SMEs, although this link is not as clearly demonstrated as the presence of market exposure. Future evidence in the UK needs to differentiate between different types of hedging, and operational adaptation needs to be assessed in relation to formal hedging and in terms of objective financial outcomes.</w:t>
      </w:r>
    </w:p>
    <w:p w14:paraId="22D0D146" w14:textId="0FC3FC27" w:rsidR="001A4F3D" w:rsidRPr="00990396" w:rsidRDefault="001A4F3D" w:rsidP="00990396">
      <w:pPr>
        <w:pStyle w:val="Heading2"/>
        <w:jc w:val="both"/>
        <w:rPr>
          <w:rFonts w:cstheme="minorBidi"/>
        </w:rPr>
      </w:pPr>
      <w:bookmarkStart w:id="52" w:name="_Toc241147034"/>
      <w:r w:rsidRPr="00990396">
        <w:rPr>
          <w:rFonts w:cstheme="minorBidi"/>
        </w:rPr>
        <w:t>Cross-Theme Analysis</w:t>
      </w:r>
      <w:bookmarkEnd w:id="52"/>
    </w:p>
    <w:p w14:paraId="54B20B4B" w14:textId="2FECA8E4" w:rsidR="001A4F3D" w:rsidRPr="00990396" w:rsidRDefault="009D0313" w:rsidP="00990396">
      <w:pPr>
        <w:jc w:val="both"/>
      </w:pPr>
      <w:r w:rsidRPr="00990396">
        <w:t xml:space="preserve">The liquidity risk, credit risk and market risk are analytically distinct but operationally interdependent, as can be concluded from the cross-theme comparison. Liquidity is impacted by credit decisions; if a customer extends a credit period, it will result in a delay in converting assets to cash. Market shocks can impact financing costs, customer demand and working capital needs. Kaya (2024) establishes that late payment causes higher financing constraints and financing costs, while Koroma and Bein (2024) reveal that policy uncertainty affects the profitability of working-capital management. </w:t>
      </w:r>
      <w:proofErr w:type="spellStart"/>
      <w:r w:rsidRPr="00990396">
        <w:t>Belghitar</w:t>
      </w:r>
      <w:proofErr w:type="spellEnd"/>
      <w:r w:rsidRPr="00990396">
        <w:t xml:space="preserve"> et al. (2022) also reveals that liquidity capacity is even more relevant in the case of a significant drop in revenue due to external factors. The results indicate that the performance impact of one risk category could be due to the conditions generated by another risk category. For instance, if an SME is facing currency inflation in the input, a price adjustment could be a solution to protect margins; this can only be done if the credit terms of customers are suitable and cash reserves are sufficient to enable </w:t>
      </w:r>
      <w:r w:rsidRPr="00990396">
        <w:lastRenderedPageBreak/>
        <w:t>such adjustment without triggering immediate distress. The interdependence helps to establish the study's theoretical framework by considering the three practices not as separate managerial practices but as a part of one financial-performance relation. It also provides insight into why it is that single-variable empirical studies often yield conflicting results. They may not include interacting exposures, financial limitations or organizational ability. For the SMEs in the UK, therefore, 'integrated financial risk management' is more analytically credible than 'optimum liquidity, credit and market controls' – particularly in a volatile economic climate. The sense is that one control enhances the other, or it weakens it, depending on the circumstances and when it happens</w:t>
      </w:r>
      <w:r w:rsidR="001A4F3D" w:rsidRPr="00990396">
        <w:t>.</w:t>
      </w:r>
    </w:p>
    <w:p w14:paraId="761438FB" w14:textId="457959B2" w:rsidR="001A4F3D" w:rsidRPr="00990396" w:rsidRDefault="001A4F3D" w:rsidP="00004062">
      <w:pPr>
        <w:pStyle w:val="Caption"/>
        <w:keepNext/>
        <w:spacing w:line="360" w:lineRule="auto"/>
        <w:jc w:val="center"/>
      </w:pPr>
      <w:bookmarkStart w:id="53" w:name="_Toc241147056"/>
      <w:r w:rsidRPr="00990396">
        <w:t xml:space="preserve">Table </w:t>
      </w:r>
      <w:fldSimple w:instr=" SEQ Table \* ARABIC ">
        <w:r w:rsidRPr="00990396">
          <w:rPr>
            <w:noProof/>
          </w:rPr>
          <w:t>6</w:t>
        </w:r>
      </w:fldSimple>
      <w:r w:rsidRPr="00990396">
        <w:t xml:space="preserve"> Cross-Theme Relationship between Risk Practices and Performance</w:t>
      </w:r>
      <w:bookmarkEnd w:id="53"/>
    </w:p>
    <w:tbl>
      <w:tblPr>
        <w:tblStyle w:val="TableGrid"/>
        <w:tblW w:w="8893" w:type="dxa"/>
        <w:jc w:val="center"/>
        <w:shd w:val="clear" w:color="auto" w:fill="F2F2F2" w:themeFill="background1" w:themeFillShade="F2"/>
        <w:tblLook w:val="04A0" w:firstRow="1" w:lastRow="0" w:firstColumn="1" w:lastColumn="0" w:noHBand="0" w:noVBand="1"/>
      </w:tblPr>
      <w:tblGrid>
        <w:gridCol w:w="1670"/>
        <w:gridCol w:w="1876"/>
        <w:gridCol w:w="1820"/>
        <w:gridCol w:w="1808"/>
        <w:gridCol w:w="1719"/>
      </w:tblGrid>
      <w:tr w:rsidR="001A4F3D" w:rsidRPr="00990396" w14:paraId="26EEA57E" w14:textId="77777777" w:rsidTr="00004062">
        <w:trPr>
          <w:trHeight w:val="686"/>
          <w:jc w:val="center"/>
        </w:trPr>
        <w:tc>
          <w:tcPr>
            <w:tcW w:w="0" w:type="auto"/>
            <w:shd w:val="clear" w:color="auto" w:fill="F2F2F2" w:themeFill="background1" w:themeFillShade="F2"/>
            <w:hideMark/>
          </w:tcPr>
          <w:p w14:paraId="4D682F69" w14:textId="77777777" w:rsidR="001A4F3D" w:rsidRPr="00990396" w:rsidRDefault="001A4F3D" w:rsidP="00004062">
            <w:pPr>
              <w:spacing w:line="240" w:lineRule="auto"/>
              <w:jc w:val="both"/>
              <w:rPr>
                <w:b/>
                <w:bCs/>
                <w:sz w:val="20"/>
                <w:szCs w:val="20"/>
              </w:rPr>
            </w:pPr>
            <w:r w:rsidRPr="00990396">
              <w:rPr>
                <w:b/>
                <w:bCs/>
                <w:sz w:val="20"/>
                <w:szCs w:val="20"/>
              </w:rPr>
              <w:t>Risk-management dimension</w:t>
            </w:r>
          </w:p>
        </w:tc>
        <w:tc>
          <w:tcPr>
            <w:tcW w:w="0" w:type="auto"/>
            <w:shd w:val="clear" w:color="auto" w:fill="F2F2F2" w:themeFill="background1" w:themeFillShade="F2"/>
            <w:hideMark/>
          </w:tcPr>
          <w:p w14:paraId="30EFAFF4" w14:textId="77777777" w:rsidR="001A4F3D" w:rsidRPr="00990396" w:rsidRDefault="001A4F3D" w:rsidP="00004062">
            <w:pPr>
              <w:spacing w:line="240" w:lineRule="auto"/>
              <w:jc w:val="both"/>
              <w:rPr>
                <w:b/>
                <w:bCs/>
                <w:sz w:val="20"/>
                <w:szCs w:val="20"/>
              </w:rPr>
            </w:pPr>
            <w:r w:rsidRPr="00990396">
              <w:rPr>
                <w:b/>
                <w:bCs/>
                <w:sz w:val="20"/>
                <w:szCs w:val="20"/>
              </w:rPr>
              <w:t>Main mechanism identified</w:t>
            </w:r>
          </w:p>
        </w:tc>
        <w:tc>
          <w:tcPr>
            <w:tcW w:w="0" w:type="auto"/>
            <w:shd w:val="clear" w:color="auto" w:fill="F2F2F2" w:themeFill="background1" w:themeFillShade="F2"/>
            <w:hideMark/>
          </w:tcPr>
          <w:p w14:paraId="763DF130" w14:textId="77777777" w:rsidR="001A4F3D" w:rsidRPr="00990396" w:rsidRDefault="001A4F3D" w:rsidP="00004062">
            <w:pPr>
              <w:spacing w:line="240" w:lineRule="auto"/>
              <w:jc w:val="both"/>
              <w:rPr>
                <w:b/>
                <w:bCs/>
                <w:sz w:val="20"/>
                <w:szCs w:val="20"/>
              </w:rPr>
            </w:pPr>
            <w:r w:rsidRPr="00990396">
              <w:rPr>
                <w:b/>
                <w:bCs/>
                <w:sz w:val="20"/>
                <w:szCs w:val="20"/>
              </w:rPr>
              <w:t>Potential positive effect</w:t>
            </w:r>
          </w:p>
        </w:tc>
        <w:tc>
          <w:tcPr>
            <w:tcW w:w="0" w:type="auto"/>
            <w:shd w:val="clear" w:color="auto" w:fill="F2F2F2" w:themeFill="background1" w:themeFillShade="F2"/>
            <w:hideMark/>
          </w:tcPr>
          <w:p w14:paraId="415ABE91" w14:textId="77777777" w:rsidR="001A4F3D" w:rsidRPr="00990396" w:rsidRDefault="001A4F3D" w:rsidP="00004062">
            <w:pPr>
              <w:spacing w:line="240" w:lineRule="auto"/>
              <w:jc w:val="both"/>
              <w:rPr>
                <w:b/>
                <w:bCs/>
                <w:sz w:val="20"/>
                <w:szCs w:val="20"/>
              </w:rPr>
            </w:pPr>
            <w:r w:rsidRPr="00990396">
              <w:rPr>
                <w:b/>
                <w:bCs/>
                <w:sz w:val="20"/>
                <w:szCs w:val="20"/>
              </w:rPr>
              <w:t>Potential negative effect if poorly managed</w:t>
            </w:r>
          </w:p>
        </w:tc>
        <w:tc>
          <w:tcPr>
            <w:tcW w:w="0" w:type="auto"/>
            <w:shd w:val="clear" w:color="auto" w:fill="F2F2F2" w:themeFill="background1" w:themeFillShade="F2"/>
            <w:hideMark/>
          </w:tcPr>
          <w:p w14:paraId="514D8B87" w14:textId="77777777" w:rsidR="001A4F3D" w:rsidRPr="00990396" w:rsidRDefault="001A4F3D" w:rsidP="00004062">
            <w:pPr>
              <w:spacing w:line="240" w:lineRule="auto"/>
              <w:jc w:val="both"/>
              <w:rPr>
                <w:b/>
                <w:bCs/>
                <w:sz w:val="20"/>
                <w:szCs w:val="20"/>
              </w:rPr>
            </w:pPr>
            <w:r w:rsidRPr="00990396">
              <w:rPr>
                <w:b/>
                <w:bCs/>
                <w:sz w:val="20"/>
                <w:szCs w:val="20"/>
              </w:rPr>
              <w:t>Financial-performance implication</w:t>
            </w:r>
          </w:p>
        </w:tc>
      </w:tr>
      <w:tr w:rsidR="001A4F3D" w:rsidRPr="00990396" w14:paraId="39C33D5B" w14:textId="77777777" w:rsidTr="00004062">
        <w:trPr>
          <w:trHeight w:val="915"/>
          <w:jc w:val="center"/>
        </w:trPr>
        <w:tc>
          <w:tcPr>
            <w:tcW w:w="0" w:type="auto"/>
            <w:shd w:val="clear" w:color="auto" w:fill="F2F2F2" w:themeFill="background1" w:themeFillShade="F2"/>
            <w:hideMark/>
          </w:tcPr>
          <w:p w14:paraId="2C4F9862" w14:textId="77777777" w:rsidR="001A4F3D" w:rsidRPr="00990396" w:rsidRDefault="001A4F3D" w:rsidP="00004062">
            <w:pPr>
              <w:spacing w:line="240" w:lineRule="auto"/>
              <w:jc w:val="both"/>
              <w:rPr>
                <w:sz w:val="20"/>
                <w:szCs w:val="20"/>
              </w:rPr>
            </w:pPr>
            <w:r w:rsidRPr="00990396">
              <w:rPr>
                <w:sz w:val="20"/>
                <w:szCs w:val="20"/>
              </w:rPr>
              <w:t>Liquidity risk</w:t>
            </w:r>
          </w:p>
        </w:tc>
        <w:tc>
          <w:tcPr>
            <w:tcW w:w="0" w:type="auto"/>
            <w:shd w:val="clear" w:color="auto" w:fill="F2F2F2" w:themeFill="background1" w:themeFillShade="F2"/>
            <w:hideMark/>
          </w:tcPr>
          <w:p w14:paraId="0495B7A1" w14:textId="77777777" w:rsidR="001A4F3D" w:rsidRPr="00990396" w:rsidRDefault="001A4F3D" w:rsidP="00004062">
            <w:pPr>
              <w:spacing w:line="240" w:lineRule="auto"/>
              <w:jc w:val="both"/>
              <w:rPr>
                <w:sz w:val="20"/>
                <w:szCs w:val="20"/>
              </w:rPr>
            </w:pPr>
            <w:r w:rsidRPr="00990396">
              <w:rPr>
                <w:sz w:val="20"/>
                <w:szCs w:val="20"/>
              </w:rPr>
              <w:t>Cash-flow forecasting and working-capital control</w:t>
            </w:r>
          </w:p>
        </w:tc>
        <w:tc>
          <w:tcPr>
            <w:tcW w:w="0" w:type="auto"/>
            <w:shd w:val="clear" w:color="auto" w:fill="F2F2F2" w:themeFill="background1" w:themeFillShade="F2"/>
            <w:hideMark/>
          </w:tcPr>
          <w:p w14:paraId="7EB24EA9" w14:textId="77777777" w:rsidR="001A4F3D" w:rsidRPr="00990396" w:rsidRDefault="001A4F3D" w:rsidP="00004062">
            <w:pPr>
              <w:spacing w:line="240" w:lineRule="auto"/>
              <w:jc w:val="both"/>
              <w:rPr>
                <w:sz w:val="20"/>
                <w:szCs w:val="20"/>
              </w:rPr>
            </w:pPr>
            <w:r w:rsidRPr="00990396">
              <w:rPr>
                <w:sz w:val="20"/>
                <w:szCs w:val="20"/>
              </w:rPr>
              <w:t>Continuity, lower financing needs and resilience</w:t>
            </w:r>
          </w:p>
        </w:tc>
        <w:tc>
          <w:tcPr>
            <w:tcW w:w="0" w:type="auto"/>
            <w:shd w:val="clear" w:color="auto" w:fill="F2F2F2" w:themeFill="background1" w:themeFillShade="F2"/>
            <w:hideMark/>
          </w:tcPr>
          <w:p w14:paraId="1980ABEC" w14:textId="77777777" w:rsidR="001A4F3D" w:rsidRPr="00990396" w:rsidRDefault="001A4F3D" w:rsidP="00004062">
            <w:pPr>
              <w:spacing w:line="240" w:lineRule="auto"/>
              <w:jc w:val="both"/>
              <w:rPr>
                <w:sz w:val="20"/>
                <w:szCs w:val="20"/>
              </w:rPr>
            </w:pPr>
            <w:r w:rsidRPr="00990396">
              <w:rPr>
                <w:sz w:val="20"/>
                <w:szCs w:val="20"/>
              </w:rPr>
              <w:t>Idle cash, inefficient working capital</w:t>
            </w:r>
          </w:p>
        </w:tc>
        <w:tc>
          <w:tcPr>
            <w:tcW w:w="0" w:type="auto"/>
            <w:shd w:val="clear" w:color="auto" w:fill="F2F2F2" w:themeFill="background1" w:themeFillShade="F2"/>
            <w:hideMark/>
          </w:tcPr>
          <w:p w14:paraId="78504064" w14:textId="77777777" w:rsidR="001A4F3D" w:rsidRPr="00990396" w:rsidRDefault="001A4F3D" w:rsidP="00004062">
            <w:pPr>
              <w:spacing w:line="240" w:lineRule="auto"/>
              <w:jc w:val="both"/>
              <w:rPr>
                <w:sz w:val="20"/>
                <w:szCs w:val="20"/>
              </w:rPr>
            </w:pPr>
            <w:r w:rsidRPr="00990396">
              <w:rPr>
                <w:sz w:val="20"/>
                <w:szCs w:val="20"/>
              </w:rPr>
              <w:t>Profitability and cash-flow stability</w:t>
            </w:r>
          </w:p>
        </w:tc>
      </w:tr>
      <w:tr w:rsidR="001A4F3D" w:rsidRPr="00990396" w14:paraId="1E6B390B" w14:textId="77777777" w:rsidTr="00004062">
        <w:trPr>
          <w:trHeight w:val="915"/>
          <w:jc w:val="center"/>
        </w:trPr>
        <w:tc>
          <w:tcPr>
            <w:tcW w:w="0" w:type="auto"/>
            <w:shd w:val="clear" w:color="auto" w:fill="F2F2F2" w:themeFill="background1" w:themeFillShade="F2"/>
            <w:hideMark/>
          </w:tcPr>
          <w:p w14:paraId="12159DCF" w14:textId="77777777" w:rsidR="001A4F3D" w:rsidRPr="00990396" w:rsidRDefault="001A4F3D" w:rsidP="00004062">
            <w:pPr>
              <w:spacing w:line="240" w:lineRule="auto"/>
              <w:jc w:val="both"/>
              <w:rPr>
                <w:sz w:val="20"/>
                <w:szCs w:val="20"/>
              </w:rPr>
            </w:pPr>
            <w:r w:rsidRPr="00990396">
              <w:rPr>
                <w:sz w:val="20"/>
                <w:szCs w:val="20"/>
              </w:rPr>
              <w:t>Credit risk</w:t>
            </w:r>
          </w:p>
        </w:tc>
        <w:tc>
          <w:tcPr>
            <w:tcW w:w="0" w:type="auto"/>
            <w:shd w:val="clear" w:color="auto" w:fill="F2F2F2" w:themeFill="background1" w:themeFillShade="F2"/>
            <w:hideMark/>
          </w:tcPr>
          <w:p w14:paraId="6253C831" w14:textId="77777777" w:rsidR="001A4F3D" w:rsidRPr="00990396" w:rsidRDefault="001A4F3D" w:rsidP="00004062">
            <w:pPr>
              <w:spacing w:line="240" w:lineRule="auto"/>
              <w:jc w:val="both"/>
              <w:rPr>
                <w:sz w:val="20"/>
                <w:szCs w:val="20"/>
              </w:rPr>
            </w:pPr>
            <w:r w:rsidRPr="00990396">
              <w:rPr>
                <w:sz w:val="20"/>
                <w:szCs w:val="20"/>
              </w:rPr>
              <w:t>Screening, monitoring and collection</w:t>
            </w:r>
          </w:p>
        </w:tc>
        <w:tc>
          <w:tcPr>
            <w:tcW w:w="0" w:type="auto"/>
            <w:shd w:val="clear" w:color="auto" w:fill="F2F2F2" w:themeFill="background1" w:themeFillShade="F2"/>
            <w:hideMark/>
          </w:tcPr>
          <w:p w14:paraId="4333F045" w14:textId="77777777" w:rsidR="001A4F3D" w:rsidRPr="00990396" w:rsidRDefault="001A4F3D" w:rsidP="00004062">
            <w:pPr>
              <w:spacing w:line="240" w:lineRule="auto"/>
              <w:jc w:val="both"/>
              <w:rPr>
                <w:sz w:val="20"/>
                <w:szCs w:val="20"/>
              </w:rPr>
            </w:pPr>
            <w:r w:rsidRPr="00990396">
              <w:rPr>
                <w:sz w:val="20"/>
                <w:szCs w:val="20"/>
              </w:rPr>
              <w:t>Sales support, lower default losses, stronger cash conversion</w:t>
            </w:r>
          </w:p>
        </w:tc>
        <w:tc>
          <w:tcPr>
            <w:tcW w:w="0" w:type="auto"/>
            <w:shd w:val="clear" w:color="auto" w:fill="F2F2F2" w:themeFill="background1" w:themeFillShade="F2"/>
            <w:hideMark/>
          </w:tcPr>
          <w:p w14:paraId="3A955332" w14:textId="77777777" w:rsidR="001A4F3D" w:rsidRPr="00990396" w:rsidRDefault="001A4F3D" w:rsidP="00004062">
            <w:pPr>
              <w:spacing w:line="240" w:lineRule="auto"/>
              <w:jc w:val="both"/>
              <w:rPr>
                <w:sz w:val="20"/>
                <w:szCs w:val="20"/>
              </w:rPr>
            </w:pPr>
            <w:r w:rsidRPr="00990396">
              <w:rPr>
                <w:sz w:val="20"/>
                <w:szCs w:val="20"/>
              </w:rPr>
              <w:t>Late payments and financing pressure</w:t>
            </w:r>
          </w:p>
        </w:tc>
        <w:tc>
          <w:tcPr>
            <w:tcW w:w="0" w:type="auto"/>
            <w:shd w:val="clear" w:color="auto" w:fill="F2F2F2" w:themeFill="background1" w:themeFillShade="F2"/>
            <w:hideMark/>
          </w:tcPr>
          <w:p w14:paraId="0DA56DA0" w14:textId="77777777" w:rsidR="001A4F3D" w:rsidRPr="00990396" w:rsidRDefault="001A4F3D" w:rsidP="00004062">
            <w:pPr>
              <w:spacing w:line="240" w:lineRule="auto"/>
              <w:jc w:val="both"/>
              <w:rPr>
                <w:sz w:val="20"/>
                <w:szCs w:val="20"/>
              </w:rPr>
            </w:pPr>
            <w:r w:rsidRPr="00990396">
              <w:rPr>
                <w:sz w:val="20"/>
                <w:szCs w:val="20"/>
              </w:rPr>
              <w:t>Profitability, liquidity and growth</w:t>
            </w:r>
          </w:p>
        </w:tc>
      </w:tr>
      <w:tr w:rsidR="001A4F3D" w:rsidRPr="00990396" w14:paraId="2E003167" w14:textId="77777777" w:rsidTr="00004062">
        <w:trPr>
          <w:trHeight w:val="915"/>
          <w:jc w:val="center"/>
        </w:trPr>
        <w:tc>
          <w:tcPr>
            <w:tcW w:w="0" w:type="auto"/>
            <w:shd w:val="clear" w:color="auto" w:fill="F2F2F2" w:themeFill="background1" w:themeFillShade="F2"/>
            <w:hideMark/>
          </w:tcPr>
          <w:p w14:paraId="12780B07" w14:textId="77777777" w:rsidR="001A4F3D" w:rsidRPr="00990396" w:rsidRDefault="001A4F3D" w:rsidP="00004062">
            <w:pPr>
              <w:spacing w:line="240" w:lineRule="auto"/>
              <w:jc w:val="both"/>
              <w:rPr>
                <w:sz w:val="20"/>
                <w:szCs w:val="20"/>
              </w:rPr>
            </w:pPr>
            <w:r w:rsidRPr="00990396">
              <w:rPr>
                <w:sz w:val="20"/>
                <w:szCs w:val="20"/>
              </w:rPr>
              <w:t>Market risk</w:t>
            </w:r>
          </w:p>
        </w:tc>
        <w:tc>
          <w:tcPr>
            <w:tcW w:w="0" w:type="auto"/>
            <w:shd w:val="clear" w:color="auto" w:fill="F2F2F2" w:themeFill="background1" w:themeFillShade="F2"/>
            <w:hideMark/>
          </w:tcPr>
          <w:p w14:paraId="224BCF94" w14:textId="77777777" w:rsidR="001A4F3D" w:rsidRPr="00990396" w:rsidRDefault="001A4F3D" w:rsidP="00004062">
            <w:pPr>
              <w:spacing w:line="240" w:lineRule="auto"/>
              <w:jc w:val="both"/>
              <w:rPr>
                <w:sz w:val="20"/>
                <w:szCs w:val="20"/>
              </w:rPr>
            </w:pPr>
            <w:r w:rsidRPr="00990396">
              <w:rPr>
                <w:sz w:val="20"/>
                <w:szCs w:val="20"/>
              </w:rPr>
              <w:t>Hedging, pricing, diversification and flexibility</w:t>
            </w:r>
          </w:p>
        </w:tc>
        <w:tc>
          <w:tcPr>
            <w:tcW w:w="0" w:type="auto"/>
            <w:shd w:val="clear" w:color="auto" w:fill="F2F2F2" w:themeFill="background1" w:themeFillShade="F2"/>
            <w:hideMark/>
          </w:tcPr>
          <w:p w14:paraId="516737E8" w14:textId="77777777" w:rsidR="001A4F3D" w:rsidRPr="00990396" w:rsidRDefault="001A4F3D" w:rsidP="00004062">
            <w:pPr>
              <w:spacing w:line="240" w:lineRule="auto"/>
              <w:jc w:val="both"/>
              <w:rPr>
                <w:sz w:val="20"/>
                <w:szCs w:val="20"/>
              </w:rPr>
            </w:pPr>
            <w:r w:rsidRPr="00990396">
              <w:rPr>
                <w:sz w:val="20"/>
                <w:szCs w:val="20"/>
              </w:rPr>
              <w:t>Reduced exposure and greater resilience</w:t>
            </w:r>
          </w:p>
        </w:tc>
        <w:tc>
          <w:tcPr>
            <w:tcW w:w="0" w:type="auto"/>
            <w:shd w:val="clear" w:color="auto" w:fill="F2F2F2" w:themeFill="background1" w:themeFillShade="F2"/>
            <w:hideMark/>
          </w:tcPr>
          <w:p w14:paraId="7FD8A2A2" w14:textId="77777777" w:rsidR="001A4F3D" w:rsidRPr="00990396" w:rsidRDefault="001A4F3D" w:rsidP="00004062">
            <w:pPr>
              <w:spacing w:line="240" w:lineRule="auto"/>
              <w:jc w:val="both"/>
              <w:rPr>
                <w:sz w:val="20"/>
                <w:szCs w:val="20"/>
              </w:rPr>
            </w:pPr>
            <w:r w:rsidRPr="00990396">
              <w:rPr>
                <w:sz w:val="20"/>
                <w:szCs w:val="20"/>
              </w:rPr>
              <w:t>Unmanaged currency, price and interest-rate effects</w:t>
            </w:r>
          </w:p>
        </w:tc>
        <w:tc>
          <w:tcPr>
            <w:tcW w:w="0" w:type="auto"/>
            <w:shd w:val="clear" w:color="auto" w:fill="F2F2F2" w:themeFill="background1" w:themeFillShade="F2"/>
            <w:hideMark/>
          </w:tcPr>
          <w:p w14:paraId="34E41B83" w14:textId="77777777" w:rsidR="001A4F3D" w:rsidRPr="00990396" w:rsidRDefault="001A4F3D" w:rsidP="00004062">
            <w:pPr>
              <w:spacing w:line="240" w:lineRule="auto"/>
              <w:jc w:val="both"/>
              <w:rPr>
                <w:sz w:val="20"/>
                <w:szCs w:val="20"/>
              </w:rPr>
            </w:pPr>
            <w:r w:rsidRPr="00990396">
              <w:rPr>
                <w:sz w:val="20"/>
                <w:szCs w:val="20"/>
              </w:rPr>
              <w:t>Stability, solvency and growth</w:t>
            </w:r>
          </w:p>
        </w:tc>
      </w:tr>
      <w:tr w:rsidR="001A4F3D" w:rsidRPr="00990396" w14:paraId="00F3CD56" w14:textId="77777777" w:rsidTr="00004062">
        <w:trPr>
          <w:trHeight w:val="915"/>
          <w:jc w:val="center"/>
        </w:trPr>
        <w:tc>
          <w:tcPr>
            <w:tcW w:w="0" w:type="auto"/>
            <w:shd w:val="clear" w:color="auto" w:fill="F2F2F2" w:themeFill="background1" w:themeFillShade="F2"/>
            <w:hideMark/>
          </w:tcPr>
          <w:p w14:paraId="58741AD4" w14:textId="77777777" w:rsidR="001A4F3D" w:rsidRPr="00990396" w:rsidRDefault="001A4F3D" w:rsidP="00004062">
            <w:pPr>
              <w:spacing w:line="240" w:lineRule="auto"/>
              <w:jc w:val="both"/>
              <w:rPr>
                <w:sz w:val="20"/>
                <w:szCs w:val="20"/>
              </w:rPr>
            </w:pPr>
            <w:r w:rsidRPr="00990396">
              <w:rPr>
                <w:sz w:val="20"/>
                <w:szCs w:val="20"/>
              </w:rPr>
              <w:t>Integrated management</w:t>
            </w:r>
          </w:p>
        </w:tc>
        <w:tc>
          <w:tcPr>
            <w:tcW w:w="0" w:type="auto"/>
            <w:shd w:val="clear" w:color="auto" w:fill="F2F2F2" w:themeFill="background1" w:themeFillShade="F2"/>
            <w:hideMark/>
          </w:tcPr>
          <w:p w14:paraId="79360BC2" w14:textId="77777777" w:rsidR="001A4F3D" w:rsidRPr="00990396" w:rsidRDefault="001A4F3D" w:rsidP="00004062">
            <w:pPr>
              <w:spacing w:line="240" w:lineRule="auto"/>
              <w:jc w:val="both"/>
              <w:rPr>
                <w:sz w:val="20"/>
                <w:szCs w:val="20"/>
              </w:rPr>
            </w:pPr>
            <w:r w:rsidRPr="00990396">
              <w:rPr>
                <w:sz w:val="20"/>
                <w:szCs w:val="20"/>
              </w:rPr>
              <w:t>Coordination across exposures</w:t>
            </w:r>
          </w:p>
        </w:tc>
        <w:tc>
          <w:tcPr>
            <w:tcW w:w="0" w:type="auto"/>
            <w:shd w:val="clear" w:color="auto" w:fill="F2F2F2" w:themeFill="background1" w:themeFillShade="F2"/>
            <w:hideMark/>
          </w:tcPr>
          <w:p w14:paraId="296DFC07" w14:textId="77777777" w:rsidR="001A4F3D" w:rsidRPr="00990396" w:rsidRDefault="001A4F3D" w:rsidP="00004062">
            <w:pPr>
              <w:spacing w:line="240" w:lineRule="auto"/>
              <w:jc w:val="both"/>
              <w:rPr>
                <w:sz w:val="20"/>
                <w:szCs w:val="20"/>
              </w:rPr>
            </w:pPr>
            <w:r w:rsidRPr="00990396">
              <w:rPr>
                <w:sz w:val="20"/>
                <w:szCs w:val="20"/>
              </w:rPr>
              <w:t>Balanced risk-return decisions</w:t>
            </w:r>
          </w:p>
        </w:tc>
        <w:tc>
          <w:tcPr>
            <w:tcW w:w="0" w:type="auto"/>
            <w:shd w:val="clear" w:color="auto" w:fill="F2F2F2" w:themeFill="background1" w:themeFillShade="F2"/>
            <w:hideMark/>
          </w:tcPr>
          <w:p w14:paraId="7B6A5768" w14:textId="77777777" w:rsidR="001A4F3D" w:rsidRPr="00990396" w:rsidRDefault="001A4F3D" w:rsidP="00004062">
            <w:pPr>
              <w:spacing w:line="240" w:lineRule="auto"/>
              <w:jc w:val="both"/>
              <w:rPr>
                <w:sz w:val="20"/>
                <w:szCs w:val="20"/>
              </w:rPr>
            </w:pPr>
            <w:r w:rsidRPr="00990396">
              <w:rPr>
                <w:sz w:val="20"/>
                <w:szCs w:val="20"/>
              </w:rPr>
              <w:t>Controls in one area creating pressure elsewhere</w:t>
            </w:r>
          </w:p>
        </w:tc>
        <w:tc>
          <w:tcPr>
            <w:tcW w:w="0" w:type="auto"/>
            <w:shd w:val="clear" w:color="auto" w:fill="F2F2F2" w:themeFill="background1" w:themeFillShade="F2"/>
            <w:hideMark/>
          </w:tcPr>
          <w:p w14:paraId="39A819D5" w14:textId="77777777" w:rsidR="001A4F3D" w:rsidRPr="00990396" w:rsidRDefault="001A4F3D" w:rsidP="00004062">
            <w:pPr>
              <w:spacing w:line="240" w:lineRule="auto"/>
              <w:jc w:val="both"/>
              <w:rPr>
                <w:sz w:val="20"/>
                <w:szCs w:val="20"/>
              </w:rPr>
            </w:pPr>
            <w:r w:rsidRPr="00990396">
              <w:rPr>
                <w:sz w:val="20"/>
                <w:szCs w:val="20"/>
              </w:rPr>
              <w:t>Overall financial performance</w:t>
            </w:r>
          </w:p>
        </w:tc>
      </w:tr>
    </w:tbl>
    <w:p w14:paraId="144BD939" w14:textId="77777777" w:rsidR="009D0313" w:rsidRPr="00990396" w:rsidRDefault="009D0313" w:rsidP="00990396">
      <w:pPr>
        <w:jc w:val="both"/>
      </w:pPr>
      <w:r w:rsidRPr="00990396">
        <w:t xml:space="preserve">The second cross-theme finding is that there is differential quality of evidence. Liquidity is the most strongly direct support for UK SMEs, as </w:t>
      </w:r>
      <w:proofErr w:type="spellStart"/>
      <w:r w:rsidRPr="00990396">
        <w:t>Belghitar</w:t>
      </w:r>
      <w:proofErr w:type="spellEnd"/>
      <w:r w:rsidRPr="00990396">
        <w:t xml:space="preserve"> et al. (2022) and Youssef et al. (2023) look at British SMEs, albeit one only on 93 listed firms, and the other simulated shock outcomes. The evidence of credit is geographically more dispersed, as Peter et al. (2022), Otto (2023), Al-Eitan et al. (2023), Kaya (2024), Lefebvre (2023) and Del Gaudio et al. (2022) are based on African, Middle Eastern and European contexts. The relevant evidence from the UK is included in market-risk research in </w:t>
      </w:r>
      <w:proofErr w:type="spellStart"/>
      <w:r w:rsidRPr="00990396">
        <w:t>Belghitar</w:t>
      </w:r>
      <w:proofErr w:type="spellEnd"/>
      <w:r w:rsidRPr="00990396">
        <w:t xml:space="preserve"> et al. 2021 and Koroma and Bein 2024, but both are based on listed companies and indirect measures of management practices. Thus, the overall synthesis needs to separate out evidential consistency from contextual applicability. A relationship that has been well established over several different countries could still be problematic for private UK SMEs, and a study directly relevant to the UK could prove too small or too specific to be generalised. This comparison illustrates the importance of weighing votes and not just counting them. While large samples are more precise, they do not necessarily address problems with measurement or transferability, while smaller studies </w:t>
      </w:r>
      <w:r w:rsidRPr="00990396">
        <w:lastRenderedPageBreak/>
        <w:t>may have contextually rich information and may be less statistically confident. The conclusions that emerge, then, must be considered as patterned explanations rather than causal estimates of varying degrees of certainty. It is crucial in the translation of secondary evidence to recommendations for heterogeneous SMEs.</w:t>
      </w:r>
    </w:p>
    <w:p w14:paraId="6DDF15A6" w14:textId="1750CBD4" w:rsidR="001A4F3D" w:rsidRPr="00990396" w:rsidRDefault="009D0313" w:rsidP="00990396">
      <w:pPr>
        <w:jc w:val="both"/>
      </w:pPr>
      <w:r w:rsidRPr="00990396">
        <w:t>A third theme is that the quality of the controls, their fit and execution by management seems to be a better determinant of financial performance than the presence of controls</w:t>
      </w:r>
      <w:r w:rsidR="001A4F3D" w:rsidRPr="00990396">
        <w:t xml:space="preserve">. </w:t>
      </w:r>
      <w:r w:rsidR="0097285E" w:rsidRPr="00990396">
        <w:t>The relationship between ERM and SME financial performance was influenced by organisational culture and strategic risk-management performance (</w:t>
      </w:r>
      <w:proofErr w:type="spellStart"/>
      <w:r w:rsidR="0097285E" w:rsidRPr="00990396">
        <w:t>Syrová</w:t>
      </w:r>
      <w:proofErr w:type="spellEnd"/>
      <w:r w:rsidR="0097285E" w:rsidRPr="00990396">
        <w:t xml:space="preserve"> and </w:t>
      </w:r>
      <w:proofErr w:type="spellStart"/>
      <w:r w:rsidR="0097285E" w:rsidRPr="00990396">
        <w:t>Špička</w:t>
      </w:r>
      <w:proofErr w:type="spellEnd"/>
      <w:r w:rsidR="0097285E" w:rsidRPr="00990396">
        <w:t xml:space="preserve">, 2023), and organisational and human resources influenced foreign-exchange hedging strategy (Dang and Lindsay, 2022). A similar study by Kulathunga et al. (2020) found that financial and technological literacy were also related to ERM practices and SME performance. These studies provide insight into why the same liquidity ratios, credit terms or market exposures can yield different results for firms. What good is a cash forecast if managers can't implement it, what good is a credit policy if it isn't monitored and enforced, and what good are hedging tools if they aren't suitable, or if managers don't have the expertise, scale, or reliable exposure data to effectively use them? This ability versus explanation also helps to overcome a few paradoxes in the empirical literature. While there may be important indirect effects of risk-management practices, there may also be insignificant direct effects as well. A case can thus be made for proportionate systems with financial knowledge, timely information and managerial judgement for UK SMEs. The analysis indicates that capability is a mechanism that cuts across all three risk-management themes and connects the themes to financial performance. If these resources are not there, formal controls could be in place but only have a symbolic </w:t>
      </w:r>
      <w:proofErr w:type="gramStart"/>
      <w:r w:rsidR="0097285E" w:rsidRPr="00990396">
        <w:t>value, and</w:t>
      </w:r>
      <w:proofErr w:type="gramEnd"/>
      <w:r w:rsidR="0097285E" w:rsidRPr="00990396">
        <w:t xml:space="preserve"> have little or no operational or financial impact</w:t>
      </w:r>
      <w:r w:rsidR="001A4F3D" w:rsidRPr="00990396">
        <w:t>.</w:t>
      </w:r>
    </w:p>
    <w:p w14:paraId="224E6752" w14:textId="2B8D5985" w:rsidR="001A4F3D" w:rsidRPr="00990396" w:rsidRDefault="001A4F3D" w:rsidP="00990396">
      <w:pPr>
        <w:pStyle w:val="Heading2"/>
        <w:jc w:val="both"/>
        <w:rPr>
          <w:rFonts w:cstheme="minorBidi"/>
        </w:rPr>
      </w:pPr>
      <w:bookmarkStart w:id="54" w:name="_Toc241147035"/>
      <w:r w:rsidRPr="00990396">
        <w:rPr>
          <w:rFonts w:cstheme="minorBidi"/>
        </w:rPr>
        <w:t>Theoretical Interpretation of the Findings</w:t>
      </w:r>
      <w:bookmarkEnd w:id="54"/>
    </w:p>
    <w:p w14:paraId="57F31517" w14:textId="7F5357A4" w:rsidR="001A4F3D" w:rsidRPr="00990396" w:rsidRDefault="0097285E" w:rsidP="00990396">
      <w:pPr>
        <w:jc w:val="both"/>
      </w:pPr>
      <w:r w:rsidRPr="00990396">
        <w:t xml:space="preserve">The thematic findings are strongly related to Enterprise Risk Management Theory; the evidence indicates that there is a link between financial risks and that there are trade-offs between different controls. According to the perspective of Nocco and Stulz (2006), ERM adds value by bringing together the risk decisions and management of the firm </w:t>
      </w:r>
      <w:proofErr w:type="gramStart"/>
      <w:r w:rsidRPr="00990396">
        <w:t>as a whole instead</w:t>
      </w:r>
      <w:proofErr w:type="gramEnd"/>
      <w:r w:rsidRPr="00990396">
        <w:t xml:space="preserve"> of managing risks independently. The liquidity theme backs up the reason: excess cash can boost resilience but can come with a cost of decreased profitability; having more stringent controls on receivables can boost liquidity but may have the side-effect of slowing sales. The credit theme also reveals that trade credit can be a source of growth and financing at moderate </w:t>
      </w:r>
      <w:proofErr w:type="gramStart"/>
      <w:r w:rsidRPr="00990396">
        <w:t>levels, but</w:t>
      </w:r>
      <w:proofErr w:type="gramEnd"/>
      <w:r w:rsidRPr="00990396">
        <w:t xml:space="preserve"> can be detrimental if it leads to payment delays and raises default and borrowing expenses (Baker et al., 2022; Kaya, 2024). An additional layer exists due to market-risk evidence, as exchange-rate, policy or price shocks can impact working-capital requirements </w:t>
      </w:r>
      <w:r w:rsidRPr="00990396">
        <w:lastRenderedPageBreak/>
        <w:t>and financing conditions (</w:t>
      </w:r>
      <w:proofErr w:type="spellStart"/>
      <w:r w:rsidRPr="00990396">
        <w:t>Belghitar</w:t>
      </w:r>
      <w:proofErr w:type="spellEnd"/>
      <w:r w:rsidRPr="00990396">
        <w:t xml:space="preserve"> et al., 2021; Koroma and Bein, 2024). ERM is thus able to offer a unified justification for not seeking maximum risk reduction as the best response. Coordinated decisions are needed within UK SMEs that </w:t>
      </w:r>
      <w:proofErr w:type="gramStart"/>
      <w:r w:rsidRPr="00990396">
        <w:t>take into account</w:t>
      </w:r>
      <w:proofErr w:type="gramEnd"/>
      <w:r w:rsidRPr="00990396">
        <w:t xml:space="preserve"> risk appetite, resource limitations and performance trade-offs. It is noted, however, that there is a limitation in applying ERM directly, since most of the reviewed studies address one risk category whereas observing ERM systems in general. As a result, the theory is conceptually consistent with the combination pattern, although it hasn't yet been confirmed empirically among representative UK SMEs. This chasm should dampen expectations that integration proves its own efficacy by empirical means</w:t>
      </w:r>
      <w:r w:rsidR="001A4F3D" w:rsidRPr="00990396">
        <w:t>.</w:t>
      </w:r>
    </w:p>
    <w:p w14:paraId="1AFD60B7" w14:textId="0594A7E4" w:rsidR="001A4F3D" w:rsidRPr="00990396" w:rsidRDefault="001A4F3D" w:rsidP="00990396">
      <w:pPr>
        <w:pStyle w:val="Caption"/>
        <w:keepNext/>
        <w:spacing w:line="360" w:lineRule="auto"/>
        <w:jc w:val="both"/>
      </w:pPr>
      <w:bookmarkStart w:id="55" w:name="_Toc241147057"/>
      <w:r w:rsidRPr="00990396">
        <w:t xml:space="preserve">Table </w:t>
      </w:r>
      <w:fldSimple w:instr=" SEQ Table \* ARABIC ">
        <w:r w:rsidRPr="00990396">
          <w:rPr>
            <w:noProof/>
          </w:rPr>
          <w:t>7</w:t>
        </w:r>
      </w:fldSimple>
      <w:r w:rsidRPr="00990396">
        <w:t xml:space="preserve"> Relationship between Emergent Themes and Theoretical Framework</w:t>
      </w:r>
      <w:bookmarkEnd w:id="55"/>
    </w:p>
    <w:tbl>
      <w:tblPr>
        <w:tblStyle w:val="TableGrid"/>
        <w:tblW w:w="8924" w:type="dxa"/>
        <w:jc w:val="center"/>
        <w:shd w:val="clear" w:color="auto" w:fill="F2F2F2" w:themeFill="background1" w:themeFillShade="F2"/>
        <w:tblLook w:val="04A0" w:firstRow="1" w:lastRow="0" w:firstColumn="1" w:lastColumn="0" w:noHBand="0" w:noVBand="1"/>
      </w:tblPr>
      <w:tblGrid>
        <w:gridCol w:w="1694"/>
        <w:gridCol w:w="2522"/>
        <w:gridCol w:w="2554"/>
        <w:gridCol w:w="2154"/>
      </w:tblGrid>
      <w:tr w:rsidR="001A4F3D" w:rsidRPr="00004062" w14:paraId="7AFBB6AB" w14:textId="77777777" w:rsidTr="00004062">
        <w:trPr>
          <w:trHeight w:val="755"/>
          <w:jc w:val="center"/>
        </w:trPr>
        <w:tc>
          <w:tcPr>
            <w:tcW w:w="0" w:type="auto"/>
            <w:shd w:val="clear" w:color="auto" w:fill="F2F2F2" w:themeFill="background1" w:themeFillShade="F2"/>
            <w:hideMark/>
          </w:tcPr>
          <w:p w14:paraId="237D0938" w14:textId="77777777" w:rsidR="001A4F3D" w:rsidRPr="00004062" w:rsidRDefault="001A4F3D" w:rsidP="00004062">
            <w:pPr>
              <w:spacing w:line="240" w:lineRule="auto"/>
              <w:jc w:val="both"/>
              <w:rPr>
                <w:b/>
                <w:bCs/>
                <w:sz w:val="20"/>
                <w:szCs w:val="20"/>
              </w:rPr>
            </w:pPr>
            <w:r w:rsidRPr="00004062">
              <w:rPr>
                <w:b/>
                <w:bCs/>
                <w:sz w:val="20"/>
                <w:szCs w:val="20"/>
              </w:rPr>
              <w:t>Emergent theme</w:t>
            </w:r>
          </w:p>
        </w:tc>
        <w:tc>
          <w:tcPr>
            <w:tcW w:w="0" w:type="auto"/>
            <w:shd w:val="clear" w:color="auto" w:fill="F2F2F2" w:themeFill="background1" w:themeFillShade="F2"/>
            <w:hideMark/>
          </w:tcPr>
          <w:p w14:paraId="0ED77879" w14:textId="77777777" w:rsidR="001A4F3D" w:rsidRPr="00004062" w:rsidRDefault="001A4F3D" w:rsidP="00004062">
            <w:pPr>
              <w:spacing w:line="240" w:lineRule="auto"/>
              <w:jc w:val="both"/>
              <w:rPr>
                <w:b/>
                <w:bCs/>
                <w:sz w:val="20"/>
                <w:szCs w:val="20"/>
              </w:rPr>
            </w:pPr>
            <w:r w:rsidRPr="00004062">
              <w:rPr>
                <w:b/>
                <w:bCs/>
                <w:sz w:val="20"/>
                <w:szCs w:val="20"/>
              </w:rPr>
              <w:t>ERM interpretation</w:t>
            </w:r>
          </w:p>
        </w:tc>
        <w:tc>
          <w:tcPr>
            <w:tcW w:w="0" w:type="auto"/>
            <w:shd w:val="clear" w:color="auto" w:fill="F2F2F2" w:themeFill="background1" w:themeFillShade="F2"/>
            <w:hideMark/>
          </w:tcPr>
          <w:p w14:paraId="7B35663D" w14:textId="77777777" w:rsidR="001A4F3D" w:rsidRPr="00004062" w:rsidRDefault="001A4F3D" w:rsidP="00004062">
            <w:pPr>
              <w:spacing w:line="240" w:lineRule="auto"/>
              <w:jc w:val="both"/>
              <w:rPr>
                <w:b/>
                <w:bCs/>
                <w:sz w:val="20"/>
                <w:szCs w:val="20"/>
              </w:rPr>
            </w:pPr>
            <w:r w:rsidRPr="00004062">
              <w:rPr>
                <w:b/>
                <w:bCs/>
                <w:sz w:val="20"/>
                <w:szCs w:val="20"/>
              </w:rPr>
              <w:t>RBV interpretation</w:t>
            </w:r>
          </w:p>
        </w:tc>
        <w:tc>
          <w:tcPr>
            <w:tcW w:w="0" w:type="auto"/>
            <w:shd w:val="clear" w:color="auto" w:fill="F2F2F2" w:themeFill="background1" w:themeFillShade="F2"/>
            <w:hideMark/>
          </w:tcPr>
          <w:p w14:paraId="4AA01969" w14:textId="77777777" w:rsidR="001A4F3D" w:rsidRPr="00004062" w:rsidRDefault="001A4F3D" w:rsidP="00004062">
            <w:pPr>
              <w:spacing w:line="240" w:lineRule="auto"/>
              <w:jc w:val="both"/>
              <w:rPr>
                <w:b/>
                <w:bCs/>
                <w:sz w:val="20"/>
                <w:szCs w:val="20"/>
              </w:rPr>
            </w:pPr>
            <w:r w:rsidRPr="00004062">
              <w:rPr>
                <w:b/>
                <w:bCs/>
                <w:sz w:val="20"/>
                <w:szCs w:val="20"/>
              </w:rPr>
              <w:t>Financial-performance pathway</w:t>
            </w:r>
          </w:p>
        </w:tc>
      </w:tr>
      <w:tr w:rsidR="001A4F3D" w:rsidRPr="00004062" w14:paraId="621BB61C" w14:textId="77777777" w:rsidTr="00004062">
        <w:trPr>
          <w:trHeight w:val="1003"/>
          <w:jc w:val="center"/>
        </w:trPr>
        <w:tc>
          <w:tcPr>
            <w:tcW w:w="0" w:type="auto"/>
            <w:shd w:val="clear" w:color="auto" w:fill="F2F2F2" w:themeFill="background1" w:themeFillShade="F2"/>
            <w:hideMark/>
          </w:tcPr>
          <w:p w14:paraId="259BC30C" w14:textId="77777777" w:rsidR="001A4F3D" w:rsidRPr="00004062" w:rsidRDefault="001A4F3D" w:rsidP="00004062">
            <w:pPr>
              <w:spacing w:line="240" w:lineRule="auto"/>
              <w:jc w:val="both"/>
              <w:rPr>
                <w:sz w:val="20"/>
                <w:szCs w:val="20"/>
              </w:rPr>
            </w:pPr>
            <w:r w:rsidRPr="00004062">
              <w:rPr>
                <w:sz w:val="20"/>
                <w:szCs w:val="20"/>
              </w:rPr>
              <w:t>Liquidity efficiency and resilience</w:t>
            </w:r>
          </w:p>
        </w:tc>
        <w:tc>
          <w:tcPr>
            <w:tcW w:w="0" w:type="auto"/>
            <w:shd w:val="clear" w:color="auto" w:fill="F2F2F2" w:themeFill="background1" w:themeFillShade="F2"/>
            <w:hideMark/>
          </w:tcPr>
          <w:p w14:paraId="63965FD3" w14:textId="77777777" w:rsidR="001A4F3D" w:rsidRPr="00004062" w:rsidRDefault="001A4F3D" w:rsidP="00004062">
            <w:pPr>
              <w:spacing w:line="240" w:lineRule="auto"/>
              <w:jc w:val="both"/>
              <w:rPr>
                <w:sz w:val="20"/>
                <w:szCs w:val="20"/>
              </w:rPr>
            </w:pPr>
            <w:r w:rsidRPr="00004062">
              <w:rPr>
                <w:sz w:val="20"/>
                <w:szCs w:val="20"/>
              </w:rPr>
              <w:t>Balances liquidity risk against profitability and opportunity costs</w:t>
            </w:r>
          </w:p>
        </w:tc>
        <w:tc>
          <w:tcPr>
            <w:tcW w:w="0" w:type="auto"/>
            <w:shd w:val="clear" w:color="auto" w:fill="F2F2F2" w:themeFill="background1" w:themeFillShade="F2"/>
            <w:hideMark/>
          </w:tcPr>
          <w:p w14:paraId="1AE711E6" w14:textId="77777777" w:rsidR="001A4F3D" w:rsidRPr="00004062" w:rsidRDefault="001A4F3D" w:rsidP="00004062">
            <w:pPr>
              <w:spacing w:line="240" w:lineRule="auto"/>
              <w:jc w:val="both"/>
              <w:rPr>
                <w:sz w:val="20"/>
                <w:szCs w:val="20"/>
              </w:rPr>
            </w:pPr>
            <w:r w:rsidRPr="00004062">
              <w:rPr>
                <w:sz w:val="20"/>
                <w:szCs w:val="20"/>
              </w:rPr>
              <w:t>Requires forecasting skills, accounting information and managerial judgement</w:t>
            </w:r>
          </w:p>
        </w:tc>
        <w:tc>
          <w:tcPr>
            <w:tcW w:w="0" w:type="auto"/>
            <w:shd w:val="clear" w:color="auto" w:fill="F2F2F2" w:themeFill="background1" w:themeFillShade="F2"/>
            <w:hideMark/>
          </w:tcPr>
          <w:p w14:paraId="2DA65BC7" w14:textId="77777777" w:rsidR="001A4F3D" w:rsidRPr="00004062" w:rsidRDefault="001A4F3D" w:rsidP="00004062">
            <w:pPr>
              <w:spacing w:line="240" w:lineRule="auto"/>
              <w:jc w:val="both"/>
              <w:rPr>
                <w:sz w:val="20"/>
                <w:szCs w:val="20"/>
              </w:rPr>
            </w:pPr>
            <w:r w:rsidRPr="00004062">
              <w:rPr>
                <w:sz w:val="20"/>
                <w:szCs w:val="20"/>
              </w:rPr>
              <w:t>Cash-flow stability, profitability and survival</w:t>
            </w:r>
          </w:p>
        </w:tc>
      </w:tr>
      <w:tr w:rsidR="001A4F3D" w:rsidRPr="00004062" w14:paraId="6ECDA8BF" w14:textId="77777777" w:rsidTr="00004062">
        <w:trPr>
          <w:trHeight w:val="1003"/>
          <w:jc w:val="center"/>
        </w:trPr>
        <w:tc>
          <w:tcPr>
            <w:tcW w:w="0" w:type="auto"/>
            <w:shd w:val="clear" w:color="auto" w:fill="F2F2F2" w:themeFill="background1" w:themeFillShade="F2"/>
            <w:hideMark/>
          </w:tcPr>
          <w:p w14:paraId="5C2641B0" w14:textId="77777777" w:rsidR="001A4F3D" w:rsidRPr="00004062" w:rsidRDefault="001A4F3D" w:rsidP="00004062">
            <w:pPr>
              <w:spacing w:line="240" w:lineRule="auto"/>
              <w:jc w:val="both"/>
              <w:rPr>
                <w:sz w:val="20"/>
                <w:szCs w:val="20"/>
              </w:rPr>
            </w:pPr>
            <w:r w:rsidRPr="00004062">
              <w:rPr>
                <w:sz w:val="20"/>
                <w:szCs w:val="20"/>
              </w:rPr>
              <w:t>Disciplined credit management</w:t>
            </w:r>
          </w:p>
        </w:tc>
        <w:tc>
          <w:tcPr>
            <w:tcW w:w="0" w:type="auto"/>
            <w:shd w:val="clear" w:color="auto" w:fill="F2F2F2" w:themeFill="background1" w:themeFillShade="F2"/>
            <w:hideMark/>
          </w:tcPr>
          <w:p w14:paraId="42B2DDE5" w14:textId="77777777" w:rsidR="001A4F3D" w:rsidRPr="00004062" w:rsidRDefault="001A4F3D" w:rsidP="00004062">
            <w:pPr>
              <w:spacing w:line="240" w:lineRule="auto"/>
              <w:jc w:val="both"/>
              <w:rPr>
                <w:sz w:val="20"/>
                <w:szCs w:val="20"/>
              </w:rPr>
            </w:pPr>
            <w:r w:rsidRPr="00004062">
              <w:rPr>
                <w:sz w:val="20"/>
                <w:szCs w:val="20"/>
              </w:rPr>
              <w:t>Coordinates customer credit with liquidity and overall risk appetite</w:t>
            </w:r>
          </w:p>
        </w:tc>
        <w:tc>
          <w:tcPr>
            <w:tcW w:w="0" w:type="auto"/>
            <w:shd w:val="clear" w:color="auto" w:fill="F2F2F2" w:themeFill="background1" w:themeFillShade="F2"/>
            <w:hideMark/>
          </w:tcPr>
          <w:p w14:paraId="62F775AD" w14:textId="77777777" w:rsidR="001A4F3D" w:rsidRPr="00004062" w:rsidRDefault="001A4F3D" w:rsidP="00004062">
            <w:pPr>
              <w:spacing w:line="240" w:lineRule="auto"/>
              <w:jc w:val="both"/>
              <w:rPr>
                <w:sz w:val="20"/>
                <w:szCs w:val="20"/>
              </w:rPr>
            </w:pPr>
            <w:r w:rsidRPr="00004062">
              <w:rPr>
                <w:sz w:val="20"/>
                <w:szCs w:val="20"/>
              </w:rPr>
              <w:t>Requires customer knowledge, monitoring systems and collection capability</w:t>
            </w:r>
          </w:p>
        </w:tc>
        <w:tc>
          <w:tcPr>
            <w:tcW w:w="0" w:type="auto"/>
            <w:shd w:val="clear" w:color="auto" w:fill="F2F2F2" w:themeFill="background1" w:themeFillShade="F2"/>
            <w:hideMark/>
          </w:tcPr>
          <w:p w14:paraId="4A6A65BC" w14:textId="77777777" w:rsidR="001A4F3D" w:rsidRPr="00004062" w:rsidRDefault="001A4F3D" w:rsidP="00004062">
            <w:pPr>
              <w:spacing w:line="240" w:lineRule="auto"/>
              <w:jc w:val="both"/>
              <w:rPr>
                <w:sz w:val="20"/>
                <w:szCs w:val="20"/>
              </w:rPr>
            </w:pPr>
            <w:r w:rsidRPr="00004062">
              <w:rPr>
                <w:sz w:val="20"/>
                <w:szCs w:val="20"/>
              </w:rPr>
              <w:t>Lower default loss, stronger liquidity and sustainable growth</w:t>
            </w:r>
          </w:p>
        </w:tc>
      </w:tr>
      <w:tr w:rsidR="001A4F3D" w:rsidRPr="00004062" w14:paraId="1AFCA6C7" w14:textId="77777777" w:rsidTr="00004062">
        <w:trPr>
          <w:trHeight w:val="1003"/>
          <w:jc w:val="center"/>
        </w:trPr>
        <w:tc>
          <w:tcPr>
            <w:tcW w:w="0" w:type="auto"/>
            <w:shd w:val="clear" w:color="auto" w:fill="F2F2F2" w:themeFill="background1" w:themeFillShade="F2"/>
            <w:hideMark/>
          </w:tcPr>
          <w:p w14:paraId="62CFA437" w14:textId="77777777" w:rsidR="001A4F3D" w:rsidRPr="00004062" w:rsidRDefault="001A4F3D" w:rsidP="00004062">
            <w:pPr>
              <w:spacing w:line="240" w:lineRule="auto"/>
              <w:jc w:val="both"/>
              <w:rPr>
                <w:sz w:val="20"/>
                <w:szCs w:val="20"/>
              </w:rPr>
            </w:pPr>
            <w:r w:rsidRPr="00004062">
              <w:rPr>
                <w:sz w:val="20"/>
                <w:szCs w:val="20"/>
              </w:rPr>
              <w:t>Adaptive market-risk capability</w:t>
            </w:r>
          </w:p>
        </w:tc>
        <w:tc>
          <w:tcPr>
            <w:tcW w:w="0" w:type="auto"/>
            <w:shd w:val="clear" w:color="auto" w:fill="F2F2F2" w:themeFill="background1" w:themeFillShade="F2"/>
            <w:hideMark/>
          </w:tcPr>
          <w:p w14:paraId="52DBC37F" w14:textId="77777777" w:rsidR="001A4F3D" w:rsidRPr="00004062" w:rsidRDefault="001A4F3D" w:rsidP="00004062">
            <w:pPr>
              <w:spacing w:line="240" w:lineRule="auto"/>
              <w:jc w:val="both"/>
              <w:rPr>
                <w:sz w:val="20"/>
                <w:szCs w:val="20"/>
              </w:rPr>
            </w:pPr>
            <w:r w:rsidRPr="00004062">
              <w:rPr>
                <w:sz w:val="20"/>
                <w:szCs w:val="20"/>
              </w:rPr>
              <w:t>Integrates external market exposures with financing and operational decisions</w:t>
            </w:r>
          </w:p>
        </w:tc>
        <w:tc>
          <w:tcPr>
            <w:tcW w:w="0" w:type="auto"/>
            <w:shd w:val="clear" w:color="auto" w:fill="F2F2F2" w:themeFill="background1" w:themeFillShade="F2"/>
            <w:hideMark/>
          </w:tcPr>
          <w:p w14:paraId="53E7C018" w14:textId="77777777" w:rsidR="001A4F3D" w:rsidRPr="00004062" w:rsidRDefault="001A4F3D" w:rsidP="00004062">
            <w:pPr>
              <w:spacing w:line="240" w:lineRule="auto"/>
              <w:jc w:val="both"/>
              <w:rPr>
                <w:sz w:val="20"/>
                <w:szCs w:val="20"/>
              </w:rPr>
            </w:pPr>
            <w:r w:rsidRPr="00004062">
              <w:rPr>
                <w:sz w:val="20"/>
                <w:szCs w:val="20"/>
              </w:rPr>
              <w:t>Depends on expertise, information, relationships and adaptive resources</w:t>
            </w:r>
          </w:p>
        </w:tc>
        <w:tc>
          <w:tcPr>
            <w:tcW w:w="0" w:type="auto"/>
            <w:shd w:val="clear" w:color="auto" w:fill="F2F2F2" w:themeFill="background1" w:themeFillShade="F2"/>
            <w:hideMark/>
          </w:tcPr>
          <w:p w14:paraId="7CC13434" w14:textId="77777777" w:rsidR="001A4F3D" w:rsidRPr="00004062" w:rsidRDefault="001A4F3D" w:rsidP="00004062">
            <w:pPr>
              <w:spacing w:line="240" w:lineRule="auto"/>
              <w:jc w:val="both"/>
              <w:rPr>
                <w:sz w:val="20"/>
                <w:szCs w:val="20"/>
              </w:rPr>
            </w:pPr>
            <w:r w:rsidRPr="00004062">
              <w:rPr>
                <w:sz w:val="20"/>
                <w:szCs w:val="20"/>
              </w:rPr>
              <w:t>Lower volatility, resilience and solvency</w:t>
            </w:r>
          </w:p>
        </w:tc>
      </w:tr>
      <w:tr w:rsidR="001A4F3D" w:rsidRPr="00004062" w14:paraId="1FD8AB9C" w14:textId="77777777" w:rsidTr="00004062">
        <w:trPr>
          <w:trHeight w:val="755"/>
          <w:jc w:val="center"/>
        </w:trPr>
        <w:tc>
          <w:tcPr>
            <w:tcW w:w="0" w:type="auto"/>
            <w:shd w:val="clear" w:color="auto" w:fill="F2F2F2" w:themeFill="background1" w:themeFillShade="F2"/>
            <w:hideMark/>
          </w:tcPr>
          <w:p w14:paraId="6996EBBE" w14:textId="77777777" w:rsidR="001A4F3D" w:rsidRPr="00004062" w:rsidRDefault="001A4F3D" w:rsidP="00004062">
            <w:pPr>
              <w:spacing w:line="240" w:lineRule="auto"/>
              <w:jc w:val="both"/>
              <w:rPr>
                <w:sz w:val="20"/>
                <w:szCs w:val="20"/>
              </w:rPr>
            </w:pPr>
            <w:r w:rsidRPr="00004062">
              <w:rPr>
                <w:sz w:val="20"/>
                <w:szCs w:val="20"/>
              </w:rPr>
              <w:t>Cross-risk integration</w:t>
            </w:r>
          </w:p>
        </w:tc>
        <w:tc>
          <w:tcPr>
            <w:tcW w:w="0" w:type="auto"/>
            <w:shd w:val="clear" w:color="auto" w:fill="F2F2F2" w:themeFill="background1" w:themeFillShade="F2"/>
            <w:hideMark/>
          </w:tcPr>
          <w:p w14:paraId="5DDED4DA" w14:textId="77777777" w:rsidR="001A4F3D" w:rsidRPr="00004062" w:rsidRDefault="001A4F3D" w:rsidP="00004062">
            <w:pPr>
              <w:spacing w:line="240" w:lineRule="auto"/>
              <w:jc w:val="both"/>
              <w:rPr>
                <w:sz w:val="20"/>
                <w:szCs w:val="20"/>
              </w:rPr>
            </w:pPr>
            <w:r w:rsidRPr="00004062">
              <w:rPr>
                <w:sz w:val="20"/>
                <w:szCs w:val="20"/>
              </w:rPr>
              <w:t>Manages interconnected exposures collectively</w:t>
            </w:r>
          </w:p>
        </w:tc>
        <w:tc>
          <w:tcPr>
            <w:tcW w:w="0" w:type="auto"/>
            <w:shd w:val="clear" w:color="auto" w:fill="F2F2F2" w:themeFill="background1" w:themeFillShade="F2"/>
            <w:hideMark/>
          </w:tcPr>
          <w:p w14:paraId="4898A090" w14:textId="77777777" w:rsidR="001A4F3D" w:rsidRPr="00004062" w:rsidRDefault="001A4F3D" w:rsidP="00004062">
            <w:pPr>
              <w:spacing w:line="240" w:lineRule="auto"/>
              <w:jc w:val="both"/>
              <w:rPr>
                <w:sz w:val="20"/>
                <w:szCs w:val="20"/>
              </w:rPr>
            </w:pPr>
            <w:r w:rsidRPr="00004062">
              <w:rPr>
                <w:sz w:val="20"/>
                <w:szCs w:val="20"/>
              </w:rPr>
              <w:t>Capabilities determine quality of implementation</w:t>
            </w:r>
          </w:p>
        </w:tc>
        <w:tc>
          <w:tcPr>
            <w:tcW w:w="0" w:type="auto"/>
            <w:shd w:val="clear" w:color="auto" w:fill="F2F2F2" w:themeFill="background1" w:themeFillShade="F2"/>
            <w:hideMark/>
          </w:tcPr>
          <w:p w14:paraId="22548756" w14:textId="77777777" w:rsidR="001A4F3D" w:rsidRPr="00004062" w:rsidRDefault="001A4F3D" w:rsidP="00004062">
            <w:pPr>
              <w:spacing w:line="240" w:lineRule="auto"/>
              <w:jc w:val="both"/>
              <w:rPr>
                <w:sz w:val="20"/>
                <w:szCs w:val="20"/>
              </w:rPr>
            </w:pPr>
            <w:r w:rsidRPr="00004062">
              <w:rPr>
                <w:sz w:val="20"/>
                <w:szCs w:val="20"/>
              </w:rPr>
              <w:t>Stronger overall financial performance</w:t>
            </w:r>
          </w:p>
        </w:tc>
      </w:tr>
    </w:tbl>
    <w:p w14:paraId="563C5072" w14:textId="4FE3B820" w:rsidR="001A4F3D" w:rsidRPr="00990396" w:rsidRDefault="0097285E" w:rsidP="00990396">
      <w:pPr>
        <w:jc w:val="both"/>
      </w:pPr>
      <w:r w:rsidRPr="00990396">
        <w:t xml:space="preserve">This is where the RBV comes in handy to explain why the same risk management strategies do not yield the same financial results among SMEs. Barney (1991) suggests that valuable and rare and difficult-to-imitate resources can support superior performance, and the information from SMEs suggests financial literacy, managerial competence, information systems, organisational culture and strategic risk capability are pertinent resources. The results confirmed that financial and technological literacy enhanced ERM practices and SME performance, while organisational culture and strategic risk-management performance carried the positive effects of ERM. (Kulathunga et al., 2020; </w:t>
      </w:r>
      <w:proofErr w:type="spellStart"/>
      <w:r w:rsidRPr="00990396">
        <w:t>Syrová</w:t>
      </w:r>
      <w:proofErr w:type="spellEnd"/>
      <w:r w:rsidRPr="00990396">
        <w:t xml:space="preserve"> and </w:t>
      </w:r>
      <w:proofErr w:type="spellStart"/>
      <w:r w:rsidRPr="00990396">
        <w:t>Špička</w:t>
      </w:r>
      <w:proofErr w:type="spellEnd"/>
      <w:r w:rsidRPr="00990396">
        <w:t xml:space="preserve">, 2023). Similarly, financial culture and management quality, risk management </w:t>
      </w:r>
      <w:proofErr w:type="gramStart"/>
      <w:r w:rsidRPr="00990396">
        <w:t>were</w:t>
      </w:r>
      <w:proofErr w:type="gramEnd"/>
      <w:r w:rsidRPr="00990396">
        <w:t xml:space="preserve"> related by Tóth et al. (2022). These findings shed light on all three themes. Forecasting skills and timely accounting information are needed for liquidity management, customer data, monitoring procedures, and the ability to enforce them for credit management, and expertise, specialist judgement, and access to the appropriate financial and/or operational tools for market-risk responses. RBV is therefore a good reason for not relying exclusively on the formal adoption. Resource-</w:t>
      </w:r>
      <w:r w:rsidRPr="00990396">
        <w:lastRenderedPageBreak/>
        <w:t xml:space="preserve">constrained SMEs might be aware of the types of controls that they want to put in place but may not have the resources, systems, bargaining leverage or funding to effectively implement them. The evidence for UK SMEs indicates that gains in performance come through the creation of "usable" organisational capabilities that integrate risk-management practices. However, </w:t>
      </w:r>
      <w:proofErr w:type="gramStart"/>
      <w:r w:rsidRPr="00990396">
        <w:t>the majority of</w:t>
      </w:r>
      <w:proofErr w:type="gramEnd"/>
      <w:r w:rsidRPr="00990396">
        <w:t xml:space="preserve"> capability studies are non-UK based and the exact configuration of resources in Britain that is most significant is still unclear. This uncertainty then offers a clear direction for future empirical studies, that is, context-specific studies</w:t>
      </w:r>
      <w:r w:rsidR="001A4F3D" w:rsidRPr="00990396">
        <w:t>.</w:t>
      </w:r>
    </w:p>
    <w:p w14:paraId="62E6F7E9" w14:textId="6AEA439D" w:rsidR="001A4F3D" w:rsidRPr="00990396" w:rsidRDefault="001A4F3D" w:rsidP="00990396">
      <w:pPr>
        <w:pStyle w:val="Heading2"/>
        <w:jc w:val="both"/>
        <w:rPr>
          <w:rFonts w:cstheme="minorBidi"/>
        </w:rPr>
      </w:pPr>
      <w:bookmarkStart w:id="56" w:name="_Toc241147036"/>
      <w:r w:rsidRPr="00990396">
        <w:rPr>
          <w:rFonts w:cstheme="minorBidi"/>
        </w:rPr>
        <w:t>Chapter Summary</w:t>
      </w:r>
      <w:bookmarkEnd w:id="56"/>
    </w:p>
    <w:p w14:paraId="51C17EF5" w14:textId="55C86655" w:rsidR="001A4F3D" w:rsidRPr="00990396" w:rsidRDefault="0097285E" w:rsidP="00990396">
      <w:pPr>
        <w:jc w:val="both"/>
      </w:pPr>
      <w:r w:rsidRPr="00990396">
        <w:t xml:space="preserve">In applying reflexive thematic analysis, the secondary evidence was </w:t>
      </w:r>
      <w:proofErr w:type="gramStart"/>
      <w:r w:rsidRPr="00990396">
        <w:t>analysed</w:t>
      </w:r>
      <w:proofErr w:type="gramEnd"/>
      <w:r w:rsidRPr="00990396">
        <w:t xml:space="preserve"> and three themed interrelated themes emerged relating to liquidity efficiency and resilience, disciplined credit management and adaptive market-risk capability. The relationship between the liquidity and the profitability and the continuity depends on the </w:t>
      </w:r>
      <w:proofErr w:type="gramStart"/>
      <w:r w:rsidRPr="00990396">
        <w:t>context, and</w:t>
      </w:r>
      <w:proofErr w:type="gramEnd"/>
      <w:r w:rsidRPr="00990396">
        <w:t xml:space="preserve"> is nonlinear because there </w:t>
      </w:r>
      <w:proofErr w:type="gramStart"/>
      <w:r w:rsidRPr="00990396">
        <w:t>are</w:t>
      </w:r>
      <w:proofErr w:type="gramEnd"/>
      <w:r w:rsidRPr="00990396">
        <w:t xml:space="preserve"> opportunity costs associated with excess liquidity (Anton and </w:t>
      </w:r>
      <w:proofErr w:type="spellStart"/>
      <w:r w:rsidRPr="00990396">
        <w:t>Afloarei</w:t>
      </w:r>
      <w:proofErr w:type="spellEnd"/>
      <w:r w:rsidRPr="00990396">
        <w:t xml:space="preserve"> </w:t>
      </w:r>
      <w:proofErr w:type="spellStart"/>
      <w:r w:rsidRPr="00990396">
        <w:t>Nucu</w:t>
      </w:r>
      <w:proofErr w:type="spellEnd"/>
      <w:r w:rsidRPr="00990396">
        <w:t>, 2021; Youssef et al., 2023). The transition from unstructured to structured assessment, monitoring and collection can help maintain the commercial value of trade credit, while forced lateness will create more pressure on financing and potentially compromise performance (Kaya, 2024; Lefebvre, 2023). Evidence on exchange rate exposure and policy uncertainty also exists in the market, but evidence on the effects on performance of hedging or adaption practices is still limited (</w:t>
      </w:r>
      <w:proofErr w:type="spellStart"/>
      <w:r w:rsidRPr="00990396">
        <w:t>Belghitar</w:t>
      </w:r>
      <w:proofErr w:type="spellEnd"/>
      <w:r w:rsidRPr="00990396">
        <w:t xml:space="preserve"> et al., 2021; Orden-Cruz et al., 2024). With cross-theme analysis, these risks were found to be interacting through cash flow, financing needs and managerial choices, thus making integrated management more convincing than isolated optimisation. Enterprise Risk Management Theory helps to show the benefit of aligning exposures and trade-offs, and the Resource Based View helps to show that results rely on the knowledge, systems and capabilities of the organisation. Based on this analysis, the researchers have </w:t>
      </w:r>
      <w:proofErr w:type="gramStart"/>
      <w:r w:rsidRPr="00990396">
        <w:t>come to the conclusion</w:t>
      </w:r>
      <w:proofErr w:type="gramEnd"/>
      <w:r w:rsidRPr="00990396">
        <w:t xml:space="preserve"> that financial risk management is most likely to be effective in furthering the performance of a UK SME when the practices are appropriate, integrated and backed by managerial support. Causal inferences, however, should be treated with caution because there is limited evidence in the UK, there is a listed-firm bias, and the performance measures and observational research design are heterogeneous. The implications for theory, practice and future research are presented in the discussion chapter, based on these findings</w:t>
      </w:r>
      <w:r w:rsidR="001A4F3D" w:rsidRPr="00990396">
        <w:t>.</w:t>
      </w:r>
    </w:p>
    <w:p w14:paraId="3FF52C3B" w14:textId="77777777" w:rsidR="00004062" w:rsidRDefault="00004062">
      <w:pPr>
        <w:spacing w:line="259" w:lineRule="auto"/>
        <w:rPr>
          <w:rFonts w:eastAsiaTheme="majorEastAsia"/>
          <w:b/>
          <w:sz w:val="32"/>
          <w:szCs w:val="40"/>
        </w:rPr>
      </w:pPr>
      <w:r>
        <w:br w:type="page"/>
      </w:r>
    </w:p>
    <w:p w14:paraId="13C05903" w14:textId="3B6C2C88" w:rsidR="001A4F3D" w:rsidRPr="00990396" w:rsidRDefault="00990396" w:rsidP="00990396">
      <w:pPr>
        <w:pStyle w:val="Heading1"/>
        <w:jc w:val="both"/>
        <w:rPr>
          <w:rFonts w:cstheme="minorBidi"/>
        </w:rPr>
      </w:pPr>
      <w:bookmarkStart w:id="57" w:name="_Toc241147037"/>
      <w:r w:rsidRPr="00990396">
        <w:rPr>
          <w:rFonts w:cstheme="minorBidi"/>
        </w:rPr>
        <w:lastRenderedPageBreak/>
        <w:t>CHAPTER 5: CONCLUSION AND RECOMMENDATIONS</w:t>
      </w:r>
      <w:bookmarkEnd w:id="57"/>
    </w:p>
    <w:p w14:paraId="55238D19" w14:textId="296FCAC1" w:rsidR="001A4F3D" w:rsidRPr="00990396" w:rsidRDefault="001A4F3D" w:rsidP="00990396">
      <w:pPr>
        <w:pStyle w:val="Heading2"/>
        <w:jc w:val="both"/>
        <w:rPr>
          <w:rFonts w:cstheme="minorBidi"/>
        </w:rPr>
      </w:pPr>
      <w:bookmarkStart w:id="58" w:name="_Toc241147038"/>
      <w:r w:rsidRPr="00990396">
        <w:rPr>
          <w:rFonts w:cstheme="minorBidi"/>
        </w:rPr>
        <w:t>Chapter Introduction</w:t>
      </w:r>
      <w:bookmarkEnd w:id="58"/>
    </w:p>
    <w:p w14:paraId="4FE8DD16" w14:textId="17F7B342" w:rsidR="001A4F3D" w:rsidRPr="00990396" w:rsidRDefault="0097285E" w:rsidP="00990396">
      <w:pPr>
        <w:jc w:val="both"/>
      </w:pPr>
      <w:r w:rsidRPr="00990396">
        <w:t xml:space="preserve">The dissertation ends in this chapter by summarizing the findings of this dissertation around the area of liquidity, credit and market-risk management practices and its relationship with the financial performance of UK SMEs. It addresses the research aim and objectives, it summarises the main findings and it translates the evidence into practical recommendations for the SME manager and/or stakeholders. It also highlights the primary constraints of the </w:t>
      </w:r>
      <w:proofErr w:type="gramStart"/>
      <w:r w:rsidRPr="00990396">
        <w:t>study, and</w:t>
      </w:r>
      <w:proofErr w:type="gramEnd"/>
      <w:r w:rsidRPr="00990396">
        <w:t xml:space="preserve"> suggests avenues for future study. The chapter is representative of the secondary qualitative design used throughout the dissertation and the issue of the strength, consistency, and context of the evidence is the focus rather than universal causal relationships across all UK SMEs</w:t>
      </w:r>
      <w:r w:rsidR="001A4F3D" w:rsidRPr="00990396">
        <w:t>.</w:t>
      </w:r>
    </w:p>
    <w:p w14:paraId="33766923" w14:textId="185D3428" w:rsidR="001A4F3D" w:rsidRPr="00990396" w:rsidRDefault="001A4F3D" w:rsidP="00990396">
      <w:pPr>
        <w:pStyle w:val="Heading2"/>
        <w:jc w:val="both"/>
        <w:rPr>
          <w:rFonts w:cstheme="minorBidi"/>
        </w:rPr>
      </w:pPr>
      <w:bookmarkStart w:id="59" w:name="_Toc241147039"/>
      <w:r w:rsidRPr="00990396">
        <w:rPr>
          <w:rFonts w:cstheme="minorBidi"/>
        </w:rPr>
        <w:t>Conclusion in Relation to Objective One: Liquidity Risk Management</w:t>
      </w:r>
      <w:bookmarkEnd w:id="59"/>
    </w:p>
    <w:p w14:paraId="2D221908" w14:textId="77777777" w:rsidR="0097285E" w:rsidRPr="00990396" w:rsidRDefault="0097285E" w:rsidP="00990396">
      <w:pPr>
        <w:jc w:val="both"/>
      </w:pPr>
      <w:r w:rsidRPr="00990396">
        <w:t xml:space="preserve">The first objective explored the relationship between the liquidity risk management practices and financial performance of UK SMEs. The analysis suggests that liquidity management can contribute to performance if it creates cash-flow discipline, increases working-capital efficiency and short-term financial resilience. By forecasting cash receipts and payments, controlling receivables, managing inventory and carefully scheduling payables, cash requirements can be minimised, thereby reducing the reliance on costly outside financing. The results also indicate that liquidity should not be just maximised. Too much cash and too high a level of working capital can generate opportunity costs, affect the efficiency of investments, and diminish profitability. The best final statement is thus that liquidity management should aim for a balance instead of accumulation. The available liquidity buffers for UK SMEs seem to work in their favour if they are adequate to tide them over when things go wrong and to pay their </w:t>
      </w:r>
      <w:proofErr w:type="gramStart"/>
      <w:r w:rsidRPr="00990396">
        <w:t>creditors, but</w:t>
      </w:r>
      <w:proofErr w:type="gramEnd"/>
      <w:r w:rsidRPr="00990396">
        <w:t xml:space="preserve"> are also commensurate with their operating volatility and financing opportunities. The evidence also indicates that that there are other financial performance benefits to this than profitability alone. In times of significant disruption, cash reserves and the availability of short-term liquidity can help maintain continuity and strategic flexibility. However, it is not clear what the optimal level is due to the use of various liquidity measures in different sectors and samples in existing studies. </w:t>
      </w:r>
      <w:proofErr w:type="spellStart"/>
      <w:r w:rsidRPr="00990396">
        <w:t>Liquidty</w:t>
      </w:r>
      <w:proofErr w:type="spellEnd"/>
      <w:r w:rsidRPr="00990396">
        <w:t xml:space="preserve"> risk management, therefore, should be flexible, dynamic and reviewed in conjunction with the operating cycle of each firm and external financing market conditions.</w:t>
      </w:r>
    </w:p>
    <w:p w14:paraId="102714F0" w14:textId="4C862CEE" w:rsidR="0097285E" w:rsidRPr="00990396" w:rsidRDefault="0097285E" w:rsidP="00990396">
      <w:pPr>
        <w:pStyle w:val="Heading2"/>
        <w:jc w:val="both"/>
        <w:rPr>
          <w:rFonts w:cstheme="minorBidi"/>
        </w:rPr>
      </w:pPr>
      <w:bookmarkStart w:id="60" w:name="_Toc241147040"/>
      <w:r w:rsidRPr="00990396">
        <w:rPr>
          <w:rFonts w:cstheme="minorBidi"/>
        </w:rPr>
        <w:t>Conclusion in Relation to Objective Two: Credit Risk Management</w:t>
      </w:r>
      <w:bookmarkEnd w:id="60"/>
    </w:p>
    <w:p w14:paraId="465AE42C" w14:textId="77777777" w:rsidR="0097285E" w:rsidRPr="00990396" w:rsidRDefault="0097285E" w:rsidP="00990396">
      <w:pPr>
        <w:jc w:val="both"/>
      </w:pPr>
      <w:r w:rsidRPr="00990396">
        <w:t xml:space="preserve">The second objective assessed the correlation between the financial performance of UK SMEs and the credit risk management practices. The results indicate that the best results in the </w:t>
      </w:r>
      <w:r w:rsidRPr="00990396">
        <w:lastRenderedPageBreak/>
        <w:t xml:space="preserve">management of credit can be obtained by using trade credit as a controlled commercial procedure instead of as an uncontrolled extension of sales. Proper screening of customers, understand the credit terms, realistic limits, monitoring of receivables regularly and disciplined credit collection policies can minimize default exposure and preserve cash flow. The analysis also shows that trade credit can be value-creating to support customer relationships, sales growth, and access to broader financing options. The problem is not so much whether SMEs should be giving credit but how they should be doing it. If the financing pressure is pushed from the customers to the SME due to too many receivables, poor collection policies, and forced late payments, the financing needs are heightened, and the working capital is reduced for wages, investment and operating costs. </w:t>
      </w:r>
      <w:proofErr w:type="gramStart"/>
      <w:r w:rsidRPr="00990396">
        <w:t>Thus</w:t>
      </w:r>
      <w:proofErr w:type="gramEnd"/>
      <w:r w:rsidRPr="00990396">
        <w:t xml:space="preserve"> the evidence justifies a balanced strategy, in which credit is extended strategically, while it is constantly monitored. UK SMEs need to differentiate between the payment terms they have consciously put in place for customers they know to be financially reliable and late payments, which are a sign of a lack of control. The link between performance is thus not consistently positive. The credit management can boost the performance of the flexible payment by reducing the risk of default, late payment exposure and liquidity strain while maintaining the commercial value of the payment. This needs to be done formally as well as judiciously as management skills, especially when SMEs do not have a strong bargaining position with their customers.</w:t>
      </w:r>
    </w:p>
    <w:p w14:paraId="27F05389" w14:textId="6EC23214" w:rsidR="0097285E" w:rsidRPr="00990396" w:rsidRDefault="0097285E" w:rsidP="00990396">
      <w:pPr>
        <w:pStyle w:val="Heading2"/>
        <w:jc w:val="both"/>
        <w:rPr>
          <w:rFonts w:cstheme="minorBidi"/>
        </w:rPr>
      </w:pPr>
      <w:bookmarkStart w:id="61" w:name="_Toc241147041"/>
      <w:r w:rsidRPr="00990396">
        <w:rPr>
          <w:rFonts w:cstheme="minorBidi"/>
        </w:rPr>
        <w:t>Conclusion in Relation to Objective Three: Market-Risk Management</w:t>
      </w:r>
      <w:bookmarkEnd w:id="61"/>
    </w:p>
    <w:p w14:paraId="49C189A8" w14:textId="77777777" w:rsidR="0097285E" w:rsidRPr="00990396" w:rsidRDefault="0097285E" w:rsidP="00990396">
      <w:pPr>
        <w:jc w:val="both"/>
      </w:pPr>
      <w:r w:rsidRPr="00990396">
        <w:t xml:space="preserve">The third objective examined the relationship between market risk management practices and financial performance of the UK SMEs from the existing literature. Analysis suggests that the SMEs are sensitive to exchange-rate fluctuations, interest rate variations, input price fluctuations, and general economic uncertainty, but evidence of the effects of particular market-risk measures on the performance of the SMEs is not as strong as evidence of their exposure. The results indicate that hedging, pricing changes, diversifying suppliers, flexible financing, scenario planning and liquidity buffers are possible effective measures. But such formal financial hedging may not be suitable for every SME due to the varying costs, skills and size of individual companies. Consequently, the most defensible position is that adaptive capability is more important than the use of any one technique. Market-risk management should be tailored to the actual risks faced by the business, such as importing and exporting businesses, and those with a high exposure to variable-rate loans or those with commodity inputs that are prone to volatility. Furthermore, it is found that the interaction between market risk and liquidity and credit risk exists, as reflected in the analysis. The fall in currency value or a rise in interest rates can increase the working capital requirement; slack demand by customers can exacerbate the receivables issue. Market-risk management should thus not be approached as a standalone component, but as an integral part of the financial planning </w:t>
      </w:r>
      <w:r w:rsidRPr="00990396">
        <w:lastRenderedPageBreak/>
        <w:t>process. There is evidence that preparedness, flexibility and timely information are valuable, but limited research in the UK directly on the tools used by SMEs leads to remaining cautious on the effectiveness of specific tools.</w:t>
      </w:r>
    </w:p>
    <w:p w14:paraId="20CAD889" w14:textId="10C72C27" w:rsidR="0097285E" w:rsidRPr="00990396" w:rsidRDefault="0097285E" w:rsidP="00990396">
      <w:pPr>
        <w:pStyle w:val="Heading2"/>
        <w:jc w:val="both"/>
        <w:rPr>
          <w:rFonts w:cstheme="minorBidi"/>
        </w:rPr>
      </w:pPr>
      <w:bookmarkStart w:id="62" w:name="_Toc241147042"/>
      <w:r w:rsidRPr="00990396">
        <w:rPr>
          <w:rFonts w:cstheme="minorBidi"/>
        </w:rPr>
        <w:t>Recommendations</w:t>
      </w:r>
      <w:bookmarkEnd w:id="62"/>
    </w:p>
    <w:p w14:paraId="20E1C5D4" w14:textId="77777777" w:rsidR="0097285E" w:rsidRPr="00990396" w:rsidRDefault="0097285E" w:rsidP="00990396">
      <w:pPr>
        <w:jc w:val="both"/>
      </w:pPr>
      <w:r w:rsidRPr="00990396">
        <w:t xml:space="preserve">Based on the findings, several practical recommendations are made. Firstly, UK SMEs should set up rolling cash-flow projections and update them regularly and make them more scenario-based rather than opportunistic, linking to more realistic sales, customer payment, operating costs and financing projections. Forecasts should be set in combination with minimum liquidity thresholds, which should be related to the sector, the volatility of revenues and the availability of external financing. Second, SMEs need to boost credit-control processes by performing proportionate checks on their customers, maintaining a payment history of customers, establishing credit limits and monitoring aged receivables regularly. Don't let overdue accounts pile </w:t>
      </w:r>
      <w:proofErr w:type="spellStart"/>
      <w:proofErr w:type="gramStart"/>
      <w:r w:rsidRPr="00990396">
        <w:t>up.Don't</w:t>
      </w:r>
      <w:proofErr w:type="spellEnd"/>
      <w:proofErr w:type="gramEnd"/>
      <w:r w:rsidRPr="00990396">
        <w:t xml:space="preserve"> delay escalation of the overdue accounts. Third, companies that have foreign currency, variable interest rate or volatile input exposures should identify these exposures and choose what they are going to do in terms of how large and what their capabilities are. These can include the use of natural hedging, diversification of suppliers, pricing, fixed-rate borrowing and formal hedging if economically warranted. Fourth, financial risks should be assessed </w:t>
      </w:r>
      <w:proofErr w:type="gramStart"/>
      <w:r w:rsidRPr="00990396">
        <w:t>as a whole in</w:t>
      </w:r>
      <w:proofErr w:type="gramEnd"/>
      <w:r w:rsidRPr="00990396">
        <w:t xml:space="preserve"> a single risk register to be able to see how they interact with customer payment delay, liquidity requirements as well as market shock. 5th: Owners and managers of SMEs need to build financial skills, accounting information systems and empower employees as effective implementation relies not only on policy, but on knowledge as well. Finally, advisers, lenders and policymakers need to provide practical, useful risk-management guidance to SMEs, and offer easily accessible training and financing products that build resilience but don't unnecessarily over-complicate it.</w:t>
      </w:r>
    </w:p>
    <w:p w14:paraId="106F297D" w14:textId="4CA8E535" w:rsidR="0097285E" w:rsidRPr="00990396" w:rsidRDefault="0097285E" w:rsidP="00990396">
      <w:pPr>
        <w:pStyle w:val="Heading2"/>
        <w:jc w:val="both"/>
        <w:rPr>
          <w:rFonts w:cstheme="minorBidi"/>
        </w:rPr>
      </w:pPr>
      <w:bookmarkStart w:id="63" w:name="_Toc241147043"/>
      <w:r w:rsidRPr="00990396">
        <w:rPr>
          <w:rFonts w:cstheme="minorBidi"/>
        </w:rPr>
        <w:t>Limitations of the Study</w:t>
      </w:r>
      <w:bookmarkEnd w:id="63"/>
    </w:p>
    <w:p w14:paraId="19C914B6" w14:textId="77777777" w:rsidR="0097285E" w:rsidRPr="00990396" w:rsidRDefault="0097285E" w:rsidP="00990396">
      <w:pPr>
        <w:jc w:val="both"/>
      </w:pPr>
      <w:r w:rsidRPr="00990396">
        <w:t xml:space="preserve">There are some limitations to this study. It only used secondary literature, which means that results are based on the quality, choice of measurements and reporting of previous studies. There was little evidence specific to the UK and many of the studies cited involved listed companies or samples of non-UK companies, which decreased the applicability of the results to private British SMEs. The studies reviewed also used different methods of measuring financial performance, such as profitability, growth, and market value and distress, thus limiting direct comparisons. Most evidence was observation-based and this means that the study cannot rule out definitive causal effects. The </w:t>
      </w:r>
      <w:proofErr w:type="gramStart"/>
      <w:r w:rsidRPr="00990396">
        <w:t>cross sectional</w:t>
      </w:r>
      <w:proofErr w:type="gramEnd"/>
      <w:r w:rsidRPr="00990396">
        <w:t xml:space="preserve"> review period also implies that the economic changes which occur later or new research since the review period will influence the balance of evidence</w:t>
      </w:r>
      <w:r w:rsidR="001A4F3D" w:rsidRPr="00990396">
        <w:t xml:space="preserve">. </w:t>
      </w:r>
      <w:r w:rsidRPr="00990396">
        <w:t xml:space="preserve">The secondary qualitative approach also emphasized </w:t>
      </w:r>
      <w:r w:rsidRPr="00990396">
        <w:lastRenderedPageBreak/>
        <w:t>interpretive synthesis rather than numerical calculation of effects, as the study focused on uncovering patterns and possible mechanisms, but did not calculate the financial return on individual practices.</w:t>
      </w:r>
    </w:p>
    <w:p w14:paraId="522C51F9" w14:textId="6E7F54C9" w:rsidR="0097285E" w:rsidRPr="00990396" w:rsidRDefault="0097285E" w:rsidP="00990396">
      <w:pPr>
        <w:pStyle w:val="Heading2"/>
        <w:jc w:val="both"/>
        <w:rPr>
          <w:rFonts w:cstheme="minorBidi"/>
        </w:rPr>
      </w:pPr>
      <w:bookmarkStart w:id="64" w:name="_Toc241147044"/>
      <w:r w:rsidRPr="00990396">
        <w:rPr>
          <w:rFonts w:cstheme="minorBidi"/>
        </w:rPr>
        <w:t>Recommendations for Future Research</w:t>
      </w:r>
      <w:bookmarkEnd w:id="64"/>
    </w:p>
    <w:p w14:paraId="09519EB8" w14:textId="77777777" w:rsidR="0097285E" w:rsidRPr="00990396" w:rsidRDefault="0097285E" w:rsidP="00990396">
      <w:pPr>
        <w:jc w:val="both"/>
      </w:pPr>
      <w:r w:rsidRPr="00990396">
        <w:t xml:space="preserve">Representative UK private SMEs should be the focus of future </w:t>
      </w:r>
      <w:proofErr w:type="gramStart"/>
      <w:r w:rsidRPr="00990396">
        <w:t>research</w:t>
      </w:r>
      <w:proofErr w:type="gramEnd"/>
      <w:r w:rsidRPr="00990396">
        <w:t xml:space="preserve"> and a simultaneous analysis of liquidity, credit and market risk should be considered within the same empirical design. Long-term studies would enable the determination of the long-term effects of risk-management on performance and in the face of fluctuating economic circumstances. Researchers might also further differentiate between policies and their implementation, because the results indicate that capability and execution is key to outcomes. The moderators to be considered are sector, size of the firm, ownership structure and digital financial systems. Comparative research can also be conducted on the effectiveness of combinations of practices as compared to single practice controls. This type of work would give more definite direction as to what financial risk-management strategies are best suited for what kind of UK SME.</w:t>
      </w:r>
    </w:p>
    <w:p w14:paraId="1B42A37B" w14:textId="47499FAC" w:rsidR="0097285E" w:rsidRPr="00990396" w:rsidRDefault="0097285E" w:rsidP="00990396">
      <w:pPr>
        <w:pStyle w:val="Heading2"/>
        <w:jc w:val="both"/>
        <w:rPr>
          <w:rFonts w:cstheme="minorBidi"/>
        </w:rPr>
      </w:pPr>
      <w:bookmarkStart w:id="65" w:name="_Toc241147045"/>
      <w:r w:rsidRPr="00990396">
        <w:rPr>
          <w:rFonts w:cstheme="minorBidi"/>
        </w:rPr>
        <w:t>Overall Conclusion</w:t>
      </w:r>
      <w:bookmarkEnd w:id="65"/>
    </w:p>
    <w:p w14:paraId="21EB6D34" w14:textId="5FBD0867" w:rsidR="00137AE8" w:rsidRPr="00990396" w:rsidRDefault="0097285E" w:rsidP="00990396">
      <w:pPr>
        <w:jc w:val="both"/>
      </w:pPr>
      <w:proofErr w:type="gramStart"/>
      <w:r w:rsidRPr="00990396">
        <w:t>As a whole the</w:t>
      </w:r>
      <w:proofErr w:type="gramEnd"/>
      <w:r w:rsidRPr="00990396">
        <w:t xml:space="preserve"> findings address the overall aim of the research and demonstrate that financial risk management practices can positively affect the financial performance of UK SMEs if they are proportionate, coordinated and supported by appropriate organisational capabilities. It is not a simple, linear and the same relationship among companies. Resilience can be boosted with liquidity controls, but these can be expensive if resources are not being used. Trade credit can fuel growth and be detrimental to cash flow if the collection programme is not robust. Market-risk responses may limit vulnerability but whether the hedging or diversification is appropriate depends on the exposure, knowledge and available resources. All three areas share this common theme: The formal practices create value through the quality of management. The financial information should be up to date, policies need to be </w:t>
      </w:r>
      <w:proofErr w:type="gramStart"/>
      <w:r w:rsidRPr="00990396">
        <w:t>followed</w:t>
      </w:r>
      <w:proofErr w:type="gramEnd"/>
      <w:r w:rsidRPr="00990396">
        <w:t xml:space="preserve"> and managers need to understand the trade-offs between protection and profitability. The findings thus reinforce a holistic perspective of the risks and opportunities of liquidity, credit and market risks, where risks in one dimension can quickly impact the others. Good financial risk management for UK SMEs </w:t>
      </w:r>
      <w:proofErr w:type="gramStart"/>
      <w:r w:rsidRPr="00990396">
        <w:t>is considered to be</w:t>
      </w:r>
      <w:proofErr w:type="gramEnd"/>
      <w:r w:rsidRPr="00990396">
        <w:t xml:space="preserve"> a continuous </w:t>
      </w:r>
      <w:proofErr w:type="gramStart"/>
      <w:r w:rsidRPr="00990396">
        <w:t>decision making</w:t>
      </w:r>
      <w:proofErr w:type="gramEnd"/>
      <w:r w:rsidRPr="00990396">
        <w:t xml:space="preserve"> process, not a collection of controls. It helps to make companies more resilient, to provide them with more stable cash flows, to minimize unnecessary losses and to enable them to react to uncertainty better.</w:t>
      </w:r>
      <w:r w:rsidR="00137AE8" w:rsidRPr="00990396">
        <w:br w:type="page"/>
      </w:r>
    </w:p>
    <w:p w14:paraId="742921F6" w14:textId="62C75D9E" w:rsidR="00137AE8" w:rsidRPr="00990396" w:rsidRDefault="00990396" w:rsidP="00990396">
      <w:pPr>
        <w:pStyle w:val="Heading1"/>
        <w:numPr>
          <w:ilvl w:val="0"/>
          <w:numId w:val="0"/>
        </w:numPr>
        <w:ind w:left="432"/>
        <w:jc w:val="both"/>
        <w:rPr>
          <w:rFonts w:cstheme="minorBidi"/>
        </w:rPr>
      </w:pPr>
      <w:bookmarkStart w:id="66" w:name="_Toc241147046"/>
      <w:r w:rsidRPr="00990396">
        <w:rPr>
          <w:rFonts w:cstheme="minorBidi"/>
        </w:rPr>
        <w:lastRenderedPageBreak/>
        <w:t>REFERENCES</w:t>
      </w:r>
      <w:bookmarkEnd w:id="66"/>
    </w:p>
    <w:p w14:paraId="57D3920C" w14:textId="0A2DBE76" w:rsidR="00137AE8" w:rsidRPr="00990396" w:rsidRDefault="00137AE8" w:rsidP="00990396">
      <w:pPr>
        <w:jc w:val="both"/>
      </w:pPr>
      <w:proofErr w:type="spellStart"/>
      <w:r w:rsidRPr="00990396">
        <w:t>Airout</w:t>
      </w:r>
      <w:proofErr w:type="spellEnd"/>
      <w:r w:rsidRPr="00990396">
        <w:t xml:space="preserve">, R.M., </w:t>
      </w:r>
      <w:proofErr w:type="spellStart"/>
      <w:r w:rsidRPr="00990396">
        <w:t>Alawaqleh</w:t>
      </w:r>
      <w:proofErr w:type="spellEnd"/>
      <w:r w:rsidRPr="00990396">
        <w:t xml:space="preserve">, Q.A., </w:t>
      </w:r>
      <w:proofErr w:type="spellStart"/>
      <w:r w:rsidRPr="00990396">
        <w:t>Almasria</w:t>
      </w:r>
      <w:proofErr w:type="spellEnd"/>
      <w:r w:rsidRPr="00990396">
        <w:t xml:space="preserve">, N.A., </w:t>
      </w:r>
      <w:proofErr w:type="spellStart"/>
      <w:r w:rsidRPr="00990396">
        <w:t>Alduais</w:t>
      </w:r>
      <w:proofErr w:type="spellEnd"/>
      <w:r w:rsidRPr="00990396">
        <w:t xml:space="preserve">, F. and </w:t>
      </w:r>
      <w:proofErr w:type="spellStart"/>
      <w:r w:rsidRPr="00990396">
        <w:t>Alawaqleh</w:t>
      </w:r>
      <w:proofErr w:type="spellEnd"/>
      <w:r w:rsidRPr="00990396">
        <w:t xml:space="preserve">, S.Q. (2023) ‘The moderating role of liquidity in the relationship between the expenditures and financial performance of SMEs: Evidence from Jordan’, </w:t>
      </w:r>
      <w:r w:rsidRPr="00990396">
        <w:rPr>
          <w:i/>
          <w:iCs/>
        </w:rPr>
        <w:t>Economies</w:t>
      </w:r>
      <w:r w:rsidRPr="00990396">
        <w:t xml:space="preserve">, 11(4), article 121. Available at: </w:t>
      </w:r>
      <w:hyperlink r:id="rId12" w:history="1">
        <w:r w:rsidR="00990396" w:rsidRPr="003312CE">
          <w:rPr>
            <w:rStyle w:val="Hyperlink"/>
          </w:rPr>
          <w:t>https://doi.org/10.3390/economies11040121</w:t>
        </w:r>
      </w:hyperlink>
      <w:r w:rsidR="00990396">
        <w:t xml:space="preserve"> </w:t>
      </w:r>
    </w:p>
    <w:p w14:paraId="6A96C57A" w14:textId="226AF6F4" w:rsidR="00137AE8" w:rsidRPr="00990396" w:rsidRDefault="00137AE8" w:rsidP="00990396">
      <w:pPr>
        <w:jc w:val="both"/>
      </w:pPr>
      <w:r w:rsidRPr="00990396">
        <w:t xml:space="preserve">Akbar, A., Akbar, M., Nazir, M., Poulová, P. and Ray, S. (2021) ‘Does working capital management influence operating and market risk of firms?’, </w:t>
      </w:r>
      <w:r w:rsidRPr="00990396">
        <w:rPr>
          <w:i/>
          <w:iCs/>
        </w:rPr>
        <w:t>Risks</w:t>
      </w:r>
      <w:r w:rsidRPr="00990396">
        <w:t xml:space="preserve">, 9(11), article 201. Available at: </w:t>
      </w:r>
      <w:hyperlink r:id="rId13" w:history="1">
        <w:r w:rsidR="00990396" w:rsidRPr="003312CE">
          <w:rPr>
            <w:rStyle w:val="Hyperlink"/>
          </w:rPr>
          <w:t>https://doi.org/10.3390/risks9110201</w:t>
        </w:r>
      </w:hyperlink>
      <w:r w:rsidR="00990396">
        <w:t xml:space="preserve"> </w:t>
      </w:r>
    </w:p>
    <w:p w14:paraId="3522C179" w14:textId="6F4548BA" w:rsidR="00137AE8" w:rsidRPr="00990396" w:rsidRDefault="00137AE8" w:rsidP="00990396">
      <w:pPr>
        <w:jc w:val="both"/>
      </w:pPr>
      <w:r w:rsidRPr="00990396">
        <w:t xml:space="preserve">Al-Eitan, G.N., </w:t>
      </w:r>
      <w:proofErr w:type="spellStart"/>
      <w:r w:rsidRPr="00990396">
        <w:t>Khanji</w:t>
      </w:r>
      <w:proofErr w:type="spellEnd"/>
      <w:r w:rsidRPr="00990396">
        <w:t xml:space="preserve">, I.M. and </w:t>
      </w:r>
      <w:proofErr w:type="spellStart"/>
      <w:r w:rsidRPr="00990396">
        <w:t>Saraireh</w:t>
      </w:r>
      <w:proofErr w:type="spellEnd"/>
      <w:r w:rsidRPr="00990396">
        <w:t xml:space="preserve">, S.A. (2023) ‘Trade credit management and profitability of Jordanian manufacturing firms’, </w:t>
      </w:r>
      <w:r w:rsidRPr="00990396">
        <w:rPr>
          <w:i/>
          <w:iCs/>
        </w:rPr>
        <w:t>Risks</w:t>
      </w:r>
      <w:r w:rsidRPr="00990396">
        <w:t xml:space="preserve">, 11(1), article 16. Available at: </w:t>
      </w:r>
      <w:hyperlink r:id="rId14" w:history="1">
        <w:r w:rsidR="00990396" w:rsidRPr="003312CE">
          <w:rPr>
            <w:rStyle w:val="Hyperlink"/>
          </w:rPr>
          <w:t>https://doi.org/10.3390/risks11010016</w:t>
        </w:r>
      </w:hyperlink>
      <w:r w:rsidR="00990396">
        <w:t xml:space="preserve"> </w:t>
      </w:r>
    </w:p>
    <w:p w14:paraId="116504DE" w14:textId="44714F92" w:rsidR="00137AE8" w:rsidRPr="00990396" w:rsidRDefault="00137AE8" w:rsidP="00990396">
      <w:pPr>
        <w:jc w:val="both"/>
      </w:pPr>
      <w:r w:rsidRPr="00990396">
        <w:t xml:space="preserve">Anton, S.G. and </w:t>
      </w:r>
      <w:proofErr w:type="spellStart"/>
      <w:r w:rsidRPr="00990396">
        <w:t>Afloarei</w:t>
      </w:r>
      <w:proofErr w:type="spellEnd"/>
      <w:r w:rsidRPr="00990396">
        <w:t xml:space="preserve"> </w:t>
      </w:r>
      <w:proofErr w:type="spellStart"/>
      <w:r w:rsidRPr="00990396">
        <w:t>Nucu</w:t>
      </w:r>
      <w:proofErr w:type="spellEnd"/>
      <w:r w:rsidRPr="00990396">
        <w:t xml:space="preserve">, A.E. (2021) ‘The impact of working capital management on firm profitability: Empirical evidence from the Polish listed firms’, </w:t>
      </w:r>
      <w:r w:rsidRPr="00990396">
        <w:rPr>
          <w:i/>
          <w:iCs/>
        </w:rPr>
        <w:t>Journal of Risk and Financial Management</w:t>
      </w:r>
      <w:r w:rsidRPr="00990396">
        <w:t xml:space="preserve">, 14(1), article 9. Available at: </w:t>
      </w:r>
      <w:hyperlink r:id="rId15" w:history="1">
        <w:r w:rsidR="00990396" w:rsidRPr="003312CE">
          <w:rPr>
            <w:rStyle w:val="Hyperlink"/>
          </w:rPr>
          <w:t>https://doi.org/10.3390/jrfm14010009</w:t>
        </w:r>
      </w:hyperlink>
      <w:r w:rsidR="00990396">
        <w:t xml:space="preserve"> </w:t>
      </w:r>
    </w:p>
    <w:p w14:paraId="6B787E2E" w14:textId="6A86D31A" w:rsidR="00137AE8" w:rsidRPr="00990396" w:rsidRDefault="00137AE8" w:rsidP="00990396">
      <w:pPr>
        <w:jc w:val="both"/>
      </w:pPr>
      <w:r w:rsidRPr="00990396">
        <w:t xml:space="preserve">Baker, H.K., </w:t>
      </w:r>
      <w:proofErr w:type="spellStart"/>
      <w:r w:rsidRPr="00990396">
        <w:t>Pattnaik</w:t>
      </w:r>
      <w:proofErr w:type="spellEnd"/>
      <w:r w:rsidRPr="00990396">
        <w:t xml:space="preserve">, D. and Kumar, S. (2022) ‘Trade credit and firm profitability: Empirical evidence from India’, </w:t>
      </w:r>
      <w:r w:rsidRPr="00990396">
        <w:rPr>
          <w:i/>
          <w:iCs/>
        </w:rPr>
        <w:t>International Journal of Finance &amp; Economics</w:t>
      </w:r>
      <w:r w:rsidRPr="00990396">
        <w:t xml:space="preserve">, 27(4), pp. 3934–3953. Available at: </w:t>
      </w:r>
      <w:hyperlink r:id="rId16" w:history="1">
        <w:r w:rsidR="00990396" w:rsidRPr="003312CE">
          <w:rPr>
            <w:rStyle w:val="Hyperlink"/>
          </w:rPr>
          <w:t>https://doi.org/10.1002/ijfe.2352</w:t>
        </w:r>
      </w:hyperlink>
      <w:r w:rsidR="00990396">
        <w:t xml:space="preserve"> </w:t>
      </w:r>
    </w:p>
    <w:p w14:paraId="088D9A22" w14:textId="41FD4A6D" w:rsidR="00137AE8" w:rsidRPr="00990396" w:rsidRDefault="00137AE8" w:rsidP="00990396">
      <w:pPr>
        <w:jc w:val="both"/>
      </w:pPr>
      <w:r w:rsidRPr="00990396">
        <w:t xml:space="preserve">Barney, J.B. (1991) ‘Firm resources and sustained competitive advantage’, </w:t>
      </w:r>
      <w:r w:rsidRPr="00990396">
        <w:rPr>
          <w:i/>
          <w:iCs/>
        </w:rPr>
        <w:t>Journal of Management</w:t>
      </w:r>
      <w:r w:rsidRPr="00990396">
        <w:t xml:space="preserve">, 17(1), pp. 99–120. Available at: </w:t>
      </w:r>
      <w:hyperlink r:id="rId17" w:history="1">
        <w:r w:rsidR="00990396" w:rsidRPr="003312CE">
          <w:rPr>
            <w:rStyle w:val="Hyperlink"/>
          </w:rPr>
          <w:t>https://doi.org/10.1177/014920639101700108</w:t>
        </w:r>
      </w:hyperlink>
      <w:r w:rsidR="00990396">
        <w:t xml:space="preserve"> </w:t>
      </w:r>
    </w:p>
    <w:p w14:paraId="3B5EC1B9" w14:textId="3531EC54" w:rsidR="00137AE8" w:rsidRPr="00990396" w:rsidRDefault="00137AE8" w:rsidP="00990396">
      <w:pPr>
        <w:jc w:val="both"/>
      </w:pPr>
      <w:proofErr w:type="spellStart"/>
      <w:r w:rsidRPr="00990396">
        <w:t>Belghitar</w:t>
      </w:r>
      <w:proofErr w:type="spellEnd"/>
      <w:r w:rsidRPr="00990396">
        <w:t xml:space="preserve">, Y., Clark, E., Dropsy, V. and </w:t>
      </w:r>
      <w:proofErr w:type="spellStart"/>
      <w:r w:rsidRPr="00990396">
        <w:t>Mefteh</w:t>
      </w:r>
      <w:proofErr w:type="spellEnd"/>
      <w:r w:rsidRPr="00990396">
        <w:t xml:space="preserve">-Wali, S. (2021) ‘The effect of exchange rate fluctuations on the performance of small and medium-sized enterprises: Implications for Brexit’, </w:t>
      </w:r>
      <w:r w:rsidRPr="00990396">
        <w:rPr>
          <w:i/>
          <w:iCs/>
        </w:rPr>
        <w:t>The Quarterly Review of Economics and Finance</w:t>
      </w:r>
      <w:r w:rsidRPr="00990396">
        <w:t xml:space="preserve">, 80, pp. 399–410. Available at: </w:t>
      </w:r>
      <w:hyperlink r:id="rId18" w:history="1">
        <w:r w:rsidR="00990396" w:rsidRPr="003312CE">
          <w:rPr>
            <w:rStyle w:val="Hyperlink"/>
          </w:rPr>
          <w:t>https://doi.org/10.1016/j.qref.2021.03.002</w:t>
        </w:r>
      </w:hyperlink>
      <w:r w:rsidR="00990396">
        <w:t xml:space="preserve"> </w:t>
      </w:r>
    </w:p>
    <w:p w14:paraId="3D3AB8F7" w14:textId="76F3F715" w:rsidR="00137AE8" w:rsidRPr="00990396" w:rsidRDefault="00137AE8" w:rsidP="00990396">
      <w:pPr>
        <w:jc w:val="both"/>
      </w:pPr>
      <w:proofErr w:type="spellStart"/>
      <w:r w:rsidRPr="00990396">
        <w:t>Belghitar</w:t>
      </w:r>
      <w:proofErr w:type="spellEnd"/>
      <w:r w:rsidRPr="00990396">
        <w:t xml:space="preserve">, Y., Moro, A. and Radić, N. (2022) ‘When the rainy day is the worst hurricane ever: The effects of governmental policies on SMEs during COVID-19’, </w:t>
      </w:r>
      <w:r w:rsidRPr="00990396">
        <w:rPr>
          <w:i/>
          <w:iCs/>
        </w:rPr>
        <w:t>Small Business Economics</w:t>
      </w:r>
      <w:r w:rsidRPr="00990396">
        <w:t xml:space="preserve">, 58(2), pp. 943–961. Available at: </w:t>
      </w:r>
      <w:hyperlink r:id="rId19" w:history="1">
        <w:r w:rsidR="00990396" w:rsidRPr="003312CE">
          <w:rPr>
            <w:rStyle w:val="Hyperlink"/>
          </w:rPr>
          <w:t>https://doi.org/10.1007/s11187-021-00510-8</w:t>
        </w:r>
      </w:hyperlink>
      <w:r w:rsidR="00990396">
        <w:t xml:space="preserve"> </w:t>
      </w:r>
    </w:p>
    <w:p w14:paraId="10D69EA5" w14:textId="77777777" w:rsidR="00137AE8" w:rsidRPr="00990396" w:rsidRDefault="00137AE8" w:rsidP="00990396">
      <w:pPr>
        <w:jc w:val="both"/>
      </w:pPr>
      <w:r w:rsidRPr="00990396">
        <w:t xml:space="preserve">Bell, E., Bryman, A. and Harley, B. (2022) </w:t>
      </w:r>
      <w:r w:rsidRPr="00990396">
        <w:rPr>
          <w:i/>
          <w:iCs/>
        </w:rPr>
        <w:t>Business research methods</w:t>
      </w:r>
      <w:r w:rsidRPr="00990396">
        <w:t xml:space="preserve">. 6th </w:t>
      </w:r>
      <w:proofErr w:type="spellStart"/>
      <w:r w:rsidRPr="00990396">
        <w:t>edn</w:t>
      </w:r>
      <w:proofErr w:type="spellEnd"/>
      <w:r w:rsidRPr="00990396">
        <w:t>. Oxford: Oxford University Press.</w:t>
      </w:r>
    </w:p>
    <w:p w14:paraId="1490DB4A" w14:textId="77777777" w:rsidR="00137AE8" w:rsidRPr="00990396" w:rsidRDefault="00137AE8" w:rsidP="00990396">
      <w:pPr>
        <w:jc w:val="both"/>
      </w:pPr>
      <w:r w:rsidRPr="00990396">
        <w:t xml:space="preserve">Booth, A., Sutton, A., Clowes, M. and Martyn-St James, M. (2022) </w:t>
      </w:r>
      <w:r w:rsidRPr="00990396">
        <w:rPr>
          <w:i/>
          <w:iCs/>
        </w:rPr>
        <w:t>Systematic approaches to a successful literature review</w:t>
      </w:r>
      <w:r w:rsidRPr="00990396">
        <w:t xml:space="preserve">. 3rd </w:t>
      </w:r>
      <w:proofErr w:type="spellStart"/>
      <w:r w:rsidRPr="00990396">
        <w:t>edn</w:t>
      </w:r>
      <w:proofErr w:type="spellEnd"/>
      <w:r w:rsidRPr="00990396">
        <w:t>. London: SAGE Publications.</w:t>
      </w:r>
    </w:p>
    <w:p w14:paraId="143953F7" w14:textId="77777777" w:rsidR="00137AE8" w:rsidRPr="00990396" w:rsidRDefault="00137AE8" w:rsidP="00990396">
      <w:pPr>
        <w:jc w:val="both"/>
      </w:pPr>
      <w:r w:rsidRPr="00990396">
        <w:t xml:space="preserve">Braun, V. and Clarke, V. (2021) </w:t>
      </w:r>
      <w:r w:rsidRPr="00990396">
        <w:rPr>
          <w:i/>
          <w:iCs/>
        </w:rPr>
        <w:t>Thematic analysis: A practical guide</w:t>
      </w:r>
      <w:r w:rsidRPr="00990396">
        <w:t>. London: SAGE Publications.</w:t>
      </w:r>
    </w:p>
    <w:p w14:paraId="7656F967" w14:textId="02345471" w:rsidR="00137AE8" w:rsidRPr="00990396" w:rsidRDefault="00137AE8" w:rsidP="00990396">
      <w:pPr>
        <w:jc w:val="both"/>
      </w:pPr>
      <w:r w:rsidRPr="00990396">
        <w:lastRenderedPageBreak/>
        <w:t xml:space="preserve">British Business Bank (2026) </w:t>
      </w:r>
      <w:r w:rsidRPr="00990396">
        <w:rPr>
          <w:i/>
          <w:iCs/>
        </w:rPr>
        <w:t>Small Business Finance Markets 2025/26</w:t>
      </w:r>
      <w:r w:rsidRPr="00990396">
        <w:t xml:space="preserve">. Sheffield: British Business Bank. Available at: </w:t>
      </w:r>
      <w:hyperlink r:id="rId20" w:history="1">
        <w:r w:rsidR="00990396" w:rsidRPr="003312CE">
          <w:rPr>
            <w:rStyle w:val="Hyperlink"/>
          </w:rPr>
          <w:t>https://www.british-business-bank.co.uk/about/research-and-publications/small-business-finance-markets-report-2026</w:t>
        </w:r>
      </w:hyperlink>
      <w:r w:rsidR="00990396">
        <w:t xml:space="preserve"> </w:t>
      </w:r>
      <w:r w:rsidRPr="00990396">
        <w:t>(Accessed: 2 August 2026).</w:t>
      </w:r>
    </w:p>
    <w:p w14:paraId="01AAD9FC" w14:textId="77777777" w:rsidR="00137AE8" w:rsidRPr="00990396" w:rsidRDefault="00137AE8" w:rsidP="00990396">
      <w:pPr>
        <w:jc w:val="both"/>
      </w:pPr>
      <w:r w:rsidRPr="00990396">
        <w:t xml:space="preserve">Creswell, J.W. and Creswell, J.D. (2023) </w:t>
      </w:r>
      <w:r w:rsidRPr="00990396">
        <w:rPr>
          <w:i/>
          <w:iCs/>
        </w:rPr>
        <w:t xml:space="preserve">Research design: Qualitative, quantitative, and mixed methods </w:t>
      </w:r>
      <w:proofErr w:type="gramStart"/>
      <w:r w:rsidRPr="00990396">
        <w:rPr>
          <w:i/>
          <w:iCs/>
        </w:rPr>
        <w:t>approaches</w:t>
      </w:r>
      <w:proofErr w:type="gramEnd"/>
      <w:r w:rsidRPr="00990396">
        <w:t xml:space="preserve">. 6th </w:t>
      </w:r>
      <w:proofErr w:type="spellStart"/>
      <w:r w:rsidRPr="00990396">
        <w:t>edn</w:t>
      </w:r>
      <w:proofErr w:type="spellEnd"/>
      <w:r w:rsidRPr="00990396">
        <w:t>. Thousand Oaks, CA: SAGE Publications.</w:t>
      </w:r>
    </w:p>
    <w:p w14:paraId="12794BE0" w14:textId="5C8246E6" w:rsidR="00137AE8" w:rsidRPr="00990396" w:rsidRDefault="00137AE8" w:rsidP="00990396">
      <w:pPr>
        <w:jc w:val="both"/>
      </w:pPr>
      <w:r w:rsidRPr="00990396">
        <w:t xml:space="preserve">Dang, V.H. and Lindsay, V. (2022) ‘Determinants of hedging strategy in foreign exchange risk management by exporting small and medium-sized enterprises: The mediating role of resources’, </w:t>
      </w:r>
      <w:r w:rsidRPr="00990396">
        <w:rPr>
          <w:i/>
          <w:iCs/>
        </w:rPr>
        <w:t>Journal of General Management</w:t>
      </w:r>
      <w:r w:rsidRPr="00990396">
        <w:t xml:space="preserve">, 48(1), pp. 3–13. Available at: </w:t>
      </w:r>
      <w:hyperlink r:id="rId21" w:history="1">
        <w:r w:rsidR="00990396" w:rsidRPr="003312CE">
          <w:rPr>
            <w:rStyle w:val="Hyperlink"/>
          </w:rPr>
          <w:t>https://doi.org/10.1177/03063070211063310</w:t>
        </w:r>
      </w:hyperlink>
      <w:r w:rsidR="00990396">
        <w:t xml:space="preserve"> </w:t>
      </w:r>
    </w:p>
    <w:p w14:paraId="5260941D" w14:textId="48E6623D" w:rsidR="00137AE8" w:rsidRPr="00990396" w:rsidRDefault="00137AE8" w:rsidP="00990396">
      <w:pPr>
        <w:jc w:val="both"/>
      </w:pPr>
      <w:r w:rsidRPr="00990396">
        <w:t xml:space="preserve">Del Gaudio, B.L., </w:t>
      </w:r>
      <w:proofErr w:type="spellStart"/>
      <w:r w:rsidRPr="00990396">
        <w:t>Sampagnaro</w:t>
      </w:r>
      <w:proofErr w:type="spellEnd"/>
      <w:r w:rsidRPr="00990396">
        <w:t xml:space="preserve">, G., Porzio, C. and </w:t>
      </w:r>
      <w:proofErr w:type="spellStart"/>
      <w:r w:rsidRPr="00990396">
        <w:t>Verdoliva</w:t>
      </w:r>
      <w:proofErr w:type="spellEnd"/>
      <w:r w:rsidRPr="00990396">
        <w:t xml:space="preserve">, V. (2022) ‘The </w:t>
      </w:r>
      <w:proofErr w:type="spellStart"/>
      <w:r w:rsidRPr="00990396">
        <w:t>signaling</w:t>
      </w:r>
      <w:proofErr w:type="spellEnd"/>
      <w:r w:rsidRPr="00990396">
        <w:t xml:space="preserve"> role of trade credit in bank lending decisions: Evidence from small and medium-sized enterprises’, </w:t>
      </w:r>
      <w:r w:rsidRPr="00990396">
        <w:rPr>
          <w:i/>
          <w:iCs/>
        </w:rPr>
        <w:t>Journal of Business Finance &amp; Accounting</w:t>
      </w:r>
      <w:r w:rsidRPr="00990396">
        <w:t xml:space="preserve">, 49(1–2), pp. 327–354. Available at: </w:t>
      </w:r>
      <w:hyperlink r:id="rId22" w:history="1">
        <w:r w:rsidR="00990396" w:rsidRPr="003312CE">
          <w:rPr>
            <w:rStyle w:val="Hyperlink"/>
          </w:rPr>
          <w:t>https://doi.org/10.1111/jbfa.12554</w:t>
        </w:r>
      </w:hyperlink>
      <w:r w:rsidR="00990396">
        <w:t xml:space="preserve"> </w:t>
      </w:r>
    </w:p>
    <w:p w14:paraId="5E1EEECE" w14:textId="28CFD704" w:rsidR="00137AE8" w:rsidRPr="00990396" w:rsidRDefault="00137AE8" w:rsidP="00990396">
      <w:pPr>
        <w:jc w:val="both"/>
      </w:pPr>
      <w:r w:rsidRPr="00990396">
        <w:t xml:space="preserve">Department for Business and Trade (2025) </w:t>
      </w:r>
      <w:r w:rsidRPr="00990396">
        <w:rPr>
          <w:i/>
          <w:iCs/>
        </w:rPr>
        <w:t>Business population estimates for the UK and regions 2025: Statistical release</w:t>
      </w:r>
      <w:r w:rsidRPr="00990396">
        <w:t xml:space="preserve">. London: Department for Business and Trade. Available at: </w:t>
      </w:r>
      <w:hyperlink r:id="rId23" w:history="1">
        <w:r w:rsidR="00990396" w:rsidRPr="003312CE">
          <w:rPr>
            <w:rStyle w:val="Hyperlink"/>
          </w:rPr>
          <w:t>https://www.gov.uk/government/statistics/business-population-estimates-2025/business-population-estimates-for-the-uk-and-regions-2025-statistical-release</w:t>
        </w:r>
      </w:hyperlink>
      <w:r w:rsidR="00990396">
        <w:t xml:space="preserve"> </w:t>
      </w:r>
      <w:r w:rsidRPr="00990396">
        <w:t>(Accessed: 2 August 2026).</w:t>
      </w:r>
    </w:p>
    <w:p w14:paraId="63BC3F9B" w14:textId="594F228F" w:rsidR="00137AE8" w:rsidRPr="00990396" w:rsidRDefault="00137AE8" w:rsidP="00990396">
      <w:pPr>
        <w:jc w:val="both"/>
      </w:pPr>
      <w:proofErr w:type="spellStart"/>
      <w:r w:rsidRPr="00990396">
        <w:t>Hawach</w:t>
      </w:r>
      <w:proofErr w:type="spellEnd"/>
      <w:r w:rsidRPr="00990396">
        <w:t xml:space="preserve">, F. and Requejo, I. (2025) ‘Financial distress likelihood of European SMEs in times of economic policy uncertainty: The role of family ownership and performance aspirations’, </w:t>
      </w:r>
      <w:r w:rsidRPr="00990396">
        <w:rPr>
          <w:i/>
          <w:iCs/>
        </w:rPr>
        <w:t>International Review of Financial Analysis</w:t>
      </w:r>
      <w:r w:rsidRPr="00990396">
        <w:t xml:space="preserve">, 105, article 104418. Available at: </w:t>
      </w:r>
      <w:hyperlink r:id="rId24" w:history="1">
        <w:r w:rsidR="00990396" w:rsidRPr="003312CE">
          <w:rPr>
            <w:rStyle w:val="Hyperlink"/>
          </w:rPr>
          <w:t>https://doi.org/10.1016/j.irfa.2025.104418</w:t>
        </w:r>
      </w:hyperlink>
      <w:r w:rsidR="00990396">
        <w:t xml:space="preserve"> </w:t>
      </w:r>
    </w:p>
    <w:p w14:paraId="47E1174B" w14:textId="5ABB7999" w:rsidR="00137AE8" w:rsidRPr="00990396" w:rsidRDefault="00137AE8" w:rsidP="00990396">
      <w:pPr>
        <w:jc w:val="both"/>
      </w:pPr>
      <w:r w:rsidRPr="00990396">
        <w:t xml:space="preserve">Hung, N.T. and Dinh, T.S. (2022) ‘Threshold effect of working capital management on firm profitability: Evidence from Vietnam’, </w:t>
      </w:r>
      <w:r w:rsidRPr="00990396">
        <w:rPr>
          <w:i/>
          <w:iCs/>
        </w:rPr>
        <w:t>Cogent Business &amp; Management</w:t>
      </w:r>
      <w:r w:rsidRPr="00990396">
        <w:t xml:space="preserve">, 9(1), article 2141090. Available at: </w:t>
      </w:r>
      <w:hyperlink r:id="rId25" w:history="1">
        <w:r w:rsidR="00990396" w:rsidRPr="003312CE">
          <w:rPr>
            <w:rStyle w:val="Hyperlink"/>
          </w:rPr>
          <w:t>https://doi.org/10.1080/23311975.2022.2141090</w:t>
        </w:r>
      </w:hyperlink>
      <w:r w:rsidR="00990396">
        <w:t xml:space="preserve"> </w:t>
      </w:r>
    </w:p>
    <w:p w14:paraId="214766FF" w14:textId="05BFCFF0" w:rsidR="00137AE8" w:rsidRPr="00990396" w:rsidRDefault="00137AE8" w:rsidP="00990396">
      <w:pPr>
        <w:jc w:val="both"/>
      </w:pPr>
      <w:r w:rsidRPr="00990396">
        <w:t xml:space="preserve">Kaya, O. (2024) ‘The impact of late payments on SMEs’ access to finance: Evidence from credit rationing and loan terms’, </w:t>
      </w:r>
      <w:r w:rsidRPr="00990396">
        <w:rPr>
          <w:i/>
          <w:iCs/>
        </w:rPr>
        <w:t>Economic Modelling</w:t>
      </w:r>
      <w:r w:rsidRPr="00990396">
        <w:t xml:space="preserve">, 141, article 106896. Available at: </w:t>
      </w:r>
      <w:hyperlink r:id="rId26" w:history="1">
        <w:r w:rsidR="00990396" w:rsidRPr="003312CE">
          <w:rPr>
            <w:rStyle w:val="Hyperlink"/>
          </w:rPr>
          <w:t>https://doi.org/10.1016/j.econmod.2024.106896</w:t>
        </w:r>
      </w:hyperlink>
      <w:r w:rsidR="00990396">
        <w:t xml:space="preserve"> </w:t>
      </w:r>
    </w:p>
    <w:p w14:paraId="4B471ACE" w14:textId="683CB271" w:rsidR="00137AE8" w:rsidRPr="00990396" w:rsidRDefault="00137AE8" w:rsidP="00990396">
      <w:pPr>
        <w:jc w:val="both"/>
      </w:pPr>
      <w:proofErr w:type="spellStart"/>
      <w:r w:rsidRPr="00990396">
        <w:t>Kiymaz</w:t>
      </w:r>
      <w:proofErr w:type="spellEnd"/>
      <w:r w:rsidRPr="00990396">
        <w:t xml:space="preserve">, H., Haque, S. and Choudhury, A.A. (2024) ‘Working capital management and firm performance: A comparative analysis of developed and emerging economies’, </w:t>
      </w:r>
      <w:r w:rsidRPr="00990396">
        <w:rPr>
          <w:i/>
          <w:iCs/>
        </w:rPr>
        <w:t>Borsa Istanbul Review</w:t>
      </w:r>
      <w:r w:rsidRPr="00990396">
        <w:t xml:space="preserve">, 24(3), pp. 634–642. Available at: </w:t>
      </w:r>
      <w:hyperlink r:id="rId27" w:history="1">
        <w:r w:rsidR="00990396" w:rsidRPr="003312CE">
          <w:rPr>
            <w:rStyle w:val="Hyperlink"/>
          </w:rPr>
          <w:t>https://doi.org/10.1016/j.bir.2024.03.004</w:t>
        </w:r>
      </w:hyperlink>
      <w:r w:rsidR="00990396">
        <w:t xml:space="preserve"> </w:t>
      </w:r>
    </w:p>
    <w:p w14:paraId="01DC2655" w14:textId="6E22312A" w:rsidR="00137AE8" w:rsidRPr="00990396" w:rsidRDefault="00137AE8" w:rsidP="00990396">
      <w:pPr>
        <w:jc w:val="both"/>
      </w:pPr>
      <w:r w:rsidRPr="00990396">
        <w:t>Koroma, S. and Bein, M. (2024) ‘The moderating effect of economic policy uncertainty on the relationship between working capital management and profitability: Evidence from UK non-</w:t>
      </w:r>
      <w:r w:rsidRPr="00990396">
        <w:lastRenderedPageBreak/>
        <w:t xml:space="preserve">financial firms’, </w:t>
      </w:r>
      <w:r w:rsidRPr="00990396">
        <w:rPr>
          <w:i/>
          <w:iCs/>
        </w:rPr>
        <w:t>SAGE Open</w:t>
      </w:r>
      <w:r w:rsidRPr="00990396">
        <w:t xml:space="preserve">, 14(2), pp. 1–19. Available at: </w:t>
      </w:r>
      <w:hyperlink r:id="rId28" w:history="1">
        <w:r w:rsidR="00990396" w:rsidRPr="003312CE">
          <w:rPr>
            <w:rStyle w:val="Hyperlink"/>
          </w:rPr>
          <w:t>https://doi.org/10.1177/21582440241242552</w:t>
        </w:r>
      </w:hyperlink>
      <w:r w:rsidR="00990396">
        <w:t xml:space="preserve"> </w:t>
      </w:r>
    </w:p>
    <w:p w14:paraId="75B74804" w14:textId="52FF2D51" w:rsidR="00137AE8" w:rsidRPr="00990396" w:rsidRDefault="00137AE8" w:rsidP="00990396">
      <w:pPr>
        <w:jc w:val="both"/>
      </w:pPr>
      <w:r w:rsidRPr="00990396">
        <w:t xml:space="preserve">Kulathunga, K.M.M.C.B., Ye, J., Sharma, S. and </w:t>
      </w:r>
      <w:proofErr w:type="spellStart"/>
      <w:r w:rsidRPr="00990396">
        <w:t>Weerathunga</w:t>
      </w:r>
      <w:proofErr w:type="spellEnd"/>
      <w:r w:rsidRPr="00990396">
        <w:t xml:space="preserve">, P.R. (2020) ‘How does technological and financial literacy influence SME performance: Mediating role of ERM practices’, </w:t>
      </w:r>
      <w:r w:rsidRPr="00990396">
        <w:rPr>
          <w:i/>
          <w:iCs/>
        </w:rPr>
        <w:t>Information</w:t>
      </w:r>
      <w:r w:rsidRPr="00990396">
        <w:t xml:space="preserve">, 11(6), article 297. Available at: </w:t>
      </w:r>
      <w:hyperlink r:id="rId29" w:history="1">
        <w:r w:rsidR="00990396" w:rsidRPr="003312CE">
          <w:rPr>
            <w:rStyle w:val="Hyperlink"/>
          </w:rPr>
          <w:t>https://doi.org/10.3390/info11060297</w:t>
        </w:r>
      </w:hyperlink>
      <w:r w:rsidR="00990396">
        <w:t xml:space="preserve"> </w:t>
      </w:r>
    </w:p>
    <w:p w14:paraId="1352CA0E" w14:textId="1C0CFFCF" w:rsidR="00137AE8" w:rsidRPr="00990396" w:rsidRDefault="00137AE8" w:rsidP="00990396">
      <w:pPr>
        <w:jc w:val="both"/>
      </w:pPr>
      <w:r w:rsidRPr="00990396">
        <w:t xml:space="preserve">Laghari, F., Ahmed, F. and López García, </w:t>
      </w:r>
      <w:proofErr w:type="spellStart"/>
      <w:r w:rsidRPr="00990396">
        <w:t>M.d.l.N</w:t>
      </w:r>
      <w:proofErr w:type="spellEnd"/>
      <w:r w:rsidRPr="00990396">
        <w:t xml:space="preserve">. (2023) ‘Cash flow management and its effect on firm performance: Empirical evidence on non-financial firms of China’, </w:t>
      </w:r>
      <w:r w:rsidRPr="00990396">
        <w:rPr>
          <w:i/>
          <w:iCs/>
        </w:rPr>
        <w:t>PLOS ONE</w:t>
      </w:r>
      <w:r w:rsidRPr="00990396">
        <w:t xml:space="preserve">, 18(6), article e0287135. Available at: </w:t>
      </w:r>
      <w:hyperlink r:id="rId30" w:history="1">
        <w:r w:rsidR="00990396" w:rsidRPr="003312CE">
          <w:rPr>
            <w:rStyle w:val="Hyperlink"/>
          </w:rPr>
          <w:t>https://doi.org/10.1371/journal.pone.0287135</w:t>
        </w:r>
      </w:hyperlink>
      <w:r w:rsidR="00990396">
        <w:t xml:space="preserve"> </w:t>
      </w:r>
    </w:p>
    <w:p w14:paraId="6A1E2438" w14:textId="0A4A343A" w:rsidR="00137AE8" w:rsidRPr="00990396" w:rsidRDefault="00137AE8" w:rsidP="00990396">
      <w:pPr>
        <w:jc w:val="both"/>
      </w:pPr>
      <w:r w:rsidRPr="00990396">
        <w:t xml:space="preserve">Lefebvre, V. (2023) ‘Trade credit, payment duration, and SMEs’ growth in the European Union’, </w:t>
      </w:r>
      <w:r w:rsidRPr="00990396">
        <w:rPr>
          <w:i/>
          <w:iCs/>
        </w:rPr>
        <w:t>International Entrepreneurship and Management Journal</w:t>
      </w:r>
      <w:r w:rsidRPr="00990396">
        <w:t xml:space="preserve">, 19(3), pp. 1313–1340. Available at: </w:t>
      </w:r>
      <w:hyperlink r:id="rId31" w:history="1">
        <w:r w:rsidR="00990396" w:rsidRPr="003312CE">
          <w:rPr>
            <w:rStyle w:val="Hyperlink"/>
          </w:rPr>
          <w:t>https://doi.org/10.1007/s11365-023-00871-4</w:t>
        </w:r>
      </w:hyperlink>
      <w:r w:rsidR="00990396">
        <w:t xml:space="preserve"> </w:t>
      </w:r>
    </w:p>
    <w:p w14:paraId="21606DD5" w14:textId="77777777" w:rsidR="00137AE8" w:rsidRPr="00990396" w:rsidRDefault="00137AE8" w:rsidP="00990396">
      <w:pPr>
        <w:jc w:val="both"/>
      </w:pPr>
      <w:r w:rsidRPr="00990396">
        <w:t xml:space="preserve">Lincoln, Y.S. and Guba, E.G. (1985) </w:t>
      </w:r>
      <w:r w:rsidRPr="00990396">
        <w:rPr>
          <w:i/>
          <w:iCs/>
        </w:rPr>
        <w:t>Naturalistic inquiry</w:t>
      </w:r>
      <w:r w:rsidRPr="00990396">
        <w:t>. Newbury Park, CA: SAGE Publications.</w:t>
      </w:r>
    </w:p>
    <w:p w14:paraId="0B625707" w14:textId="60A42D8C" w:rsidR="00137AE8" w:rsidRPr="00990396" w:rsidRDefault="00137AE8" w:rsidP="00990396">
      <w:pPr>
        <w:jc w:val="both"/>
      </w:pPr>
      <w:r w:rsidRPr="00990396">
        <w:t xml:space="preserve">Malik, M.F., Zaman, M. and Buckby, S. (2020) ‘Enterprise risk management and firm performance: Role of the risk committee’, </w:t>
      </w:r>
      <w:r w:rsidRPr="00990396">
        <w:rPr>
          <w:i/>
          <w:iCs/>
        </w:rPr>
        <w:t>Journal of Contemporary Accounting &amp; Economics</w:t>
      </w:r>
      <w:r w:rsidRPr="00990396">
        <w:t xml:space="preserve">, 16(1), article 100178. Available at: </w:t>
      </w:r>
      <w:hyperlink r:id="rId32" w:history="1">
        <w:r w:rsidR="00990396" w:rsidRPr="003312CE">
          <w:rPr>
            <w:rStyle w:val="Hyperlink"/>
          </w:rPr>
          <w:t>https://doi.org/10.1016/j.jcae.2019.100178</w:t>
        </w:r>
      </w:hyperlink>
      <w:r w:rsidR="00990396">
        <w:t xml:space="preserve"> </w:t>
      </w:r>
    </w:p>
    <w:p w14:paraId="56B1686E" w14:textId="0E82513F" w:rsidR="00137AE8" w:rsidRPr="00990396" w:rsidRDefault="00137AE8" w:rsidP="00990396">
      <w:pPr>
        <w:jc w:val="both"/>
      </w:pPr>
      <w:r w:rsidRPr="00990396">
        <w:t xml:space="preserve">Manas, N., </w:t>
      </w:r>
      <w:proofErr w:type="spellStart"/>
      <w:r w:rsidRPr="00990396">
        <w:t>Zakuan</w:t>
      </w:r>
      <w:proofErr w:type="spellEnd"/>
      <w:r w:rsidRPr="00990396">
        <w:t xml:space="preserve">, N., Saman, M.Z.M. and </w:t>
      </w:r>
      <w:proofErr w:type="spellStart"/>
      <w:r w:rsidRPr="00990396">
        <w:t>Setapa</w:t>
      </w:r>
      <w:proofErr w:type="spellEnd"/>
      <w:r w:rsidRPr="00990396">
        <w:t xml:space="preserve">, M. (2024) ‘Enterprise risk management practices in Malaysian small and medium-sized enterprises: An overview’, </w:t>
      </w:r>
      <w:r w:rsidRPr="00990396">
        <w:rPr>
          <w:i/>
          <w:iCs/>
        </w:rPr>
        <w:t>Information Management and Business Review</w:t>
      </w:r>
      <w:r w:rsidRPr="00990396">
        <w:t xml:space="preserve">, 16(2(I)S), pp. 236–250. Available at: </w:t>
      </w:r>
      <w:hyperlink r:id="rId33" w:history="1">
        <w:r w:rsidR="00990396" w:rsidRPr="003312CE">
          <w:rPr>
            <w:rStyle w:val="Hyperlink"/>
          </w:rPr>
          <w:t>https://doi.org/10.22610/imbr.v16i2(I)S.3683</w:t>
        </w:r>
      </w:hyperlink>
      <w:r w:rsidR="00990396">
        <w:t xml:space="preserve"> </w:t>
      </w:r>
    </w:p>
    <w:p w14:paraId="6F002956" w14:textId="439473FF" w:rsidR="00137AE8" w:rsidRPr="00990396" w:rsidRDefault="00137AE8" w:rsidP="00990396">
      <w:pPr>
        <w:jc w:val="both"/>
      </w:pPr>
      <w:proofErr w:type="spellStart"/>
      <w:r w:rsidRPr="00990396">
        <w:t>Mandipa</w:t>
      </w:r>
      <w:proofErr w:type="spellEnd"/>
      <w:r w:rsidRPr="00990396">
        <w:t xml:space="preserve">, G. and Sibindi, A.B. (2022) ‘Financial performance and working capital management practices in the retail sector: Empirical evidence from South Africa’, </w:t>
      </w:r>
      <w:r w:rsidRPr="00990396">
        <w:rPr>
          <w:i/>
          <w:iCs/>
        </w:rPr>
        <w:t>Risks</w:t>
      </w:r>
      <w:r w:rsidRPr="00990396">
        <w:t xml:space="preserve">, 10(3), article 63. Available at: </w:t>
      </w:r>
      <w:hyperlink r:id="rId34" w:history="1">
        <w:r w:rsidR="00990396" w:rsidRPr="003312CE">
          <w:rPr>
            <w:rStyle w:val="Hyperlink"/>
          </w:rPr>
          <w:t>https://doi.org/10.3390/risks10030063</w:t>
        </w:r>
      </w:hyperlink>
      <w:r w:rsidR="00990396">
        <w:t xml:space="preserve"> </w:t>
      </w:r>
    </w:p>
    <w:p w14:paraId="743EBF3A" w14:textId="2D66DDBA" w:rsidR="00137AE8" w:rsidRPr="00990396" w:rsidRDefault="00137AE8" w:rsidP="00990396">
      <w:pPr>
        <w:jc w:val="both"/>
      </w:pPr>
      <w:r w:rsidRPr="00990396">
        <w:t xml:space="preserve">Mthiyane, Z.Z.F., van der Poll, H.M. and Tshehla, M.F. (2022) ‘A framework for risk management in small medium enterprises in developing countries’, </w:t>
      </w:r>
      <w:r w:rsidRPr="00990396">
        <w:rPr>
          <w:i/>
          <w:iCs/>
        </w:rPr>
        <w:t>Risks</w:t>
      </w:r>
      <w:r w:rsidRPr="00990396">
        <w:t xml:space="preserve">, 10(9), article 173. Available at: </w:t>
      </w:r>
      <w:hyperlink r:id="rId35" w:history="1">
        <w:r w:rsidR="00990396" w:rsidRPr="003312CE">
          <w:rPr>
            <w:rStyle w:val="Hyperlink"/>
          </w:rPr>
          <w:t>https://doi.org/10.3390/risks10090173</w:t>
        </w:r>
      </w:hyperlink>
      <w:r w:rsidR="00990396">
        <w:t xml:space="preserve"> </w:t>
      </w:r>
    </w:p>
    <w:p w14:paraId="263AFEFF" w14:textId="481C3F13" w:rsidR="00137AE8" w:rsidRPr="00990396" w:rsidRDefault="00137AE8" w:rsidP="00990396">
      <w:pPr>
        <w:jc w:val="both"/>
      </w:pPr>
      <w:r w:rsidRPr="00990396">
        <w:t xml:space="preserve">Nocco, B.W. and Stulz, R.M. (2006) ‘Enterprise risk management: Theory and practice’, </w:t>
      </w:r>
      <w:r w:rsidRPr="00990396">
        <w:rPr>
          <w:i/>
          <w:iCs/>
        </w:rPr>
        <w:t>Journal of Applied Corporate Finance</w:t>
      </w:r>
      <w:r w:rsidRPr="00990396">
        <w:t xml:space="preserve">, 18(4), pp. 8–20. Available at: </w:t>
      </w:r>
      <w:hyperlink r:id="rId36" w:history="1">
        <w:r w:rsidR="00990396" w:rsidRPr="003312CE">
          <w:rPr>
            <w:rStyle w:val="Hyperlink"/>
          </w:rPr>
          <w:t>https://doi.org/10.1111/j.1745-6622.2006.00106.x</w:t>
        </w:r>
      </w:hyperlink>
      <w:r w:rsidR="00990396">
        <w:t xml:space="preserve"> </w:t>
      </w:r>
    </w:p>
    <w:p w14:paraId="405537E8" w14:textId="6C3F38DA" w:rsidR="00137AE8" w:rsidRPr="00990396" w:rsidRDefault="00137AE8" w:rsidP="00990396">
      <w:pPr>
        <w:jc w:val="both"/>
      </w:pPr>
      <w:r w:rsidRPr="00990396">
        <w:t xml:space="preserve">Nowell, L.S., Norris, J.M., White, D.E. and Moules, N.J. (2017) ‘Thematic analysis: Striving to meet the trustworthiness criteria’, </w:t>
      </w:r>
      <w:r w:rsidRPr="00990396">
        <w:rPr>
          <w:i/>
          <w:iCs/>
        </w:rPr>
        <w:t>International Journal of Qualitative Methods</w:t>
      </w:r>
      <w:r w:rsidRPr="00990396">
        <w:t xml:space="preserve">, 16, pp. 1–13. Available at: </w:t>
      </w:r>
      <w:hyperlink r:id="rId37" w:history="1">
        <w:r w:rsidR="00990396" w:rsidRPr="003312CE">
          <w:rPr>
            <w:rStyle w:val="Hyperlink"/>
          </w:rPr>
          <w:t>https://doi.org/10.1177/1609406917733847</w:t>
        </w:r>
      </w:hyperlink>
      <w:r w:rsidR="00990396">
        <w:t xml:space="preserve"> </w:t>
      </w:r>
    </w:p>
    <w:p w14:paraId="204E8CC2" w14:textId="6853915E" w:rsidR="00137AE8" w:rsidRPr="00990396" w:rsidRDefault="00137AE8" w:rsidP="00990396">
      <w:pPr>
        <w:jc w:val="both"/>
      </w:pPr>
      <w:r w:rsidRPr="00990396">
        <w:lastRenderedPageBreak/>
        <w:t>Orden-Cruz, C., Paule-</w:t>
      </w:r>
      <w:proofErr w:type="spellStart"/>
      <w:r w:rsidRPr="00990396">
        <w:t>Vianez</w:t>
      </w:r>
      <w:proofErr w:type="spellEnd"/>
      <w:r w:rsidRPr="00990396">
        <w:t xml:space="preserve">, J., Sánchez-Escobedo, M.C. and Moutinho, V. (2024) ‘EPU and SMEs’ financial performance: Industry vs. service sector’, </w:t>
      </w:r>
      <w:r w:rsidRPr="00990396">
        <w:rPr>
          <w:i/>
          <w:iCs/>
        </w:rPr>
        <w:t>Journal of Open Innovation: Technology, Market, and Complexity</w:t>
      </w:r>
      <w:r w:rsidRPr="00990396">
        <w:t xml:space="preserve">, 10(3), article 100320. Available at: </w:t>
      </w:r>
      <w:hyperlink r:id="rId38" w:history="1">
        <w:r w:rsidR="00990396" w:rsidRPr="003312CE">
          <w:rPr>
            <w:rStyle w:val="Hyperlink"/>
          </w:rPr>
          <w:t>https://doi.org/10.1016/j.joitmc.2024.100320</w:t>
        </w:r>
      </w:hyperlink>
      <w:r w:rsidR="00990396">
        <w:t xml:space="preserve"> </w:t>
      </w:r>
    </w:p>
    <w:p w14:paraId="007AC147" w14:textId="54E72531" w:rsidR="00137AE8" w:rsidRPr="00990396" w:rsidRDefault="00137AE8" w:rsidP="00990396">
      <w:pPr>
        <w:jc w:val="both"/>
      </w:pPr>
      <w:r w:rsidRPr="00990396">
        <w:t xml:space="preserve">Otoo, F.N.K. (2024) ‘Assessing the influence of financial management practices on organizational performance of small- and medium-scale enterprises’, </w:t>
      </w:r>
      <w:r w:rsidRPr="00990396">
        <w:rPr>
          <w:i/>
          <w:iCs/>
        </w:rPr>
        <w:t>Vilakshan—XIMB Journal of Management</w:t>
      </w:r>
      <w:r w:rsidRPr="00990396">
        <w:t xml:space="preserve">, 21(2), pp. 162–188. Available at: </w:t>
      </w:r>
      <w:hyperlink r:id="rId39" w:history="1">
        <w:r w:rsidR="00990396" w:rsidRPr="003312CE">
          <w:rPr>
            <w:rStyle w:val="Hyperlink"/>
          </w:rPr>
          <w:t>https://doi.org/10.1108/XJM-09-2023-0192</w:t>
        </w:r>
      </w:hyperlink>
      <w:r w:rsidR="00990396">
        <w:t xml:space="preserve"> </w:t>
      </w:r>
    </w:p>
    <w:p w14:paraId="00556942" w14:textId="50FE33F4" w:rsidR="00137AE8" w:rsidRPr="00990396" w:rsidRDefault="00137AE8" w:rsidP="00990396">
      <w:pPr>
        <w:jc w:val="both"/>
      </w:pPr>
      <w:r w:rsidRPr="00990396">
        <w:t xml:space="preserve">Otto, W.H. (2023) ‘SMEs’ perception related to their trade credit management effectiveness’, </w:t>
      </w:r>
      <w:r w:rsidRPr="00990396">
        <w:rPr>
          <w:i/>
          <w:iCs/>
        </w:rPr>
        <w:t>South African Journal of Business Management</w:t>
      </w:r>
      <w:r w:rsidRPr="00990396">
        <w:t xml:space="preserve">, 54(1), article a3831. Available at: </w:t>
      </w:r>
      <w:hyperlink r:id="rId40" w:history="1">
        <w:r w:rsidR="00990396" w:rsidRPr="003312CE">
          <w:rPr>
            <w:rStyle w:val="Hyperlink"/>
          </w:rPr>
          <w:t>https://doi.org/10.4102/sajbm.v54i1.3831</w:t>
        </w:r>
      </w:hyperlink>
      <w:r w:rsidR="00990396">
        <w:t xml:space="preserve"> </w:t>
      </w:r>
    </w:p>
    <w:p w14:paraId="67B3BFC0" w14:textId="73DD3EAF" w:rsidR="00137AE8" w:rsidRPr="00990396" w:rsidRDefault="00137AE8" w:rsidP="00990396">
      <w:pPr>
        <w:jc w:val="both"/>
      </w:pPr>
      <w:r w:rsidRPr="00990396">
        <w:t xml:space="preserve">Page, M.J., McKenzie, J.E., Bossuyt, P.M., </w:t>
      </w:r>
      <w:proofErr w:type="spellStart"/>
      <w:r w:rsidRPr="00990396">
        <w:t>Boutron</w:t>
      </w:r>
      <w:proofErr w:type="spellEnd"/>
      <w:r w:rsidRPr="00990396">
        <w:t xml:space="preserve">, I., Hoffmann, T.C., Mulrow, C.D., </w:t>
      </w:r>
      <w:proofErr w:type="spellStart"/>
      <w:r w:rsidRPr="00990396">
        <w:t>Shamseer</w:t>
      </w:r>
      <w:proofErr w:type="spellEnd"/>
      <w:r w:rsidRPr="00990396">
        <w:t xml:space="preserve">, L., Tetzlaff, J.M., Akl, E.A., Brennan, S.E., Chou, R., Glanville, J., Grimshaw, J.M., Hróbjartsson, A., Lalu, M.M., Li, T., Loder, E.W., Mayo-Wilson, E., McDonald, S., McGuinness, L.A., Stewart, L.A., Thomas, J., </w:t>
      </w:r>
      <w:proofErr w:type="spellStart"/>
      <w:r w:rsidRPr="00990396">
        <w:t>Tricco</w:t>
      </w:r>
      <w:proofErr w:type="spellEnd"/>
      <w:r w:rsidRPr="00990396">
        <w:t xml:space="preserve">, A.C., Welch, V.A., Whiting, P. and Moher, D. (2021) ‘The PRISMA 2020 statement: An updated guideline for reporting systematic reviews’, </w:t>
      </w:r>
      <w:r w:rsidRPr="00990396">
        <w:rPr>
          <w:i/>
          <w:iCs/>
        </w:rPr>
        <w:t>BMJ</w:t>
      </w:r>
      <w:r w:rsidRPr="00990396">
        <w:t xml:space="preserve">, 372, article n71. Available at: </w:t>
      </w:r>
      <w:hyperlink r:id="rId41" w:history="1">
        <w:r w:rsidR="00990396" w:rsidRPr="003312CE">
          <w:rPr>
            <w:rStyle w:val="Hyperlink"/>
          </w:rPr>
          <w:t>https://doi.org/10.1136/bmj.n71</w:t>
        </w:r>
      </w:hyperlink>
      <w:r w:rsidR="00990396">
        <w:t xml:space="preserve"> </w:t>
      </w:r>
    </w:p>
    <w:p w14:paraId="75D0059E" w14:textId="5BC62A75" w:rsidR="00137AE8" w:rsidRPr="00990396" w:rsidRDefault="00137AE8" w:rsidP="00990396">
      <w:pPr>
        <w:jc w:val="both"/>
      </w:pPr>
      <w:r w:rsidRPr="00990396">
        <w:t xml:space="preserve">Peter, F.O., Peter, A.O., Bamidele, R., Adeniyi, M.M., Adama, I., </w:t>
      </w:r>
      <w:proofErr w:type="spellStart"/>
      <w:r w:rsidRPr="00990396">
        <w:t>Decster</w:t>
      </w:r>
      <w:proofErr w:type="spellEnd"/>
      <w:r w:rsidRPr="00990396">
        <w:t xml:space="preserve">, L.H., Ogundipe, E. and </w:t>
      </w:r>
      <w:proofErr w:type="spellStart"/>
      <w:r w:rsidRPr="00990396">
        <w:t>Adioti</w:t>
      </w:r>
      <w:proofErr w:type="spellEnd"/>
      <w:r w:rsidRPr="00990396">
        <w:t xml:space="preserve">, B.S. (2022) ‘Trade credit management and SMEs sustainability: A study of selected SMEs in Lagos, Nigeria’, </w:t>
      </w:r>
      <w:r w:rsidRPr="00990396">
        <w:rPr>
          <w:i/>
          <w:iCs/>
        </w:rPr>
        <w:t>International Journal of System Assurance Engineering and Management</w:t>
      </w:r>
      <w:r w:rsidRPr="00990396">
        <w:t xml:space="preserve">, 13(4), pp. 1834–1844. Available at: </w:t>
      </w:r>
      <w:hyperlink r:id="rId42" w:history="1">
        <w:r w:rsidR="00990396" w:rsidRPr="003312CE">
          <w:rPr>
            <w:rStyle w:val="Hyperlink"/>
          </w:rPr>
          <w:t>https://doi.org/10.1007/s13198-021-01569-y</w:t>
        </w:r>
      </w:hyperlink>
      <w:r w:rsidR="00990396">
        <w:t xml:space="preserve"> </w:t>
      </w:r>
    </w:p>
    <w:p w14:paraId="4874832C" w14:textId="77777777" w:rsidR="00137AE8" w:rsidRPr="00990396" w:rsidRDefault="00137AE8" w:rsidP="00990396">
      <w:pPr>
        <w:jc w:val="both"/>
      </w:pPr>
      <w:r w:rsidRPr="00990396">
        <w:t xml:space="preserve">Saunders, M.N.K., Lewis, P. and Thornhill, A. (2023) </w:t>
      </w:r>
      <w:r w:rsidRPr="00990396">
        <w:rPr>
          <w:i/>
          <w:iCs/>
        </w:rPr>
        <w:t>Research methods for business students</w:t>
      </w:r>
      <w:r w:rsidRPr="00990396">
        <w:t xml:space="preserve">. 9th </w:t>
      </w:r>
      <w:proofErr w:type="spellStart"/>
      <w:r w:rsidRPr="00990396">
        <w:t>edn</w:t>
      </w:r>
      <w:proofErr w:type="spellEnd"/>
      <w:r w:rsidRPr="00990396">
        <w:t>. Harlow: Pearson.</w:t>
      </w:r>
    </w:p>
    <w:p w14:paraId="38D903BB" w14:textId="6831FB80" w:rsidR="00137AE8" w:rsidRPr="00990396" w:rsidRDefault="00137AE8" w:rsidP="00990396">
      <w:pPr>
        <w:jc w:val="both"/>
      </w:pPr>
      <w:r w:rsidRPr="00990396">
        <w:t xml:space="preserve">Snyder, H. (2019) ‘Literature review as a research methodology: An overview and guidelines’, </w:t>
      </w:r>
      <w:r w:rsidRPr="00990396">
        <w:rPr>
          <w:i/>
          <w:iCs/>
        </w:rPr>
        <w:t>Journal of Business Research</w:t>
      </w:r>
      <w:r w:rsidRPr="00990396">
        <w:t xml:space="preserve">, 104, pp. 333–339. Available at: </w:t>
      </w:r>
      <w:hyperlink r:id="rId43" w:history="1">
        <w:r w:rsidR="00990396" w:rsidRPr="003312CE">
          <w:rPr>
            <w:rStyle w:val="Hyperlink"/>
          </w:rPr>
          <w:t>https://doi.org/10.1016/j.jbusres.2019.07.039</w:t>
        </w:r>
      </w:hyperlink>
      <w:r w:rsidR="00990396">
        <w:t xml:space="preserve"> </w:t>
      </w:r>
    </w:p>
    <w:p w14:paraId="7870E11D" w14:textId="3FACF51D" w:rsidR="00137AE8" w:rsidRPr="00990396" w:rsidRDefault="00137AE8" w:rsidP="00990396">
      <w:pPr>
        <w:jc w:val="both"/>
      </w:pPr>
      <w:proofErr w:type="spellStart"/>
      <w:r w:rsidRPr="00990396">
        <w:t>Syrová</w:t>
      </w:r>
      <w:proofErr w:type="spellEnd"/>
      <w:r w:rsidRPr="00990396">
        <w:t xml:space="preserve">, L. and </w:t>
      </w:r>
      <w:proofErr w:type="spellStart"/>
      <w:r w:rsidRPr="00990396">
        <w:t>Špička</w:t>
      </w:r>
      <w:proofErr w:type="spellEnd"/>
      <w:r w:rsidRPr="00990396">
        <w:t xml:space="preserve">, J. (2023) ‘Exploring the indirect links between enterprise risk management and the financial performance of SMEs’, </w:t>
      </w:r>
      <w:r w:rsidRPr="00990396">
        <w:rPr>
          <w:i/>
          <w:iCs/>
        </w:rPr>
        <w:t>Risk Management</w:t>
      </w:r>
      <w:r w:rsidRPr="00990396">
        <w:t xml:space="preserve">, 25, article 1. Available at: </w:t>
      </w:r>
      <w:hyperlink r:id="rId44" w:history="1">
        <w:r w:rsidR="00990396" w:rsidRPr="003312CE">
          <w:rPr>
            <w:rStyle w:val="Hyperlink"/>
          </w:rPr>
          <w:t>https://doi.org/10.1057/s41283-022-00107-9</w:t>
        </w:r>
      </w:hyperlink>
      <w:r w:rsidR="00990396">
        <w:t xml:space="preserve"> </w:t>
      </w:r>
    </w:p>
    <w:p w14:paraId="1D7920FB" w14:textId="7F8BD0CE" w:rsidR="00137AE8" w:rsidRPr="00990396" w:rsidRDefault="00137AE8" w:rsidP="00990396">
      <w:pPr>
        <w:jc w:val="both"/>
      </w:pPr>
      <w:r w:rsidRPr="00990396">
        <w:t xml:space="preserve">Tan, C. and Lee, S.Z. (2022) ‘Adoption of enterprise risk management (ERM) in small and medium-sized enterprises: Evidence from Malaysia’, </w:t>
      </w:r>
      <w:r w:rsidRPr="00990396">
        <w:rPr>
          <w:i/>
          <w:iCs/>
        </w:rPr>
        <w:t>Journal of Accounting &amp; Organizational Change</w:t>
      </w:r>
      <w:r w:rsidRPr="00990396">
        <w:t xml:space="preserve">, 18(1), pp. 100–131. Available at: </w:t>
      </w:r>
      <w:hyperlink r:id="rId45" w:history="1">
        <w:r w:rsidR="00990396" w:rsidRPr="003312CE">
          <w:rPr>
            <w:rStyle w:val="Hyperlink"/>
          </w:rPr>
          <w:t>https://doi.org/10.1108/JAOC-11-2020-0181</w:t>
        </w:r>
      </w:hyperlink>
      <w:r w:rsidR="00990396">
        <w:t xml:space="preserve"> </w:t>
      </w:r>
    </w:p>
    <w:p w14:paraId="4AF2F202" w14:textId="4EFAA1AD" w:rsidR="00137AE8" w:rsidRPr="00990396" w:rsidRDefault="00137AE8" w:rsidP="00990396">
      <w:pPr>
        <w:jc w:val="both"/>
      </w:pPr>
      <w:proofErr w:type="spellStart"/>
      <w:r w:rsidRPr="00990396">
        <w:lastRenderedPageBreak/>
        <w:t>Tazhibayeva</w:t>
      </w:r>
      <w:proofErr w:type="spellEnd"/>
      <w:r w:rsidRPr="00990396">
        <w:t xml:space="preserve">, R. and </w:t>
      </w:r>
      <w:proofErr w:type="spellStart"/>
      <w:r w:rsidRPr="00990396">
        <w:t>Syzdykova</w:t>
      </w:r>
      <w:proofErr w:type="spellEnd"/>
      <w:r w:rsidRPr="00990396">
        <w:t xml:space="preserve">, A. (2026) ‘The impact of the exchange rate and oil prices on SME manufacturing output in Kazakhstan’, </w:t>
      </w:r>
      <w:r w:rsidRPr="00990396">
        <w:rPr>
          <w:i/>
          <w:iCs/>
        </w:rPr>
        <w:t>Economies</w:t>
      </w:r>
      <w:r w:rsidRPr="00990396">
        <w:t xml:space="preserve">, 14(5), article 149. Available at: </w:t>
      </w:r>
      <w:hyperlink r:id="rId46" w:history="1">
        <w:r w:rsidR="00990396" w:rsidRPr="003312CE">
          <w:rPr>
            <w:rStyle w:val="Hyperlink"/>
          </w:rPr>
          <w:t>https://doi.org/10.3390/economies14050149</w:t>
        </w:r>
      </w:hyperlink>
      <w:r w:rsidR="00990396">
        <w:t xml:space="preserve"> </w:t>
      </w:r>
    </w:p>
    <w:p w14:paraId="653B12BD" w14:textId="13765877" w:rsidR="00137AE8" w:rsidRPr="00990396" w:rsidRDefault="00137AE8" w:rsidP="00990396">
      <w:pPr>
        <w:jc w:val="both"/>
      </w:pPr>
      <w:r w:rsidRPr="00990396">
        <w:t xml:space="preserve">Tóth, R., Kása, R. and Lentner, C. (2022) ‘The impact of financial culture on the operation of Hungarian SMEs before and during COVID-19’, </w:t>
      </w:r>
      <w:r w:rsidRPr="00990396">
        <w:rPr>
          <w:i/>
          <w:iCs/>
        </w:rPr>
        <w:t>Risks</w:t>
      </w:r>
      <w:r w:rsidRPr="00990396">
        <w:t xml:space="preserve">, 10(7), article 135. Available at: </w:t>
      </w:r>
      <w:hyperlink r:id="rId47" w:history="1">
        <w:r w:rsidR="00990396" w:rsidRPr="003312CE">
          <w:rPr>
            <w:rStyle w:val="Hyperlink"/>
          </w:rPr>
          <w:t>https://doi.org/10.3390/risks10070135</w:t>
        </w:r>
      </w:hyperlink>
      <w:r w:rsidR="00990396">
        <w:t xml:space="preserve"> </w:t>
      </w:r>
    </w:p>
    <w:p w14:paraId="264AB899" w14:textId="370E7258" w:rsidR="00137AE8" w:rsidRPr="00990396" w:rsidRDefault="00137AE8" w:rsidP="00990396">
      <w:pPr>
        <w:jc w:val="both"/>
      </w:pPr>
      <w:r w:rsidRPr="00990396">
        <w:t xml:space="preserve">Wang, J., Zhao, L. and Huchzermeier, A. (2021) ‘Operations–finance interface in risk management: Research evolution and opportunities’, </w:t>
      </w:r>
      <w:r w:rsidRPr="00990396">
        <w:rPr>
          <w:i/>
          <w:iCs/>
        </w:rPr>
        <w:t>Production and Operations Management</w:t>
      </w:r>
      <w:r w:rsidRPr="00990396">
        <w:t xml:space="preserve">, 30(2), pp. 355–389. Available at: </w:t>
      </w:r>
      <w:hyperlink r:id="rId48" w:history="1">
        <w:r w:rsidR="00990396" w:rsidRPr="003312CE">
          <w:rPr>
            <w:rStyle w:val="Hyperlink"/>
          </w:rPr>
          <w:t>https://doi.org/10.1111/poms.13269</w:t>
        </w:r>
      </w:hyperlink>
      <w:r w:rsidR="00990396">
        <w:t xml:space="preserve"> </w:t>
      </w:r>
    </w:p>
    <w:p w14:paraId="1B989A8E" w14:textId="77777777" w:rsidR="00137AE8" w:rsidRPr="00990396" w:rsidRDefault="00137AE8" w:rsidP="00990396">
      <w:pPr>
        <w:jc w:val="both"/>
      </w:pPr>
      <w:r w:rsidRPr="00990396">
        <w:t xml:space="preserve">Yin, R.K. (2018) </w:t>
      </w:r>
      <w:r w:rsidRPr="00990396">
        <w:rPr>
          <w:i/>
          <w:iCs/>
        </w:rPr>
        <w:t>Case study research and applications: Design and methods</w:t>
      </w:r>
      <w:r w:rsidRPr="00990396">
        <w:t xml:space="preserve">. 6th </w:t>
      </w:r>
      <w:proofErr w:type="spellStart"/>
      <w:r w:rsidRPr="00990396">
        <w:t>edn</w:t>
      </w:r>
      <w:proofErr w:type="spellEnd"/>
      <w:r w:rsidRPr="00990396">
        <w:t>. Thousand Oaks, CA: SAGE Publications.</w:t>
      </w:r>
    </w:p>
    <w:p w14:paraId="486DEC50" w14:textId="3AAF3984" w:rsidR="00137AE8" w:rsidRPr="00990396" w:rsidRDefault="00137AE8" w:rsidP="00990396">
      <w:pPr>
        <w:jc w:val="both"/>
      </w:pPr>
      <w:r w:rsidRPr="00990396">
        <w:t xml:space="preserve">Youssef, I.S., Salloum, C. and Al Sayah, M. (2023) ‘The determinants of profitability in non-financial UK SMEs’, </w:t>
      </w:r>
      <w:r w:rsidRPr="00990396">
        <w:rPr>
          <w:i/>
          <w:iCs/>
        </w:rPr>
        <w:t>European Business Review</w:t>
      </w:r>
      <w:r w:rsidRPr="00990396">
        <w:t xml:space="preserve">, 35(5), pp. 652–671. Available at: </w:t>
      </w:r>
      <w:hyperlink r:id="rId49" w:history="1">
        <w:r w:rsidR="00990396" w:rsidRPr="003312CE">
          <w:rPr>
            <w:rStyle w:val="Hyperlink"/>
          </w:rPr>
          <w:t>https://doi.org/10.1108/EBR-09-2022-0173</w:t>
        </w:r>
      </w:hyperlink>
      <w:r w:rsidR="00990396">
        <w:t xml:space="preserve"> </w:t>
      </w:r>
    </w:p>
    <w:p w14:paraId="6D185ACF" w14:textId="795CA6A2" w:rsidR="005A481C" w:rsidRPr="00990396" w:rsidRDefault="005A481C" w:rsidP="00990396">
      <w:pPr>
        <w:jc w:val="both"/>
      </w:pPr>
      <w:r w:rsidRPr="00990396">
        <w:br w:type="page"/>
      </w:r>
    </w:p>
    <w:p w14:paraId="03136087" w14:textId="39557146" w:rsidR="005A481C" w:rsidRPr="00990396" w:rsidRDefault="00990396" w:rsidP="00990396">
      <w:pPr>
        <w:pStyle w:val="Heading1"/>
        <w:numPr>
          <w:ilvl w:val="0"/>
          <w:numId w:val="0"/>
        </w:numPr>
        <w:ind w:left="432"/>
        <w:jc w:val="both"/>
        <w:rPr>
          <w:rFonts w:cstheme="minorBidi"/>
        </w:rPr>
      </w:pPr>
      <w:bookmarkStart w:id="67" w:name="_Toc241147047"/>
      <w:r w:rsidRPr="00990396">
        <w:rPr>
          <w:rFonts w:cstheme="minorBidi"/>
        </w:rPr>
        <w:lastRenderedPageBreak/>
        <w:t>APPENDIX A: EVIDENCE EXTRACTION MATRIX</w:t>
      </w:r>
      <w:bookmarkEnd w:id="67"/>
    </w:p>
    <w:tbl>
      <w:tblPr>
        <w:tblStyle w:val="TableGrid"/>
        <w:tblW w:w="0" w:type="auto"/>
        <w:tblLook w:val="04A0" w:firstRow="1" w:lastRow="0" w:firstColumn="1" w:lastColumn="0" w:noHBand="0" w:noVBand="1"/>
      </w:tblPr>
      <w:tblGrid>
        <w:gridCol w:w="822"/>
        <w:gridCol w:w="680"/>
        <w:gridCol w:w="1054"/>
        <w:gridCol w:w="894"/>
        <w:gridCol w:w="858"/>
        <w:gridCol w:w="900"/>
        <w:gridCol w:w="1144"/>
        <w:gridCol w:w="906"/>
        <w:gridCol w:w="894"/>
        <w:gridCol w:w="864"/>
      </w:tblGrid>
      <w:tr w:rsidR="005A481C" w:rsidRPr="00990396" w14:paraId="59C40D60" w14:textId="77777777" w:rsidTr="005A481C">
        <w:tc>
          <w:tcPr>
            <w:tcW w:w="0" w:type="auto"/>
            <w:hideMark/>
          </w:tcPr>
          <w:p w14:paraId="3025C5A4" w14:textId="77777777" w:rsidR="005A481C" w:rsidRPr="00990396" w:rsidRDefault="005A481C" w:rsidP="00004062">
            <w:pPr>
              <w:spacing w:line="240" w:lineRule="auto"/>
              <w:jc w:val="both"/>
              <w:rPr>
                <w:b/>
                <w:bCs/>
                <w:sz w:val="16"/>
                <w:szCs w:val="16"/>
              </w:rPr>
            </w:pPr>
            <w:r w:rsidRPr="00990396">
              <w:rPr>
                <w:b/>
                <w:bCs/>
                <w:sz w:val="16"/>
                <w:szCs w:val="16"/>
              </w:rPr>
              <w:t>Study</w:t>
            </w:r>
          </w:p>
        </w:tc>
        <w:tc>
          <w:tcPr>
            <w:tcW w:w="0" w:type="auto"/>
            <w:hideMark/>
          </w:tcPr>
          <w:p w14:paraId="341BEE89" w14:textId="77777777" w:rsidR="005A481C" w:rsidRPr="00990396" w:rsidRDefault="005A481C" w:rsidP="00004062">
            <w:pPr>
              <w:spacing w:line="240" w:lineRule="auto"/>
              <w:jc w:val="both"/>
              <w:rPr>
                <w:b/>
                <w:bCs/>
                <w:sz w:val="16"/>
                <w:szCs w:val="16"/>
              </w:rPr>
            </w:pPr>
            <w:r w:rsidRPr="00990396">
              <w:rPr>
                <w:b/>
                <w:bCs/>
                <w:sz w:val="16"/>
                <w:szCs w:val="16"/>
              </w:rPr>
              <w:t>Risk Category</w:t>
            </w:r>
          </w:p>
        </w:tc>
        <w:tc>
          <w:tcPr>
            <w:tcW w:w="0" w:type="auto"/>
            <w:hideMark/>
          </w:tcPr>
          <w:p w14:paraId="2E9ABBF6" w14:textId="77777777" w:rsidR="005A481C" w:rsidRPr="00990396" w:rsidRDefault="005A481C" w:rsidP="00004062">
            <w:pPr>
              <w:spacing w:line="240" w:lineRule="auto"/>
              <w:jc w:val="both"/>
              <w:rPr>
                <w:b/>
                <w:bCs/>
                <w:sz w:val="16"/>
                <w:szCs w:val="16"/>
              </w:rPr>
            </w:pPr>
            <w:r w:rsidRPr="00990396">
              <w:rPr>
                <w:b/>
                <w:bCs/>
                <w:sz w:val="16"/>
                <w:szCs w:val="16"/>
              </w:rPr>
              <w:t>Country/Context</w:t>
            </w:r>
          </w:p>
        </w:tc>
        <w:tc>
          <w:tcPr>
            <w:tcW w:w="0" w:type="auto"/>
            <w:hideMark/>
          </w:tcPr>
          <w:p w14:paraId="01299D12" w14:textId="77777777" w:rsidR="005A481C" w:rsidRPr="00990396" w:rsidRDefault="005A481C" w:rsidP="00004062">
            <w:pPr>
              <w:spacing w:line="240" w:lineRule="auto"/>
              <w:jc w:val="both"/>
              <w:rPr>
                <w:b/>
                <w:bCs/>
                <w:sz w:val="16"/>
                <w:szCs w:val="16"/>
              </w:rPr>
            </w:pPr>
            <w:r w:rsidRPr="00990396">
              <w:rPr>
                <w:b/>
                <w:bCs/>
                <w:sz w:val="16"/>
                <w:szCs w:val="16"/>
              </w:rPr>
              <w:t>Sample/Data</w:t>
            </w:r>
          </w:p>
        </w:tc>
        <w:tc>
          <w:tcPr>
            <w:tcW w:w="0" w:type="auto"/>
            <w:hideMark/>
          </w:tcPr>
          <w:p w14:paraId="347B60B4" w14:textId="77777777" w:rsidR="005A481C" w:rsidRPr="00990396" w:rsidRDefault="005A481C" w:rsidP="00004062">
            <w:pPr>
              <w:spacing w:line="240" w:lineRule="auto"/>
              <w:jc w:val="both"/>
              <w:rPr>
                <w:b/>
                <w:bCs/>
                <w:sz w:val="16"/>
                <w:szCs w:val="16"/>
              </w:rPr>
            </w:pPr>
            <w:r w:rsidRPr="00990396">
              <w:rPr>
                <w:b/>
                <w:bCs/>
                <w:sz w:val="16"/>
                <w:szCs w:val="16"/>
              </w:rPr>
              <w:t>Method/Data Analysis</w:t>
            </w:r>
          </w:p>
        </w:tc>
        <w:tc>
          <w:tcPr>
            <w:tcW w:w="0" w:type="auto"/>
            <w:hideMark/>
          </w:tcPr>
          <w:p w14:paraId="7C39B6D3" w14:textId="77777777" w:rsidR="005A481C" w:rsidRPr="00990396" w:rsidRDefault="005A481C" w:rsidP="00004062">
            <w:pPr>
              <w:spacing w:line="240" w:lineRule="auto"/>
              <w:jc w:val="both"/>
              <w:rPr>
                <w:b/>
                <w:bCs/>
                <w:sz w:val="16"/>
                <w:szCs w:val="16"/>
              </w:rPr>
            </w:pPr>
            <w:r w:rsidRPr="00990396">
              <w:rPr>
                <w:b/>
                <w:bCs/>
                <w:sz w:val="16"/>
                <w:szCs w:val="16"/>
              </w:rPr>
              <w:t>Risk Management Focus</w:t>
            </w:r>
          </w:p>
        </w:tc>
        <w:tc>
          <w:tcPr>
            <w:tcW w:w="0" w:type="auto"/>
            <w:hideMark/>
          </w:tcPr>
          <w:p w14:paraId="4D27B566" w14:textId="77777777" w:rsidR="005A481C" w:rsidRPr="00990396" w:rsidRDefault="005A481C" w:rsidP="00004062">
            <w:pPr>
              <w:spacing w:line="240" w:lineRule="auto"/>
              <w:jc w:val="both"/>
              <w:rPr>
                <w:b/>
                <w:bCs/>
                <w:sz w:val="16"/>
                <w:szCs w:val="16"/>
              </w:rPr>
            </w:pPr>
            <w:r w:rsidRPr="00990396">
              <w:rPr>
                <w:b/>
                <w:bCs/>
                <w:sz w:val="16"/>
                <w:szCs w:val="16"/>
              </w:rPr>
              <w:t>Performance Measure/Outcome</w:t>
            </w:r>
          </w:p>
        </w:tc>
        <w:tc>
          <w:tcPr>
            <w:tcW w:w="0" w:type="auto"/>
            <w:hideMark/>
          </w:tcPr>
          <w:p w14:paraId="0766EC24" w14:textId="77777777" w:rsidR="005A481C" w:rsidRPr="00990396" w:rsidRDefault="005A481C" w:rsidP="00004062">
            <w:pPr>
              <w:spacing w:line="240" w:lineRule="auto"/>
              <w:jc w:val="both"/>
              <w:rPr>
                <w:b/>
                <w:bCs/>
                <w:sz w:val="16"/>
                <w:szCs w:val="16"/>
              </w:rPr>
            </w:pPr>
            <w:r w:rsidRPr="00990396">
              <w:rPr>
                <w:b/>
                <w:bCs/>
                <w:sz w:val="16"/>
                <w:szCs w:val="16"/>
              </w:rPr>
              <w:t>Main Finding</w:t>
            </w:r>
          </w:p>
        </w:tc>
        <w:tc>
          <w:tcPr>
            <w:tcW w:w="0" w:type="auto"/>
            <w:hideMark/>
          </w:tcPr>
          <w:p w14:paraId="127DCBA4" w14:textId="77777777" w:rsidR="005A481C" w:rsidRPr="00990396" w:rsidRDefault="005A481C" w:rsidP="00004062">
            <w:pPr>
              <w:spacing w:line="240" w:lineRule="auto"/>
              <w:jc w:val="both"/>
              <w:rPr>
                <w:b/>
                <w:bCs/>
                <w:sz w:val="16"/>
                <w:szCs w:val="16"/>
              </w:rPr>
            </w:pPr>
            <w:r w:rsidRPr="00990396">
              <w:rPr>
                <w:b/>
                <w:bCs/>
                <w:sz w:val="16"/>
                <w:szCs w:val="16"/>
              </w:rPr>
              <w:t>Key Limitation</w:t>
            </w:r>
          </w:p>
        </w:tc>
        <w:tc>
          <w:tcPr>
            <w:tcW w:w="0" w:type="auto"/>
            <w:hideMark/>
          </w:tcPr>
          <w:p w14:paraId="7EFA0CA5" w14:textId="77777777" w:rsidR="005A481C" w:rsidRPr="00990396" w:rsidRDefault="005A481C" w:rsidP="00004062">
            <w:pPr>
              <w:spacing w:line="240" w:lineRule="auto"/>
              <w:jc w:val="both"/>
              <w:rPr>
                <w:b/>
                <w:bCs/>
                <w:sz w:val="16"/>
                <w:szCs w:val="16"/>
              </w:rPr>
            </w:pPr>
            <w:r w:rsidRPr="00990396">
              <w:rPr>
                <w:b/>
                <w:bCs/>
                <w:sz w:val="16"/>
                <w:szCs w:val="16"/>
              </w:rPr>
              <w:t>Relevance to UK SMEs</w:t>
            </w:r>
          </w:p>
        </w:tc>
      </w:tr>
      <w:tr w:rsidR="005A481C" w:rsidRPr="00990396" w14:paraId="179FCAAA" w14:textId="77777777" w:rsidTr="005A481C">
        <w:tc>
          <w:tcPr>
            <w:tcW w:w="0" w:type="auto"/>
            <w:hideMark/>
          </w:tcPr>
          <w:p w14:paraId="51420A65" w14:textId="77777777" w:rsidR="005A481C" w:rsidRPr="00990396" w:rsidRDefault="005A481C" w:rsidP="00004062">
            <w:pPr>
              <w:spacing w:line="240" w:lineRule="auto"/>
              <w:jc w:val="both"/>
              <w:rPr>
                <w:sz w:val="16"/>
                <w:szCs w:val="16"/>
              </w:rPr>
            </w:pPr>
            <w:r w:rsidRPr="00990396">
              <w:rPr>
                <w:sz w:val="16"/>
                <w:szCs w:val="16"/>
              </w:rPr>
              <w:t>Youssef et al. (2023)</w:t>
            </w:r>
          </w:p>
        </w:tc>
        <w:tc>
          <w:tcPr>
            <w:tcW w:w="0" w:type="auto"/>
            <w:hideMark/>
          </w:tcPr>
          <w:p w14:paraId="6D959B75" w14:textId="77777777" w:rsidR="005A481C" w:rsidRPr="00990396" w:rsidRDefault="005A481C" w:rsidP="00004062">
            <w:pPr>
              <w:spacing w:line="240" w:lineRule="auto"/>
              <w:jc w:val="both"/>
              <w:rPr>
                <w:sz w:val="16"/>
                <w:szCs w:val="16"/>
              </w:rPr>
            </w:pPr>
            <w:r w:rsidRPr="00990396">
              <w:rPr>
                <w:sz w:val="16"/>
                <w:szCs w:val="16"/>
              </w:rPr>
              <w:t>Liquidity</w:t>
            </w:r>
          </w:p>
        </w:tc>
        <w:tc>
          <w:tcPr>
            <w:tcW w:w="0" w:type="auto"/>
            <w:hideMark/>
          </w:tcPr>
          <w:p w14:paraId="1F79BE62" w14:textId="77777777" w:rsidR="005A481C" w:rsidRPr="00990396" w:rsidRDefault="005A481C" w:rsidP="00004062">
            <w:pPr>
              <w:spacing w:line="240" w:lineRule="auto"/>
              <w:jc w:val="both"/>
              <w:rPr>
                <w:sz w:val="16"/>
                <w:szCs w:val="16"/>
              </w:rPr>
            </w:pPr>
            <w:r w:rsidRPr="00990396">
              <w:rPr>
                <w:sz w:val="16"/>
                <w:szCs w:val="16"/>
              </w:rPr>
              <w:t>UK</w:t>
            </w:r>
          </w:p>
        </w:tc>
        <w:tc>
          <w:tcPr>
            <w:tcW w:w="0" w:type="auto"/>
            <w:hideMark/>
          </w:tcPr>
          <w:p w14:paraId="1C897837" w14:textId="77777777" w:rsidR="005A481C" w:rsidRPr="00990396" w:rsidRDefault="005A481C" w:rsidP="00004062">
            <w:pPr>
              <w:spacing w:line="240" w:lineRule="auto"/>
              <w:jc w:val="both"/>
              <w:rPr>
                <w:sz w:val="16"/>
                <w:szCs w:val="16"/>
              </w:rPr>
            </w:pPr>
            <w:r w:rsidRPr="00990396">
              <w:rPr>
                <w:sz w:val="16"/>
                <w:szCs w:val="16"/>
              </w:rPr>
              <w:t>93 listed SMEs, 2012–2020</w:t>
            </w:r>
          </w:p>
        </w:tc>
        <w:tc>
          <w:tcPr>
            <w:tcW w:w="0" w:type="auto"/>
            <w:hideMark/>
          </w:tcPr>
          <w:p w14:paraId="60D59BD0" w14:textId="77777777" w:rsidR="005A481C" w:rsidRPr="00990396" w:rsidRDefault="005A481C" w:rsidP="00004062">
            <w:pPr>
              <w:spacing w:line="240" w:lineRule="auto"/>
              <w:jc w:val="both"/>
              <w:rPr>
                <w:sz w:val="16"/>
                <w:szCs w:val="16"/>
              </w:rPr>
            </w:pPr>
            <w:r w:rsidRPr="00990396">
              <w:rPr>
                <w:sz w:val="16"/>
                <w:szCs w:val="16"/>
              </w:rPr>
              <w:t>Fixed effects, random effects and GMM</w:t>
            </w:r>
          </w:p>
        </w:tc>
        <w:tc>
          <w:tcPr>
            <w:tcW w:w="0" w:type="auto"/>
            <w:hideMark/>
          </w:tcPr>
          <w:p w14:paraId="7DC75F7D" w14:textId="77777777" w:rsidR="005A481C" w:rsidRPr="00990396" w:rsidRDefault="005A481C" w:rsidP="00004062">
            <w:pPr>
              <w:spacing w:line="240" w:lineRule="auto"/>
              <w:jc w:val="both"/>
              <w:rPr>
                <w:sz w:val="16"/>
                <w:szCs w:val="16"/>
              </w:rPr>
            </w:pPr>
            <w:r w:rsidRPr="00990396">
              <w:rPr>
                <w:sz w:val="16"/>
                <w:szCs w:val="16"/>
              </w:rPr>
              <w:t>Liquidity and financial characteristics</w:t>
            </w:r>
          </w:p>
        </w:tc>
        <w:tc>
          <w:tcPr>
            <w:tcW w:w="0" w:type="auto"/>
            <w:hideMark/>
          </w:tcPr>
          <w:p w14:paraId="64A731F3" w14:textId="77777777" w:rsidR="005A481C" w:rsidRPr="00990396" w:rsidRDefault="005A481C" w:rsidP="00004062">
            <w:pPr>
              <w:spacing w:line="240" w:lineRule="auto"/>
              <w:jc w:val="both"/>
              <w:rPr>
                <w:sz w:val="16"/>
                <w:szCs w:val="16"/>
              </w:rPr>
            </w:pPr>
            <w:r w:rsidRPr="00990396">
              <w:rPr>
                <w:sz w:val="16"/>
                <w:szCs w:val="16"/>
              </w:rPr>
              <w:t>ROA and ROE</w:t>
            </w:r>
          </w:p>
        </w:tc>
        <w:tc>
          <w:tcPr>
            <w:tcW w:w="0" w:type="auto"/>
            <w:hideMark/>
          </w:tcPr>
          <w:p w14:paraId="7D3414B6" w14:textId="77777777" w:rsidR="005A481C" w:rsidRPr="00990396" w:rsidRDefault="005A481C" w:rsidP="00004062">
            <w:pPr>
              <w:spacing w:line="240" w:lineRule="auto"/>
              <w:jc w:val="both"/>
              <w:rPr>
                <w:sz w:val="16"/>
                <w:szCs w:val="16"/>
              </w:rPr>
            </w:pPr>
            <w:r w:rsidRPr="00990396">
              <w:rPr>
                <w:sz w:val="16"/>
                <w:szCs w:val="16"/>
              </w:rPr>
              <w:t>Liquidity was not significantly related to ROA or ROE</w:t>
            </w:r>
          </w:p>
        </w:tc>
        <w:tc>
          <w:tcPr>
            <w:tcW w:w="0" w:type="auto"/>
            <w:hideMark/>
          </w:tcPr>
          <w:p w14:paraId="520B775D" w14:textId="77777777" w:rsidR="005A481C" w:rsidRPr="00990396" w:rsidRDefault="005A481C" w:rsidP="00004062">
            <w:pPr>
              <w:spacing w:line="240" w:lineRule="auto"/>
              <w:jc w:val="both"/>
              <w:rPr>
                <w:sz w:val="16"/>
                <w:szCs w:val="16"/>
              </w:rPr>
            </w:pPr>
            <w:r w:rsidRPr="00990396">
              <w:rPr>
                <w:sz w:val="16"/>
                <w:szCs w:val="16"/>
              </w:rPr>
              <w:t>Small listed-SME sample excludes most private SMEs</w:t>
            </w:r>
          </w:p>
        </w:tc>
        <w:tc>
          <w:tcPr>
            <w:tcW w:w="0" w:type="auto"/>
            <w:hideMark/>
          </w:tcPr>
          <w:p w14:paraId="1CEEFE55" w14:textId="77777777" w:rsidR="005A481C" w:rsidRPr="00990396" w:rsidRDefault="005A481C" w:rsidP="00004062">
            <w:pPr>
              <w:spacing w:line="240" w:lineRule="auto"/>
              <w:jc w:val="both"/>
              <w:rPr>
                <w:sz w:val="16"/>
                <w:szCs w:val="16"/>
              </w:rPr>
            </w:pPr>
            <w:r w:rsidRPr="00990396">
              <w:rPr>
                <w:sz w:val="16"/>
                <w:szCs w:val="16"/>
              </w:rPr>
              <w:t>High; directly examines UK SMEs</w:t>
            </w:r>
          </w:p>
        </w:tc>
      </w:tr>
      <w:tr w:rsidR="005A481C" w:rsidRPr="00990396" w14:paraId="2486147C" w14:textId="77777777" w:rsidTr="005A481C">
        <w:tc>
          <w:tcPr>
            <w:tcW w:w="0" w:type="auto"/>
            <w:hideMark/>
          </w:tcPr>
          <w:p w14:paraId="682E8FAE" w14:textId="77777777" w:rsidR="005A481C" w:rsidRPr="00990396" w:rsidRDefault="005A481C" w:rsidP="00004062">
            <w:pPr>
              <w:spacing w:line="240" w:lineRule="auto"/>
              <w:jc w:val="both"/>
              <w:rPr>
                <w:sz w:val="16"/>
                <w:szCs w:val="16"/>
              </w:rPr>
            </w:pPr>
            <w:proofErr w:type="spellStart"/>
            <w:r w:rsidRPr="00990396">
              <w:rPr>
                <w:sz w:val="16"/>
                <w:szCs w:val="16"/>
              </w:rPr>
              <w:t>Belghitar</w:t>
            </w:r>
            <w:proofErr w:type="spellEnd"/>
            <w:r w:rsidRPr="00990396">
              <w:rPr>
                <w:sz w:val="16"/>
                <w:szCs w:val="16"/>
              </w:rPr>
              <w:t xml:space="preserve"> et al. (2022)</w:t>
            </w:r>
          </w:p>
        </w:tc>
        <w:tc>
          <w:tcPr>
            <w:tcW w:w="0" w:type="auto"/>
            <w:hideMark/>
          </w:tcPr>
          <w:p w14:paraId="5D4B01B1" w14:textId="77777777" w:rsidR="005A481C" w:rsidRPr="00990396" w:rsidRDefault="005A481C" w:rsidP="00004062">
            <w:pPr>
              <w:spacing w:line="240" w:lineRule="auto"/>
              <w:jc w:val="both"/>
              <w:rPr>
                <w:sz w:val="16"/>
                <w:szCs w:val="16"/>
              </w:rPr>
            </w:pPr>
            <w:r w:rsidRPr="00990396">
              <w:rPr>
                <w:sz w:val="16"/>
                <w:szCs w:val="16"/>
              </w:rPr>
              <w:t>Liquidity</w:t>
            </w:r>
          </w:p>
        </w:tc>
        <w:tc>
          <w:tcPr>
            <w:tcW w:w="0" w:type="auto"/>
            <w:hideMark/>
          </w:tcPr>
          <w:p w14:paraId="218CCA54" w14:textId="77777777" w:rsidR="005A481C" w:rsidRPr="00990396" w:rsidRDefault="005A481C" w:rsidP="00004062">
            <w:pPr>
              <w:spacing w:line="240" w:lineRule="auto"/>
              <w:jc w:val="both"/>
              <w:rPr>
                <w:sz w:val="16"/>
                <w:szCs w:val="16"/>
              </w:rPr>
            </w:pPr>
            <w:r w:rsidRPr="00990396">
              <w:rPr>
                <w:sz w:val="16"/>
                <w:szCs w:val="16"/>
              </w:rPr>
              <w:t>UK</w:t>
            </w:r>
          </w:p>
        </w:tc>
        <w:tc>
          <w:tcPr>
            <w:tcW w:w="0" w:type="auto"/>
            <w:hideMark/>
          </w:tcPr>
          <w:p w14:paraId="313AC8FD" w14:textId="77777777" w:rsidR="005A481C" w:rsidRPr="00990396" w:rsidRDefault="005A481C" w:rsidP="00004062">
            <w:pPr>
              <w:spacing w:line="240" w:lineRule="auto"/>
              <w:jc w:val="both"/>
              <w:rPr>
                <w:sz w:val="16"/>
                <w:szCs w:val="16"/>
              </w:rPr>
            </w:pPr>
            <w:r w:rsidRPr="00990396">
              <w:rPr>
                <w:sz w:val="16"/>
                <w:szCs w:val="16"/>
              </w:rPr>
              <w:t>42,401 SMEs</w:t>
            </w:r>
          </w:p>
        </w:tc>
        <w:tc>
          <w:tcPr>
            <w:tcW w:w="0" w:type="auto"/>
            <w:hideMark/>
          </w:tcPr>
          <w:p w14:paraId="373D6EE6" w14:textId="77777777" w:rsidR="005A481C" w:rsidRPr="00990396" w:rsidRDefault="005A481C" w:rsidP="00004062">
            <w:pPr>
              <w:spacing w:line="240" w:lineRule="auto"/>
              <w:jc w:val="both"/>
              <w:rPr>
                <w:sz w:val="16"/>
                <w:szCs w:val="16"/>
              </w:rPr>
            </w:pPr>
            <w:r w:rsidRPr="00990396">
              <w:rPr>
                <w:sz w:val="16"/>
                <w:szCs w:val="16"/>
              </w:rPr>
              <w:t>Company accounts and policy simulations</w:t>
            </w:r>
          </w:p>
        </w:tc>
        <w:tc>
          <w:tcPr>
            <w:tcW w:w="0" w:type="auto"/>
            <w:hideMark/>
          </w:tcPr>
          <w:p w14:paraId="4AD430FD" w14:textId="77777777" w:rsidR="005A481C" w:rsidRPr="00990396" w:rsidRDefault="005A481C" w:rsidP="00004062">
            <w:pPr>
              <w:spacing w:line="240" w:lineRule="auto"/>
              <w:jc w:val="both"/>
              <w:rPr>
                <w:sz w:val="16"/>
                <w:szCs w:val="16"/>
              </w:rPr>
            </w:pPr>
            <w:r w:rsidRPr="00990396">
              <w:rPr>
                <w:sz w:val="16"/>
                <w:szCs w:val="16"/>
              </w:rPr>
              <w:t>Liquidity pressure and financial support</w:t>
            </w:r>
          </w:p>
        </w:tc>
        <w:tc>
          <w:tcPr>
            <w:tcW w:w="0" w:type="auto"/>
            <w:hideMark/>
          </w:tcPr>
          <w:p w14:paraId="49684608" w14:textId="77777777" w:rsidR="005A481C" w:rsidRPr="00990396" w:rsidRDefault="005A481C" w:rsidP="00004062">
            <w:pPr>
              <w:spacing w:line="240" w:lineRule="auto"/>
              <w:jc w:val="both"/>
              <w:rPr>
                <w:sz w:val="16"/>
                <w:szCs w:val="16"/>
              </w:rPr>
            </w:pPr>
            <w:r w:rsidRPr="00990396">
              <w:rPr>
                <w:sz w:val="16"/>
                <w:szCs w:val="16"/>
              </w:rPr>
              <w:t>Survival horizon</w:t>
            </w:r>
          </w:p>
        </w:tc>
        <w:tc>
          <w:tcPr>
            <w:tcW w:w="0" w:type="auto"/>
            <w:hideMark/>
          </w:tcPr>
          <w:p w14:paraId="40537EDE" w14:textId="77777777" w:rsidR="005A481C" w:rsidRPr="00990396" w:rsidRDefault="005A481C" w:rsidP="00004062">
            <w:pPr>
              <w:spacing w:line="240" w:lineRule="auto"/>
              <w:jc w:val="both"/>
              <w:rPr>
                <w:sz w:val="16"/>
                <w:szCs w:val="16"/>
              </w:rPr>
            </w:pPr>
            <w:r w:rsidRPr="00990396">
              <w:rPr>
                <w:sz w:val="16"/>
                <w:szCs w:val="16"/>
              </w:rPr>
              <w:t>Financial support extended survival, particularly among financially weaker SMEs</w:t>
            </w:r>
          </w:p>
        </w:tc>
        <w:tc>
          <w:tcPr>
            <w:tcW w:w="0" w:type="auto"/>
            <w:hideMark/>
          </w:tcPr>
          <w:p w14:paraId="5E36DBF2" w14:textId="77777777" w:rsidR="005A481C" w:rsidRPr="00990396" w:rsidRDefault="005A481C" w:rsidP="00004062">
            <w:pPr>
              <w:spacing w:line="240" w:lineRule="auto"/>
              <w:jc w:val="both"/>
              <w:rPr>
                <w:sz w:val="16"/>
                <w:szCs w:val="16"/>
              </w:rPr>
            </w:pPr>
            <w:r w:rsidRPr="00990396">
              <w:rPr>
                <w:sz w:val="16"/>
                <w:szCs w:val="16"/>
              </w:rPr>
              <w:t>Outcomes partly based on simulations and assumptions</w:t>
            </w:r>
          </w:p>
        </w:tc>
        <w:tc>
          <w:tcPr>
            <w:tcW w:w="0" w:type="auto"/>
            <w:hideMark/>
          </w:tcPr>
          <w:p w14:paraId="79A0AFD2" w14:textId="77777777" w:rsidR="005A481C" w:rsidRPr="00990396" w:rsidRDefault="005A481C" w:rsidP="00004062">
            <w:pPr>
              <w:spacing w:line="240" w:lineRule="auto"/>
              <w:jc w:val="both"/>
              <w:rPr>
                <w:sz w:val="16"/>
                <w:szCs w:val="16"/>
              </w:rPr>
            </w:pPr>
            <w:r w:rsidRPr="00990396">
              <w:rPr>
                <w:sz w:val="16"/>
                <w:szCs w:val="16"/>
              </w:rPr>
              <w:t>High; large UK SME sample</w:t>
            </w:r>
          </w:p>
        </w:tc>
      </w:tr>
      <w:tr w:rsidR="005A481C" w:rsidRPr="00990396" w14:paraId="6A23F9D1" w14:textId="77777777" w:rsidTr="005A481C">
        <w:tc>
          <w:tcPr>
            <w:tcW w:w="0" w:type="auto"/>
            <w:hideMark/>
          </w:tcPr>
          <w:p w14:paraId="46CCA300" w14:textId="77777777" w:rsidR="005A481C" w:rsidRPr="00990396" w:rsidRDefault="005A481C" w:rsidP="00004062">
            <w:pPr>
              <w:spacing w:line="240" w:lineRule="auto"/>
              <w:jc w:val="both"/>
              <w:rPr>
                <w:sz w:val="16"/>
                <w:szCs w:val="16"/>
              </w:rPr>
            </w:pPr>
            <w:r w:rsidRPr="00990396">
              <w:rPr>
                <w:sz w:val="16"/>
                <w:szCs w:val="16"/>
              </w:rPr>
              <w:t>Laghari et al. (2023)</w:t>
            </w:r>
          </w:p>
        </w:tc>
        <w:tc>
          <w:tcPr>
            <w:tcW w:w="0" w:type="auto"/>
            <w:hideMark/>
          </w:tcPr>
          <w:p w14:paraId="33961B8E" w14:textId="77777777" w:rsidR="005A481C" w:rsidRPr="00990396" w:rsidRDefault="005A481C" w:rsidP="00004062">
            <w:pPr>
              <w:spacing w:line="240" w:lineRule="auto"/>
              <w:jc w:val="both"/>
              <w:rPr>
                <w:sz w:val="16"/>
                <w:szCs w:val="16"/>
              </w:rPr>
            </w:pPr>
            <w:r w:rsidRPr="00990396">
              <w:rPr>
                <w:sz w:val="16"/>
                <w:szCs w:val="16"/>
              </w:rPr>
              <w:t>Liquidity</w:t>
            </w:r>
          </w:p>
        </w:tc>
        <w:tc>
          <w:tcPr>
            <w:tcW w:w="0" w:type="auto"/>
            <w:hideMark/>
          </w:tcPr>
          <w:p w14:paraId="20ABE749" w14:textId="77777777" w:rsidR="005A481C" w:rsidRPr="00990396" w:rsidRDefault="005A481C" w:rsidP="00004062">
            <w:pPr>
              <w:spacing w:line="240" w:lineRule="auto"/>
              <w:jc w:val="both"/>
              <w:rPr>
                <w:sz w:val="16"/>
                <w:szCs w:val="16"/>
              </w:rPr>
            </w:pPr>
            <w:r w:rsidRPr="00990396">
              <w:rPr>
                <w:sz w:val="16"/>
                <w:szCs w:val="16"/>
              </w:rPr>
              <w:t>China</w:t>
            </w:r>
          </w:p>
        </w:tc>
        <w:tc>
          <w:tcPr>
            <w:tcW w:w="0" w:type="auto"/>
            <w:hideMark/>
          </w:tcPr>
          <w:p w14:paraId="7DD4A70B" w14:textId="77777777" w:rsidR="005A481C" w:rsidRPr="00990396" w:rsidRDefault="005A481C" w:rsidP="00004062">
            <w:pPr>
              <w:spacing w:line="240" w:lineRule="auto"/>
              <w:jc w:val="both"/>
              <w:rPr>
                <w:sz w:val="16"/>
                <w:szCs w:val="16"/>
              </w:rPr>
            </w:pPr>
            <w:r w:rsidRPr="00990396">
              <w:rPr>
                <w:sz w:val="16"/>
                <w:szCs w:val="16"/>
              </w:rPr>
              <w:t>20,288 quarterly observations</w:t>
            </w:r>
          </w:p>
        </w:tc>
        <w:tc>
          <w:tcPr>
            <w:tcW w:w="0" w:type="auto"/>
            <w:hideMark/>
          </w:tcPr>
          <w:p w14:paraId="621954CB" w14:textId="77777777" w:rsidR="005A481C" w:rsidRPr="00990396" w:rsidRDefault="005A481C" w:rsidP="00004062">
            <w:pPr>
              <w:spacing w:line="240" w:lineRule="auto"/>
              <w:jc w:val="both"/>
              <w:rPr>
                <w:sz w:val="16"/>
                <w:szCs w:val="16"/>
              </w:rPr>
            </w:pPr>
            <w:r w:rsidRPr="00990396">
              <w:rPr>
                <w:sz w:val="16"/>
                <w:szCs w:val="16"/>
              </w:rPr>
              <w:t>GEE, system GMM and robustness tests</w:t>
            </w:r>
          </w:p>
        </w:tc>
        <w:tc>
          <w:tcPr>
            <w:tcW w:w="0" w:type="auto"/>
            <w:hideMark/>
          </w:tcPr>
          <w:p w14:paraId="00D6DD12" w14:textId="77777777" w:rsidR="005A481C" w:rsidRPr="00990396" w:rsidRDefault="005A481C" w:rsidP="00004062">
            <w:pPr>
              <w:spacing w:line="240" w:lineRule="auto"/>
              <w:jc w:val="both"/>
              <w:rPr>
                <w:sz w:val="16"/>
                <w:szCs w:val="16"/>
              </w:rPr>
            </w:pPr>
            <w:r w:rsidRPr="00990396">
              <w:rPr>
                <w:sz w:val="16"/>
                <w:szCs w:val="16"/>
              </w:rPr>
              <w:t>Cash-flow and cash-conversion management</w:t>
            </w:r>
          </w:p>
        </w:tc>
        <w:tc>
          <w:tcPr>
            <w:tcW w:w="0" w:type="auto"/>
            <w:hideMark/>
          </w:tcPr>
          <w:p w14:paraId="4DEBAF8A" w14:textId="77777777" w:rsidR="005A481C" w:rsidRPr="00990396" w:rsidRDefault="005A481C" w:rsidP="00004062">
            <w:pPr>
              <w:spacing w:line="240" w:lineRule="auto"/>
              <w:jc w:val="both"/>
              <w:rPr>
                <w:sz w:val="16"/>
                <w:szCs w:val="16"/>
              </w:rPr>
            </w:pPr>
            <w:r w:rsidRPr="00990396">
              <w:rPr>
                <w:sz w:val="16"/>
                <w:szCs w:val="16"/>
              </w:rPr>
              <w:t>Tobin’s Q</w:t>
            </w:r>
          </w:p>
        </w:tc>
        <w:tc>
          <w:tcPr>
            <w:tcW w:w="0" w:type="auto"/>
            <w:hideMark/>
          </w:tcPr>
          <w:p w14:paraId="65BA1D38" w14:textId="77777777" w:rsidR="005A481C" w:rsidRPr="00990396" w:rsidRDefault="005A481C" w:rsidP="00004062">
            <w:pPr>
              <w:spacing w:line="240" w:lineRule="auto"/>
              <w:jc w:val="both"/>
              <w:rPr>
                <w:sz w:val="16"/>
                <w:szCs w:val="16"/>
              </w:rPr>
            </w:pPr>
            <w:r w:rsidRPr="00990396">
              <w:rPr>
                <w:sz w:val="16"/>
                <w:szCs w:val="16"/>
              </w:rPr>
              <w:t>Shorter cash-conversion components improved firm value</w:t>
            </w:r>
          </w:p>
        </w:tc>
        <w:tc>
          <w:tcPr>
            <w:tcW w:w="0" w:type="auto"/>
            <w:hideMark/>
          </w:tcPr>
          <w:p w14:paraId="2FFFDBB7" w14:textId="77777777" w:rsidR="005A481C" w:rsidRPr="00990396" w:rsidRDefault="005A481C" w:rsidP="00004062">
            <w:pPr>
              <w:spacing w:line="240" w:lineRule="auto"/>
              <w:jc w:val="both"/>
              <w:rPr>
                <w:sz w:val="16"/>
                <w:szCs w:val="16"/>
              </w:rPr>
            </w:pPr>
            <w:r w:rsidRPr="00990396">
              <w:rPr>
                <w:sz w:val="16"/>
                <w:szCs w:val="16"/>
              </w:rPr>
              <w:t>Chinese listed firms limit UK SME transferability</w:t>
            </w:r>
          </w:p>
        </w:tc>
        <w:tc>
          <w:tcPr>
            <w:tcW w:w="0" w:type="auto"/>
            <w:hideMark/>
          </w:tcPr>
          <w:p w14:paraId="059CC451" w14:textId="77777777" w:rsidR="005A481C" w:rsidRPr="00990396" w:rsidRDefault="005A481C" w:rsidP="00004062">
            <w:pPr>
              <w:spacing w:line="240" w:lineRule="auto"/>
              <w:jc w:val="both"/>
              <w:rPr>
                <w:sz w:val="16"/>
                <w:szCs w:val="16"/>
              </w:rPr>
            </w:pPr>
            <w:r w:rsidRPr="00990396">
              <w:rPr>
                <w:sz w:val="16"/>
                <w:szCs w:val="16"/>
              </w:rPr>
              <w:t>Moderate; relevant working-capital mechanism</w:t>
            </w:r>
          </w:p>
        </w:tc>
      </w:tr>
      <w:tr w:rsidR="005A481C" w:rsidRPr="00990396" w14:paraId="087808A4" w14:textId="77777777" w:rsidTr="005A481C">
        <w:tc>
          <w:tcPr>
            <w:tcW w:w="0" w:type="auto"/>
            <w:hideMark/>
          </w:tcPr>
          <w:p w14:paraId="0133AF15" w14:textId="77777777" w:rsidR="005A481C" w:rsidRPr="00990396" w:rsidRDefault="005A481C" w:rsidP="00004062">
            <w:pPr>
              <w:spacing w:line="240" w:lineRule="auto"/>
              <w:jc w:val="both"/>
              <w:rPr>
                <w:sz w:val="16"/>
                <w:szCs w:val="16"/>
              </w:rPr>
            </w:pPr>
            <w:r w:rsidRPr="00990396">
              <w:rPr>
                <w:sz w:val="16"/>
                <w:szCs w:val="16"/>
              </w:rPr>
              <w:t>Hung and Dinh (2022)</w:t>
            </w:r>
          </w:p>
        </w:tc>
        <w:tc>
          <w:tcPr>
            <w:tcW w:w="0" w:type="auto"/>
            <w:hideMark/>
          </w:tcPr>
          <w:p w14:paraId="36D0582D" w14:textId="77777777" w:rsidR="005A481C" w:rsidRPr="00990396" w:rsidRDefault="005A481C" w:rsidP="00004062">
            <w:pPr>
              <w:spacing w:line="240" w:lineRule="auto"/>
              <w:jc w:val="both"/>
              <w:rPr>
                <w:sz w:val="16"/>
                <w:szCs w:val="16"/>
              </w:rPr>
            </w:pPr>
            <w:r w:rsidRPr="00990396">
              <w:rPr>
                <w:sz w:val="16"/>
                <w:szCs w:val="16"/>
              </w:rPr>
              <w:t>Liquidity</w:t>
            </w:r>
          </w:p>
        </w:tc>
        <w:tc>
          <w:tcPr>
            <w:tcW w:w="0" w:type="auto"/>
            <w:hideMark/>
          </w:tcPr>
          <w:p w14:paraId="71D37BE1" w14:textId="77777777" w:rsidR="005A481C" w:rsidRPr="00990396" w:rsidRDefault="005A481C" w:rsidP="00004062">
            <w:pPr>
              <w:spacing w:line="240" w:lineRule="auto"/>
              <w:jc w:val="both"/>
              <w:rPr>
                <w:sz w:val="16"/>
                <w:szCs w:val="16"/>
              </w:rPr>
            </w:pPr>
            <w:r w:rsidRPr="00990396">
              <w:rPr>
                <w:sz w:val="16"/>
                <w:szCs w:val="16"/>
              </w:rPr>
              <w:t>Vietnam</w:t>
            </w:r>
          </w:p>
        </w:tc>
        <w:tc>
          <w:tcPr>
            <w:tcW w:w="0" w:type="auto"/>
            <w:hideMark/>
          </w:tcPr>
          <w:p w14:paraId="5944619F" w14:textId="77777777" w:rsidR="005A481C" w:rsidRPr="00990396" w:rsidRDefault="005A481C" w:rsidP="00004062">
            <w:pPr>
              <w:spacing w:line="240" w:lineRule="auto"/>
              <w:jc w:val="both"/>
              <w:rPr>
                <w:sz w:val="16"/>
                <w:szCs w:val="16"/>
              </w:rPr>
            </w:pPr>
            <w:r w:rsidRPr="00990396">
              <w:rPr>
                <w:sz w:val="16"/>
                <w:szCs w:val="16"/>
              </w:rPr>
              <w:t>4,455 observations from 405 listed firms</w:t>
            </w:r>
          </w:p>
        </w:tc>
        <w:tc>
          <w:tcPr>
            <w:tcW w:w="0" w:type="auto"/>
            <w:hideMark/>
          </w:tcPr>
          <w:p w14:paraId="2F61E668" w14:textId="77777777" w:rsidR="005A481C" w:rsidRPr="00990396" w:rsidRDefault="005A481C" w:rsidP="00004062">
            <w:pPr>
              <w:spacing w:line="240" w:lineRule="auto"/>
              <w:jc w:val="both"/>
              <w:rPr>
                <w:sz w:val="16"/>
                <w:szCs w:val="16"/>
              </w:rPr>
            </w:pPr>
            <w:r w:rsidRPr="00990396">
              <w:rPr>
                <w:sz w:val="16"/>
                <w:szCs w:val="16"/>
              </w:rPr>
              <w:t>Fixed-effects threshold model</w:t>
            </w:r>
          </w:p>
        </w:tc>
        <w:tc>
          <w:tcPr>
            <w:tcW w:w="0" w:type="auto"/>
            <w:hideMark/>
          </w:tcPr>
          <w:p w14:paraId="59D0EEDC" w14:textId="77777777" w:rsidR="005A481C" w:rsidRPr="00990396" w:rsidRDefault="005A481C" w:rsidP="00004062">
            <w:pPr>
              <w:spacing w:line="240" w:lineRule="auto"/>
              <w:jc w:val="both"/>
              <w:rPr>
                <w:sz w:val="16"/>
                <w:szCs w:val="16"/>
              </w:rPr>
            </w:pPr>
            <w:r w:rsidRPr="00990396">
              <w:rPr>
                <w:sz w:val="16"/>
                <w:szCs w:val="16"/>
              </w:rPr>
              <w:t>Working capital and leverage</w:t>
            </w:r>
          </w:p>
        </w:tc>
        <w:tc>
          <w:tcPr>
            <w:tcW w:w="0" w:type="auto"/>
            <w:hideMark/>
          </w:tcPr>
          <w:p w14:paraId="3F6847E9" w14:textId="77777777" w:rsidR="005A481C" w:rsidRPr="00990396" w:rsidRDefault="005A481C" w:rsidP="00004062">
            <w:pPr>
              <w:spacing w:line="240" w:lineRule="auto"/>
              <w:jc w:val="both"/>
              <w:rPr>
                <w:sz w:val="16"/>
                <w:szCs w:val="16"/>
              </w:rPr>
            </w:pPr>
            <w:r w:rsidRPr="00990396">
              <w:rPr>
                <w:sz w:val="16"/>
                <w:szCs w:val="16"/>
              </w:rPr>
              <w:t>Profitability</w:t>
            </w:r>
          </w:p>
        </w:tc>
        <w:tc>
          <w:tcPr>
            <w:tcW w:w="0" w:type="auto"/>
            <w:hideMark/>
          </w:tcPr>
          <w:p w14:paraId="1E9B9541" w14:textId="77777777" w:rsidR="005A481C" w:rsidRPr="00990396" w:rsidRDefault="005A481C" w:rsidP="00004062">
            <w:pPr>
              <w:spacing w:line="240" w:lineRule="auto"/>
              <w:jc w:val="both"/>
              <w:rPr>
                <w:sz w:val="16"/>
                <w:szCs w:val="16"/>
              </w:rPr>
            </w:pPr>
            <w:r w:rsidRPr="00990396">
              <w:rPr>
                <w:sz w:val="16"/>
                <w:szCs w:val="16"/>
              </w:rPr>
              <w:t>Working-capital effects became nonlinear beyond leverage thresholds</w:t>
            </w:r>
          </w:p>
        </w:tc>
        <w:tc>
          <w:tcPr>
            <w:tcW w:w="0" w:type="auto"/>
            <w:hideMark/>
          </w:tcPr>
          <w:p w14:paraId="51B9AFC3" w14:textId="77777777" w:rsidR="005A481C" w:rsidRPr="00990396" w:rsidRDefault="005A481C" w:rsidP="00004062">
            <w:pPr>
              <w:spacing w:line="240" w:lineRule="auto"/>
              <w:jc w:val="both"/>
              <w:rPr>
                <w:sz w:val="16"/>
                <w:szCs w:val="16"/>
              </w:rPr>
            </w:pPr>
            <w:r w:rsidRPr="00990396">
              <w:rPr>
                <w:sz w:val="16"/>
                <w:szCs w:val="16"/>
              </w:rPr>
              <w:t>Emerging-market listed firms may differ from UK SMEs</w:t>
            </w:r>
          </w:p>
        </w:tc>
        <w:tc>
          <w:tcPr>
            <w:tcW w:w="0" w:type="auto"/>
            <w:hideMark/>
          </w:tcPr>
          <w:p w14:paraId="5B989AD0" w14:textId="77777777" w:rsidR="005A481C" w:rsidRPr="00990396" w:rsidRDefault="005A481C" w:rsidP="00004062">
            <w:pPr>
              <w:spacing w:line="240" w:lineRule="auto"/>
              <w:jc w:val="both"/>
              <w:rPr>
                <w:sz w:val="16"/>
                <w:szCs w:val="16"/>
              </w:rPr>
            </w:pPr>
            <w:r w:rsidRPr="00990396">
              <w:rPr>
                <w:sz w:val="16"/>
                <w:szCs w:val="16"/>
              </w:rPr>
              <w:t>Moderate; demonstrates conditional liquidity effects</w:t>
            </w:r>
          </w:p>
        </w:tc>
      </w:tr>
      <w:tr w:rsidR="005A481C" w:rsidRPr="00990396" w14:paraId="2DECBF51" w14:textId="77777777" w:rsidTr="005A481C">
        <w:tc>
          <w:tcPr>
            <w:tcW w:w="0" w:type="auto"/>
            <w:hideMark/>
          </w:tcPr>
          <w:p w14:paraId="7FF01E57" w14:textId="77777777" w:rsidR="005A481C" w:rsidRPr="00990396" w:rsidRDefault="005A481C" w:rsidP="00004062">
            <w:pPr>
              <w:spacing w:line="240" w:lineRule="auto"/>
              <w:jc w:val="both"/>
              <w:rPr>
                <w:sz w:val="16"/>
                <w:szCs w:val="16"/>
              </w:rPr>
            </w:pPr>
            <w:r w:rsidRPr="00990396">
              <w:rPr>
                <w:sz w:val="16"/>
                <w:szCs w:val="16"/>
              </w:rPr>
              <w:t xml:space="preserve">Anton and </w:t>
            </w:r>
            <w:proofErr w:type="spellStart"/>
            <w:r w:rsidRPr="00990396">
              <w:rPr>
                <w:sz w:val="16"/>
                <w:szCs w:val="16"/>
              </w:rPr>
              <w:t>Afloarei</w:t>
            </w:r>
            <w:proofErr w:type="spellEnd"/>
            <w:r w:rsidRPr="00990396">
              <w:rPr>
                <w:sz w:val="16"/>
                <w:szCs w:val="16"/>
              </w:rPr>
              <w:t xml:space="preserve"> </w:t>
            </w:r>
            <w:proofErr w:type="spellStart"/>
            <w:r w:rsidRPr="00990396">
              <w:rPr>
                <w:sz w:val="16"/>
                <w:szCs w:val="16"/>
              </w:rPr>
              <w:t>Nucu</w:t>
            </w:r>
            <w:proofErr w:type="spellEnd"/>
            <w:r w:rsidRPr="00990396">
              <w:rPr>
                <w:sz w:val="16"/>
                <w:szCs w:val="16"/>
              </w:rPr>
              <w:t xml:space="preserve"> (2021)</w:t>
            </w:r>
          </w:p>
        </w:tc>
        <w:tc>
          <w:tcPr>
            <w:tcW w:w="0" w:type="auto"/>
            <w:hideMark/>
          </w:tcPr>
          <w:p w14:paraId="39C8FA99" w14:textId="77777777" w:rsidR="005A481C" w:rsidRPr="00990396" w:rsidRDefault="005A481C" w:rsidP="00004062">
            <w:pPr>
              <w:spacing w:line="240" w:lineRule="auto"/>
              <w:jc w:val="both"/>
              <w:rPr>
                <w:sz w:val="16"/>
                <w:szCs w:val="16"/>
              </w:rPr>
            </w:pPr>
            <w:r w:rsidRPr="00990396">
              <w:rPr>
                <w:sz w:val="16"/>
                <w:szCs w:val="16"/>
              </w:rPr>
              <w:t>Liquidity</w:t>
            </w:r>
          </w:p>
        </w:tc>
        <w:tc>
          <w:tcPr>
            <w:tcW w:w="0" w:type="auto"/>
            <w:hideMark/>
          </w:tcPr>
          <w:p w14:paraId="6E429752" w14:textId="77777777" w:rsidR="005A481C" w:rsidRPr="00990396" w:rsidRDefault="005A481C" w:rsidP="00004062">
            <w:pPr>
              <w:spacing w:line="240" w:lineRule="auto"/>
              <w:jc w:val="both"/>
              <w:rPr>
                <w:sz w:val="16"/>
                <w:szCs w:val="16"/>
              </w:rPr>
            </w:pPr>
            <w:r w:rsidRPr="00990396">
              <w:rPr>
                <w:sz w:val="16"/>
                <w:szCs w:val="16"/>
              </w:rPr>
              <w:t>Poland</w:t>
            </w:r>
          </w:p>
        </w:tc>
        <w:tc>
          <w:tcPr>
            <w:tcW w:w="0" w:type="auto"/>
            <w:hideMark/>
          </w:tcPr>
          <w:p w14:paraId="0BB41988" w14:textId="77777777" w:rsidR="005A481C" w:rsidRPr="00990396" w:rsidRDefault="005A481C" w:rsidP="00004062">
            <w:pPr>
              <w:spacing w:line="240" w:lineRule="auto"/>
              <w:jc w:val="both"/>
              <w:rPr>
                <w:sz w:val="16"/>
                <w:szCs w:val="16"/>
              </w:rPr>
            </w:pPr>
            <w:r w:rsidRPr="00990396">
              <w:rPr>
                <w:sz w:val="16"/>
                <w:szCs w:val="16"/>
              </w:rPr>
              <w:t>719 listed firms, 2007–2016</w:t>
            </w:r>
          </w:p>
        </w:tc>
        <w:tc>
          <w:tcPr>
            <w:tcW w:w="0" w:type="auto"/>
            <w:hideMark/>
          </w:tcPr>
          <w:p w14:paraId="174429E3" w14:textId="77777777" w:rsidR="005A481C" w:rsidRPr="00990396" w:rsidRDefault="005A481C" w:rsidP="00004062">
            <w:pPr>
              <w:spacing w:line="240" w:lineRule="auto"/>
              <w:jc w:val="both"/>
              <w:rPr>
                <w:sz w:val="16"/>
                <w:szCs w:val="16"/>
              </w:rPr>
            </w:pPr>
            <w:r w:rsidRPr="00990396">
              <w:rPr>
                <w:sz w:val="16"/>
                <w:szCs w:val="16"/>
              </w:rPr>
              <w:t>Panel and nonlinear analysis</w:t>
            </w:r>
          </w:p>
        </w:tc>
        <w:tc>
          <w:tcPr>
            <w:tcW w:w="0" w:type="auto"/>
            <w:hideMark/>
          </w:tcPr>
          <w:p w14:paraId="2D0794C6" w14:textId="77777777" w:rsidR="005A481C" w:rsidRPr="00990396" w:rsidRDefault="005A481C" w:rsidP="00004062">
            <w:pPr>
              <w:spacing w:line="240" w:lineRule="auto"/>
              <w:jc w:val="both"/>
              <w:rPr>
                <w:sz w:val="16"/>
                <w:szCs w:val="16"/>
              </w:rPr>
            </w:pPr>
            <w:r w:rsidRPr="00990396">
              <w:rPr>
                <w:sz w:val="16"/>
                <w:szCs w:val="16"/>
              </w:rPr>
              <w:t>Working-capital management</w:t>
            </w:r>
          </w:p>
        </w:tc>
        <w:tc>
          <w:tcPr>
            <w:tcW w:w="0" w:type="auto"/>
            <w:hideMark/>
          </w:tcPr>
          <w:p w14:paraId="16E34952" w14:textId="77777777" w:rsidR="005A481C" w:rsidRPr="00990396" w:rsidRDefault="005A481C" w:rsidP="00004062">
            <w:pPr>
              <w:spacing w:line="240" w:lineRule="auto"/>
              <w:jc w:val="both"/>
              <w:rPr>
                <w:sz w:val="16"/>
                <w:szCs w:val="16"/>
              </w:rPr>
            </w:pPr>
            <w:r w:rsidRPr="00990396">
              <w:rPr>
                <w:sz w:val="16"/>
                <w:szCs w:val="16"/>
              </w:rPr>
              <w:t>Profitability</w:t>
            </w:r>
          </w:p>
        </w:tc>
        <w:tc>
          <w:tcPr>
            <w:tcW w:w="0" w:type="auto"/>
            <w:hideMark/>
          </w:tcPr>
          <w:p w14:paraId="28809D04" w14:textId="77777777" w:rsidR="005A481C" w:rsidRPr="00990396" w:rsidRDefault="005A481C" w:rsidP="00004062">
            <w:pPr>
              <w:spacing w:line="240" w:lineRule="auto"/>
              <w:jc w:val="both"/>
              <w:rPr>
                <w:sz w:val="16"/>
                <w:szCs w:val="16"/>
              </w:rPr>
            </w:pPr>
            <w:r w:rsidRPr="00990396">
              <w:rPr>
                <w:sz w:val="16"/>
                <w:szCs w:val="16"/>
              </w:rPr>
              <w:t>Inverted-U relationship between working capital and profitability</w:t>
            </w:r>
          </w:p>
        </w:tc>
        <w:tc>
          <w:tcPr>
            <w:tcW w:w="0" w:type="auto"/>
            <w:hideMark/>
          </w:tcPr>
          <w:p w14:paraId="69146E34" w14:textId="77777777" w:rsidR="005A481C" w:rsidRPr="00990396" w:rsidRDefault="005A481C" w:rsidP="00004062">
            <w:pPr>
              <w:spacing w:line="240" w:lineRule="auto"/>
              <w:jc w:val="both"/>
              <w:rPr>
                <w:sz w:val="16"/>
                <w:szCs w:val="16"/>
              </w:rPr>
            </w:pPr>
            <w:r w:rsidRPr="00990396">
              <w:rPr>
                <w:sz w:val="16"/>
                <w:szCs w:val="16"/>
              </w:rPr>
              <w:t>Older data and listed-company focus</w:t>
            </w:r>
          </w:p>
        </w:tc>
        <w:tc>
          <w:tcPr>
            <w:tcW w:w="0" w:type="auto"/>
            <w:hideMark/>
          </w:tcPr>
          <w:p w14:paraId="4FD4B33B" w14:textId="77777777" w:rsidR="005A481C" w:rsidRPr="00990396" w:rsidRDefault="005A481C" w:rsidP="00004062">
            <w:pPr>
              <w:spacing w:line="240" w:lineRule="auto"/>
              <w:jc w:val="both"/>
              <w:rPr>
                <w:sz w:val="16"/>
                <w:szCs w:val="16"/>
              </w:rPr>
            </w:pPr>
            <w:r w:rsidRPr="00990396">
              <w:rPr>
                <w:sz w:val="16"/>
                <w:szCs w:val="16"/>
              </w:rPr>
              <w:t>Moderate; supports optimal-liquidity argument</w:t>
            </w:r>
          </w:p>
        </w:tc>
      </w:tr>
      <w:tr w:rsidR="005A481C" w:rsidRPr="00990396" w14:paraId="68DF551D" w14:textId="77777777" w:rsidTr="005A481C">
        <w:tc>
          <w:tcPr>
            <w:tcW w:w="0" w:type="auto"/>
            <w:hideMark/>
          </w:tcPr>
          <w:p w14:paraId="6E745AF1" w14:textId="77777777" w:rsidR="005A481C" w:rsidRPr="00990396" w:rsidRDefault="005A481C" w:rsidP="00004062">
            <w:pPr>
              <w:spacing w:line="240" w:lineRule="auto"/>
              <w:jc w:val="both"/>
              <w:rPr>
                <w:sz w:val="16"/>
                <w:szCs w:val="16"/>
              </w:rPr>
            </w:pPr>
            <w:proofErr w:type="spellStart"/>
            <w:r w:rsidRPr="00990396">
              <w:rPr>
                <w:sz w:val="16"/>
                <w:szCs w:val="16"/>
              </w:rPr>
              <w:t>Airout</w:t>
            </w:r>
            <w:proofErr w:type="spellEnd"/>
            <w:r w:rsidRPr="00990396">
              <w:rPr>
                <w:sz w:val="16"/>
                <w:szCs w:val="16"/>
              </w:rPr>
              <w:t xml:space="preserve"> et al. (2023)</w:t>
            </w:r>
          </w:p>
        </w:tc>
        <w:tc>
          <w:tcPr>
            <w:tcW w:w="0" w:type="auto"/>
            <w:hideMark/>
          </w:tcPr>
          <w:p w14:paraId="00D1CB90" w14:textId="77777777" w:rsidR="005A481C" w:rsidRPr="00990396" w:rsidRDefault="005A481C" w:rsidP="00004062">
            <w:pPr>
              <w:spacing w:line="240" w:lineRule="auto"/>
              <w:jc w:val="both"/>
              <w:rPr>
                <w:sz w:val="16"/>
                <w:szCs w:val="16"/>
              </w:rPr>
            </w:pPr>
            <w:r w:rsidRPr="00990396">
              <w:rPr>
                <w:sz w:val="16"/>
                <w:szCs w:val="16"/>
              </w:rPr>
              <w:t>Liquidity</w:t>
            </w:r>
          </w:p>
        </w:tc>
        <w:tc>
          <w:tcPr>
            <w:tcW w:w="0" w:type="auto"/>
            <w:hideMark/>
          </w:tcPr>
          <w:p w14:paraId="0B7AF81B" w14:textId="77777777" w:rsidR="005A481C" w:rsidRPr="00990396" w:rsidRDefault="005A481C" w:rsidP="00004062">
            <w:pPr>
              <w:spacing w:line="240" w:lineRule="auto"/>
              <w:jc w:val="both"/>
              <w:rPr>
                <w:sz w:val="16"/>
                <w:szCs w:val="16"/>
              </w:rPr>
            </w:pPr>
            <w:r w:rsidRPr="00990396">
              <w:rPr>
                <w:sz w:val="16"/>
                <w:szCs w:val="16"/>
              </w:rPr>
              <w:t>Jordan</w:t>
            </w:r>
          </w:p>
        </w:tc>
        <w:tc>
          <w:tcPr>
            <w:tcW w:w="0" w:type="auto"/>
            <w:hideMark/>
          </w:tcPr>
          <w:p w14:paraId="078CDE68" w14:textId="77777777" w:rsidR="005A481C" w:rsidRPr="00990396" w:rsidRDefault="005A481C" w:rsidP="00004062">
            <w:pPr>
              <w:spacing w:line="240" w:lineRule="auto"/>
              <w:jc w:val="both"/>
              <w:rPr>
                <w:sz w:val="16"/>
                <w:szCs w:val="16"/>
              </w:rPr>
            </w:pPr>
            <w:r w:rsidRPr="00990396">
              <w:rPr>
                <w:sz w:val="16"/>
                <w:szCs w:val="16"/>
              </w:rPr>
              <w:t>200 SMEs</w:t>
            </w:r>
          </w:p>
        </w:tc>
        <w:tc>
          <w:tcPr>
            <w:tcW w:w="0" w:type="auto"/>
            <w:hideMark/>
          </w:tcPr>
          <w:p w14:paraId="423CFC68" w14:textId="77777777" w:rsidR="005A481C" w:rsidRPr="00990396" w:rsidRDefault="005A481C" w:rsidP="00004062">
            <w:pPr>
              <w:spacing w:line="240" w:lineRule="auto"/>
              <w:jc w:val="both"/>
              <w:rPr>
                <w:sz w:val="16"/>
                <w:szCs w:val="16"/>
              </w:rPr>
            </w:pPr>
            <w:r w:rsidRPr="00990396">
              <w:rPr>
                <w:sz w:val="16"/>
                <w:szCs w:val="16"/>
              </w:rPr>
              <w:t>Descriptive statistics, correlations and regression</w:t>
            </w:r>
          </w:p>
        </w:tc>
        <w:tc>
          <w:tcPr>
            <w:tcW w:w="0" w:type="auto"/>
            <w:hideMark/>
          </w:tcPr>
          <w:p w14:paraId="38AC01F4" w14:textId="77777777" w:rsidR="005A481C" w:rsidRPr="00990396" w:rsidRDefault="005A481C" w:rsidP="00004062">
            <w:pPr>
              <w:spacing w:line="240" w:lineRule="auto"/>
              <w:jc w:val="both"/>
              <w:rPr>
                <w:sz w:val="16"/>
                <w:szCs w:val="16"/>
              </w:rPr>
            </w:pPr>
            <w:r w:rsidRPr="00990396">
              <w:rPr>
                <w:sz w:val="16"/>
                <w:szCs w:val="16"/>
              </w:rPr>
              <w:t>Liquidity as moderator</w:t>
            </w:r>
          </w:p>
        </w:tc>
        <w:tc>
          <w:tcPr>
            <w:tcW w:w="0" w:type="auto"/>
            <w:hideMark/>
          </w:tcPr>
          <w:p w14:paraId="39D3B978" w14:textId="77777777" w:rsidR="005A481C" w:rsidRPr="00990396" w:rsidRDefault="005A481C" w:rsidP="00004062">
            <w:pPr>
              <w:spacing w:line="240" w:lineRule="auto"/>
              <w:jc w:val="both"/>
              <w:rPr>
                <w:sz w:val="16"/>
                <w:szCs w:val="16"/>
              </w:rPr>
            </w:pPr>
            <w:r w:rsidRPr="00990396">
              <w:rPr>
                <w:sz w:val="16"/>
                <w:szCs w:val="16"/>
              </w:rPr>
              <w:t>Sales-related performance</w:t>
            </w:r>
          </w:p>
        </w:tc>
        <w:tc>
          <w:tcPr>
            <w:tcW w:w="0" w:type="auto"/>
            <w:hideMark/>
          </w:tcPr>
          <w:p w14:paraId="0A7F038B" w14:textId="77777777" w:rsidR="005A481C" w:rsidRPr="00990396" w:rsidRDefault="005A481C" w:rsidP="00004062">
            <w:pPr>
              <w:spacing w:line="240" w:lineRule="auto"/>
              <w:jc w:val="both"/>
              <w:rPr>
                <w:sz w:val="16"/>
                <w:szCs w:val="16"/>
              </w:rPr>
            </w:pPr>
            <w:r w:rsidRPr="00990396">
              <w:rPr>
                <w:sz w:val="16"/>
                <w:szCs w:val="16"/>
              </w:rPr>
              <w:t>Liquidity strengthened some expenditure effects but weakened others</w:t>
            </w:r>
          </w:p>
        </w:tc>
        <w:tc>
          <w:tcPr>
            <w:tcW w:w="0" w:type="auto"/>
            <w:hideMark/>
          </w:tcPr>
          <w:p w14:paraId="45B7A1E5" w14:textId="77777777" w:rsidR="005A481C" w:rsidRPr="00990396" w:rsidRDefault="005A481C" w:rsidP="00004062">
            <w:pPr>
              <w:spacing w:line="240" w:lineRule="auto"/>
              <w:jc w:val="both"/>
              <w:rPr>
                <w:sz w:val="16"/>
                <w:szCs w:val="16"/>
              </w:rPr>
            </w:pPr>
            <w:r w:rsidRPr="00990396">
              <w:rPr>
                <w:sz w:val="16"/>
                <w:szCs w:val="16"/>
              </w:rPr>
              <w:t>Modest sample and limited causal identification</w:t>
            </w:r>
          </w:p>
        </w:tc>
        <w:tc>
          <w:tcPr>
            <w:tcW w:w="0" w:type="auto"/>
            <w:hideMark/>
          </w:tcPr>
          <w:p w14:paraId="30CAA316" w14:textId="77777777" w:rsidR="005A481C" w:rsidRPr="00990396" w:rsidRDefault="005A481C" w:rsidP="00004062">
            <w:pPr>
              <w:spacing w:line="240" w:lineRule="auto"/>
              <w:jc w:val="both"/>
              <w:rPr>
                <w:sz w:val="16"/>
                <w:szCs w:val="16"/>
              </w:rPr>
            </w:pPr>
            <w:r w:rsidRPr="00990396">
              <w:rPr>
                <w:sz w:val="16"/>
                <w:szCs w:val="16"/>
              </w:rPr>
              <w:t>Moderate to low</w:t>
            </w:r>
          </w:p>
        </w:tc>
      </w:tr>
      <w:tr w:rsidR="005A481C" w:rsidRPr="00990396" w14:paraId="1B34885E" w14:textId="77777777" w:rsidTr="005A481C">
        <w:tc>
          <w:tcPr>
            <w:tcW w:w="0" w:type="auto"/>
            <w:hideMark/>
          </w:tcPr>
          <w:p w14:paraId="5AD1165F" w14:textId="77777777" w:rsidR="005A481C" w:rsidRPr="00990396" w:rsidRDefault="005A481C" w:rsidP="00004062">
            <w:pPr>
              <w:spacing w:line="240" w:lineRule="auto"/>
              <w:jc w:val="both"/>
              <w:rPr>
                <w:sz w:val="16"/>
                <w:szCs w:val="16"/>
              </w:rPr>
            </w:pPr>
            <w:proofErr w:type="spellStart"/>
            <w:r w:rsidRPr="00990396">
              <w:rPr>
                <w:sz w:val="16"/>
                <w:szCs w:val="16"/>
              </w:rPr>
              <w:t>Mandipa</w:t>
            </w:r>
            <w:proofErr w:type="spellEnd"/>
            <w:r w:rsidRPr="00990396">
              <w:rPr>
                <w:sz w:val="16"/>
                <w:szCs w:val="16"/>
              </w:rPr>
              <w:t xml:space="preserve"> and Sibindi (2022)</w:t>
            </w:r>
          </w:p>
        </w:tc>
        <w:tc>
          <w:tcPr>
            <w:tcW w:w="0" w:type="auto"/>
            <w:hideMark/>
          </w:tcPr>
          <w:p w14:paraId="22541660" w14:textId="77777777" w:rsidR="005A481C" w:rsidRPr="00990396" w:rsidRDefault="005A481C" w:rsidP="00004062">
            <w:pPr>
              <w:spacing w:line="240" w:lineRule="auto"/>
              <w:jc w:val="both"/>
              <w:rPr>
                <w:sz w:val="16"/>
                <w:szCs w:val="16"/>
              </w:rPr>
            </w:pPr>
            <w:r w:rsidRPr="00990396">
              <w:rPr>
                <w:sz w:val="16"/>
                <w:szCs w:val="16"/>
              </w:rPr>
              <w:t>Liquidity</w:t>
            </w:r>
          </w:p>
        </w:tc>
        <w:tc>
          <w:tcPr>
            <w:tcW w:w="0" w:type="auto"/>
            <w:hideMark/>
          </w:tcPr>
          <w:p w14:paraId="0EEB2EE1" w14:textId="77777777" w:rsidR="005A481C" w:rsidRPr="00990396" w:rsidRDefault="005A481C" w:rsidP="00004062">
            <w:pPr>
              <w:spacing w:line="240" w:lineRule="auto"/>
              <w:jc w:val="both"/>
              <w:rPr>
                <w:sz w:val="16"/>
                <w:szCs w:val="16"/>
              </w:rPr>
            </w:pPr>
            <w:r w:rsidRPr="00990396">
              <w:rPr>
                <w:sz w:val="16"/>
                <w:szCs w:val="16"/>
              </w:rPr>
              <w:t>South Africa</w:t>
            </w:r>
          </w:p>
        </w:tc>
        <w:tc>
          <w:tcPr>
            <w:tcW w:w="0" w:type="auto"/>
            <w:hideMark/>
          </w:tcPr>
          <w:p w14:paraId="6F722495" w14:textId="77777777" w:rsidR="005A481C" w:rsidRPr="00990396" w:rsidRDefault="005A481C" w:rsidP="00004062">
            <w:pPr>
              <w:spacing w:line="240" w:lineRule="auto"/>
              <w:jc w:val="both"/>
              <w:rPr>
                <w:sz w:val="16"/>
                <w:szCs w:val="16"/>
              </w:rPr>
            </w:pPr>
            <w:r w:rsidRPr="00990396">
              <w:rPr>
                <w:sz w:val="16"/>
                <w:szCs w:val="16"/>
              </w:rPr>
              <w:t>16 listed retailers, 2010–2019</w:t>
            </w:r>
          </w:p>
        </w:tc>
        <w:tc>
          <w:tcPr>
            <w:tcW w:w="0" w:type="auto"/>
            <w:hideMark/>
          </w:tcPr>
          <w:p w14:paraId="08F266D6" w14:textId="77777777" w:rsidR="005A481C" w:rsidRPr="00990396" w:rsidRDefault="005A481C" w:rsidP="00004062">
            <w:pPr>
              <w:spacing w:line="240" w:lineRule="auto"/>
              <w:jc w:val="both"/>
              <w:rPr>
                <w:sz w:val="16"/>
                <w:szCs w:val="16"/>
              </w:rPr>
            </w:pPr>
            <w:r w:rsidRPr="00990396">
              <w:rPr>
                <w:sz w:val="16"/>
                <w:szCs w:val="16"/>
              </w:rPr>
              <w:t>Fixed-effects regression</w:t>
            </w:r>
          </w:p>
        </w:tc>
        <w:tc>
          <w:tcPr>
            <w:tcW w:w="0" w:type="auto"/>
            <w:hideMark/>
          </w:tcPr>
          <w:p w14:paraId="565FD936" w14:textId="77777777" w:rsidR="005A481C" w:rsidRPr="00990396" w:rsidRDefault="005A481C" w:rsidP="00004062">
            <w:pPr>
              <w:spacing w:line="240" w:lineRule="auto"/>
              <w:jc w:val="both"/>
              <w:rPr>
                <w:sz w:val="16"/>
                <w:szCs w:val="16"/>
              </w:rPr>
            </w:pPr>
            <w:r w:rsidRPr="00990396">
              <w:rPr>
                <w:sz w:val="16"/>
                <w:szCs w:val="16"/>
              </w:rPr>
              <w:t>Inventory, receivables and cash-conversion cycle</w:t>
            </w:r>
          </w:p>
        </w:tc>
        <w:tc>
          <w:tcPr>
            <w:tcW w:w="0" w:type="auto"/>
            <w:hideMark/>
          </w:tcPr>
          <w:p w14:paraId="361CD2AC" w14:textId="77777777" w:rsidR="005A481C" w:rsidRPr="00990396" w:rsidRDefault="005A481C" w:rsidP="00004062">
            <w:pPr>
              <w:spacing w:line="240" w:lineRule="auto"/>
              <w:jc w:val="both"/>
              <w:rPr>
                <w:sz w:val="16"/>
                <w:szCs w:val="16"/>
              </w:rPr>
            </w:pPr>
            <w:r w:rsidRPr="00990396">
              <w:rPr>
                <w:sz w:val="16"/>
                <w:szCs w:val="16"/>
              </w:rPr>
              <w:t>ROA, ROE and margins</w:t>
            </w:r>
          </w:p>
        </w:tc>
        <w:tc>
          <w:tcPr>
            <w:tcW w:w="0" w:type="auto"/>
            <w:hideMark/>
          </w:tcPr>
          <w:p w14:paraId="0ACAD319" w14:textId="77777777" w:rsidR="005A481C" w:rsidRPr="00990396" w:rsidRDefault="005A481C" w:rsidP="00004062">
            <w:pPr>
              <w:spacing w:line="240" w:lineRule="auto"/>
              <w:jc w:val="both"/>
              <w:rPr>
                <w:sz w:val="16"/>
                <w:szCs w:val="16"/>
              </w:rPr>
            </w:pPr>
            <w:r w:rsidRPr="00990396">
              <w:rPr>
                <w:sz w:val="16"/>
                <w:szCs w:val="16"/>
              </w:rPr>
              <w:t>Longer operating-cycle periods generally weakened performance</w:t>
            </w:r>
          </w:p>
        </w:tc>
        <w:tc>
          <w:tcPr>
            <w:tcW w:w="0" w:type="auto"/>
            <w:hideMark/>
          </w:tcPr>
          <w:p w14:paraId="22112BEB" w14:textId="77777777" w:rsidR="005A481C" w:rsidRPr="00990396" w:rsidRDefault="005A481C" w:rsidP="00004062">
            <w:pPr>
              <w:spacing w:line="240" w:lineRule="auto"/>
              <w:jc w:val="both"/>
              <w:rPr>
                <w:sz w:val="16"/>
                <w:szCs w:val="16"/>
              </w:rPr>
            </w:pPr>
            <w:r w:rsidRPr="00990396">
              <w:rPr>
                <w:sz w:val="16"/>
                <w:szCs w:val="16"/>
              </w:rPr>
              <w:t>Very small, sector-specific sample</w:t>
            </w:r>
          </w:p>
        </w:tc>
        <w:tc>
          <w:tcPr>
            <w:tcW w:w="0" w:type="auto"/>
            <w:hideMark/>
          </w:tcPr>
          <w:p w14:paraId="07CE94F1" w14:textId="77777777" w:rsidR="005A481C" w:rsidRPr="00990396" w:rsidRDefault="005A481C" w:rsidP="00004062">
            <w:pPr>
              <w:spacing w:line="240" w:lineRule="auto"/>
              <w:jc w:val="both"/>
              <w:rPr>
                <w:sz w:val="16"/>
                <w:szCs w:val="16"/>
              </w:rPr>
            </w:pPr>
            <w:r w:rsidRPr="00990396">
              <w:rPr>
                <w:sz w:val="16"/>
                <w:szCs w:val="16"/>
              </w:rPr>
              <w:t>Moderate to low</w:t>
            </w:r>
          </w:p>
        </w:tc>
      </w:tr>
      <w:tr w:rsidR="005A481C" w:rsidRPr="00990396" w14:paraId="29D7BE4B" w14:textId="77777777" w:rsidTr="005A481C">
        <w:tc>
          <w:tcPr>
            <w:tcW w:w="0" w:type="auto"/>
            <w:hideMark/>
          </w:tcPr>
          <w:p w14:paraId="49603512" w14:textId="77777777" w:rsidR="005A481C" w:rsidRPr="00990396" w:rsidRDefault="005A481C" w:rsidP="00004062">
            <w:pPr>
              <w:spacing w:line="240" w:lineRule="auto"/>
              <w:jc w:val="both"/>
              <w:rPr>
                <w:sz w:val="16"/>
                <w:szCs w:val="16"/>
              </w:rPr>
            </w:pPr>
            <w:r w:rsidRPr="00990396">
              <w:rPr>
                <w:sz w:val="16"/>
                <w:szCs w:val="16"/>
              </w:rPr>
              <w:t>Peter et al. (2022)</w:t>
            </w:r>
          </w:p>
        </w:tc>
        <w:tc>
          <w:tcPr>
            <w:tcW w:w="0" w:type="auto"/>
            <w:hideMark/>
          </w:tcPr>
          <w:p w14:paraId="0AE0D2DA" w14:textId="77777777" w:rsidR="005A481C" w:rsidRPr="00990396" w:rsidRDefault="005A481C" w:rsidP="00004062">
            <w:pPr>
              <w:spacing w:line="240" w:lineRule="auto"/>
              <w:jc w:val="both"/>
              <w:rPr>
                <w:sz w:val="16"/>
                <w:szCs w:val="16"/>
              </w:rPr>
            </w:pPr>
            <w:r w:rsidRPr="00990396">
              <w:rPr>
                <w:sz w:val="16"/>
                <w:szCs w:val="16"/>
              </w:rPr>
              <w:t>Credit</w:t>
            </w:r>
          </w:p>
        </w:tc>
        <w:tc>
          <w:tcPr>
            <w:tcW w:w="0" w:type="auto"/>
            <w:hideMark/>
          </w:tcPr>
          <w:p w14:paraId="6E05AA78" w14:textId="77777777" w:rsidR="005A481C" w:rsidRPr="00990396" w:rsidRDefault="005A481C" w:rsidP="00004062">
            <w:pPr>
              <w:spacing w:line="240" w:lineRule="auto"/>
              <w:jc w:val="both"/>
              <w:rPr>
                <w:sz w:val="16"/>
                <w:szCs w:val="16"/>
              </w:rPr>
            </w:pPr>
            <w:r w:rsidRPr="00990396">
              <w:rPr>
                <w:sz w:val="16"/>
                <w:szCs w:val="16"/>
              </w:rPr>
              <w:t>Nigeria</w:t>
            </w:r>
          </w:p>
        </w:tc>
        <w:tc>
          <w:tcPr>
            <w:tcW w:w="0" w:type="auto"/>
            <w:hideMark/>
          </w:tcPr>
          <w:p w14:paraId="6A699D0D" w14:textId="77777777" w:rsidR="005A481C" w:rsidRPr="00990396" w:rsidRDefault="005A481C" w:rsidP="00004062">
            <w:pPr>
              <w:spacing w:line="240" w:lineRule="auto"/>
              <w:jc w:val="both"/>
              <w:rPr>
                <w:sz w:val="16"/>
                <w:szCs w:val="16"/>
              </w:rPr>
            </w:pPr>
            <w:r w:rsidRPr="00990396">
              <w:rPr>
                <w:sz w:val="16"/>
                <w:szCs w:val="16"/>
              </w:rPr>
              <w:t xml:space="preserve">285 SMEs and 15 </w:t>
            </w:r>
            <w:r w:rsidRPr="00990396">
              <w:rPr>
                <w:sz w:val="16"/>
                <w:szCs w:val="16"/>
              </w:rPr>
              <w:lastRenderedPageBreak/>
              <w:t>interviews</w:t>
            </w:r>
          </w:p>
        </w:tc>
        <w:tc>
          <w:tcPr>
            <w:tcW w:w="0" w:type="auto"/>
            <w:hideMark/>
          </w:tcPr>
          <w:p w14:paraId="70BAE572" w14:textId="77777777" w:rsidR="005A481C" w:rsidRPr="00990396" w:rsidRDefault="005A481C" w:rsidP="00004062">
            <w:pPr>
              <w:spacing w:line="240" w:lineRule="auto"/>
              <w:jc w:val="both"/>
              <w:rPr>
                <w:sz w:val="16"/>
                <w:szCs w:val="16"/>
              </w:rPr>
            </w:pPr>
            <w:r w:rsidRPr="00990396">
              <w:rPr>
                <w:sz w:val="16"/>
                <w:szCs w:val="16"/>
              </w:rPr>
              <w:lastRenderedPageBreak/>
              <w:t>Regression and thematic analysis</w:t>
            </w:r>
          </w:p>
        </w:tc>
        <w:tc>
          <w:tcPr>
            <w:tcW w:w="0" w:type="auto"/>
            <w:hideMark/>
          </w:tcPr>
          <w:p w14:paraId="4D012B91" w14:textId="77777777" w:rsidR="005A481C" w:rsidRPr="00990396" w:rsidRDefault="005A481C" w:rsidP="00004062">
            <w:pPr>
              <w:spacing w:line="240" w:lineRule="auto"/>
              <w:jc w:val="both"/>
              <w:rPr>
                <w:sz w:val="16"/>
                <w:szCs w:val="16"/>
              </w:rPr>
            </w:pPr>
            <w:r w:rsidRPr="00990396">
              <w:rPr>
                <w:sz w:val="16"/>
                <w:szCs w:val="16"/>
              </w:rPr>
              <w:t xml:space="preserve">Credit checks, policies </w:t>
            </w:r>
            <w:r w:rsidRPr="00990396">
              <w:rPr>
                <w:sz w:val="16"/>
                <w:szCs w:val="16"/>
              </w:rPr>
              <w:lastRenderedPageBreak/>
              <w:t>and cash discounts</w:t>
            </w:r>
          </w:p>
        </w:tc>
        <w:tc>
          <w:tcPr>
            <w:tcW w:w="0" w:type="auto"/>
            <w:hideMark/>
          </w:tcPr>
          <w:p w14:paraId="40F13BE8" w14:textId="77777777" w:rsidR="005A481C" w:rsidRPr="00990396" w:rsidRDefault="005A481C" w:rsidP="00004062">
            <w:pPr>
              <w:spacing w:line="240" w:lineRule="auto"/>
              <w:jc w:val="both"/>
              <w:rPr>
                <w:sz w:val="16"/>
                <w:szCs w:val="16"/>
              </w:rPr>
            </w:pPr>
            <w:r w:rsidRPr="00990396">
              <w:rPr>
                <w:sz w:val="16"/>
                <w:szCs w:val="16"/>
              </w:rPr>
              <w:lastRenderedPageBreak/>
              <w:t>SME sustainability</w:t>
            </w:r>
          </w:p>
        </w:tc>
        <w:tc>
          <w:tcPr>
            <w:tcW w:w="0" w:type="auto"/>
            <w:hideMark/>
          </w:tcPr>
          <w:p w14:paraId="01941225" w14:textId="77777777" w:rsidR="005A481C" w:rsidRPr="00990396" w:rsidRDefault="005A481C" w:rsidP="00004062">
            <w:pPr>
              <w:spacing w:line="240" w:lineRule="auto"/>
              <w:jc w:val="both"/>
              <w:rPr>
                <w:sz w:val="16"/>
                <w:szCs w:val="16"/>
              </w:rPr>
            </w:pPr>
            <w:r w:rsidRPr="00990396">
              <w:rPr>
                <w:sz w:val="16"/>
                <w:szCs w:val="16"/>
              </w:rPr>
              <w:t xml:space="preserve">Formal credit-management </w:t>
            </w:r>
            <w:r w:rsidRPr="00990396">
              <w:rPr>
                <w:sz w:val="16"/>
                <w:szCs w:val="16"/>
              </w:rPr>
              <w:lastRenderedPageBreak/>
              <w:t>practices were associated with sustainability</w:t>
            </w:r>
          </w:p>
        </w:tc>
        <w:tc>
          <w:tcPr>
            <w:tcW w:w="0" w:type="auto"/>
            <w:hideMark/>
          </w:tcPr>
          <w:p w14:paraId="2888C745" w14:textId="77777777" w:rsidR="005A481C" w:rsidRPr="00990396" w:rsidRDefault="005A481C" w:rsidP="00004062">
            <w:pPr>
              <w:spacing w:line="240" w:lineRule="auto"/>
              <w:jc w:val="both"/>
              <w:rPr>
                <w:sz w:val="16"/>
                <w:szCs w:val="16"/>
              </w:rPr>
            </w:pPr>
            <w:r w:rsidRPr="00990396">
              <w:rPr>
                <w:sz w:val="16"/>
                <w:szCs w:val="16"/>
              </w:rPr>
              <w:lastRenderedPageBreak/>
              <w:t>Non-probability and self-</w:t>
            </w:r>
            <w:r w:rsidRPr="00990396">
              <w:rPr>
                <w:sz w:val="16"/>
                <w:szCs w:val="16"/>
              </w:rPr>
              <w:lastRenderedPageBreak/>
              <w:t>reported data</w:t>
            </w:r>
          </w:p>
        </w:tc>
        <w:tc>
          <w:tcPr>
            <w:tcW w:w="0" w:type="auto"/>
            <w:hideMark/>
          </w:tcPr>
          <w:p w14:paraId="225173E4" w14:textId="77777777" w:rsidR="005A481C" w:rsidRPr="00990396" w:rsidRDefault="005A481C" w:rsidP="00004062">
            <w:pPr>
              <w:spacing w:line="240" w:lineRule="auto"/>
              <w:jc w:val="both"/>
              <w:rPr>
                <w:sz w:val="16"/>
                <w:szCs w:val="16"/>
              </w:rPr>
            </w:pPr>
            <w:r w:rsidRPr="00990396">
              <w:rPr>
                <w:sz w:val="16"/>
                <w:szCs w:val="16"/>
              </w:rPr>
              <w:lastRenderedPageBreak/>
              <w:t>Moderate</w:t>
            </w:r>
          </w:p>
        </w:tc>
      </w:tr>
      <w:tr w:rsidR="005A481C" w:rsidRPr="00990396" w14:paraId="5DAAA392" w14:textId="77777777" w:rsidTr="005A481C">
        <w:tc>
          <w:tcPr>
            <w:tcW w:w="0" w:type="auto"/>
            <w:hideMark/>
          </w:tcPr>
          <w:p w14:paraId="54AC17E0" w14:textId="77777777" w:rsidR="005A481C" w:rsidRPr="00990396" w:rsidRDefault="005A481C" w:rsidP="00004062">
            <w:pPr>
              <w:spacing w:line="240" w:lineRule="auto"/>
              <w:jc w:val="both"/>
              <w:rPr>
                <w:sz w:val="16"/>
                <w:szCs w:val="16"/>
              </w:rPr>
            </w:pPr>
            <w:r w:rsidRPr="00990396">
              <w:rPr>
                <w:sz w:val="16"/>
                <w:szCs w:val="16"/>
              </w:rPr>
              <w:t>Otto (2023)</w:t>
            </w:r>
          </w:p>
        </w:tc>
        <w:tc>
          <w:tcPr>
            <w:tcW w:w="0" w:type="auto"/>
            <w:hideMark/>
          </w:tcPr>
          <w:p w14:paraId="691CDFA6" w14:textId="77777777" w:rsidR="005A481C" w:rsidRPr="00990396" w:rsidRDefault="005A481C" w:rsidP="00004062">
            <w:pPr>
              <w:spacing w:line="240" w:lineRule="auto"/>
              <w:jc w:val="both"/>
              <w:rPr>
                <w:sz w:val="16"/>
                <w:szCs w:val="16"/>
              </w:rPr>
            </w:pPr>
            <w:r w:rsidRPr="00990396">
              <w:rPr>
                <w:sz w:val="16"/>
                <w:szCs w:val="16"/>
              </w:rPr>
              <w:t>Credit</w:t>
            </w:r>
          </w:p>
        </w:tc>
        <w:tc>
          <w:tcPr>
            <w:tcW w:w="0" w:type="auto"/>
            <w:hideMark/>
          </w:tcPr>
          <w:p w14:paraId="13BCE1C9" w14:textId="77777777" w:rsidR="005A481C" w:rsidRPr="00990396" w:rsidRDefault="005A481C" w:rsidP="00004062">
            <w:pPr>
              <w:spacing w:line="240" w:lineRule="auto"/>
              <w:jc w:val="both"/>
              <w:rPr>
                <w:sz w:val="16"/>
                <w:szCs w:val="16"/>
              </w:rPr>
            </w:pPr>
            <w:r w:rsidRPr="00990396">
              <w:rPr>
                <w:sz w:val="16"/>
                <w:szCs w:val="16"/>
              </w:rPr>
              <w:t>South Africa</w:t>
            </w:r>
          </w:p>
        </w:tc>
        <w:tc>
          <w:tcPr>
            <w:tcW w:w="0" w:type="auto"/>
            <w:hideMark/>
          </w:tcPr>
          <w:p w14:paraId="502EA6DF" w14:textId="77777777" w:rsidR="005A481C" w:rsidRPr="00990396" w:rsidRDefault="005A481C" w:rsidP="00004062">
            <w:pPr>
              <w:spacing w:line="240" w:lineRule="auto"/>
              <w:jc w:val="both"/>
              <w:rPr>
                <w:sz w:val="16"/>
                <w:szCs w:val="16"/>
              </w:rPr>
            </w:pPr>
            <w:r w:rsidRPr="00990396">
              <w:rPr>
                <w:sz w:val="16"/>
                <w:szCs w:val="16"/>
              </w:rPr>
              <w:t>422 usable SME responses</w:t>
            </w:r>
          </w:p>
        </w:tc>
        <w:tc>
          <w:tcPr>
            <w:tcW w:w="0" w:type="auto"/>
            <w:hideMark/>
          </w:tcPr>
          <w:p w14:paraId="28C4A476" w14:textId="77777777" w:rsidR="005A481C" w:rsidRPr="00990396" w:rsidRDefault="005A481C" w:rsidP="00004062">
            <w:pPr>
              <w:spacing w:line="240" w:lineRule="auto"/>
              <w:jc w:val="both"/>
              <w:rPr>
                <w:sz w:val="16"/>
                <w:szCs w:val="16"/>
              </w:rPr>
            </w:pPr>
            <w:r w:rsidRPr="00990396">
              <w:rPr>
                <w:sz w:val="16"/>
                <w:szCs w:val="16"/>
              </w:rPr>
              <w:t>Descriptive statistics and factor analysis</w:t>
            </w:r>
          </w:p>
        </w:tc>
        <w:tc>
          <w:tcPr>
            <w:tcW w:w="0" w:type="auto"/>
            <w:hideMark/>
          </w:tcPr>
          <w:p w14:paraId="1AE6087A" w14:textId="77777777" w:rsidR="005A481C" w:rsidRPr="00990396" w:rsidRDefault="005A481C" w:rsidP="00004062">
            <w:pPr>
              <w:spacing w:line="240" w:lineRule="auto"/>
              <w:jc w:val="both"/>
              <w:rPr>
                <w:sz w:val="16"/>
                <w:szCs w:val="16"/>
              </w:rPr>
            </w:pPr>
            <w:r w:rsidRPr="00990396">
              <w:rPr>
                <w:sz w:val="16"/>
                <w:szCs w:val="16"/>
              </w:rPr>
              <w:t>Trade-credit management</w:t>
            </w:r>
          </w:p>
        </w:tc>
        <w:tc>
          <w:tcPr>
            <w:tcW w:w="0" w:type="auto"/>
            <w:hideMark/>
          </w:tcPr>
          <w:p w14:paraId="05E00059" w14:textId="77777777" w:rsidR="005A481C" w:rsidRPr="00990396" w:rsidRDefault="005A481C" w:rsidP="00004062">
            <w:pPr>
              <w:spacing w:line="240" w:lineRule="auto"/>
              <w:jc w:val="both"/>
              <w:rPr>
                <w:sz w:val="16"/>
                <w:szCs w:val="16"/>
              </w:rPr>
            </w:pPr>
            <w:r w:rsidRPr="00990396">
              <w:rPr>
                <w:sz w:val="16"/>
                <w:szCs w:val="16"/>
              </w:rPr>
              <w:t>Perceived effectiveness</w:t>
            </w:r>
          </w:p>
        </w:tc>
        <w:tc>
          <w:tcPr>
            <w:tcW w:w="0" w:type="auto"/>
            <w:hideMark/>
          </w:tcPr>
          <w:p w14:paraId="7D7A0981" w14:textId="77777777" w:rsidR="005A481C" w:rsidRPr="00990396" w:rsidRDefault="005A481C" w:rsidP="00004062">
            <w:pPr>
              <w:spacing w:line="240" w:lineRule="auto"/>
              <w:jc w:val="both"/>
              <w:rPr>
                <w:sz w:val="16"/>
                <w:szCs w:val="16"/>
              </w:rPr>
            </w:pPr>
            <w:r w:rsidRPr="00990396">
              <w:rPr>
                <w:sz w:val="16"/>
                <w:szCs w:val="16"/>
              </w:rPr>
              <w:t>SMEs generally perceived trade-credit management as effective</w:t>
            </w:r>
          </w:p>
        </w:tc>
        <w:tc>
          <w:tcPr>
            <w:tcW w:w="0" w:type="auto"/>
            <w:hideMark/>
          </w:tcPr>
          <w:p w14:paraId="4DCB9C63" w14:textId="77777777" w:rsidR="005A481C" w:rsidRPr="00990396" w:rsidRDefault="005A481C" w:rsidP="00004062">
            <w:pPr>
              <w:spacing w:line="240" w:lineRule="auto"/>
              <w:jc w:val="both"/>
              <w:rPr>
                <w:sz w:val="16"/>
                <w:szCs w:val="16"/>
              </w:rPr>
            </w:pPr>
            <w:r w:rsidRPr="00990396">
              <w:rPr>
                <w:sz w:val="16"/>
                <w:szCs w:val="16"/>
              </w:rPr>
              <w:t>Very low response rate and no objective financial measure</w:t>
            </w:r>
          </w:p>
        </w:tc>
        <w:tc>
          <w:tcPr>
            <w:tcW w:w="0" w:type="auto"/>
            <w:hideMark/>
          </w:tcPr>
          <w:p w14:paraId="173B6BFE" w14:textId="77777777" w:rsidR="005A481C" w:rsidRPr="00990396" w:rsidRDefault="005A481C" w:rsidP="00004062">
            <w:pPr>
              <w:spacing w:line="240" w:lineRule="auto"/>
              <w:jc w:val="both"/>
              <w:rPr>
                <w:sz w:val="16"/>
                <w:szCs w:val="16"/>
              </w:rPr>
            </w:pPr>
            <w:r w:rsidRPr="00990396">
              <w:rPr>
                <w:sz w:val="16"/>
                <w:szCs w:val="16"/>
              </w:rPr>
              <w:t>Moderate to low</w:t>
            </w:r>
          </w:p>
        </w:tc>
      </w:tr>
      <w:tr w:rsidR="005A481C" w:rsidRPr="00990396" w14:paraId="3011D798" w14:textId="77777777" w:rsidTr="005A481C">
        <w:tc>
          <w:tcPr>
            <w:tcW w:w="0" w:type="auto"/>
            <w:hideMark/>
          </w:tcPr>
          <w:p w14:paraId="76520FFF" w14:textId="77777777" w:rsidR="005A481C" w:rsidRPr="00990396" w:rsidRDefault="005A481C" w:rsidP="00004062">
            <w:pPr>
              <w:spacing w:line="240" w:lineRule="auto"/>
              <w:jc w:val="both"/>
              <w:rPr>
                <w:sz w:val="16"/>
                <w:szCs w:val="16"/>
              </w:rPr>
            </w:pPr>
            <w:r w:rsidRPr="00990396">
              <w:rPr>
                <w:sz w:val="16"/>
                <w:szCs w:val="16"/>
              </w:rPr>
              <w:t>Al-Eitan et al. (2023)</w:t>
            </w:r>
          </w:p>
        </w:tc>
        <w:tc>
          <w:tcPr>
            <w:tcW w:w="0" w:type="auto"/>
            <w:hideMark/>
          </w:tcPr>
          <w:p w14:paraId="453CA26C" w14:textId="77777777" w:rsidR="005A481C" w:rsidRPr="00990396" w:rsidRDefault="005A481C" w:rsidP="00004062">
            <w:pPr>
              <w:spacing w:line="240" w:lineRule="auto"/>
              <w:jc w:val="both"/>
              <w:rPr>
                <w:sz w:val="16"/>
                <w:szCs w:val="16"/>
              </w:rPr>
            </w:pPr>
            <w:r w:rsidRPr="00990396">
              <w:rPr>
                <w:sz w:val="16"/>
                <w:szCs w:val="16"/>
              </w:rPr>
              <w:t>Credit</w:t>
            </w:r>
          </w:p>
        </w:tc>
        <w:tc>
          <w:tcPr>
            <w:tcW w:w="0" w:type="auto"/>
            <w:hideMark/>
          </w:tcPr>
          <w:p w14:paraId="422FDB95" w14:textId="77777777" w:rsidR="005A481C" w:rsidRPr="00990396" w:rsidRDefault="005A481C" w:rsidP="00004062">
            <w:pPr>
              <w:spacing w:line="240" w:lineRule="auto"/>
              <w:jc w:val="both"/>
              <w:rPr>
                <w:sz w:val="16"/>
                <w:szCs w:val="16"/>
              </w:rPr>
            </w:pPr>
            <w:r w:rsidRPr="00990396">
              <w:rPr>
                <w:sz w:val="16"/>
                <w:szCs w:val="16"/>
              </w:rPr>
              <w:t>Jordan</w:t>
            </w:r>
          </w:p>
        </w:tc>
        <w:tc>
          <w:tcPr>
            <w:tcW w:w="0" w:type="auto"/>
            <w:hideMark/>
          </w:tcPr>
          <w:p w14:paraId="4107AE82" w14:textId="77777777" w:rsidR="005A481C" w:rsidRPr="00990396" w:rsidRDefault="005A481C" w:rsidP="00004062">
            <w:pPr>
              <w:spacing w:line="240" w:lineRule="auto"/>
              <w:jc w:val="both"/>
              <w:rPr>
                <w:sz w:val="16"/>
                <w:szCs w:val="16"/>
              </w:rPr>
            </w:pPr>
            <w:r w:rsidRPr="00990396">
              <w:rPr>
                <w:sz w:val="16"/>
                <w:szCs w:val="16"/>
              </w:rPr>
              <w:t>38 listed manufacturing firms, 2009–2021</w:t>
            </w:r>
          </w:p>
        </w:tc>
        <w:tc>
          <w:tcPr>
            <w:tcW w:w="0" w:type="auto"/>
            <w:hideMark/>
          </w:tcPr>
          <w:p w14:paraId="5EBE80B9" w14:textId="77777777" w:rsidR="005A481C" w:rsidRPr="00990396" w:rsidRDefault="005A481C" w:rsidP="00004062">
            <w:pPr>
              <w:spacing w:line="240" w:lineRule="auto"/>
              <w:jc w:val="both"/>
              <w:rPr>
                <w:sz w:val="16"/>
                <w:szCs w:val="16"/>
              </w:rPr>
            </w:pPr>
            <w:r w:rsidRPr="00990396">
              <w:rPr>
                <w:sz w:val="16"/>
                <w:szCs w:val="16"/>
              </w:rPr>
              <w:t>Longitudinal panel regression</w:t>
            </w:r>
          </w:p>
        </w:tc>
        <w:tc>
          <w:tcPr>
            <w:tcW w:w="0" w:type="auto"/>
            <w:hideMark/>
          </w:tcPr>
          <w:p w14:paraId="4D5D2EB2" w14:textId="77777777" w:rsidR="005A481C" w:rsidRPr="00990396" w:rsidRDefault="005A481C" w:rsidP="00004062">
            <w:pPr>
              <w:spacing w:line="240" w:lineRule="auto"/>
              <w:jc w:val="both"/>
              <w:rPr>
                <w:sz w:val="16"/>
                <w:szCs w:val="16"/>
              </w:rPr>
            </w:pPr>
            <w:r w:rsidRPr="00990396">
              <w:rPr>
                <w:sz w:val="16"/>
                <w:szCs w:val="16"/>
              </w:rPr>
              <w:t>Receivables and payables</w:t>
            </w:r>
          </w:p>
        </w:tc>
        <w:tc>
          <w:tcPr>
            <w:tcW w:w="0" w:type="auto"/>
            <w:hideMark/>
          </w:tcPr>
          <w:p w14:paraId="0AD53550" w14:textId="77777777" w:rsidR="005A481C" w:rsidRPr="00990396" w:rsidRDefault="005A481C" w:rsidP="00004062">
            <w:pPr>
              <w:spacing w:line="240" w:lineRule="auto"/>
              <w:jc w:val="both"/>
              <w:rPr>
                <w:sz w:val="16"/>
                <w:szCs w:val="16"/>
              </w:rPr>
            </w:pPr>
            <w:r w:rsidRPr="00990396">
              <w:rPr>
                <w:sz w:val="16"/>
                <w:szCs w:val="16"/>
              </w:rPr>
              <w:t>Profitability</w:t>
            </w:r>
          </w:p>
        </w:tc>
        <w:tc>
          <w:tcPr>
            <w:tcW w:w="0" w:type="auto"/>
            <w:hideMark/>
          </w:tcPr>
          <w:p w14:paraId="306AFEF4" w14:textId="77777777" w:rsidR="005A481C" w:rsidRPr="00990396" w:rsidRDefault="005A481C" w:rsidP="00004062">
            <w:pPr>
              <w:spacing w:line="240" w:lineRule="auto"/>
              <w:jc w:val="both"/>
              <w:rPr>
                <w:sz w:val="16"/>
                <w:szCs w:val="16"/>
              </w:rPr>
            </w:pPr>
            <w:r w:rsidRPr="00990396">
              <w:rPr>
                <w:sz w:val="16"/>
                <w:szCs w:val="16"/>
              </w:rPr>
              <w:t>Payables positively affected profitability while receivables were detrimental</w:t>
            </w:r>
          </w:p>
        </w:tc>
        <w:tc>
          <w:tcPr>
            <w:tcW w:w="0" w:type="auto"/>
            <w:hideMark/>
          </w:tcPr>
          <w:p w14:paraId="13C395A9" w14:textId="77777777" w:rsidR="005A481C" w:rsidRPr="00990396" w:rsidRDefault="005A481C" w:rsidP="00004062">
            <w:pPr>
              <w:spacing w:line="240" w:lineRule="auto"/>
              <w:jc w:val="both"/>
              <w:rPr>
                <w:sz w:val="16"/>
                <w:szCs w:val="16"/>
              </w:rPr>
            </w:pPr>
            <w:r w:rsidRPr="00990396">
              <w:rPr>
                <w:sz w:val="16"/>
                <w:szCs w:val="16"/>
              </w:rPr>
              <w:t>Small listed-firm sample and unresolved endogeneity</w:t>
            </w:r>
          </w:p>
        </w:tc>
        <w:tc>
          <w:tcPr>
            <w:tcW w:w="0" w:type="auto"/>
            <w:hideMark/>
          </w:tcPr>
          <w:p w14:paraId="51511EA7" w14:textId="77777777" w:rsidR="005A481C" w:rsidRPr="00990396" w:rsidRDefault="005A481C" w:rsidP="00004062">
            <w:pPr>
              <w:spacing w:line="240" w:lineRule="auto"/>
              <w:jc w:val="both"/>
              <w:rPr>
                <w:sz w:val="16"/>
                <w:szCs w:val="16"/>
              </w:rPr>
            </w:pPr>
            <w:r w:rsidRPr="00990396">
              <w:rPr>
                <w:sz w:val="16"/>
                <w:szCs w:val="16"/>
              </w:rPr>
              <w:t>Moderate</w:t>
            </w:r>
          </w:p>
        </w:tc>
      </w:tr>
      <w:tr w:rsidR="005A481C" w:rsidRPr="00990396" w14:paraId="2F19768E" w14:textId="77777777" w:rsidTr="005A481C">
        <w:tc>
          <w:tcPr>
            <w:tcW w:w="0" w:type="auto"/>
            <w:hideMark/>
          </w:tcPr>
          <w:p w14:paraId="37889D6A" w14:textId="77777777" w:rsidR="005A481C" w:rsidRPr="00990396" w:rsidRDefault="005A481C" w:rsidP="00004062">
            <w:pPr>
              <w:spacing w:line="240" w:lineRule="auto"/>
              <w:jc w:val="both"/>
              <w:rPr>
                <w:sz w:val="16"/>
                <w:szCs w:val="16"/>
              </w:rPr>
            </w:pPr>
            <w:r w:rsidRPr="00990396">
              <w:rPr>
                <w:sz w:val="16"/>
                <w:szCs w:val="16"/>
              </w:rPr>
              <w:t>Kaya (2024)</w:t>
            </w:r>
          </w:p>
        </w:tc>
        <w:tc>
          <w:tcPr>
            <w:tcW w:w="0" w:type="auto"/>
            <w:hideMark/>
          </w:tcPr>
          <w:p w14:paraId="0F0BB205" w14:textId="77777777" w:rsidR="005A481C" w:rsidRPr="00990396" w:rsidRDefault="005A481C" w:rsidP="00004062">
            <w:pPr>
              <w:spacing w:line="240" w:lineRule="auto"/>
              <w:jc w:val="both"/>
              <w:rPr>
                <w:sz w:val="16"/>
                <w:szCs w:val="16"/>
              </w:rPr>
            </w:pPr>
            <w:r w:rsidRPr="00990396">
              <w:rPr>
                <w:sz w:val="16"/>
                <w:szCs w:val="16"/>
              </w:rPr>
              <w:t>Credit</w:t>
            </w:r>
          </w:p>
        </w:tc>
        <w:tc>
          <w:tcPr>
            <w:tcW w:w="0" w:type="auto"/>
            <w:hideMark/>
          </w:tcPr>
          <w:p w14:paraId="4EB91A5F" w14:textId="77777777" w:rsidR="005A481C" w:rsidRPr="00990396" w:rsidRDefault="005A481C" w:rsidP="00004062">
            <w:pPr>
              <w:spacing w:line="240" w:lineRule="auto"/>
              <w:jc w:val="both"/>
              <w:rPr>
                <w:sz w:val="16"/>
                <w:szCs w:val="16"/>
              </w:rPr>
            </w:pPr>
            <w:r w:rsidRPr="00990396">
              <w:rPr>
                <w:sz w:val="16"/>
                <w:szCs w:val="16"/>
              </w:rPr>
              <w:t>11 European countries</w:t>
            </w:r>
          </w:p>
        </w:tc>
        <w:tc>
          <w:tcPr>
            <w:tcW w:w="0" w:type="auto"/>
            <w:hideMark/>
          </w:tcPr>
          <w:p w14:paraId="2E357CF7" w14:textId="77777777" w:rsidR="005A481C" w:rsidRPr="00990396" w:rsidRDefault="005A481C" w:rsidP="00004062">
            <w:pPr>
              <w:spacing w:line="240" w:lineRule="auto"/>
              <w:jc w:val="both"/>
              <w:rPr>
                <w:sz w:val="16"/>
                <w:szCs w:val="16"/>
              </w:rPr>
            </w:pPr>
            <w:r w:rsidRPr="00990396">
              <w:rPr>
                <w:sz w:val="16"/>
                <w:szCs w:val="16"/>
              </w:rPr>
              <w:t>SME survey data, 2019–2023</w:t>
            </w:r>
          </w:p>
        </w:tc>
        <w:tc>
          <w:tcPr>
            <w:tcW w:w="0" w:type="auto"/>
            <w:hideMark/>
          </w:tcPr>
          <w:p w14:paraId="5507CA06" w14:textId="77777777" w:rsidR="005A481C" w:rsidRPr="00990396" w:rsidRDefault="005A481C" w:rsidP="00004062">
            <w:pPr>
              <w:spacing w:line="240" w:lineRule="auto"/>
              <w:jc w:val="both"/>
              <w:rPr>
                <w:sz w:val="16"/>
                <w:szCs w:val="16"/>
              </w:rPr>
            </w:pPr>
            <w:r w:rsidRPr="00990396">
              <w:rPr>
                <w:sz w:val="16"/>
                <w:szCs w:val="16"/>
              </w:rPr>
              <w:t>Probability models, fixed effects and robustness tests</w:t>
            </w:r>
          </w:p>
        </w:tc>
        <w:tc>
          <w:tcPr>
            <w:tcW w:w="0" w:type="auto"/>
            <w:hideMark/>
          </w:tcPr>
          <w:p w14:paraId="26DE2E29" w14:textId="77777777" w:rsidR="005A481C" w:rsidRPr="00990396" w:rsidRDefault="005A481C" w:rsidP="00004062">
            <w:pPr>
              <w:spacing w:line="240" w:lineRule="auto"/>
              <w:jc w:val="both"/>
              <w:rPr>
                <w:sz w:val="16"/>
                <w:szCs w:val="16"/>
              </w:rPr>
            </w:pPr>
            <w:r w:rsidRPr="00990396">
              <w:rPr>
                <w:sz w:val="16"/>
                <w:szCs w:val="16"/>
              </w:rPr>
              <w:t>Late payments</w:t>
            </w:r>
          </w:p>
        </w:tc>
        <w:tc>
          <w:tcPr>
            <w:tcW w:w="0" w:type="auto"/>
            <w:hideMark/>
          </w:tcPr>
          <w:p w14:paraId="349D968A" w14:textId="77777777" w:rsidR="005A481C" w:rsidRPr="00990396" w:rsidRDefault="005A481C" w:rsidP="00004062">
            <w:pPr>
              <w:spacing w:line="240" w:lineRule="auto"/>
              <w:jc w:val="both"/>
              <w:rPr>
                <w:sz w:val="16"/>
                <w:szCs w:val="16"/>
              </w:rPr>
            </w:pPr>
            <w:r w:rsidRPr="00990396">
              <w:rPr>
                <w:sz w:val="16"/>
                <w:szCs w:val="16"/>
              </w:rPr>
              <w:t>Credit constraints and financing costs</w:t>
            </w:r>
          </w:p>
        </w:tc>
        <w:tc>
          <w:tcPr>
            <w:tcW w:w="0" w:type="auto"/>
            <w:hideMark/>
          </w:tcPr>
          <w:p w14:paraId="1CA4F617" w14:textId="77777777" w:rsidR="005A481C" w:rsidRPr="00990396" w:rsidRDefault="005A481C" w:rsidP="00004062">
            <w:pPr>
              <w:spacing w:line="240" w:lineRule="auto"/>
              <w:jc w:val="both"/>
              <w:rPr>
                <w:sz w:val="16"/>
                <w:szCs w:val="16"/>
              </w:rPr>
            </w:pPr>
            <w:r w:rsidRPr="00990396">
              <w:rPr>
                <w:sz w:val="16"/>
                <w:szCs w:val="16"/>
              </w:rPr>
              <w:t>Late payments increased financing constraints and borrowing costs</w:t>
            </w:r>
          </w:p>
        </w:tc>
        <w:tc>
          <w:tcPr>
            <w:tcW w:w="0" w:type="auto"/>
            <w:hideMark/>
          </w:tcPr>
          <w:p w14:paraId="7F818E8B" w14:textId="77777777" w:rsidR="005A481C" w:rsidRPr="00990396" w:rsidRDefault="005A481C" w:rsidP="00004062">
            <w:pPr>
              <w:spacing w:line="240" w:lineRule="auto"/>
              <w:jc w:val="both"/>
              <w:rPr>
                <w:sz w:val="16"/>
                <w:szCs w:val="16"/>
              </w:rPr>
            </w:pPr>
            <w:r w:rsidRPr="00990396">
              <w:rPr>
                <w:sz w:val="16"/>
                <w:szCs w:val="16"/>
              </w:rPr>
              <w:t>Repeated cross-sectional data limit causality</w:t>
            </w:r>
          </w:p>
        </w:tc>
        <w:tc>
          <w:tcPr>
            <w:tcW w:w="0" w:type="auto"/>
            <w:hideMark/>
          </w:tcPr>
          <w:p w14:paraId="2846618F" w14:textId="77777777" w:rsidR="005A481C" w:rsidRPr="00990396" w:rsidRDefault="005A481C" w:rsidP="00004062">
            <w:pPr>
              <w:spacing w:line="240" w:lineRule="auto"/>
              <w:jc w:val="both"/>
              <w:rPr>
                <w:sz w:val="16"/>
                <w:szCs w:val="16"/>
              </w:rPr>
            </w:pPr>
            <w:r w:rsidRPr="00990396">
              <w:rPr>
                <w:sz w:val="16"/>
                <w:szCs w:val="16"/>
              </w:rPr>
              <w:t>High to moderate</w:t>
            </w:r>
          </w:p>
        </w:tc>
      </w:tr>
      <w:tr w:rsidR="005A481C" w:rsidRPr="00990396" w14:paraId="17186E11" w14:textId="77777777" w:rsidTr="005A481C">
        <w:tc>
          <w:tcPr>
            <w:tcW w:w="0" w:type="auto"/>
            <w:hideMark/>
          </w:tcPr>
          <w:p w14:paraId="7EE5E3A0" w14:textId="77777777" w:rsidR="005A481C" w:rsidRPr="00990396" w:rsidRDefault="005A481C" w:rsidP="00004062">
            <w:pPr>
              <w:spacing w:line="240" w:lineRule="auto"/>
              <w:jc w:val="both"/>
              <w:rPr>
                <w:sz w:val="16"/>
                <w:szCs w:val="16"/>
              </w:rPr>
            </w:pPr>
            <w:r w:rsidRPr="00990396">
              <w:rPr>
                <w:sz w:val="16"/>
                <w:szCs w:val="16"/>
              </w:rPr>
              <w:t>Lefebvre (2023)</w:t>
            </w:r>
          </w:p>
        </w:tc>
        <w:tc>
          <w:tcPr>
            <w:tcW w:w="0" w:type="auto"/>
            <w:hideMark/>
          </w:tcPr>
          <w:p w14:paraId="545A5A40" w14:textId="77777777" w:rsidR="005A481C" w:rsidRPr="00990396" w:rsidRDefault="005A481C" w:rsidP="00004062">
            <w:pPr>
              <w:spacing w:line="240" w:lineRule="auto"/>
              <w:jc w:val="both"/>
              <w:rPr>
                <w:sz w:val="16"/>
                <w:szCs w:val="16"/>
              </w:rPr>
            </w:pPr>
            <w:r w:rsidRPr="00990396">
              <w:rPr>
                <w:sz w:val="16"/>
                <w:szCs w:val="16"/>
              </w:rPr>
              <w:t>Credit</w:t>
            </w:r>
          </w:p>
        </w:tc>
        <w:tc>
          <w:tcPr>
            <w:tcW w:w="0" w:type="auto"/>
            <w:hideMark/>
          </w:tcPr>
          <w:p w14:paraId="29451D19" w14:textId="77777777" w:rsidR="005A481C" w:rsidRPr="00990396" w:rsidRDefault="005A481C" w:rsidP="00004062">
            <w:pPr>
              <w:spacing w:line="240" w:lineRule="auto"/>
              <w:jc w:val="both"/>
              <w:rPr>
                <w:sz w:val="16"/>
                <w:szCs w:val="16"/>
              </w:rPr>
            </w:pPr>
            <w:r w:rsidRPr="00990396">
              <w:rPr>
                <w:sz w:val="16"/>
                <w:szCs w:val="16"/>
              </w:rPr>
              <w:t>European Union</w:t>
            </w:r>
          </w:p>
        </w:tc>
        <w:tc>
          <w:tcPr>
            <w:tcW w:w="0" w:type="auto"/>
            <w:hideMark/>
          </w:tcPr>
          <w:p w14:paraId="5B7A055F" w14:textId="77777777" w:rsidR="005A481C" w:rsidRPr="00990396" w:rsidRDefault="005A481C" w:rsidP="00004062">
            <w:pPr>
              <w:spacing w:line="240" w:lineRule="auto"/>
              <w:jc w:val="both"/>
              <w:rPr>
                <w:sz w:val="16"/>
                <w:szCs w:val="16"/>
              </w:rPr>
            </w:pPr>
            <w:r w:rsidRPr="00990396">
              <w:rPr>
                <w:sz w:val="16"/>
                <w:szCs w:val="16"/>
              </w:rPr>
              <w:t>Large multi-country SME sample</w:t>
            </w:r>
          </w:p>
        </w:tc>
        <w:tc>
          <w:tcPr>
            <w:tcW w:w="0" w:type="auto"/>
            <w:hideMark/>
          </w:tcPr>
          <w:p w14:paraId="732CFDAD" w14:textId="77777777" w:rsidR="005A481C" w:rsidRPr="00990396" w:rsidRDefault="005A481C" w:rsidP="00004062">
            <w:pPr>
              <w:spacing w:line="240" w:lineRule="auto"/>
              <w:jc w:val="both"/>
              <w:rPr>
                <w:sz w:val="16"/>
                <w:szCs w:val="16"/>
              </w:rPr>
            </w:pPr>
            <w:r w:rsidRPr="00990396">
              <w:rPr>
                <w:sz w:val="16"/>
                <w:szCs w:val="16"/>
              </w:rPr>
              <w:t>Cross-country empirical analysis</w:t>
            </w:r>
          </w:p>
        </w:tc>
        <w:tc>
          <w:tcPr>
            <w:tcW w:w="0" w:type="auto"/>
            <w:hideMark/>
          </w:tcPr>
          <w:p w14:paraId="200CD2D5" w14:textId="77777777" w:rsidR="005A481C" w:rsidRPr="00990396" w:rsidRDefault="005A481C" w:rsidP="00004062">
            <w:pPr>
              <w:spacing w:line="240" w:lineRule="auto"/>
              <w:jc w:val="both"/>
              <w:rPr>
                <w:sz w:val="16"/>
                <w:szCs w:val="16"/>
              </w:rPr>
            </w:pPr>
            <w:r w:rsidRPr="00990396">
              <w:rPr>
                <w:sz w:val="16"/>
                <w:szCs w:val="16"/>
              </w:rPr>
              <w:t>Payment duration and trade credit</w:t>
            </w:r>
          </w:p>
        </w:tc>
        <w:tc>
          <w:tcPr>
            <w:tcW w:w="0" w:type="auto"/>
            <w:hideMark/>
          </w:tcPr>
          <w:p w14:paraId="2700E7F5" w14:textId="77777777" w:rsidR="005A481C" w:rsidRPr="00990396" w:rsidRDefault="005A481C" w:rsidP="00004062">
            <w:pPr>
              <w:spacing w:line="240" w:lineRule="auto"/>
              <w:jc w:val="both"/>
              <w:rPr>
                <w:sz w:val="16"/>
                <w:szCs w:val="16"/>
              </w:rPr>
            </w:pPr>
            <w:r w:rsidRPr="00990396">
              <w:rPr>
                <w:sz w:val="16"/>
                <w:szCs w:val="16"/>
              </w:rPr>
              <w:t>Sales and employment growth</w:t>
            </w:r>
          </w:p>
        </w:tc>
        <w:tc>
          <w:tcPr>
            <w:tcW w:w="0" w:type="auto"/>
            <w:hideMark/>
          </w:tcPr>
          <w:p w14:paraId="68CF6CC8" w14:textId="77777777" w:rsidR="005A481C" w:rsidRPr="00990396" w:rsidRDefault="005A481C" w:rsidP="00004062">
            <w:pPr>
              <w:spacing w:line="240" w:lineRule="auto"/>
              <w:jc w:val="both"/>
              <w:rPr>
                <w:sz w:val="16"/>
                <w:szCs w:val="16"/>
              </w:rPr>
            </w:pPr>
            <w:r w:rsidRPr="00990396">
              <w:rPr>
                <w:sz w:val="16"/>
                <w:szCs w:val="16"/>
              </w:rPr>
              <w:t>Longer payment periods supported growth where payment conditions were reliable</w:t>
            </w:r>
          </w:p>
        </w:tc>
        <w:tc>
          <w:tcPr>
            <w:tcW w:w="0" w:type="auto"/>
            <w:hideMark/>
          </w:tcPr>
          <w:p w14:paraId="788D1922" w14:textId="77777777" w:rsidR="005A481C" w:rsidRPr="00990396" w:rsidRDefault="005A481C" w:rsidP="00004062">
            <w:pPr>
              <w:spacing w:line="240" w:lineRule="auto"/>
              <w:jc w:val="both"/>
              <w:rPr>
                <w:sz w:val="16"/>
                <w:szCs w:val="16"/>
              </w:rPr>
            </w:pPr>
            <w:r w:rsidRPr="00990396">
              <w:rPr>
                <w:sz w:val="16"/>
                <w:szCs w:val="16"/>
              </w:rPr>
              <w:t>Observational design and national heterogeneity</w:t>
            </w:r>
          </w:p>
        </w:tc>
        <w:tc>
          <w:tcPr>
            <w:tcW w:w="0" w:type="auto"/>
            <w:hideMark/>
          </w:tcPr>
          <w:p w14:paraId="580A1D71" w14:textId="77777777" w:rsidR="005A481C" w:rsidRPr="00990396" w:rsidRDefault="005A481C" w:rsidP="00004062">
            <w:pPr>
              <w:spacing w:line="240" w:lineRule="auto"/>
              <w:jc w:val="both"/>
              <w:rPr>
                <w:sz w:val="16"/>
                <w:szCs w:val="16"/>
              </w:rPr>
            </w:pPr>
            <w:r w:rsidRPr="00990396">
              <w:rPr>
                <w:sz w:val="16"/>
                <w:szCs w:val="16"/>
              </w:rPr>
              <w:t>High to moderate</w:t>
            </w:r>
          </w:p>
        </w:tc>
      </w:tr>
      <w:tr w:rsidR="005A481C" w:rsidRPr="00990396" w14:paraId="538A9BF7" w14:textId="77777777" w:rsidTr="005A481C">
        <w:tc>
          <w:tcPr>
            <w:tcW w:w="0" w:type="auto"/>
            <w:hideMark/>
          </w:tcPr>
          <w:p w14:paraId="1F4338E0" w14:textId="77777777" w:rsidR="005A481C" w:rsidRPr="00990396" w:rsidRDefault="005A481C" w:rsidP="00004062">
            <w:pPr>
              <w:spacing w:line="240" w:lineRule="auto"/>
              <w:jc w:val="both"/>
              <w:rPr>
                <w:sz w:val="16"/>
                <w:szCs w:val="16"/>
              </w:rPr>
            </w:pPr>
            <w:r w:rsidRPr="00990396">
              <w:rPr>
                <w:sz w:val="16"/>
                <w:szCs w:val="16"/>
              </w:rPr>
              <w:t>Del Gaudio et al. (2022)</w:t>
            </w:r>
          </w:p>
        </w:tc>
        <w:tc>
          <w:tcPr>
            <w:tcW w:w="0" w:type="auto"/>
            <w:hideMark/>
          </w:tcPr>
          <w:p w14:paraId="70E9B3C7" w14:textId="77777777" w:rsidR="005A481C" w:rsidRPr="00990396" w:rsidRDefault="005A481C" w:rsidP="00004062">
            <w:pPr>
              <w:spacing w:line="240" w:lineRule="auto"/>
              <w:jc w:val="both"/>
              <w:rPr>
                <w:sz w:val="16"/>
                <w:szCs w:val="16"/>
              </w:rPr>
            </w:pPr>
            <w:r w:rsidRPr="00990396">
              <w:rPr>
                <w:sz w:val="16"/>
                <w:szCs w:val="16"/>
              </w:rPr>
              <w:t>Credit</w:t>
            </w:r>
          </w:p>
        </w:tc>
        <w:tc>
          <w:tcPr>
            <w:tcW w:w="0" w:type="auto"/>
            <w:hideMark/>
          </w:tcPr>
          <w:p w14:paraId="50A2C14B" w14:textId="77777777" w:rsidR="005A481C" w:rsidRPr="00990396" w:rsidRDefault="005A481C" w:rsidP="00004062">
            <w:pPr>
              <w:spacing w:line="240" w:lineRule="auto"/>
              <w:jc w:val="both"/>
              <w:rPr>
                <w:sz w:val="16"/>
                <w:szCs w:val="16"/>
              </w:rPr>
            </w:pPr>
            <w:r w:rsidRPr="00990396">
              <w:rPr>
                <w:sz w:val="16"/>
                <w:szCs w:val="16"/>
              </w:rPr>
              <w:t>Italy</w:t>
            </w:r>
          </w:p>
        </w:tc>
        <w:tc>
          <w:tcPr>
            <w:tcW w:w="0" w:type="auto"/>
            <w:hideMark/>
          </w:tcPr>
          <w:p w14:paraId="0EDE3896" w14:textId="77777777" w:rsidR="005A481C" w:rsidRPr="00990396" w:rsidRDefault="005A481C" w:rsidP="00004062">
            <w:pPr>
              <w:spacing w:line="240" w:lineRule="auto"/>
              <w:jc w:val="both"/>
              <w:rPr>
                <w:sz w:val="16"/>
                <w:szCs w:val="16"/>
              </w:rPr>
            </w:pPr>
            <w:r w:rsidRPr="00990396">
              <w:rPr>
                <w:sz w:val="16"/>
                <w:szCs w:val="16"/>
              </w:rPr>
              <w:t>Confidential bank–firm SME loan data</w:t>
            </w:r>
          </w:p>
        </w:tc>
        <w:tc>
          <w:tcPr>
            <w:tcW w:w="0" w:type="auto"/>
            <w:hideMark/>
          </w:tcPr>
          <w:p w14:paraId="7E2D79E7" w14:textId="77777777" w:rsidR="005A481C" w:rsidRPr="00990396" w:rsidRDefault="005A481C" w:rsidP="00004062">
            <w:pPr>
              <w:spacing w:line="240" w:lineRule="auto"/>
              <w:jc w:val="both"/>
              <w:rPr>
                <w:sz w:val="16"/>
                <w:szCs w:val="16"/>
              </w:rPr>
            </w:pPr>
            <w:r w:rsidRPr="00990396">
              <w:rPr>
                <w:sz w:val="16"/>
                <w:szCs w:val="16"/>
              </w:rPr>
              <w:t>Loan-level empirical analysis</w:t>
            </w:r>
          </w:p>
        </w:tc>
        <w:tc>
          <w:tcPr>
            <w:tcW w:w="0" w:type="auto"/>
            <w:hideMark/>
          </w:tcPr>
          <w:p w14:paraId="31AA8197" w14:textId="77777777" w:rsidR="005A481C" w:rsidRPr="00990396" w:rsidRDefault="005A481C" w:rsidP="00004062">
            <w:pPr>
              <w:spacing w:line="240" w:lineRule="auto"/>
              <w:jc w:val="both"/>
              <w:rPr>
                <w:sz w:val="16"/>
                <w:szCs w:val="16"/>
              </w:rPr>
            </w:pPr>
            <w:r w:rsidRPr="00990396">
              <w:rPr>
                <w:sz w:val="16"/>
                <w:szCs w:val="16"/>
              </w:rPr>
              <w:t>Trade credit signalling</w:t>
            </w:r>
          </w:p>
        </w:tc>
        <w:tc>
          <w:tcPr>
            <w:tcW w:w="0" w:type="auto"/>
            <w:hideMark/>
          </w:tcPr>
          <w:p w14:paraId="753A3C45" w14:textId="77777777" w:rsidR="005A481C" w:rsidRPr="00990396" w:rsidRDefault="005A481C" w:rsidP="00004062">
            <w:pPr>
              <w:spacing w:line="240" w:lineRule="auto"/>
              <w:jc w:val="both"/>
              <w:rPr>
                <w:sz w:val="16"/>
                <w:szCs w:val="16"/>
              </w:rPr>
            </w:pPr>
            <w:r w:rsidRPr="00990396">
              <w:rPr>
                <w:sz w:val="16"/>
                <w:szCs w:val="16"/>
              </w:rPr>
              <w:t>Bank-loan approval</w:t>
            </w:r>
          </w:p>
        </w:tc>
        <w:tc>
          <w:tcPr>
            <w:tcW w:w="0" w:type="auto"/>
            <w:hideMark/>
          </w:tcPr>
          <w:p w14:paraId="562708AB" w14:textId="77777777" w:rsidR="005A481C" w:rsidRPr="00990396" w:rsidRDefault="005A481C" w:rsidP="00004062">
            <w:pPr>
              <w:spacing w:line="240" w:lineRule="auto"/>
              <w:jc w:val="both"/>
              <w:rPr>
                <w:sz w:val="16"/>
                <w:szCs w:val="16"/>
              </w:rPr>
            </w:pPr>
            <w:r w:rsidRPr="00990396">
              <w:rPr>
                <w:sz w:val="16"/>
                <w:szCs w:val="16"/>
              </w:rPr>
              <w:t>Trade credit increased loan-approval probability, especially for opaque SMEs</w:t>
            </w:r>
          </w:p>
        </w:tc>
        <w:tc>
          <w:tcPr>
            <w:tcW w:w="0" w:type="auto"/>
            <w:hideMark/>
          </w:tcPr>
          <w:p w14:paraId="32846DA6" w14:textId="77777777" w:rsidR="005A481C" w:rsidRPr="00990396" w:rsidRDefault="005A481C" w:rsidP="00004062">
            <w:pPr>
              <w:spacing w:line="240" w:lineRule="auto"/>
              <w:jc w:val="both"/>
              <w:rPr>
                <w:sz w:val="16"/>
                <w:szCs w:val="16"/>
              </w:rPr>
            </w:pPr>
            <w:r w:rsidRPr="00990396">
              <w:rPr>
                <w:sz w:val="16"/>
                <w:szCs w:val="16"/>
              </w:rPr>
              <w:t>One national banking context; financing approval is not profitability</w:t>
            </w:r>
          </w:p>
        </w:tc>
        <w:tc>
          <w:tcPr>
            <w:tcW w:w="0" w:type="auto"/>
            <w:hideMark/>
          </w:tcPr>
          <w:p w14:paraId="1D6F57DE" w14:textId="77777777" w:rsidR="005A481C" w:rsidRPr="00990396" w:rsidRDefault="005A481C" w:rsidP="00004062">
            <w:pPr>
              <w:spacing w:line="240" w:lineRule="auto"/>
              <w:jc w:val="both"/>
              <w:rPr>
                <w:sz w:val="16"/>
                <w:szCs w:val="16"/>
              </w:rPr>
            </w:pPr>
            <w:r w:rsidRPr="00990396">
              <w:rPr>
                <w:sz w:val="16"/>
                <w:szCs w:val="16"/>
              </w:rPr>
              <w:t>Moderate</w:t>
            </w:r>
          </w:p>
        </w:tc>
      </w:tr>
      <w:tr w:rsidR="005A481C" w:rsidRPr="00990396" w14:paraId="2CA8F3D5" w14:textId="77777777" w:rsidTr="005A481C">
        <w:tc>
          <w:tcPr>
            <w:tcW w:w="0" w:type="auto"/>
            <w:hideMark/>
          </w:tcPr>
          <w:p w14:paraId="078E350A" w14:textId="77777777" w:rsidR="005A481C" w:rsidRPr="00990396" w:rsidRDefault="005A481C" w:rsidP="00004062">
            <w:pPr>
              <w:spacing w:line="240" w:lineRule="auto"/>
              <w:jc w:val="both"/>
              <w:rPr>
                <w:sz w:val="16"/>
                <w:szCs w:val="16"/>
              </w:rPr>
            </w:pPr>
            <w:r w:rsidRPr="00990396">
              <w:rPr>
                <w:sz w:val="16"/>
                <w:szCs w:val="16"/>
              </w:rPr>
              <w:t>Baker et al. (2022)</w:t>
            </w:r>
          </w:p>
        </w:tc>
        <w:tc>
          <w:tcPr>
            <w:tcW w:w="0" w:type="auto"/>
            <w:hideMark/>
          </w:tcPr>
          <w:p w14:paraId="75958018" w14:textId="77777777" w:rsidR="005A481C" w:rsidRPr="00990396" w:rsidRDefault="005A481C" w:rsidP="00004062">
            <w:pPr>
              <w:spacing w:line="240" w:lineRule="auto"/>
              <w:jc w:val="both"/>
              <w:rPr>
                <w:sz w:val="16"/>
                <w:szCs w:val="16"/>
              </w:rPr>
            </w:pPr>
            <w:r w:rsidRPr="00990396">
              <w:rPr>
                <w:sz w:val="16"/>
                <w:szCs w:val="16"/>
              </w:rPr>
              <w:t>Credit</w:t>
            </w:r>
          </w:p>
        </w:tc>
        <w:tc>
          <w:tcPr>
            <w:tcW w:w="0" w:type="auto"/>
            <w:hideMark/>
          </w:tcPr>
          <w:p w14:paraId="03601328" w14:textId="77777777" w:rsidR="005A481C" w:rsidRPr="00990396" w:rsidRDefault="005A481C" w:rsidP="00004062">
            <w:pPr>
              <w:spacing w:line="240" w:lineRule="auto"/>
              <w:jc w:val="both"/>
              <w:rPr>
                <w:sz w:val="16"/>
                <w:szCs w:val="16"/>
              </w:rPr>
            </w:pPr>
            <w:r w:rsidRPr="00990396">
              <w:rPr>
                <w:sz w:val="16"/>
                <w:szCs w:val="16"/>
              </w:rPr>
              <w:t>India</w:t>
            </w:r>
          </w:p>
        </w:tc>
        <w:tc>
          <w:tcPr>
            <w:tcW w:w="0" w:type="auto"/>
            <w:hideMark/>
          </w:tcPr>
          <w:p w14:paraId="17CB9184" w14:textId="77777777" w:rsidR="005A481C" w:rsidRPr="00990396" w:rsidRDefault="005A481C" w:rsidP="00004062">
            <w:pPr>
              <w:spacing w:line="240" w:lineRule="auto"/>
              <w:jc w:val="both"/>
              <w:rPr>
                <w:sz w:val="16"/>
                <w:szCs w:val="16"/>
              </w:rPr>
            </w:pPr>
            <w:r w:rsidRPr="00990396">
              <w:rPr>
                <w:sz w:val="16"/>
                <w:szCs w:val="16"/>
              </w:rPr>
              <w:t>1,660 firm-year observations</w:t>
            </w:r>
          </w:p>
        </w:tc>
        <w:tc>
          <w:tcPr>
            <w:tcW w:w="0" w:type="auto"/>
            <w:hideMark/>
          </w:tcPr>
          <w:p w14:paraId="779A4054" w14:textId="77777777" w:rsidR="005A481C" w:rsidRPr="00990396" w:rsidRDefault="005A481C" w:rsidP="00004062">
            <w:pPr>
              <w:spacing w:line="240" w:lineRule="auto"/>
              <w:jc w:val="both"/>
              <w:rPr>
                <w:sz w:val="16"/>
                <w:szCs w:val="16"/>
              </w:rPr>
            </w:pPr>
            <w:r w:rsidRPr="00990396">
              <w:rPr>
                <w:sz w:val="16"/>
                <w:szCs w:val="16"/>
              </w:rPr>
              <w:t>Nonlinear panel analysis</w:t>
            </w:r>
          </w:p>
        </w:tc>
        <w:tc>
          <w:tcPr>
            <w:tcW w:w="0" w:type="auto"/>
            <w:hideMark/>
          </w:tcPr>
          <w:p w14:paraId="73A2CC60" w14:textId="77777777" w:rsidR="005A481C" w:rsidRPr="00990396" w:rsidRDefault="005A481C" w:rsidP="00004062">
            <w:pPr>
              <w:spacing w:line="240" w:lineRule="auto"/>
              <w:jc w:val="both"/>
              <w:rPr>
                <w:sz w:val="16"/>
                <w:szCs w:val="16"/>
              </w:rPr>
            </w:pPr>
            <w:r w:rsidRPr="00990396">
              <w:rPr>
                <w:sz w:val="16"/>
                <w:szCs w:val="16"/>
              </w:rPr>
              <w:t>Trade-credit level</w:t>
            </w:r>
          </w:p>
        </w:tc>
        <w:tc>
          <w:tcPr>
            <w:tcW w:w="0" w:type="auto"/>
            <w:hideMark/>
          </w:tcPr>
          <w:p w14:paraId="47877470" w14:textId="77777777" w:rsidR="005A481C" w:rsidRPr="00990396" w:rsidRDefault="005A481C" w:rsidP="00004062">
            <w:pPr>
              <w:spacing w:line="240" w:lineRule="auto"/>
              <w:jc w:val="both"/>
              <w:rPr>
                <w:sz w:val="16"/>
                <w:szCs w:val="16"/>
              </w:rPr>
            </w:pPr>
            <w:r w:rsidRPr="00990396">
              <w:rPr>
                <w:sz w:val="16"/>
                <w:szCs w:val="16"/>
              </w:rPr>
              <w:t>Profitability</w:t>
            </w:r>
          </w:p>
        </w:tc>
        <w:tc>
          <w:tcPr>
            <w:tcW w:w="0" w:type="auto"/>
            <w:hideMark/>
          </w:tcPr>
          <w:p w14:paraId="328AC661" w14:textId="77777777" w:rsidR="005A481C" w:rsidRPr="00990396" w:rsidRDefault="005A481C" w:rsidP="00004062">
            <w:pPr>
              <w:spacing w:line="240" w:lineRule="auto"/>
              <w:jc w:val="both"/>
              <w:rPr>
                <w:sz w:val="16"/>
                <w:szCs w:val="16"/>
              </w:rPr>
            </w:pPr>
            <w:r w:rsidRPr="00990396">
              <w:rPr>
                <w:sz w:val="16"/>
                <w:szCs w:val="16"/>
              </w:rPr>
              <w:t>Inverted-U relationship between trade credit and profitability</w:t>
            </w:r>
          </w:p>
        </w:tc>
        <w:tc>
          <w:tcPr>
            <w:tcW w:w="0" w:type="auto"/>
            <w:hideMark/>
          </w:tcPr>
          <w:p w14:paraId="10E93AFA" w14:textId="77777777" w:rsidR="005A481C" w:rsidRPr="00990396" w:rsidRDefault="005A481C" w:rsidP="00004062">
            <w:pPr>
              <w:spacing w:line="240" w:lineRule="auto"/>
              <w:jc w:val="both"/>
              <w:rPr>
                <w:sz w:val="16"/>
                <w:szCs w:val="16"/>
              </w:rPr>
            </w:pPr>
            <w:r w:rsidRPr="00990396">
              <w:rPr>
                <w:sz w:val="16"/>
                <w:szCs w:val="16"/>
              </w:rPr>
              <w:t>Listed corporations rather than SMEs</w:t>
            </w:r>
          </w:p>
        </w:tc>
        <w:tc>
          <w:tcPr>
            <w:tcW w:w="0" w:type="auto"/>
            <w:hideMark/>
          </w:tcPr>
          <w:p w14:paraId="5E884416" w14:textId="77777777" w:rsidR="005A481C" w:rsidRPr="00990396" w:rsidRDefault="005A481C" w:rsidP="00004062">
            <w:pPr>
              <w:spacing w:line="240" w:lineRule="auto"/>
              <w:jc w:val="both"/>
              <w:rPr>
                <w:sz w:val="16"/>
                <w:szCs w:val="16"/>
              </w:rPr>
            </w:pPr>
            <w:r w:rsidRPr="00990396">
              <w:rPr>
                <w:sz w:val="16"/>
                <w:szCs w:val="16"/>
              </w:rPr>
              <w:t>Moderate to low</w:t>
            </w:r>
          </w:p>
        </w:tc>
      </w:tr>
      <w:tr w:rsidR="005A481C" w:rsidRPr="00990396" w14:paraId="262A176F" w14:textId="77777777" w:rsidTr="005A481C">
        <w:tc>
          <w:tcPr>
            <w:tcW w:w="0" w:type="auto"/>
            <w:hideMark/>
          </w:tcPr>
          <w:p w14:paraId="689F052C" w14:textId="77777777" w:rsidR="005A481C" w:rsidRPr="00990396" w:rsidRDefault="005A481C" w:rsidP="00004062">
            <w:pPr>
              <w:spacing w:line="240" w:lineRule="auto"/>
              <w:jc w:val="both"/>
              <w:rPr>
                <w:sz w:val="16"/>
                <w:szCs w:val="16"/>
              </w:rPr>
            </w:pPr>
            <w:proofErr w:type="spellStart"/>
            <w:r w:rsidRPr="00990396">
              <w:rPr>
                <w:sz w:val="16"/>
                <w:szCs w:val="16"/>
              </w:rPr>
              <w:t>Belghitar</w:t>
            </w:r>
            <w:proofErr w:type="spellEnd"/>
            <w:r w:rsidRPr="00990396">
              <w:rPr>
                <w:sz w:val="16"/>
                <w:szCs w:val="16"/>
              </w:rPr>
              <w:t xml:space="preserve"> et al. (2021)</w:t>
            </w:r>
          </w:p>
        </w:tc>
        <w:tc>
          <w:tcPr>
            <w:tcW w:w="0" w:type="auto"/>
            <w:hideMark/>
          </w:tcPr>
          <w:p w14:paraId="37965E2C" w14:textId="77777777" w:rsidR="005A481C" w:rsidRPr="00990396" w:rsidRDefault="005A481C" w:rsidP="00004062">
            <w:pPr>
              <w:spacing w:line="240" w:lineRule="auto"/>
              <w:jc w:val="both"/>
              <w:rPr>
                <w:sz w:val="16"/>
                <w:szCs w:val="16"/>
              </w:rPr>
            </w:pPr>
            <w:r w:rsidRPr="00990396">
              <w:rPr>
                <w:sz w:val="16"/>
                <w:szCs w:val="16"/>
              </w:rPr>
              <w:t>Market</w:t>
            </w:r>
          </w:p>
        </w:tc>
        <w:tc>
          <w:tcPr>
            <w:tcW w:w="0" w:type="auto"/>
            <w:hideMark/>
          </w:tcPr>
          <w:p w14:paraId="1EA79B1F" w14:textId="77777777" w:rsidR="005A481C" w:rsidRPr="00990396" w:rsidRDefault="005A481C" w:rsidP="00004062">
            <w:pPr>
              <w:spacing w:line="240" w:lineRule="auto"/>
              <w:jc w:val="both"/>
              <w:rPr>
                <w:sz w:val="16"/>
                <w:szCs w:val="16"/>
              </w:rPr>
            </w:pPr>
            <w:r w:rsidRPr="00990396">
              <w:rPr>
                <w:sz w:val="16"/>
                <w:szCs w:val="16"/>
              </w:rPr>
              <w:t>UK</w:t>
            </w:r>
          </w:p>
        </w:tc>
        <w:tc>
          <w:tcPr>
            <w:tcW w:w="0" w:type="auto"/>
            <w:hideMark/>
          </w:tcPr>
          <w:p w14:paraId="1EF6C5A3" w14:textId="77777777" w:rsidR="005A481C" w:rsidRPr="00990396" w:rsidRDefault="005A481C" w:rsidP="00004062">
            <w:pPr>
              <w:spacing w:line="240" w:lineRule="auto"/>
              <w:jc w:val="both"/>
              <w:rPr>
                <w:sz w:val="16"/>
                <w:szCs w:val="16"/>
              </w:rPr>
            </w:pPr>
            <w:r w:rsidRPr="00990396">
              <w:rPr>
                <w:sz w:val="16"/>
                <w:szCs w:val="16"/>
              </w:rPr>
              <w:t>250 non-financial SMEs</w:t>
            </w:r>
          </w:p>
        </w:tc>
        <w:tc>
          <w:tcPr>
            <w:tcW w:w="0" w:type="auto"/>
            <w:hideMark/>
          </w:tcPr>
          <w:p w14:paraId="7C08BBBA" w14:textId="77777777" w:rsidR="005A481C" w:rsidRPr="00990396" w:rsidRDefault="005A481C" w:rsidP="00004062">
            <w:pPr>
              <w:spacing w:line="240" w:lineRule="auto"/>
              <w:jc w:val="both"/>
              <w:rPr>
                <w:sz w:val="16"/>
                <w:szCs w:val="16"/>
              </w:rPr>
            </w:pPr>
            <w:r w:rsidRPr="00990396">
              <w:rPr>
                <w:sz w:val="16"/>
                <w:szCs w:val="16"/>
              </w:rPr>
              <w:t>Asymmetric time-varying modelling</w:t>
            </w:r>
          </w:p>
        </w:tc>
        <w:tc>
          <w:tcPr>
            <w:tcW w:w="0" w:type="auto"/>
            <w:hideMark/>
          </w:tcPr>
          <w:p w14:paraId="7616D3A4" w14:textId="77777777" w:rsidR="005A481C" w:rsidRPr="00990396" w:rsidRDefault="005A481C" w:rsidP="00004062">
            <w:pPr>
              <w:spacing w:line="240" w:lineRule="auto"/>
              <w:jc w:val="both"/>
              <w:rPr>
                <w:sz w:val="16"/>
                <w:szCs w:val="16"/>
              </w:rPr>
            </w:pPr>
            <w:r w:rsidRPr="00990396">
              <w:rPr>
                <w:sz w:val="16"/>
                <w:szCs w:val="16"/>
              </w:rPr>
              <w:t>Exchange-rate exposure</w:t>
            </w:r>
          </w:p>
        </w:tc>
        <w:tc>
          <w:tcPr>
            <w:tcW w:w="0" w:type="auto"/>
            <w:hideMark/>
          </w:tcPr>
          <w:p w14:paraId="64C22B32" w14:textId="77777777" w:rsidR="005A481C" w:rsidRPr="00990396" w:rsidRDefault="005A481C" w:rsidP="00004062">
            <w:pPr>
              <w:spacing w:line="240" w:lineRule="auto"/>
              <w:jc w:val="both"/>
              <w:rPr>
                <w:sz w:val="16"/>
                <w:szCs w:val="16"/>
              </w:rPr>
            </w:pPr>
            <w:r w:rsidRPr="00990396">
              <w:rPr>
                <w:sz w:val="16"/>
                <w:szCs w:val="16"/>
              </w:rPr>
              <w:t>Stock-market performance</w:t>
            </w:r>
          </w:p>
        </w:tc>
        <w:tc>
          <w:tcPr>
            <w:tcW w:w="0" w:type="auto"/>
            <w:hideMark/>
          </w:tcPr>
          <w:p w14:paraId="07FFF74E" w14:textId="77777777" w:rsidR="005A481C" w:rsidRPr="00990396" w:rsidRDefault="005A481C" w:rsidP="00004062">
            <w:pPr>
              <w:spacing w:line="240" w:lineRule="auto"/>
              <w:jc w:val="both"/>
              <w:rPr>
                <w:sz w:val="16"/>
                <w:szCs w:val="16"/>
              </w:rPr>
            </w:pPr>
            <w:r w:rsidRPr="00990396">
              <w:rPr>
                <w:sz w:val="16"/>
                <w:szCs w:val="16"/>
              </w:rPr>
              <w:t>Sterling, dollar and euro fluctuations affected SMEs differently</w:t>
            </w:r>
          </w:p>
        </w:tc>
        <w:tc>
          <w:tcPr>
            <w:tcW w:w="0" w:type="auto"/>
            <w:hideMark/>
          </w:tcPr>
          <w:p w14:paraId="01BF3286" w14:textId="77777777" w:rsidR="005A481C" w:rsidRPr="00990396" w:rsidRDefault="005A481C" w:rsidP="00004062">
            <w:pPr>
              <w:spacing w:line="240" w:lineRule="auto"/>
              <w:jc w:val="both"/>
              <w:rPr>
                <w:sz w:val="16"/>
                <w:szCs w:val="16"/>
              </w:rPr>
            </w:pPr>
            <w:r w:rsidRPr="00990396">
              <w:rPr>
                <w:sz w:val="16"/>
                <w:szCs w:val="16"/>
              </w:rPr>
              <w:t>Publicly traded SMEs; hedging practices not directly measured</w:t>
            </w:r>
          </w:p>
        </w:tc>
        <w:tc>
          <w:tcPr>
            <w:tcW w:w="0" w:type="auto"/>
            <w:hideMark/>
          </w:tcPr>
          <w:p w14:paraId="1F01E139" w14:textId="77777777" w:rsidR="005A481C" w:rsidRPr="00990396" w:rsidRDefault="005A481C" w:rsidP="00004062">
            <w:pPr>
              <w:spacing w:line="240" w:lineRule="auto"/>
              <w:jc w:val="both"/>
              <w:rPr>
                <w:sz w:val="16"/>
                <w:szCs w:val="16"/>
              </w:rPr>
            </w:pPr>
            <w:r w:rsidRPr="00990396">
              <w:rPr>
                <w:sz w:val="16"/>
                <w:szCs w:val="16"/>
              </w:rPr>
              <w:t>High</w:t>
            </w:r>
          </w:p>
        </w:tc>
      </w:tr>
      <w:tr w:rsidR="005A481C" w:rsidRPr="00990396" w14:paraId="270A6BA4" w14:textId="77777777" w:rsidTr="005A481C">
        <w:tc>
          <w:tcPr>
            <w:tcW w:w="0" w:type="auto"/>
            <w:hideMark/>
          </w:tcPr>
          <w:p w14:paraId="37D1D1FE" w14:textId="77777777" w:rsidR="005A481C" w:rsidRPr="00990396" w:rsidRDefault="005A481C" w:rsidP="00004062">
            <w:pPr>
              <w:spacing w:line="240" w:lineRule="auto"/>
              <w:jc w:val="both"/>
              <w:rPr>
                <w:sz w:val="16"/>
                <w:szCs w:val="16"/>
              </w:rPr>
            </w:pPr>
            <w:r w:rsidRPr="00990396">
              <w:rPr>
                <w:sz w:val="16"/>
                <w:szCs w:val="16"/>
              </w:rPr>
              <w:lastRenderedPageBreak/>
              <w:t>Dang and Lindsay (2022)</w:t>
            </w:r>
          </w:p>
        </w:tc>
        <w:tc>
          <w:tcPr>
            <w:tcW w:w="0" w:type="auto"/>
            <w:hideMark/>
          </w:tcPr>
          <w:p w14:paraId="0771E0DB" w14:textId="77777777" w:rsidR="005A481C" w:rsidRPr="00990396" w:rsidRDefault="005A481C" w:rsidP="00004062">
            <w:pPr>
              <w:spacing w:line="240" w:lineRule="auto"/>
              <w:jc w:val="both"/>
              <w:rPr>
                <w:sz w:val="16"/>
                <w:szCs w:val="16"/>
              </w:rPr>
            </w:pPr>
            <w:r w:rsidRPr="00990396">
              <w:rPr>
                <w:sz w:val="16"/>
                <w:szCs w:val="16"/>
              </w:rPr>
              <w:t>Market</w:t>
            </w:r>
          </w:p>
        </w:tc>
        <w:tc>
          <w:tcPr>
            <w:tcW w:w="0" w:type="auto"/>
            <w:hideMark/>
          </w:tcPr>
          <w:p w14:paraId="36CBF465" w14:textId="77777777" w:rsidR="005A481C" w:rsidRPr="00990396" w:rsidRDefault="005A481C" w:rsidP="00004062">
            <w:pPr>
              <w:spacing w:line="240" w:lineRule="auto"/>
              <w:jc w:val="both"/>
              <w:rPr>
                <w:sz w:val="16"/>
                <w:szCs w:val="16"/>
              </w:rPr>
            </w:pPr>
            <w:r w:rsidRPr="00990396">
              <w:rPr>
                <w:sz w:val="16"/>
                <w:szCs w:val="16"/>
              </w:rPr>
              <w:t>Australia and New Zealand</w:t>
            </w:r>
          </w:p>
        </w:tc>
        <w:tc>
          <w:tcPr>
            <w:tcW w:w="0" w:type="auto"/>
            <w:hideMark/>
          </w:tcPr>
          <w:p w14:paraId="496BA16E" w14:textId="77777777" w:rsidR="005A481C" w:rsidRPr="00990396" w:rsidRDefault="005A481C" w:rsidP="00004062">
            <w:pPr>
              <w:spacing w:line="240" w:lineRule="auto"/>
              <w:jc w:val="both"/>
              <w:rPr>
                <w:sz w:val="16"/>
                <w:szCs w:val="16"/>
              </w:rPr>
            </w:pPr>
            <w:r w:rsidRPr="00990396">
              <w:rPr>
                <w:sz w:val="16"/>
                <w:szCs w:val="16"/>
              </w:rPr>
              <w:t>177 exporting SMEs</w:t>
            </w:r>
          </w:p>
        </w:tc>
        <w:tc>
          <w:tcPr>
            <w:tcW w:w="0" w:type="auto"/>
            <w:hideMark/>
          </w:tcPr>
          <w:p w14:paraId="411CD187" w14:textId="77777777" w:rsidR="005A481C" w:rsidRPr="00990396" w:rsidRDefault="005A481C" w:rsidP="00004062">
            <w:pPr>
              <w:spacing w:line="240" w:lineRule="auto"/>
              <w:jc w:val="both"/>
              <w:rPr>
                <w:sz w:val="16"/>
                <w:szCs w:val="16"/>
              </w:rPr>
            </w:pPr>
            <w:r w:rsidRPr="00990396">
              <w:rPr>
                <w:sz w:val="16"/>
                <w:szCs w:val="16"/>
              </w:rPr>
              <w:t>EFA, CFA and SEM</w:t>
            </w:r>
          </w:p>
        </w:tc>
        <w:tc>
          <w:tcPr>
            <w:tcW w:w="0" w:type="auto"/>
            <w:hideMark/>
          </w:tcPr>
          <w:p w14:paraId="099EF659" w14:textId="77777777" w:rsidR="005A481C" w:rsidRPr="00990396" w:rsidRDefault="005A481C" w:rsidP="00004062">
            <w:pPr>
              <w:spacing w:line="240" w:lineRule="auto"/>
              <w:jc w:val="both"/>
              <w:rPr>
                <w:sz w:val="16"/>
                <w:szCs w:val="16"/>
              </w:rPr>
            </w:pPr>
            <w:r w:rsidRPr="00990396">
              <w:rPr>
                <w:sz w:val="16"/>
                <w:szCs w:val="16"/>
              </w:rPr>
              <w:t>Foreign-exchange hedging</w:t>
            </w:r>
          </w:p>
        </w:tc>
        <w:tc>
          <w:tcPr>
            <w:tcW w:w="0" w:type="auto"/>
            <w:hideMark/>
          </w:tcPr>
          <w:p w14:paraId="325D60B1" w14:textId="77777777" w:rsidR="005A481C" w:rsidRPr="00990396" w:rsidRDefault="005A481C" w:rsidP="00004062">
            <w:pPr>
              <w:spacing w:line="240" w:lineRule="auto"/>
              <w:jc w:val="both"/>
              <w:rPr>
                <w:sz w:val="16"/>
                <w:szCs w:val="16"/>
              </w:rPr>
            </w:pPr>
            <w:r w:rsidRPr="00990396">
              <w:rPr>
                <w:sz w:val="16"/>
                <w:szCs w:val="16"/>
              </w:rPr>
              <w:t>Hedging strategy</w:t>
            </w:r>
          </w:p>
        </w:tc>
        <w:tc>
          <w:tcPr>
            <w:tcW w:w="0" w:type="auto"/>
            <w:hideMark/>
          </w:tcPr>
          <w:p w14:paraId="43532E28" w14:textId="77777777" w:rsidR="005A481C" w:rsidRPr="00990396" w:rsidRDefault="005A481C" w:rsidP="00004062">
            <w:pPr>
              <w:spacing w:line="240" w:lineRule="auto"/>
              <w:jc w:val="both"/>
              <w:rPr>
                <w:sz w:val="16"/>
                <w:szCs w:val="16"/>
              </w:rPr>
            </w:pPr>
            <w:r w:rsidRPr="00990396">
              <w:rPr>
                <w:sz w:val="16"/>
                <w:szCs w:val="16"/>
              </w:rPr>
              <w:t>Organisational and human resources influenced hedging strategy</w:t>
            </w:r>
          </w:p>
        </w:tc>
        <w:tc>
          <w:tcPr>
            <w:tcW w:w="0" w:type="auto"/>
            <w:hideMark/>
          </w:tcPr>
          <w:p w14:paraId="691E95C9" w14:textId="77777777" w:rsidR="005A481C" w:rsidRPr="00990396" w:rsidRDefault="005A481C" w:rsidP="00004062">
            <w:pPr>
              <w:spacing w:line="240" w:lineRule="auto"/>
              <w:jc w:val="both"/>
              <w:rPr>
                <w:sz w:val="16"/>
                <w:szCs w:val="16"/>
              </w:rPr>
            </w:pPr>
            <w:r w:rsidRPr="00990396">
              <w:rPr>
                <w:sz w:val="16"/>
                <w:szCs w:val="16"/>
              </w:rPr>
              <w:t>Cross-sectional self-reporting and no direct performance outcome</w:t>
            </w:r>
          </w:p>
        </w:tc>
        <w:tc>
          <w:tcPr>
            <w:tcW w:w="0" w:type="auto"/>
            <w:hideMark/>
          </w:tcPr>
          <w:p w14:paraId="55653761" w14:textId="77777777" w:rsidR="005A481C" w:rsidRPr="00990396" w:rsidRDefault="005A481C" w:rsidP="00004062">
            <w:pPr>
              <w:spacing w:line="240" w:lineRule="auto"/>
              <w:jc w:val="both"/>
              <w:rPr>
                <w:sz w:val="16"/>
                <w:szCs w:val="16"/>
              </w:rPr>
            </w:pPr>
            <w:r w:rsidRPr="00990396">
              <w:rPr>
                <w:sz w:val="16"/>
                <w:szCs w:val="16"/>
              </w:rPr>
              <w:t>Moderate</w:t>
            </w:r>
          </w:p>
        </w:tc>
      </w:tr>
      <w:tr w:rsidR="005A481C" w:rsidRPr="00990396" w14:paraId="54BD89D1" w14:textId="77777777" w:rsidTr="005A481C">
        <w:tc>
          <w:tcPr>
            <w:tcW w:w="0" w:type="auto"/>
            <w:hideMark/>
          </w:tcPr>
          <w:p w14:paraId="55D03F87" w14:textId="77777777" w:rsidR="005A481C" w:rsidRPr="00990396" w:rsidRDefault="005A481C" w:rsidP="00004062">
            <w:pPr>
              <w:spacing w:line="240" w:lineRule="auto"/>
              <w:jc w:val="both"/>
              <w:rPr>
                <w:sz w:val="16"/>
                <w:szCs w:val="16"/>
              </w:rPr>
            </w:pPr>
            <w:r w:rsidRPr="00990396">
              <w:rPr>
                <w:sz w:val="16"/>
                <w:szCs w:val="16"/>
              </w:rPr>
              <w:t>Orden-Cruz et al. (2024)</w:t>
            </w:r>
          </w:p>
        </w:tc>
        <w:tc>
          <w:tcPr>
            <w:tcW w:w="0" w:type="auto"/>
            <w:hideMark/>
          </w:tcPr>
          <w:p w14:paraId="31220CCA" w14:textId="77777777" w:rsidR="005A481C" w:rsidRPr="00990396" w:rsidRDefault="005A481C" w:rsidP="00004062">
            <w:pPr>
              <w:spacing w:line="240" w:lineRule="auto"/>
              <w:jc w:val="both"/>
              <w:rPr>
                <w:sz w:val="16"/>
                <w:szCs w:val="16"/>
              </w:rPr>
            </w:pPr>
            <w:r w:rsidRPr="00990396">
              <w:rPr>
                <w:sz w:val="16"/>
                <w:szCs w:val="16"/>
              </w:rPr>
              <w:t>Market</w:t>
            </w:r>
          </w:p>
        </w:tc>
        <w:tc>
          <w:tcPr>
            <w:tcW w:w="0" w:type="auto"/>
            <w:hideMark/>
          </w:tcPr>
          <w:p w14:paraId="025166B2" w14:textId="77777777" w:rsidR="005A481C" w:rsidRPr="00990396" w:rsidRDefault="005A481C" w:rsidP="00004062">
            <w:pPr>
              <w:spacing w:line="240" w:lineRule="auto"/>
              <w:jc w:val="both"/>
              <w:rPr>
                <w:sz w:val="16"/>
                <w:szCs w:val="16"/>
              </w:rPr>
            </w:pPr>
            <w:r w:rsidRPr="00990396">
              <w:rPr>
                <w:sz w:val="16"/>
                <w:szCs w:val="16"/>
              </w:rPr>
              <w:t>Spain</w:t>
            </w:r>
          </w:p>
        </w:tc>
        <w:tc>
          <w:tcPr>
            <w:tcW w:w="0" w:type="auto"/>
            <w:hideMark/>
          </w:tcPr>
          <w:p w14:paraId="07DD6ED1" w14:textId="77777777" w:rsidR="005A481C" w:rsidRPr="00990396" w:rsidRDefault="005A481C" w:rsidP="00004062">
            <w:pPr>
              <w:spacing w:line="240" w:lineRule="auto"/>
              <w:jc w:val="both"/>
              <w:rPr>
                <w:sz w:val="16"/>
                <w:szCs w:val="16"/>
              </w:rPr>
            </w:pPr>
            <w:r w:rsidRPr="00990396">
              <w:rPr>
                <w:sz w:val="16"/>
                <w:szCs w:val="16"/>
              </w:rPr>
              <w:t>80,620 SMEs, 2012–2020</w:t>
            </w:r>
          </w:p>
        </w:tc>
        <w:tc>
          <w:tcPr>
            <w:tcW w:w="0" w:type="auto"/>
            <w:hideMark/>
          </w:tcPr>
          <w:p w14:paraId="54F10B96" w14:textId="77777777" w:rsidR="005A481C" w:rsidRPr="00990396" w:rsidRDefault="005A481C" w:rsidP="00004062">
            <w:pPr>
              <w:spacing w:line="240" w:lineRule="auto"/>
              <w:jc w:val="both"/>
              <w:rPr>
                <w:sz w:val="16"/>
                <w:szCs w:val="16"/>
              </w:rPr>
            </w:pPr>
            <w:r w:rsidRPr="00990396">
              <w:rPr>
                <w:sz w:val="16"/>
                <w:szCs w:val="16"/>
              </w:rPr>
              <w:t>System GMM</w:t>
            </w:r>
          </w:p>
        </w:tc>
        <w:tc>
          <w:tcPr>
            <w:tcW w:w="0" w:type="auto"/>
            <w:hideMark/>
          </w:tcPr>
          <w:p w14:paraId="3E566B26" w14:textId="77777777" w:rsidR="005A481C" w:rsidRPr="00990396" w:rsidRDefault="005A481C" w:rsidP="00004062">
            <w:pPr>
              <w:spacing w:line="240" w:lineRule="auto"/>
              <w:jc w:val="both"/>
              <w:rPr>
                <w:sz w:val="16"/>
                <w:szCs w:val="16"/>
              </w:rPr>
            </w:pPr>
            <w:r w:rsidRPr="00990396">
              <w:rPr>
                <w:sz w:val="16"/>
                <w:szCs w:val="16"/>
              </w:rPr>
              <w:t>Economic-policy uncertainty</w:t>
            </w:r>
          </w:p>
        </w:tc>
        <w:tc>
          <w:tcPr>
            <w:tcW w:w="0" w:type="auto"/>
            <w:hideMark/>
          </w:tcPr>
          <w:p w14:paraId="1459706B" w14:textId="77777777" w:rsidR="005A481C" w:rsidRPr="00990396" w:rsidRDefault="005A481C" w:rsidP="00004062">
            <w:pPr>
              <w:spacing w:line="240" w:lineRule="auto"/>
              <w:jc w:val="both"/>
              <w:rPr>
                <w:sz w:val="16"/>
                <w:szCs w:val="16"/>
              </w:rPr>
            </w:pPr>
            <w:r w:rsidRPr="00990396">
              <w:rPr>
                <w:sz w:val="16"/>
                <w:szCs w:val="16"/>
              </w:rPr>
              <w:t>Financial performance</w:t>
            </w:r>
          </w:p>
        </w:tc>
        <w:tc>
          <w:tcPr>
            <w:tcW w:w="0" w:type="auto"/>
            <w:hideMark/>
          </w:tcPr>
          <w:p w14:paraId="463A63A8" w14:textId="77777777" w:rsidR="005A481C" w:rsidRPr="00990396" w:rsidRDefault="005A481C" w:rsidP="00004062">
            <w:pPr>
              <w:spacing w:line="240" w:lineRule="auto"/>
              <w:jc w:val="both"/>
              <w:rPr>
                <w:sz w:val="16"/>
                <w:szCs w:val="16"/>
              </w:rPr>
            </w:pPr>
            <w:r w:rsidRPr="00990396">
              <w:rPr>
                <w:sz w:val="16"/>
                <w:szCs w:val="16"/>
              </w:rPr>
              <w:t>Policy uncertainty reduced SME financial performance</w:t>
            </w:r>
          </w:p>
        </w:tc>
        <w:tc>
          <w:tcPr>
            <w:tcW w:w="0" w:type="auto"/>
            <w:hideMark/>
          </w:tcPr>
          <w:p w14:paraId="490DF301" w14:textId="77777777" w:rsidR="005A481C" w:rsidRPr="00990396" w:rsidRDefault="005A481C" w:rsidP="00004062">
            <w:pPr>
              <w:spacing w:line="240" w:lineRule="auto"/>
              <w:jc w:val="both"/>
              <w:rPr>
                <w:sz w:val="16"/>
                <w:szCs w:val="16"/>
              </w:rPr>
            </w:pPr>
            <w:r w:rsidRPr="00990396">
              <w:rPr>
                <w:sz w:val="16"/>
                <w:szCs w:val="16"/>
              </w:rPr>
              <w:t>Aggregate uncertainty measure does not reveal specific controls</w:t>
            </w:r>
          </w:p>
        </w:tc>
        <w:tc>
          <w:tcPr>
            <w:tcW w:w="0" w:type="auto"/>
            <w:hideMark/>
          </w:tcPr>
          <w:p w14:paraId="37305870" w14:textId="77777777" w:rsidR="005A481C" w:rsidRPr="00990396" w:rsidRDefault="005A481C" w:rsidP="00004062">
            <w:pPr>
              <w:spacing w:line="240" w:lineRule="auto"/>
              <w:jc w:val="both"/>
              <w:rPr>
                <w:sz w:val="16"/>
                <w:szCs w:val="16"/>
              </w:rPr>
            </w:pPr>
            <w:r w:rsidRPr="00990396">
              <w:rPr>
                <w:sz w:val="16"/>
                <w:szCs w:val="16"/>
              </w:rPr>
              <w:t>High to moderate</w:t>
            </w:r>
          </w:p>
        </w:tc>
      </w:tr>
      <w:tr w:rsidR="005A481C" w:rsidRPr="00990396" w14:paraId="4E8E2843" w14:textId="77777777" w:rsidTr="005A481C">
        <w:tc>
          <w:tcPr>
            <w:tcW w:w="0" w:type="auto"/>
            <w:hideMark/>
          </w:tcPr>
          <w:p w14:paraId="065CFB8F" w14:textId="77777777" w:rsidR="005A481C" w:rsidRPr="00990396" w:rsidRDefault="005A481C" w:rsidP="00004062">
            <w:pPr>
              <w:spacing w:line="240" w:lineRule="auto"/>
              <w:jc w:val="both"/>
              <w:rPr>
                <w:sz w:val="16"/>
                <w:szCs w:val="16"/>
              </w:rPr>
            </w:pPr>
            <w:proofErr w:type="spellStart"/>
            <w:r w:rsidRPr="00990396">
              <w:rPr>
                <w:sz w:val="16"/>
                <w:szCs w:val="16"/>
              </w:rPr>
              <w:t>Hawach</w:t>
            </w:r>
            <w:proofErr w:type="spellEnd"/>
            <w:r w:rsidRPr="00990396">
              <w:rPr>
                <w:sz w:val="16"/>
                <w:szCs w:val="16"/>
              </w:rPr>
              <w:t xml:space="preserve"> and Requejo (2025)</w:t>
            </w:r>
          </w:p>
        </w:tc>
        <w:tc>
          <w:tcPr>
            <w:tcW w:w="0" w:type="auto"/>
            <w:hideMark/>
          </w:tcPr>
          <w:p w14:paraId="382B4E41" w14:textId="77777777" w:rsidR="005A481C" w:rsidRPr="00990396" w:rsidRDefault="005A481C" w:rsidP="00004062">
            <w:pPr>
              <w:spacing w:line="240" w:lineRule="auto"/>
              <w:jc w:val="both"/>
              <w:rPr>
                <w:sz w:val="16"/>
                <w:szCs w:val="16"/>
              </w:rPr>
            </w:pPr>
            <w:r w:rsidRPr="00990396">
              <w:rPr>
                <w:sz w:val="16"/>
                <w:szCs w:val="16"/>
              </w:rPr>
              <w:t>Market</w:t>
            </w:r>
          </w:p>
        </w:tc>
        <w:tc>
          <w:tcPr>
            <w:tcW w:w="0" w:type="auto"/>
            <w:hideMark/>
          </w:tcPr>
          <w:p w14:paraId="7065DB04" w14:textId="77777777" w:rsidR="005A481C" w:rsidRPr="00990396" w:rsidRDefault="005A481C" w:rsidP="00004062">
            <w:pPr>
              <w:spacing w:line="240" w:lineRule="auto"/>
              <w:jc w:val="both"/>
              <w:rPr>
                <w:sz w:val="16"/>
                <w:szCs w:val="16"/>
              </w:rPr>
            </w:pPr>
            <w:r w:rsidRPr="00990396">
              <w:rPr>
                <w:sz w:val="16"/>
                <w:szCs w:val="16"/>
              </w:rPr>
              <w:t>Europe</w:t>
            </w:r>
          </w:p>
        </w:tc>
        <w:tc>
          <w:tcPr>
            <w:tcW w:w="0" w:type="auto"/>
            <w:hideMark/>
          </w:tcPr>
          <w:p w14:paraId="0E902CA1" w14:textId="77777777" w:rsidR="005A481C" w:rsidRPr="00990396" w:rsidRDefault="005A481C" w:rsidP="00004062">
            <w:pPr>
              <w:spacing w:line="240" w:lineRule="auto"/>
              <w:jc w:val="both"/>
              <w:rPr>
                <w:sz w:val="16"/>
                <w:szCs w:val="16"/>
              </w:rPr>
            </w:pPr>
            <w:r w:rsidRPr="00990396">
              <w:rPr>
                <w:sz w:val="16"/>
                <w:szCs w:val="16"/>
              </w:rPr>
              <w:t>145,611 SMEs, 2012–2021</w:t>
            </w:r>
          </w:p>
        </w:tc>
        <w:tc>
          <w:tcPr>
            <w:tcW w:w="0" w:type="auto"/>
            <w:hideMark/>
          </w:tcPr>
          <w:p w14:paraId="4C0CDFD9" w14:textId="77777777" w:rsidR="005A481C" w:rsidRPr="00990396" w:rsidRDefault="005A481C" w:rsidP="00004062">
            <w:pPr>
              <w:spacing w:line="240" w:lineRule="auto"/>
              <w:jc w:val="both"/>
              <w:rPr>
                <w:sz w:val="16"/>
                <w:szCs w:val="16"/>
              </w:rPr>
            </w:pPr>
            <w:r w:rsidRPr="00990396">
              <w:rPr>
                <w:sz w:val="16"/>
                <w:szCs w:val="16"/>
              </w:rPr>
              <w:t>Cross-country moderation analysis</w:t>
            </w:r>
          </w:p>
        </w:tc>
        <w:tc>
          <w:tcPr>
            <w:tcW w:w="0" w:type="auto"/>
            <w:hideMark/>
          </w:tcPr>
          <w:p w14:paraId="24F46CFD" w14:textId="77777777" w:rsidR="005A481C" w:rsidRPr="00990396" w:rsidRDefault="005A481C" w:rsidP="00004062">
            <w:pPr>
              <w:spacing w:line="240" w:lineRule="auto"/>
              <w:jc w:val="both"/>
              <w:rPr>
                <w:sz w:val="16"/>
                <w:szCs w:val="16"/>
              </w:rPr>
            </w:pPr>
            <w:r w:rsidRPr="00990396">
              <w:rPr>
                <w:sz w:val="16"/>
                <w:szCs w:val="16"/>
              </w:rPr>
              <w:t>Economic-policy uncertainty</w:t>
            </w:r>
          </w:p>
        </w:tc>
        <w:tc>
          <w:tcPr>
            <w:tcW w:w="0" w:type="auto"/>
            <w:hideMark/>
          </w:tcPr>
          <w:p w14:paraId="5005E1A1" w14:textId="77777777" w:rsidR="005A481C" w:rsidRPr="00990396" w:rsidRDefault="005A481C" w:rsidP="00004062">
            <w:pPr>
              <w:spacing w:line="240" w:lineRule="auto"/>
              <w:jc w:val="both"/>
              <w:rPr>
                <w:sz w:val="16"/>
                <w:szCs w:val="16"/>
              </w:rPr>
            </w:pPr>
            <w:r w:rsidRPr="00990396">
              <w:rPr>
                <w:sz w:val="16"/>
                <w:szCs w:val="16"/>
              </w:rPr>
              <w:t>Financial-distress likelihood</w:t>
            </w:r>
          </w:p>
        </w:tc>
        <w:tc>
          <w:tcPr>
            <w:tcW w:w="0" w:type="auto"/>
            <w:hideMark/>
          </w:tcPr>
          <w:p w14:paraId="0CADAE6A" w14:textId="77777777" w:rsidR="005A481C" w:rsidRPr="00990396" w:rsidRDefault="005A481C" w:rsidP="00004062">
            <w:pPr>
              <w:spacing w:line="240" w:lineRule="auto"/>
              <w:jc w:val="both"/>
              <w:rPr>
                <w:sz w:val="16"/>
                <w:szCs w:val="16"/>
              </w:rPr>
            </w:pPr>
            <w:r w:rsidRPr="00990396">
              <w:rPr>
                <w:sz w:val="16"/>
                <w:szCs w:val="16"/>
              </w:rPr>
              <w:t>Policy uncertainty increased distress likelihood</w:t>
            </w:r>
          </w:p>
        </w:tc>
        <w:tc>
          <w:tcPr>
            <w:tcW w:w="0" w:type="auto"/>
            <w:hideMark/>
          </w:tcPr>
          <w:p w14:paraId="7E08D293" w14:textId="77777777" w:rsidR="005A481C" w:rsidRPr="00990396" w:rsidRDefault="005A481C" w:rsidP="00004062">
            <w:pPr>
              <w:spacing w:line="240" w:lineRule="auto"/>
              <w:jc w:val="both"/>
              <w:rPr>
                <w:sz w:val="16"/>
                <w:szCs w:val="16"/>
              </w:rPr>
            </w:pPr>
            <w:r w:rsidRPr="00990396">
              <w:rPr>
                <w:sz w:val="16"/>
                <w:szCs w:val="16"/>
              </w:rPr>
              <w:t>Distress is a modelled proxy and countries differ institutionally</w:t>
            </w:r>
          </w:p>
        </w:tc>
        <w:tc>
          <w:tcPr>
            <w:tcW w:w="0" w:type="auto"/>
            <w:hideMark/>
          </w:tcPr>
          <w:p w14:paraId="338348D7" w14:textId="77777777" w:rsidR="005A481C" w:rsidRPr="00990396" w:rsidRDefault="005A481C" w:rsidP="00004062">
            <w:pPr>
              <w:spacing w:line="240" w:lineRule="auto"/>
              <w:jc w:val="both"/>
              <w:rPr>
                <w:sz w:val="16"/>
                <w:szCs w:val="16"/>
              </w:rPr>
            </w:pPr>
            <w:r w:rsidRPr="00990396">
              <w:rPr>
                <w:sz w:val="16"/>
                <w:szCs w:val="16"/>
              </w:rPr>
              <w:t>High to moderate</w:t>
            </w:r>
          </w:p>
        </w:tc>
      </w:tr>
      <w:tr w:rsidR="005A481C" w:rsidRPr="00990396" w14:paraId="1EB91274" w14:textId="77777777" w:rsidTr="005A481C">
        <w:tc>
          <w:tcPr>
            <w:tcW w:w="0" w:type="auto"/>
            <w:hideMark/>
          </w:tcPr>
          <w:p w14:paraId="3EAB691B" w14:textId="77777777" w:rsidR="005A481C" w:rsidRPr="00990396" w:rsidRDefault="005A481C" w:rsidP="00004062">
            <w:pPr>
              <w:spacing w:line="240" w:lineRule="auto"/>
              <w:jc w:val="both"/>
              <w:rPr>
                <w:sz w:val="16"/>
                <w:szCs w:val="16"/>
              </w:rPr>
            </w:pPr>
            <w:r w:rsidRPr="00990396">
              <w:rPr>
                <w:sz w:val="16"/>
                <w:szCs w:val="16"/>
              </w:rPr>
              <w:t>Koroma and Bein (2024)</w:t>
            </w:r>
          </w:p>
        </w:tc>
        <w:tc>
          <w:tcPr>
            <w:tcW w:w="0" w:type="auto"/>
            <w:hideMark/>
          </w:tcPr>
          <w:p w14:paraId="50EC17AF" w14:textId="77777777" w:rsidR="005A481C" w:rsidRPr="00990396" w:rsidRDefault="005A481C" w:rsidP="00004062">
            <w:pPr>
              <w:spacing w:line="240" w:lineRule="auto"/>
              <w:jc w:val="both"/>
              <w:rPr>
                <w:sz w:val="16"/>
                <w:szCs w:val="16"/>
              </w:rPr>
            </w:pPr>
            <w:r w:rsidRPr="00990396">
              <w:rPr>
                <w:sz w:val="16"/>
                <w:szCs w:val="16"/>
              </w:rPr>
              <w:t>Market</w:t>
            </w:r>
          </w:p>
        </w:tc>
        <w:tc>
          <w:tcPr>
            <w:tcW w:w="0" w:type="auto"/>
            <w:hideMark/>
          </w:tcPr>
          <w:p w14:paraId="0C557D7A" w14:textId="77777777" w:rsidR="005A481C" w:rsidRPr="00990396" w:rsidRDefault="005A481C" w:rsidP="00004062">
            <w:pPr>
              <w:spacing w:line="240" w:lineRule="auto"/>
              <w:jc w:val="both"/>
              <w:rPr>
                <w:sz w:val="16"/>
                <w:szCs w:val="16"/>
              </w:rPr>
            </w:pPr>
            <w:r w:rsidRPr="00990396">
              <w:rPr>
                <w:sz w:val="16"/>
                <w:szCs w:val="16"/>
              </w:rPr>
              <w:t>UK</w:t>
            </w:r>
          </w:p>
        </w:tc>
        <w:tc>
          <w:tcPr>
            <w:tcW w:w="0" w:type="auto"/>
            <w:hideMark/>
          </w:tcPr>
          <w:p w14:paraId="46BB702F" w14:textId="77777777" w:rsidR="005A481C" w:rsidRPr="00990396" w:rsidRDefault="005A481C" w:rsidP="00004062">
            <w:pPr>
              <w:spacing w:line="240" w:lineRule="auto"/>
              <w:jc w:val="both"/>
              <w:rPr>
                <w:sz w:val="16"/>
                <w:szCs w:val="16"/>
              </w:rPr>
            </w:pPr>
            <w:r w:rsidRPr="00990396">
              <w:rPr>
                <w:sz w:val="16"/>
                <w:szCs w:val="16"/>
              </w:rPr>
              <w:t>199 listed non-financial firms, 2006–2021</w:t>
            </w:r>
          </w:p>
        </w:tc>
        <w:tc>
          <w:tcPr>
            <w:tcW w:w="0" w:type="auto"/>
            <w:hideMark/>
          </w:tcPr>
          <w:p w14:paraId="1FCBA420" w14:textId="77777777" w:rsidR="005A481C" w:rsidRPr="00990396" w:rsidRDefault="005A481C" w:rsidP="00004062">
            <w:pPr>
              <w:spacing w:line="240" w:lineRule="auto"/>
              <w:jc w:val="both"/>
              <w:rPr>
                <w:sz w:val="16"/>
                <w:szCs w:val="16"/>
              </w:rPr>
            </w:pPr>
            <w:r w:rsidRPr="00990396">
              <w:rPr>
                <w:sz w:val="16"/>
                <w:szCs w:val="16"/>
              </w:rPr>
              <w:t>Fixed effects, random effects and two-stage GMM</w:t>
            </w:r>
          </w:p>
        </w:tc>
        <w:tc>
          <w:tcPr>
            <w:tcW w:w="0" w:type="auto"/>
            <w:hideMark/>
          </w:tcPr>
          <w:p w14:paraId="62642C6D" w14:textId="77777777" w:rsidR="005A481C" w:rsidRPr="00990396" w:rsidRDefault="005A481C" w:rsidP="00004062">
            <w:pPr>
              <w:spacing w:line="240" w:lineRule="auto"/>
              <w:jc w:val="both"/>
              <w:rPr>
                <w:sz w:val="16"/>
                <w:szCs w:val="16"/>
              </w:rPr>
            </w:pPr>
            <w:r w:rsidRPr="00990396">
              <w:rPr>
                <w:sz w:val="16"/>
                <w:szCs w:val="16"/>
              </w:rPr>
              <w:t>Policy uncertainty and working capital</w:t>
            </w:r>
          </w:p>
        </w:tc>
        <w:tc>
          <w:tcPr>
            <w:tcW w:w="0" w:type="auto"/>
            <w:hideMark/>
          </w:tcPr>
          <w:p w14:paraId="38093268" w14:textId="77777777" w:rsidR="005A481C" w:rsidRPr="00990396" w:rsidRDefault="005A481C" w:rsidP="00004062">
            <w:pPr>
              <w:spacing w:line="240" w:lineRule="auto"/>
              <w:jc w:val="both"/>
              <w:rPr>
                <w:sz w:val="16"/>
                <w:szCs w:val="16"/>
              </w:rPr>
            </w:pPr>
            <w:r w:rsidRPr="00990396">
              <w:rPr>
                <w:sz w:val="16"/>
                <w:szCs w:val="16"/>
              </w:rPr>
              <w:t>Profitability</w:t>
            </w:r>
          </w:p>
        </w:tc>
        <w:tc>
          <w:tcPr>
            <w:tcW w:w="0" w:type="auto"/>
            <w:hideMark/>
          </w:tcPr>
          <w:p w14:paraId="53DF8D55" w14:textId="77777777" w:rsidR="005A481C" w:rsidRPr="00990396" w:rsidRDefault="005A481C" w:rsidP="00004062">
            <w:pPr>
              <w:spacing w:line="240" w:lineRule="auto"/>
              <w:jc w:val="both"/>
              <w:rPr>
                <w:sz w:val="16"/>
                <w:szCs w:val="16"/>
              </w:rPr>
            </w:pPr>
            <w:r w:rsidRPr="00990396">
              <w:rPr>
                <w:sz w:val="16"/>
                <w:szCs w:val="16"/>
              </w:rPr>
              <w:t>Policy uncertainty weakened the working-capital–profitability relationship</w:t>
            </w:r>
          </w:p>
        </w:tc>
        <w:tc>
          <w:tcPr>
            <w:tcW w:w="0" w:type="auto"/>
            <w:hideMark/>
          </w:tcPr>
          <w:p w14:paraId="423DCFA5" w14:textId="77777777" w:rsidR="005A481C" w:rsidRPr="00990396" w:rsidRDefault="005A481C" w:rsidP="00004062">
            <w:pPr>
              <w:spacing w:line="240" w:lineRule="auto"/>
              <w:jc w:val="both"/>
              <w:rPr>
                <w:sz w:val="16"/>
                <w:szCs w:val="16"/>
              </w:rPr>
            </w:pPr>
            <w:r w:rsidRPr="00990396">
              <w:rPr>
                <w:sz w:val="16"/>
                <w:szCs w:val="16"/>
              </w:rPr>
              <w:t>Listed firms are not representative of private SMEs</w:t>
            </w:r>
          </w:p>
        </w:tc>
        <w:tc>
          <w:tcPr>
            <w:tcW w:w="0" w:type="auto"/>
            <w:hideMark/>
          </w:tcPr>
          <w:p w14:paraId="5853B7A5" w14:textId="77777777" w:rsidR="005A481C" w:rsidRPr="00990396" w:rsidRDefault="005A481C" w:rsidP="00004062">
            <w:pPr>
              <w:spacing w:line="240" w:lineRule="auto"/>
              <w:jc w:val="both"/>
              <w:rPr>
                <w:sz w:val="16"/>
                <w:szCs w:val="16"/>
              </w:rPr>
            </w:pPr>
            <w:r w:rsidRPr="00990396">
              <w:rPr>
                <w:sz w:val="16"/>
                <w:szCs w:val="16"/>
              </w:rPr>
              <w:t>High to moderate</w:t>
            </w:r>
          </w:p>
        </w:tc>
      </w:tr>
      <w:tr w:rsidR="005A481C" w:rsidRPr="00990396" w14:paraId="214561B6" w14:textId="77777777" w:rsidTr="005A481C">
        <w:tc>
          <w:tcPr>
            <w:tcW w:w="0" w:type="auto"/>
            <w:hideMark/>
          </w:tcPr>
          <w:p w14:paraId="3D05B9FE" w14:textId="77777777" w:rsidR="005A481C" w:rsidRPr="00990396" w:rsidRDefault="005A481C" w:rsidP="00004062">
            <w:pPr>
              <w:spacing w:line="240" w:lineRule="auto"/>
              <w:jc w:val="both"/>
              <w:rPr>
                <w:sz w:val="16"/>
                <w:szCs w:val="16"/>
              </w:rPr>
            </w:pPr>
            <w:proofErr w:type="spellStart"/>
            <w:r w:rsidRPr="00990396">
              <w:rPr>
                <w:sz w:val="16"/>
                <w:szCs w:val="16"/>
              </w:rPr>
              <w:t>Tazhibayeva</w:t>
            </w:r>
            <w:proofErr w:type="spellEnd"/>
            <w:r w:rsidRPr="00990396">
              <w:rPr>
                <w:sz w:val="16"/>
                <w:szCs w:val="16"/>
              </w:rPr>
              <w:t xml:space="preserve"> and </w:t>
            </w:r>
            <w:proofErr w:type="spellStart"/>
            <w:r w:rsidRPr="00990396">
              <w:rPr>
                <w:sz w:val="16"/>
                <w:szCs w:val="16"/>
              </w:rPr>
              <w:t>Syzdykova</w:t>
            </w:r>
            <w:proofErr w:type="spellEnd"/>
            <w:r w:rsidRPr="00990396">
              <w:rPr>
                <w:sz w:val="16"/>
                <w:szCs w:val="16"/>
              </w:rPr>
              <w:t xml:space="preserve"> (2026)</w:t>
            </w:r>
          </w:p>
        </w:tc>
        <w:tc>
          <w:tcPr>
            <w:tcW w:w="0" w:type="auto"/>
            <w:hideMark/>
          </w:tcPr>
          <w:p w14:paraId="1FBD148D" w14:textId="77777777" w:rsidR="005A481C" w:rsidRPr="00990396" w:rsidRDefault="005A481C" w:rsidP="00004062">
            <w:pPr>
              <w:spacing w:line="240" w:lineRule="auto"/>
              <w:jc w:val="both"/>
              <w:rPr>
                <w:sz w:val="16"/>
                <w:szCs w:val="16"/>
              </w:rPr>
            </w:pPr>
            <w:r w:rsidRPr="00990396">
              <w:rPr>
                <w:sz w:val="16"/>
                <w:szCs w:val="16"/>
              </w:rPr>
              <w:t>Market</w:t>
            </w:r>
          </w:p>
        </w:tc>
        <w:tc>
          <w:tcPr>
            <w:tcW w:w="0" w:type="auto"/>
            <w:hideMark/>
          </w:tcPr>
          <w:p w14:paraId="33CA1F71" w14:textId="77777777" w:rsidR="005A481C" w:rsidRPr="00990396" w:rsidRDefault="005A481C" w:rsidP="00004062">
            <w:pPr>
              <w:spacing w:line="240" w:lineRule="auto"/>
              <w:jc w:val="both"/>
              <w:rPr>
                <w:sz w:val="16"/>
                <w:szCs w:val="16"/>
              </w:rPr>
            </w:pPr>
            <w:r w:rsidRPr="00990396">
              <w:rPr>
                <w:sz w:val="16"/>
                <w:szCs w:val="16"/>
              </w:rPr>
              <w:t>Kazakhstan</w:t>
            </w:r>
          </w:p>
        </w:tc>
        <w:tc>
          <w:tcPr>
            <w:tcW w:w="0" w:type="auto"/>
            <w:hideMark/>
          </w:tcPr>
          <w:p w14:paraId="6C25110F" w14:textId="77777777" w:rsidR="005A481C" w:rsidRPr="00990396" w:rsidRDefault="005A481C" w:rsidP="00004062">
            <w:pPr>
              <w:spacing w:line="240" w:lineRule="auto"/>
              <w:jc w:val="both"/>
              <w:rPr>
                <w:sz w:val="16"/>
                <w:szCs w:val="16"/>
              </w:rPr>
            </w:pPr>
            <w:r w:rsidRPr="00990396">
              <w:rPr>
                <w:sz w:val="16"/>
                <w:szCs w:val="16"/>
              </w:rPr>
              <w:t>Annual data, 2000–2023</w:t>
            </w:r>
          </w:p>
        </w:tc>
        <w:tc>
          <w:tcPr>
            <w:tcW w:w="0" w:type="auto"/>
            <w:hideMark/>
          </w:tcPr>
          <w:p w14:paraId="650C5293" w14:textId="77777777" w:rsidR="005A481C" w:rsidRPr="00990396" w:rsidRDefault="005A481C" w:rsidP="00004062">
            <w:pPr>
              <w:spacing w:line="240" w:lineRule="auto"/>
              <w:jc w:val="both"/>
              <w:rPr>
                <w:sz w:val="16"/>
                <w:szCs w:val="16"/>
              </w:rPr>
            </w:pPr>
            <w:r w:rsidRPr="00990396">
              <w:rPr>
                <w:sz w:val="16"/>
                <w:szCs w:val="16"/>
              </w:rPr>
              <w:t>ARDL model</w:t>
            </w:r>
          </w:p>
        </w:tc>
        <w:tc>
          <w:tcPr>
            <w:tcW w:w="0" w:type="auto"/>
            <w:hideMark/>
          </w:tcPr>
          <w:p w14:paraId="24C8C16C" w14:textId="77777777" w:rsidR="005A481C" w:rsidRPr="00990396" w:rsidRDefault="005A481C" w:rsidP="00004062">
            <w:pPr>
              <w:spacing w:line="240" w:lineRule="auto"/>
              <w:jc w:val="both"/>
              <w:rPr>
                <w:sz w:val="16"/>
                <w:szCs w:val="16"/>
              </w:rPr>
            </w:pPr>
            <w:r w:rsidRPr="00990396">
              <w:rPr>
                <w:sz w:val="16"/>
                <w:szCs w:val="16"/>
              </w:rPr>
              <w:t>Exchange rate and oil prices</w:t>
            </w:r>
          </w:p>
        </w:tc>
        <w:tc>
          <w:tcPr>
            <w:tcW w:w="0" w:type="auto"/>
            <w:hideMark/>
          </w:tcPr>
          <w:p w14:paraId="44B114EA" w14:textId="77777777" w:rsidR="005A481C" w:rsidRPr="00990396" w:rsidRDefault="005A481C" w:rsidP="00004062">
            <w:pPr>
              <w:spacing w:line="240" w:lineRule="auto"/>
              <w:jc w:val="both"/>
              <w:rPr>
                <w:sz w:val="16"/>
                <w:szCs w:val="16"/>
              </w:rPr>
            </w:pPr>
            <w:r w:rsidRPr="00990396">
              <w:rPr>
                <w:sz w:val="16"/>
                <w:szCs w:val="16"/>
              </w:rPr>
              <w:t>SME manufacturing output</w:t>
            </w:r>
          </w:p>
        </w:tc>
        <w:tc>
          <w:tcPr>
            <w:tcW w:w="0" w:type="auto"/>
            <w:hideMark/>
          </w:tcPr>
          <w:p w14:paraId="587C3630" w14:textId="77777777" w:rsidR="005A481C" w:rsidRPr="00990396" w:rsidRDefault="005A481C" w:rsidP="00004062">
            <w:pPr>
              <w:spacing w:line="240" w:lineRule="auto"/>
              <w:jc w:val="both"/>
              <w:rPr>
                <w:sz w:val="16"/>
                <w:szCs w:val="16"/>
              </w:rPr>
            </w:pPr>
            <w:r w:rsidRPr="00990396">
              <w:rPr>
                <w:sz w:val="16"/>
                <w:szCs w:val="16"/>
              </w:rPr>
              <w:t>Exchange rates and oil prices affected long-run SME output</w:t>
            </w:r>
          </w:p>
        </w:tc>
        <w:tc>
          <w:tcPr>
            <w:tcW w:w="0" w:type="auto"/>
            <w:hideMark/>
          </w:tcPr>
          <w:p w14:paraId="3037BFD5" w14:textId="77777777" w:rsidR="005A481C" w:rsidRPr="00990396" w:rsidRDefault="005A481C" w:rsidP="00004062">
            <w:pPr>
              <w:spacing w:line="240" w:lineRule="auto"/>
              <w:jc w:val="both"/>
              <w:rPr>
                <w:sz w:val="16"/>
                <w:szCs w:val="16"/>
              </w:rPr>
            </w:pPr>
            <w:r w:rsidRPr="00990396">
              <w:rPr>
                <w:sz w:val="16"/>
                <w:szCs w:val="16"/>
              </w:rPr>
              <w:t>Only 24 observations and highly different economic context</w:t>
            </w:r>
          </w:p>
        </w:tc>
        <w:tc>
          <w:tcPr>
            <w:tcW w:w="0" w:type="auto"/>
            <w:hideMark/>
          </w:tcPr>
          <w:p w14:paraId="65C71389" w14:textId="77777777" w:rsidR="005A481C" w:rsidRPr="00990396" w:rsidRDefault="005A481C" w:rsidP="00004062">
            <w:pPr>
              <w:spacing w:line="240" w:lineRule="auto"/>
              <w:jc w:val="both"/>
              <w:rPr>
                <w:sz w:val="16"/>
                <w:szCs w:val="16"/>
              </w:rPr>
            </w:pPr>
            <w:r w:rsidRPr="00990396">
              <w:rPr>
                <w:sz w:val="16"/>
                <w:szCs w:val="16"/>
              </w:rPr>
              <w:t>Low</w:t>
            </w:r>
          </w:p>
        </w:tc>
      </w:tr>
      <w:tr w:rsidR="005A481C" w:rsidRPr="00990396" w14:paraId="254E22F7" w14:textId="77777777" w:rsidTr="005A481C">
        <w:tc>
          <w:tcPr>
            <w:tcW w:w="0" w:type="auto"/>
            <w:hideMark/>
          </w:tcPr>
          <w:p w14:paraId="7DC24F04" w14:textId="77777777" w:rsidR="005A481C" w:rsidRPr="00990396" w:rsidRDefault="005A481C" w:rsidP="00004062">
            <w:pPr>
              <w:spacing w:line="240" w:lineRule="auto"/>
              <w:jc w:val="both"/>
              <w:rPr>
                <w:sz w:val="16"/>
                <w:szCs w:val="16"/>
              </w:rPr>
            </w:pPr>
            <w:r w:rsidRPr="00990396">
              <w:rPr>
                <w:sz w:val="16"/>
                <w:szCs w:val="16"/>
              </w:rPr>
              <w:t>Akbar et al. (2021)</w:t>
            </w:r>
          </w:p>
        </w:tc>
        <w:tc>
          <w:tcPr>
            <w:tcW w:w="0" w:type="auto"/>
            <w:hideMark/>
          </w:tcPr>
          <w:p w14:paraId="225E4CBC" w14:textId="77777777" w:rsidR="005A481C" w:rsidRPr="00990396" w:rsidRDefault="005A481C" w:rsidP="00004062">
            <w:pPr>
              <w:spacing w:line="240" w:lineRule="auto"/>
              <w:jc w:val="both"/>
              <w:rPr>
                <w:sz w:val="16"/>
                <w:szCs w:val="16"/>
              </w:rPr>
            </w:pPr>
            <w:r w:rsidRPr="00990396">
              <w:rPr>
                <w:sz w:val="16"/>
                <w:szCs w:val="16"/>
              </w:rPr>
              <w:t>Market</w:t>
            </w:r>
          </w:p>
        </w:tc>
        <w:tc>
          <w:tcPr>
            <w:tcW w:w="0" w:type="auto"/>
            <w:hideMark/>
          </w:tcPr>
          <w:p w14:paraId="16B27A94" w14:textId="77777777" w:rsidR="005A481C" w:rsidRPr="00990396" w:rsidRDefault="005A481C" w:rsidP="00004062">
            <w:pPr>
              <w:spacing w:line="240" w:lineRule="auto"/>
              <w:jc w:val="both"/>
              <w:rPr>
                <w:sz w:val="16"/>
                <w:szCs w:val="16"/>
              </w:rPr>
            </w:pPr>
            <w:r w:rsidRPr="00990396">
              <w:rPr>
                <w:sz w:val="16"/>
                <w:szCs w:val="16"/>
              </w:rPr>
              <w:t>Pakistan</w:t>
            </w:r>
          </w:p>
        </w:tc>
        <w:tc>
          <w:tcPr>
            <w:tcW w:w="0" w:type="auto"/>
            <w:hideMark/>
          </w:tcPr>
          <w:p w14:paraId="58152EAB" w14:textId="77777777" w:rsidR="005A481C" w:rsidRPr="00990396" w:rsidRDefault="005A481C" w:rsidP="00004062">
            <w:pPr>
              <w:spacing w:line="240" w:lineRule="auto"/>
              <w:jc w:val="both"/>
              <w:rPr>
                <w:sz w:val="16"/>
                <w:szCs w:val="16"/>
              </w:rPr>
            </w:pPr>
            <w:r w:rsidRPr="00990396">
              <w:rPr>
                <w:sz w:val="16"/>
                <w:szCs w:val="16"/>
              </w:rPr>
              <w:t>Listed firms across 12 industries, 2005–2014</w:t>
            </w:r>
          </w:p>
        </w:tc>
        <w:tc>
          <w:tcPr>
            <w:tcW w:w="0" w:type="auto"/>
            <w:hideMark/>
          </w:tcPr>
          <w:p w14:paraId="3FAC4B16" w14:textId="77777777" w:rsidR="005A481C" w:rsidRPr="00990396" w:rsidRDefault="005A481C" w:rsidP="00004062">
            <w:pPr>
              <w:spacing w:line="240" w:lineRule="auto"/>
              <w:jc w:val="both"/>
              <w:rPr>
                <w:sz w:val="16"/>
                <w:szCs w:val="16"/>
              </w:rPr>
            </w:pPr>
            <w:r w:rsidRPr="00990396">
              <w:rPr>
                <w:sz w:val="16"/>
                <w:szCs w:val="16"/>
              </w:rPr>
              <w:t>System GMM</w:t>
            </w:r>
          </w:p>
        </w:tc>
        <w:tc>
          <w:tcPr>
            <w:tcW w:w="0" w:type="auto"/>
            <w:hideMark/>
          </w:tcPr>
          <w:p w14:paraId="4FC95339" w14:textId="77777777" w:rsidR="005A481C" w:rsidRPr="00990396" w:rsidRDefault="005A481C" w:rsidP="00004062">
            <w:pPr>
              <w:spacing w:line="240" w:lineRule="auto"/>
              <w:jc w:val="both"/>
              <w:rPr>
                <w:sz w:val="16"/>
                <w:szCs w:val="16"/>
              </w:rPr>
            </w:pPr>
            <w:r w:rsidRPr="00990396">
              <w:rPr>
                <w:sz w:val="16"/>
                <w:szCs w:val="16"/>
              </w:rPr>
              <w:t>Working capital, cash and volatility</w:t>
            </w:r>
          </w:p>
        </w:tc>
        <w:tc>
          <w:tcPr>
            <w:tcW w:w="0" w:type="auto"/>
            <w:hideMark/>
          </w:tcPr>
          <w:p w14:paraId="798A8F70" w14:textId="77777777" w:rsidR="005A481C" w:rsidRPr="00990396" w:rsidRDefault="005A481C" w:rsidP="00004062">
            <w:pPr>
              <w:spacing w:line="240" w:lineRule="auto"/>
              <w:jc w:val="both"/>
              <w:rPr>
                <w:sz w:val="16"/>
                <w:szCs w:val="16"/>
              </w:rPr>
            </w:pPr>
            <w:r w:rsidRPr="00990396">
              <w:rPr>
                <w:sz w:val="16"/>
                <w:szCs w:val="16"/>
              </w:rPr>
              <w:t>Market and operating risk</w:t>
            </w:r>
          </w:p>
        </w:tc>
        <w:tc>
          <w:tcPr>
            <w:tcW w:w="0" w:type="auto"/>
            <w:hideMark/>
          </w:tcPr>
          <w:p w14:paraId="53ADC4CE" w14:textId="77777777" w:rsidR="005A481C" w:rsidRPr="00990396" w:rsidRDefault="005A481C" w:rsidP="00004062">
            <w:pPr>
              <w:spacing w:line="240" w:lineRule="auto"/>
              <w:jc w:val="both"/>
              <w:rPr>
                <w:sz w:val="16"/>
                <w:szCs w:val="16"/>
              </w:rPr>
            </w:pPr>
            <w:r w:rsidRPr="00990396">
              <w:rPr>
                <w:sz w:val="16"/>
                <w:szCs w:val="16"/>
              </w:rPr>
              <w:t>Cash positions reduced market volatility, while excessive working capital increased operating volatility</w:t>
            </w:r>
          </w:p>
        </w:tc>
        <w:tc>
          <w:tcPr>
            <w:tcW w:w="0" w:type="auto"/>
            <w:hideMark/>
          </w:tcPr>
          <w:p w14:paraId="4C63FC42" w14:textId="77777777" w:rsidR="005A481C" w:rsidRPr="00990396" w:rsidRDefault="005A481C" w:rsidP="00004062">
            <w:pPr>
              <w:spacing w:line="240" w:lineRule="auto"/>
              <w:jc w:val="both"/>
              <w:rPr>
                <w:sz w:val="16"/>
                <w:szCs w:val="16"/>
              </w:rPr>
            </w:pPr>
            <w:r w:rsidRPr="00990396">
              <w:rPr>
                <w:sz w:val="16"/>
                <w:szCs w:val="16"/>
              </w:rPr>
              <w:t>Older non-UK listed-firm evidence</w:t>
            </w:r>
          </w:p>
        </w:tc>
        <w:tc>
          <w:tcPr>
            <w:tcW w:w="0" w:type="auto"/>
            <w:hideMark/>
          </w:tcPr>
          <w:p w14:paraId="32D15F9F" w14:textId="77777777" w:rsidR="005A481C" w:rsidRPr="00990396" w:rsidRDefault="005A481C" w:rsidP="00004062">
            <w:pPr>
              <w:spacing w:line="240" w:lineRule="auto"/>
              <w:jc w:val="both"/>
              <w:rPr>
                <w:sz w:val="16"/>
                <w:szCs w:val="16"/>
              </w:rPr>
            </w:pPr>
            <w:r w:rsidRPr="00990396">
              <w:rPr>
                <w:sz w:val="16"/>
                <w:szCs w:val="16"/>
              </w:rPr>
              <w:t>Moderate to low</w:t>
            </w:r>
          </w:p>
        </w:tc>
      </w:tr>
    </w:tbl>
    <w:p w14:paraId="511F5134" w14:textId="77777777" w:rsidR="00004062" w:rsidRDefault="00004062" w:rsidP="00004062"/>
    <w:p w14:paraId="3FDFF611" w14:textId="77777777" w:rsidR="00004062" w:rsidRDefault="00004062">
      <w:pPr>
        <w:spacing w:line="259" w:lineRule="auto"/>
        <w:rPr>
          <w:rFonts w:eastAsiaTheme="majorEastAsia"/>
          <w:b/>
          <w:sz w:val="32"/>
          <w:szCs w:val="40"/>
        </w:rPr>
      </w:pPr>
      <w:r>
        <w:br w:type="page"/>
      </w:r>
    </w:p>
    <w:p w14:paraId="249ED545" w14:textId="397B079D" w:rsidR="005A481C" w:rsidRPr="00990396" w:rsidRDefault="00990396" w:rsidP="00990396">
      <w:pPr>
        <w:pStyle w:val="Heading1"/>
        <w:numPr>
          <w:ilvl w:val="0"/>
          <w:numId w:val="0"/>
        </w:numPr>
        <w:ind w:left="432" w:hanging="432"/>
        <w:jc w:val="both"/>
        <w:rPr>
          <w:rFonts w:cstheme="minorBidi"/>
        </w:rPr>
      </w:pPr>
      <w:bookmarkStart w:id="68" w:name="_Toc241147048"/>
      <w:r w:rsidRPr="00990396">
        <w:rPr>
          <w:rFonts w:cstheme="minorBidi"/>
        </w:rPr>
        <w:lastRenderedPageBreak/>
        <w:t>APPENDIX B: QUALITY AND CRITICAL APPRAISAL OF STUDIES</w:t>
      </w:r>
      <w:bookmarkEnd w:id="68"/>
    </w:p>
    <w:tbl>
      <w:tblPr>
        <w:tblStyle w:val="TableGrid"/>
        <w:tblW w:w="0" w:type="auto"/>
        <w:tblLook w:val="04A0" w:firstRow="1" w:lastRow="0" w:firstColumn="1" w:lastColumn="0" w:noHBand="0" w:noVBand="1"/>
      </w:tblPr>
      <w:tblGrid>
        <w:gridCol w:w="1165"/>
        <w:gridCol w:w="920"/>
        <w:gridCol w:w="1489"/>
        <w:gridCol w:w="1460"/>
        <w:gridCol w:w="1373"/>
        <w:gridCol w:w="1185"/>
        <w:gridCol w:w="1424"/>
      </w:tblGrid>
      <w:tr w:rsidR="005A481C" w:rsidRPr="00990396" w14:paraId="07E5ED56" w14:textId="77777777" w:rsidTr="005A481C">
        <w:tc>
          <w:tcPr>
            <w:tcW w:w="0" w:type="auto"/>
            <w:hideMark/>
          </w:tcPr>
          <w:p w14:paraId="7C687A99" w14:textId="77777777" w:rsidR="005A481C" w:rsidRPr="00990396" w:rsidRDefault="005A481C" w:rsidP="00004062">
            <w:pPr>
              <w:spacing w:line="240" w:lineRule="auto"/>
              <w:jc w:val="both"/>
              <w:rPr>
                <w:b/>
                <w:bCs/>
                <w:sz w:val="16"/>
                <w:szCs w:val="16"/>
              </w:rPr>
            </w:pPr>
            <w:r w:rsidRPr="00990396">
              <w:rPr>
                <w:b/>
                <w:bCs/>
                <w:sz w:val="16"/>
                <w:szCs w:val="16"/>
              </w:rPr>
              <w:t>Study</w:t>
            </w:r>
          </w:p>
        </w:tc>
        <w:tc>
          <w:tcPr>
            <w:tcW w:w="0" w:type="auto"/>
            <w:hideMark/>
          </w:tcPr>
          <w:p w14:paraId="4F344B2C" w14:textId="77777777" w:rsidR="005A481C" w:rsidRPr="00990396" w:rsidRDefault="005A481C" w:rsidP="00004062">
            <w:pPr>
              <w:spacing w:line="240" w:lineRule="auto"/>
              <w:jc w:val="both"/>
              <w:rPr>
                <w:b/>
                <w:bCs/>
                <w:sz w:val="16"/>
                <w:szCs w:val="16"/>
              </w:rPr>
            </w:pPr>
            <w:r w:rsidRPr="00990396">
              <w:rPr>
                <w:b/>
                <w:bCs/>
                <w:sz w:val="16"/>
                <w:szCs w:val="16"/>
              </w:rPr>
              <w:t>Risk Category</w:t>
            </w:r>
          </w:p>
        </w:tc>
        <w:tc>
          <w:tcPr>
            <w:tcW w:w="0" w:type="auto"/>
            <w:hideMark/>
          </w:tcPr>
          <w:p w14:paraId="2434C01C" w14:textId="77777777" w:rsidR="005A481C" w:rsidRPr="00990396" w:rsidRDefault="005A481C" w:rsidP="00004062">
            <w:pPr>
              <w:spacing w:line="240" w:lineRule="auto"/>
              <w:jc w:val="both"/>
              <w:rPr>
                <w:b/>
                <w:bCs/>
                <w:sz w:val="16"/>
                <w:szCs w:val="16"/>
              </w:rPr>
            </w:pPr>
            <w:r w:rsidRPr="00990396">
              <w:rPr>
                <w:b/>
                <w:bCs/>
                <w:sz w:val="16"/>
                <w:szCs w:val="16"/>
              </w:rPr>
              <w:t>Methodological Strengths</w:t>
            </w:r>
          </w:p>
        </w:tc>
        <w:tc>
          <w:tcPr>
            <w:tcW w:w="0" w:type="auto"/>
            <w:hideMark/>
          </w:tcPr>
          <w:p w14:paraId="16BAC5F2" w14:textId="77777777" w:rsidR="005A481C" w:rsidRPr="00990396" w:rsidRDefault="005A481C" w:rsidP="00004062">
            <w:pPr>
              <w:spacing w:line="240" w:lineRule="auto"/>
              <w:jc w:val="both"/>
              <w:rPr>
                <w:b/>
                <w:bCs/>
                <w:sz w:val="16"/>
                <w:szCs w:val="16"/>
              </w:rPr>
            </w:pPr>
            <w:r w:rsidRPr="00990396">
              <w:rPr>
                <w:b/>
                <w:bCs/>
                <w:sz w:val="16"/>
                <w:szCs w:val="16"/>
              </w:rPr>
              <w:t>Methodological Weaknesses</w:t>
            </w:r>
          </w:p>
        </w:tc>
        <w:tc>
          <w:tcPr>
            <w:tcW w:w="0" w:type="auto"/>
            <w:hideMark/>
          </w:tcPr>
          <w:p w14:paraId="16488B3D" w14:textId="77777777" w:rsidR="005A481C" w:rsidRPr="00990396" w:rsidRDefault="005A481C" w:rsidP="00004062">
            <w:pPr>
              <w:spacing w:line="240" w:lineRule="auto"/>
              <w:jc w:val="both"/>
              <w:rPr>
                <w:b/>
                <w:bCs/>
                <w:sz w:val="16"/>
                <w:szCs w:val="16"/>
              </w:rPr>
            </w:pPr>
            <w:r w:rsidRPr="00990396">
              <w:rPr>
                <w:b/>
                <w:bCs/>
                <w:sz w:val="16"/>
                <w:szCs w:val="16"/>
              </w:rPr>
              <w:t>Bias/Validity Concerns</w:t>
            </w:r>
          </w:p>
        </w:tc>
        <w:tc>
          <w:tcPr>
            <w:tcW w:w="0" w:type="auto"/>
            <w:hideMark/>
          </w:tcPr>
          <w:p w14:paraId="78127115" w14:textId="77777777" w:rsidR="005A481C" w:rsidRPr="00990396" w:rsidRDefault="005A481C" w:rsidP="00004062">
            <w:pPr>
              <w:spacing w:line="240" w:lineRule="auto"/>
              <w:jc w:val="both"/>
              <w:rPr>
                <w:b/>
                <w:bCs/>
                <w:sz w:val="16"/>
                <w:szCs w:val="16"/>
              </w:rPr>
            </w:pPr>
            <w:r w:rsidRPr="00990396">
              <w:rPr>
                <w:b/>
                <w:bCs/>
                <w:sz w:val="16"/>
                <w:szCs w:val="16"/>
              </w:rPr>
              <w:t>UK SME Applicability</w:t>
            </w:r>
          </w:p>
        </w:tc>
        <w:tc>
          <w:tcPr>
            <w:tcW w:w="0" w:type="auto"/>
            <w:hideMark/>
          </w:tcPr>
          <w:p w14:paraId="76892F3B" w14:textId="77777777" w:rsidR="005A481C" w:rsidRPr="00990396" w:rsidRDefault="005A481C" w:rsidP="00004062">
            <w:pPr>
              <w:spacing w:line="240" w:lineRule="auto"/>
              <w:jc w:val="both"/>
              <w:rPr>
                <w:b/>
                <w:bCs/>
                <w:sz w:val="16"/>
                <w:szCs w:val="16"/>
              </w:rPr>
            </w:pPr>
            <w:r w:rsidRPr="00990396">
              <w:rPr>
                <w:b/>
                <w:bCs/>
                <w:sz w:val="16"/>
                <w:szCs w:val="16"/>
              </w:rPr>
              <w:t>Contribution to Analysis</w:t>
            </w:r>
          </w:p>
        </w:tc>
      </w:tr>
      <w:tr w:rsidR="005A481C" w:rsidRPr="00990396" w14:paraId="59AE4478" w14:textId="77777777" w:rsidTr="005A481C">
        <w:tc>
          <w:tcPr>
            <w:tcW w:w="0" w:type="auto"/>
            <w:hideMark/>
          </w:tcPr>
          <w:p w14:paraId="1ACEBC4F" w14:textId="77777777" w:rsidR="005A481C" w:rsidRPr="00990396" w:rsidRDefault="005A481C" w:rsidP="00004062">
            <w:pPr>
              <w:spacing w:line="240" w:lineRule="auto"/>
              <w:jc w:val="both"/>
              <w:rPr>
                <w:sz w:val="16"/>
                <w:szCs w:val="16"/>
              </w:rPr>
            </w:pPr>
            <w:r w:rsidRPr="00990396">
              <w:rPr>
                <w:sz w:val="16"/>
                <w:szCs w:val="16"/>
              </w:rPr>
              <w:t>Youssef et al. (2023)</w:t>
            </w:r>
          </w:p>
        </w:tc>
        <w:tc>
          <w:tcPr>
            <w:tcW w:w="0" w:type="auto"/>
            <w:hideMark/>
          </w:tcPr>
          <w:p w14:paraId="081AE1CB" w14:textId="77777777" w:rsidR="005A481C" w:rsidRPr="00990396" w:rsidRDefault="005A481C" w:rsidP="00004062">
            <w:pPr>
              <w:spacing w:line="240" w:lineRule="auto"/>
              <w:jc w:val="both"/>
              <w:rPr>
                <w:sz w:val="16"/>
                <w:szCs w:val="16"/>
              </w:rPr>
            </w:pPr>
            <w:r w:rsidRPr="00990396">
              <w:rPr>
                <w:sz w:val="16"/>
                <w:szCs w:val="16"/>
              </w:rPr>
              <w:t>Liquidity</w:t>
            </w:r>
          </w:p>
        </w:tc>
        <w:tc>
          <w:tcPr>
            <w:tcW w:w="0" w:type="auto"/>
            <w:hideMark/>
          </w:tcPr>
          <w:p w14:paraId="0A54D9FA" w14:textId="77777777" w:rsidR="005A481C" w:rsidRPr="00990396" w:rsidRDefault="005A481C" w:rsidP="00004062">
            <w:pPr>
              <w:spacing w:line="240" w:lineRule="auto"/>
              <w:jc w:val="both"/>
              <w:rPr>
                <w:sz w:val="16"/>
                <w:szCs w:val="16"/>
              </w:rPr>
            </w:pPr>
            <w:r w:rsidRPr="00990396">
              <w:rPr>
                <w:sz w:val="16"/>
                <w:szCs w:val="16"/>
              </w:rPr>
              <w:t>Direct UK SME evidence; panel data; multiple estimators including GMM</w:t>
            </w:r>
          </w:p>
        </w:tc>
        <w:tc>
          <w:tcPr>
            <w:tcW w:w="0" w:type="auto"/>
            <w:hideMark/>
          </w:tcPr>
          <w:p w14:paraId="743B0C41" w14:textId="77777777" w:rsidR="005A481C" w:rsidRPr="00990396" w:rsidRDefault="005A481C" w:rsidP="00004062">
            <w:pPr>
              <w:spacing w:line="240" w:lineRule="auto"/>
              <w:jc w:val="both"/>
              <w:rPr>
                <w:sz w:val="16"/>
                <w:szCs w:val="16"/>
              </w:rPr>
            </w:pPr>
            <w:r w:rsidRPr="00990396">
              <w:rPr>
                <w:sz w:val="16"/>
                <w:szCs w:val="16"/>
              </w:rPr>
              <w:t>Only 93 listed SMEs</w:t>
            </w:r>
          </w:p>
        </w:tc>
        <w:tc>
          <w:tcPr>
            <w:tcW w:w="0" w:type="auto"/>
            <w:hideMark/>
          </w:tcPr>
          <w:p w14:paraId="185221E9" w14:textId="77777777" w:rsidR="005A481C" w:rsidRPr="00990396" w:rsidRDefault="005A481C" w:rsidP="00004062">
            <w:pPr>
              <w:spacing w:line="240" w:lineRule="auto"/>
              <w:jc w:val="both"/>
              <w:rPr>
                <w:sz w:val="16"/>
                <w:szCs w:val="16"/>
              </w:rPr>
            </w:pPr>
            <w:r w:rsidRPr="00990396">
              <w:rPr>
                <w:sz w:val="16"/>
                <w:szCs w:val="16"/>
              </w:rPr>
              <w:t>Selection bias and restricted representation of private SMEs</w:t>
            </w:r>
          </w:p>
        </w:tc>
        <w:tc>
          <w:tcPr>
            <w:tcW w:w="0" w:type="auto"/>
            <w:hideMark/>
          </w:tcPr>
          <w:p w14:paraId="21EBAAB5" w14:textId="77777777" w:rsidR="005A481C" w:rsidRPr="00990396" w:rsidRDefault="005A481C" w:rsidP="00004062">
            <w:pPr>
              <w:spacing w:line="240" w:lineRule="auto"/>
              <w:jc w:val="both"/>
              <w:rPr>
                <w:sz w:val="16"/>
                <w:szCs w:val="16"/>
              </w:rPr>
            </w:pPr>
            <w:r w:rsidRPr="00990396">
              <w:rPr>
                <w:sz w:val="16"/>
                <w:szCs w:val="16"/>
              </w:rPr>
              <w:t>High</w:t>
            </w:r>
          </w:p>
        </w:tc>
        <w:tc>
          <w:tcPr>
            <w:tcW w:w="0" w:type="auto"/>
            <w:hideMark/>
          </w:tcPr>
          <w:p w14:paraId="6900AB08" w14:textId="77777777" w:rsidR="005A481C" w:rsidRPr="00990396" w:rsidRDefault="005A481C" w:rsidP="00004062">
            <w:pPr>
              <w:spacing w:line="240" w:lineRule="auto"/>
              <w:jc w:val="both"/>
              <w:rPr>
                <w:sz w:val="16"/>
                <w:szCs w:val="16"/>
              </w:rPr>
            </w:pPr>
            <w:r w:rsidRPr="00990396">
              <w:rPr>
                <w:sz w:val="16"/>
                <w:szCs w:val="16"/>
              </w:rPr>
              <w:t>Demonstrates that higher liquidity does not automatically improve profitability</w:t>
            </w:r>
          </w:p>
        </w:tc>
      </w:tr>
      <w:tr w:rsidR="005A481C" w:rsidRPr="00990396" w14:paraId="0AF0F909" w14:textId="77777777" w:rsidTr="005A481C">
        <w:tc>
          <w:tcPr>
            <w:tcW w:w="0" w:type="auto"/>
            <w:hideMark/>
          </w:tcPr>
          <w:p w14:paraId="0D85A562" w14:textId="77777777" w:rsidR="005A481C" w:rsidRPr="00990396" w:rsidRDefault="005A481C" w:rsidP="00004062">
            <w:pPr>
              <w:spacing w:line="240" w:lineRule="auto"/>
              <w:jc w:val="both"/>
              <w:rPr>
                <w:sz w:val="16"/>
                <w:szCs w:val="16"/>
              </w:rPr>
            </w:pPr>
            <w:proofErr w:type="spellStart"/>
            <w:r w:rsidRPr="00990396">
              <w:rPr>
                <w:sz w:val="16"/>
                <w:szCs w:val="16"/>
              </w:rPr>
              <w:t>Belghitar</w:t>
            </w:r>
            <w:proofErr w:type="spellEnd"/>
            <w:r w:rsidRPr="00990396">
              <w:rPr>
                <w:sz w:val="16"/>
                <w:szCs w:val="16"/>
              </w:rPr>
              <w:t xml:space="preserve"> et al. (2022)</w:t>
            </w:r>
          </w:p>
        </w:tc>
        <w:tc>
          <w:tcPr>
            <w:tcW w:w="0" w:type="auto"/>
            <w:hideMark/>
          </w:tcPr>
          <w:p w14:paraId="5B2668C2" w14:textId="77777777" w:rsidR="005A481C" w:rsidRPr="00990396" w:rsidRDefault="005A481C" w:rsidP="00004062">
            <w:pPr>
              <w:spacing w:line="240" w:lineRule="auto"/>
              <w:jc w:val="both"/>
              <w:rPr>
                <w:sz w:val="16"/>
                <w:szCs w:val="16"/>
              </w:rPr>
            </w:pPr>
            <w:r w:rsidRPr="00990396">
              <w:rPr>
                <w:sz w:val="16"/>
                <w:szCs w:val="16"/>
              </w:rPr>
              <w:t>Liquidity</w:t>
            </w:r>
          </w:p>
        </w:tc>
        <w:tc>
          <w:tcPr>
            <w:tcW w:w="0" w:type="auto"/>
            <w:hideMark/>
          </w:tcPr>
          <w:p w14:paraId="6B8DB13E" w14:textId="77777777" w:rsidR="005A481C" w:rsidRPr="00990396" w:rsidRDefault="005A481C" w:rsidP="00004062">
            <w:pPr>
              <w:spacing w:line="240" w:lineRule="auto"/>
              <w:jc w:val="both"/>
              <w:rPr>
                <w:sz w:val="16"/>
                <w:szCs w:val="16"/>
              </w:rPr>
            </w:pPr>
            <w:r w:rsidRPr="00990396">
              <w:rPr>
                <w:sz w:val="16"/>
                <w:szCs w:val="16"/>
              </w:rPr>
              <w:t>Very large UK SME sample; broad sector coverage</w:t>
            </w:r>
          </w:p>
        </w:tc>
        <w:tc>
          <w:tcPr>
            <w:tcW w:w="0" w:type="auto"/>
            <w:hideMark/>
          </w:tcPr>
          <w:p w14:paraId="35D57E67" w14:textId="77777777" w:rsidR="005A481C" w:rsidRPr="00990396" w:rsidRDefault="005A481C" w:rsidP="00004062">
            <w:pPr>
              <w:spacing w:line="240" w:lineRule="auto"/>
              <w:jc w:val="both"/>
              <w:rPr>
                <w:sz w:val="16"/>
                <w:szCs w:val="16"/>
              </w:rPr>
            </w:pPr>
            <w:r w:rsidRPr="00990396">
              <w:rPr>
                <w:sz w:val="16"/>
                <w:szCs w:val="16"/>
              </w:rPr>
              <w:t>Partly simulation based</w:t>
            </w:r>
          </w:p>
        </w:tc>
        <w:tc>
          <w:tcPr>
            <w:tcW w:w="0" w:type="auto"/>
            <w:hideMark/>
          </w:tcPr>
          <w:p w14:paraId="5A5EF807" w14:textId="77777777" w:rsidR="005A481C" w:rsidRPr="00990396" w:rsidRDefault="005A481C" w:rsidP="00004062">
            <w:pPr>
              <w:spacing w:line="240" w:lineRule="auto"/>
              <w:jc w:val="both"/>
              <w:rPr>
                <w:sz w:val="16"/>
                <w:szCs w:val="16"/>
              </w:rPr>
            </w:pPr>
            <w:r w:rsidRPr="00990396">
              <w:rPr>
                <w:sz w:val="16"/>
                <w:szCs w:val="16"/>
              </w:rPr>
              <w:t>Outcomes depend on assumptions regarding shocks and support</w:t>
            </w:r>
          </w:p>
        </w:tc>
        <w:tc>
          <w:tcPr>
            <w:tcW w:w="0" w:type="auto"/>
            <w:hideMark/>
          </w:tcPr>
          <w:p w14:paraId="085E10BE" w14:textId="77777777" w:rsidR="005A481C" w:rsidRPr="00990396" w:rsidRDefault="005A481C" w:rsidP="00004062">
            <w:pPr>
              <w:spacing w:line="240" w:lineRule="auto"/>
              <w:jc w:val="both"/>
              <w:rPr>
                <w:sz w:val="16"/>
                <w:szCs w:val="16"/>
              </w:rPr>
            </w:pPr>
            <w:r w:rsidRPr="00990396">
              <w:rPr>
                <w:sz w:val="16"/>
                <w:szCs w:val="16"/>
              </w:rPr>
              <w:t>Very high</w:t>
            </w:r>
          </w:p>
        </w:tc>
        <w:tc>
          <w:tcPr>
            <w:tcW w:w="0" w:type="auto"/>
            <w:hideMark/>
          </w:tcPr>
          <w:p w14:paraId="1BB50797" w14:textId="77777777" w:rsidR="005A481C" w:rsidRPr="00990396" w:rsidRDefault="005A481C" w:rsidP="00004062">
            <w:pPr>
              <w:spacing w:line="240" w:lineRule="auto"/>
              <w:jc w:val="both"/>
              <w:rPr>
                <w:sz w:val="16"/>
                <w:szCs w:val="16"/>
              </w:rPr>
            </w:pPr>
            <w:r w:rsidRPr="00990396">
              <w:rPr>
                <w:sz w:val="16"/>
                <w:szCs w:val="16"/>
              </w:rPr>
              <w:t>Shows the resilience and survival value of liquidity during disruption</w:t>
            </w:r>
          </w:p>
        </w:tc>
      </w:tr>
      <w:tr w:rsidR="005A481C" w:rsidRPr="00990396" w14:paraId="1FFBD58A" w14:textId="77777777" w:rsidTr="005A481C">
        <w:tc>
          <w:tcPr>
            <w:tcW w:w="0" w:type="auto"/>
            <w:hideMark/>
          </w:tcPr>
          <w:p w14:paraId="598E8531" w14:textId="77777777" w:rsidR="005A481C" w:rsidRPr="00990396" w:rsidRDefault="005A481C" w:rsidP="00004062">
            <w:pPr>
              <w:spacing w:line="240" w:lineRule="auto"/>
              <w:jc w:val="both"/>
              <w:rPr>
                <w:sz w:val="16"/>
                <w:szCs w:val="16"/>
              </w:rPr>
            </w:pPr>
            <w:r w:rsidRPr="00990396">
              <w:rPr>
                <w:sz w:val="16"/>
                <w:szCs w:val="16"/>
              </w:rPr>
              <w:t>Laghari et al. (2023)</w:t>
            </w:r>
          </w:p>
        </w:tc>
        <w:tc>
          <w:tcPr>
            <w:tcW w:w="0" w:type="auto"/>
            <w:hideMark/>
          </w:tcPr>
          <w:p w14:paraId="4B98881C" w14:textId="77777777" w:rsidR="005A481C" w:rsidRPr="00990396" w:rsidRDefault="005A481C" w:rsidP="00004062">
            <w:pPr>
              <w:spacing w:line="240" w:lineRule="auto"/>
              <w:jc w:val="both"/>
              <w:rPr>
                <w:sz w:val="16"/>
                <w:szCs w:val="16"/>
              </w:rPr>
            </w:pPr>
            <w:r w:rsidRPr="00990396">
              <w:rPr>
                <w:sz w:val="16"/>
                <w:szCs w:val="16"/>
              </w:rPr>
              <w:t>Liquidity</w:t>
            </w:r>
          </w:p>
        </w:tc>
        <w:tc>
          <w:tcPr>
            <w:tcW w:w="0" w:type="auto"/>
            <w:hideMark/>
          </w:tcPr>
          <w:p w14:paraId="35AA75CF" w14:textId="77777777" w:rsidR="005A481C" w:rsidRPr="00990396" w:rsidRDefault="005A481C" w:rsidP="00004062">
            <w:pPr>
              <w:spacing w:line="240" w:lineRule="auto"/>
              <w:jc w:val="both"/>
              <w:rPr>
                <w:sz w:val="16"/>
                <w:szCs w:val="16"/>
              </w:rPr>
            </w:pPr>
            <w:r w:rsidRPr="00990396">
              <w:rPr>
                <w:sz w:val="16"/>
                <w:szCs w:val="16"/>
              </w:rPr>
              <w:t>Large longitudinal dataset; several robustness and endogeneity tests</w:t>
            </w:r>
          </w:p>
        </w:tc>
        <w:tc>
          <w:tcPr>
            <w:tcW w:w="0" w:type="auto"/>
            <w:hideMark/>
          </w:tcPr>
          <w:p w14:paraId="677665A8" w14:textId="77777777" w:rsidR="005A481C" w:rsidRPr="00990396" w:rsidRDefault="005A481C" w:rsidP="00004062">
            <w:pPr>
              <w:spacing w:line="240" w:lineRule="auto"/>
              <w:jc w:val="both"/>
              <w:rPr>
                <w:sz w:val="16"/>
                <w:szCs w:val="16"/>
              </w:rPr>
            </w:pPr>
            <w:r w:rsidRPr="00990396">
              <w:rPr>
                <w:sz w:val="16"/>
                <w:szCs w:val="16"/>
              </w:rPr>
              <w:t>Chinese listed-firm setting</w:t>
            </w:r>
          </w:p>
        </w:tc>
        <w:tc>
          <w:tcPr>
            <w:tcW w:w="0" w:type="auto"/>
            <w:hideMark/>
          </w:tcPr>
          <w:p w14:paraId="4426C79B" w14:textId="77777777" w:rsidR="005A481C" w:rsidRPr="00990396" w:rsidRDefault="005A481C" w:rsidP="00004062">
            <w:pPr>
              <w:spacing w:line="240" w:lineRule="auto"/>
              <w:jc w:val="both"/>
              <w:rPr>
                <w:sz w:val="16"/>
                <w:szCs w:val="16"/>
              </w:rPr>
            </w:pPr>
            <w:r w:rsidRPr="00990396">
              <w:rPr>
                <w:sz w:val="16"/>
                <w:szCs w:val="16"/>
              </w:rPr>
              <w:t>Institutional and firm-size differences weaken external validity</w:t>
            </w:r>
          </w:p>
        </w:tc>
        <w:tc>
          <w:tcPr>
            <w:tcW w:w="0" w:type="auto"/>
            <w:hideMark/>
          </w:tcPr>
          <w:p w14:paraId="1EC45C87" w14:textId="77777777" w:rsidR="005A481C" w:rsidRPr="00990396" w:rsidRDefault="005A481C" w:rsidP="00004062">
            <w:pPr>
              <w:spacing w:line="240" w:lineRule="auto"/>
              <w:jc w:val="both"/>
              <w:rPr>
                <w:sz w:val="16"/>
                <w:szCs w:val="16"/>
              </w:rPr>
            </w:pPr>
            <w:r w:rsidRPr="00990396">
              <w:rPr>
                <w:sz w:val="16"/>
                <w:szCs w:val="16"/>
              </w:rPr>
              <w:t>Moderate</w:t>
            </w:r>
          </w:p>
        </w:tc>
        <w:tc>
          <w:tcPr>
            <w:tcW w:w="0" w:type="auto"/>
            <w:hideMark/>
          </w:tcPr>
          <w:p w14:paraId="6E1E6B00" w14:textId="77777777" w:rsidR="005A481C" w:rsidRPr="00990396" w:rsidRDefault="005A481C" w:rsidP="00004062">
            <w:pPr>
              <w:spacing w:line="240" w:lineRule="auto"/>
              <w:jc w:val="both"/>
              <w:rPr>
                <w:sz w:val="16"/>
                <w:szCs w:val="16"/>
              </w:rPr>
            </w:pPr>
            <w:r w:rsidRPr="00990396">
              <w:rPr>
                <w:sz w:val="16"/>
                <w:szCs w:val="16"/>
              </w:rPr>
              <w:t>Strong evidence supporting efficient cash conversion</w:t>
            </w:r>
          </w:p>
        </w:tc>
      </w:tr>
      <w:tr w:rsidR="005A481C" w:rsidRPr="00990396" w14:paraId="442F51CC" w14:textId="77777777" w:rsidTr="005A481C">
        <w:tc>
          <w:tcPr>
            <w:tcW w:w="0" w:type="auto"/>
            <w:hideMark/>
          </w:tcPr>
          <w:p w14:paraId="1B3BD066" w14:textId="77777777" w:rsidR="005A481C" w:rsidRPr="00990396" w:rsidRDefault="005A481C" w:rsidP="00004062">
            <w:pPr>
              <w:spacing w:line="240" w:lineRule="auto"/>
              <w:jc w:val="both"/>
              <w:rPr>
                <w:sz w:val="16"/>
                <w:szCs w:val="16"/>
              </w:rPr>
            </w:pPr>
            <w:r w:rsidRPr="00990396">
              <w:rPr>
                <w:sz w:val="16"/>
                <w:szCs w:val="16"/>
              </w:rPr>
              <w:t>Hung and Dinh (2022)</w:t>
            </w:r>
          </w:p>
        </w:tc>
        <w:tc>
          <w:tcPr>
            <w:tcW w:w="0" w:type="auto"/>
            <w:hideMark/>
          </w:tcPr>
          <w:p w14:paraId="60B6948C" w14:textId="77777777" w:rsidR="005A481C" w:rsidRPr="00990396" w:rsidRDefault="005A481C" w:rsidP="00004062">
            <w:pPr>
              <w:spacing w:line="240" w:lineRule="auto"/>
              <w:jc w:val="both"/>
              <w:rPr>
                <w:sz w:val="16"/>
                <w:szCs w:val="16"/>
              </w:rPr>
            </w:pPr>
            <w:r w:rsidRPr="00990396">
              <w:rPr>
                <w:sz w:val="16"/>
                <w:szCs w:val="16"/>
              </w:rPr>
              <w:t>Liquidity</w:t>
            </w:r>
          </w:p>
        </w:tc>
        <w:tc>
          <w:tcPr>
            <w:tcW w:w="0" w:type="auto"/>
            <w:hideMark/>
          </w:tcPr>
          <w:p w14:paraId="576DA13D" w14:textId="77777777" w:rsidR="005A481C" w:rsidRPr="00990396" w:rsidRDefault="005A481C" w:rsidP="00004062">
            <w:pPr>
              <w:spacing w:line="240" w:lineRule="auto"/>
              <w:jc w:val="both"/>
              <w:rPr>
                <w:sz w:val="16"/>
                <w:szCs w:val="16"/>
              </w:rPr>
            </w:pPr>
            <w:r w:rsidRPr="00990396">
              <w:rPr>
                <w:sz w:val="16"/>
                <w:szCs w:val="16"/>
              </w:rPr>
              <w:t>Large panel; nonlinear threshold methodology</w:t>
            </w:r>
          </w:p>
        </w:tc>
        <w:tc>
          <w:tcPr>
            <w:tcW w:w="0" w:type="auto"/>
            <w:hideMark/>
          </w:tcPr>
          <w:p w14:paraId="23CF8DF5" w14:textId="77777777" w:rsidR="005A481C" w:rsidRPr="00990396" w:rsidRDefault="005A481C" w:rsidP="00004062">
            <w:pPr>
              <w:spacing w:line="240" w:lineRule="auto"/>
              <w:jc w:val="both"/>
              <w:rPr>
                <w:sz w:val="16"/>
                <w:szCs w:val="16"/>
              </w:rPr>
            </w:pPr>
            <w:r w:rsidRPr="00990396">
              <w:rPr>
                <w:sz w:val="16"/>
                <w:szCs w:val="16"/>
              </w:rPr>
              <w:t>One emerging-market listed-firm setting</w:t>
            </w:r>
          </w:p>
        </w:tc>
        <w:tc>
          <w:tcPr>
            <w:tcW w:w="0" w:type="auto"/>
            <w:hideMark/>
          </w:tcPr>
          <w:p w14:paraId="6C85BFF3" w14:textId="77777777" w:rsidR="005A481C" w:rsidRPr="00990396" w:rsidRDefault="005A481C" w:rsidP="00004062">
            <w:pPr>
              <w:spacing w:line="240" w:lineRule="auto"/>
              <w:jc w:val="both"/>
              <w:rPr>
                <w:sz w:val="16"/>
                <w:szCs w:val="16"/>
              </w:rPr>
            </w:pPr>
            <w:r w:rsidRPr="00990396">
              <w:rPr>
                <w:sz w:val="16"/>
                <w:szCs w:val="16"/>
              </w:rPr>
              <w:t>Estimated thresholds may be context specific</w:t>
            </w:r>
          </w:p>
        </w:tc>
        <w:tc>
          <w:tcPr>
            <w:tcW w:w="0" w:type="auto"/>
            <w:hideMark/>
          </w:tcPr>
          <w:p w14:paraId="6221C636" w14:textId="77777777" w:rsidR="005A481C" w:rsidRPr="00990396" w:rsidRDefault="005A481C" w:rsidP="00004062">
            <w:pPr>
              <w:spacing w:line="240" w:lineRule="auto"/>
              <w:jc w:val="both"/>
              <w:rPr>
                <w:sz w:val="16"/>
                <w:szCs w:val="16"/>
              </w:rPr>
            </w:pPr>
            <w:r w:rsidRPr="00990396">
              <w:rPr>
                <w:sz w:val="16"/>
                <w:szCs w:val="16"/>
              </w:rPr>
              <w:t>Moderate</w:t>
            </w:r>
          </w:p>
        </w:tc>
        <w:tc>
          <w:tcPr>
            <w:tcW w:w="0" w:type="auto"/>
            <w:hideMark/>
          </w:tcPr>
          <w:p w14:paraId="44BDE60D" w14:textId="77777777" w:rsidR="005A481C" w:rsidRPr="00990396" w:rsidRDefault="005A481C" w:rsidP="00004062">
            <w:pPr>
              <w:spacing w:line="240" w:lineRule="auto"/>
              <w:jc w:val="both"/>
              <w:rPr>
                <w:sz w:val="16"/>
                <w:szCs w:val="16"/>
              </w:rPr>
            </w:pPr>
            <w:r w:rsidRPr="00990396">
              <w:rPr>
                <w:sz w:val="16"/>
                <w:szCs w:val="16"/>
              </w:rPr>
              <w:t>Shows that working-capital effects depend on leverage and optimal levels</w:t>
            </w:r>
          </w:p>
        </w:tc>
      </w:tr>
      <w:tr w:rsidR="005A481C" w:rsidRPr="00990396" w14:paraId="7C1D9C87" w14:textId="77777777" w:rsidTr="005A481C">
        <w:tc>
          <w:tcPr>
            <w:tcW w:w="0" w:type="auto"/>
            <w:hideMark/>
          </w:tcPr>
          <w:p w14:paraId="6661C71D" w14:textId="77777777" w:rsidR="005A481C" w:rsidRPr="00990396" w:rsidRDefault="005A481C" w:rsidP="00004062">
            <w:pPr>
              <w:spacing w:line="240" w:lineRule="auto"/>
              <w:jc w:val="both"/>
              <w:rPr>
                <w:sz w:val="16"/>
                <w:szCs w:val="16"/>
              </w:rPr>
            </w:pPr>
            <w:r w:rsidRPr="00990396">
              <w:rPr>
                <w:sz w:val="16"/>
                <w:szCs w:val="16"/>
              </w:rPr>
              <w:t xml:space="preserve">Anton and </w:t>
            </w:r>
            <w:proofErr w:type="spellStart"/>
            <w:r w:rsidRPr="00990396">
              <w:rPr>
                <w:sz w:val="16"/>
                <w:szCs w:val="16"/>
              </w:rPr>
              <w:t>Afloarei</w:t>
            </w:r>
            <w:proofErr w:type="spellEnd"/>
            <w:r w:rsidRPr="00990396">
              <w:rPr>
                <w:sz w:val="16"/>
                <w:szCs w:val="16"/>
              </w:rPr>
              <w:t xml:space="preserve"> </w:t>
            </w:r>
            <w:proofErr w:type="spellStart"/>
            <w:r w:rsidRPr="00990396">
              <w:rPr>
                <w:sz w:val="16"/>
                <w:szCs w:val="16"/>
              </w:rPr>
              <w:t>Nucu</w:t>
            </w:r>
            <w:proofErr w:type="spellEnd"/>
            <w:r w:rsidRPr="00990396">
              <w:rPr>
                <w:sz w:val="16"/>
                <w:szCs w:val="16"/>
              </w:rPr>
              <w:t xml:space="preserve"> (2021)</w:t>
            </w:r>
          </w:p>
        </w:tc>
        <w:tc>
          <w:tcPr>
            <w:tcW w:w="0" w:type="auto"/>
            <w:hideMark/>
          </w:tcPr>
          <w:p w14:paraId="502092BA" w14:textId="77777777" w:rsidR="005A481C" w:rsidRPr="00990396" w:rsidRDefault="005A481C" w:rsidP="00004062">
            <w:pPr>
              <w:spacing w:line="240" w:lineRule="auto"/>
              <w:jc w:val="both"/>
              <w:rPr>
                <w:sz w:val="16"/>
                <w:szCs w:val="16"/>
              </w:rPr>
            </w:pPr>
            <w:r w:rsidRPr="00990396">
              <w:rPr>
                <w:sz w:val="16"/>
                <w:szCs w:val="16"/>
              </w:rPr>
              <w:t>Liquidity</w:t>
            </w:r>
          </w:p>
        </w:tc>
        <w:tc>
          <w:tcPr>
            <w:tcW w:w="0" w:type="auto"/>
            <w:hideMark/>
          </w:tcPr>
          <w:p w14:paraId="0CA9D8B1" w14:textId="77777777" w:rsidR="005A481C" w:rsidRPr="00990396" w:rsidRDefault="005A481C" w:rsidP="00004062">
            <w:pPr>
              <w:spacing w:line="240" w:lineRule="auto"/>
              <w:jc w:val="both"/>
              <w:rPr>
                <w:sz w:val="16"/>
                <w:szCs w:val="16"/>
              </w:rPr>
            </w:pPr>
            <w:r w:rsidRPr="00990396">
              <w:rPr>
                <w:sz w:val="16"/>
                <w:szCs w:val="16"/>
              </w:rPr>
              <w:t>Long panel and nonlinear modelling</w:t>
            </w:r>
          </w:p>
        </w:tc>
        <w:tc>
          <w:tcPr>
            <w:tcW w:w="0" w:type="auto"/>
            <w:hideMark/>
          </w:tcPr>
          <w:p w14:paraId="6AEAC016" w14:textId="77777777" w:rsidR="005A481C" w:rsidRPr="00990396" w:rsidRDefault="005A481C" w:rsidP="00004062">
            <w:pPr>
              <w:spacing w:line="240" w:lineRule="auto"/>
              <w:jc w:val="both"/>
              <w:rPr>
                <w:sz w:val="16"/>
                <w:szCs w:val="16"/>
              </w:rPr>
            </w:pPr>
            <w:r w:rsidRPr="00990396">
              <w:rPr>
                <w:sz w:val="16"/>
                <w:szCs w:val="16"/>
              </w:rPr>
              <w:t>Data predate recent economic shocks</w:t>
            </w:r>
          </w:p>
        </w:tc>
        <w:tc>
          <w:tcPr>
            <w:tcW w:w="0" w:type="auto"/>
            <w:hideMark/>
          </w:tcPr>
          <w:p w14:paraId="4AD7F843" w14:textId="77777777" w:rsidR="005A481C" w:rsidRPr="00990396" w:rsidRDefault="005A481C" w:rsidP="00004062">
            <w:pPr>
              <w:spacing w:line="240" w:lineRule="auto"/>
              <w:jc w:val="both"/>
              <w:rPr>
                <w:sz w:val="16"/>
                <w:szCs w:val="16"/>
              </w:rPr>
            </w:pPr>
            <w:r w:rsidRPr="00990396">
              <w:rPr>
                <w:sz w:val="16"/>
                <w:szCs w:val="16"/>
              </w:rPr>
              <w:t>Omitted managerial variables may influence results</w:t>
            </w:r>
          </w:p>
        </w:tc>
        <w:tc>
          <w:tcPr>
            <w:tcW w:w="0" w:type="auto"/>
            <w:hideMark/>
          </w:tcPr>
          <w:p w14:paraId="5A5C0E4F" w14:textId="77777777" w:rsidR="005A481C" w:rsidRPr="00990396" w:rsidRDefault="005A481C" w:rsidP="00004062">
            <w:pPr>
              <w:spacing w:line="240" w:lineRule="auto"/>
              <w:jc w:val="both"/>
              <w:rPr>
                <w:sz w:val="16"/>
                <w:szCs w:val="16"/>
              </w:rPr>
            </w:pPr>
            <w:r w:rsidRPr="00990396">
              <w:rPr>
                <w:sz w:val="16"/>
                <w:szCs w:val="16"/>
              </w:rPr>
              <w:t>Moderate</w:t>
            </w:r>
          </w:p>
        </w:tc>
        <w:tc>
          <w:tcPr>
            <w:tcW w:w="0" w:type="auto"/>
            <w:hideMark/>
          </w:tcPr>
          <w:p w14:paraId="189DE317" w14:textId="77777777" w:rsidR="005A481C" w:rsidRPr="00990396" w:rsidRDefault="005A481C" w:rsidP="00004062">
            <w:pPr>
              <w:spacing w:line="240" w:lineRule="auto"/>
              <w:jc w:val="both"/>
              <w:rPr>
                <w:sz w:val="16"/>
                <w:szCs w:val="16"/>
              </w:rPr>
            </w:pPr>
            <w:r w:rsidRPr="00990396">
              <w:rPr>
                <w:sz w:val="16"/>
                <w:szCs w:val="16"/>
              </w:rPr>
              <w:t>Supports the argument that excessive working capital can reduce profitability</w:t>
            </w:r>
          </w:p>
        </w:tc>
      </w:tr>
      <w:tr w:rsidR="005A481C" w:rsidRPr="00990396" w14:paraId="5EC1077F" w14:textId="77777777" w:rsidTr="005A481C">
        <w:tc>
          <w:tcPr>
            <w:tcW w:w="0" w:type="auto"/>
            <w:hideMark/>
          </w:tcPr>
          <w:p w14:paraId="170AE992" w14:textId="77777777" w:rsidR="005A481C" w:rsidRPr="00990396" w:rsidRDefault="005A481C" w:rsidP="00004062">
            <w:pPr>
              <w:spacing w:line="240" w:lineRule="auto"/>
              <w:jc w:val="both"/>
              <w:rPr>
                <w:sz w:val="16"/>
                <w:szCs w:val="16"/>
              </w:rPr>
            </w:pPr>
            <w:proofErr w:type="spellStart"/>
            <w:r w:rsidRPr="00990396">
              <w:rPr>
                <w:sz w:val="16"/>
                <w:szCs w:val="16"/>
              </w:rPr>
              <w:t>Airout</w:t>
            </w:r>
            <w:proofErr w:type="spellEnd"/>
            <w:r w:rsidRPr="00990396">
              <w:rPr>
                <w:sz w:val="16"/>
                <w:szCs w:val="16"/>
              </w:rPr>
              <w:t xml:space="preserve"> et al. (2023)</w:t>
            </w:r>
          </w:p>
        </w:tc>
        <w:tc>
          <w:tcPr>
            <w:tcW w:w="0" w:type="auto"/>
            <w:hideMark/>
          </w:tcPr>
          <w:p w14:paraId="18AF49B4" w14:textId="77777777" w:rsidR="005A481C" w:rsidRPr="00990396" w:rsidRDefault="005A481C" w:rsidP="00004062">
            <w:pPr>
              <w:spacing w:line="240" w:lineRule="auto"/>
              <w:jc w:val="both"/>
              <w:rPr>
                <w:sz w:val="16"/>
                <w:szCs w:val="16"/>
              </w:rPr>
            </w:pPr>
            <w:r w:rsidRPr="00990396">
              <w:rPr>
                <w:sz w:val="16"/>
                <w:szCs w:val="16"/>
              </w:rPr>
              <w:t>Liquidity</w:t>
            </w:r>
          </w:p>
        </w:tc>
        <w:tc>
          <w:tcPr>
            <w:tcW w:w="0" w:type="auto"/>
            <w:hideMark/>
          </w:tcPr>
          <w:p w14:paraId="17AB32B2" w14:textId="77777777" w:rsidR="005A481C" w:rsidRPr="00990396" w:rsidRDefault="005A481C" w:rsidP="00004062">
            <w:pPr>
              <w:spacing w:line="240" w:lineRule="auto"/>
              <w:jc w:val="both"/>
              <w:rPr>
                <w:sz w:val="16"/>
                <w:szCs w:val="16"/>
              </w:rPr>
            </w:pPr>
            <w:r w:rsidRPr="00990396">
              <w:rPr>
                <w:sz w:val="16"/>
                <w:szCs w:val="16"/>
              </w:rPr>
              <w:t>Direct SME evidence; considers liquidity as a moderating condition</w:t>
            </w:r>
          </w:p>
        </w:tc>
        <w:tc>
          <w:tcPr>
            <w:tcW w:w="0" w:type="auto"/>
            <w:hideMark/>
          </w:tcPr>
          <w:p w14:paraId="1DC481E6" w14:textId="77777777" w:rsidR="005A481C" w:rsidRPr="00990396" w:rsidRDefault="005A481C" w:rsidP="00004062">
            <w:pPr>
              <w:spacing w:line="240" w:lineRule="auto"/>
              <w:jc w:val="both"/>
              <w:rPr>
                <w:sz w:val="16"/>
                <w:szCs w:val="16"/>
              </w:rPr>
            </w:pPr>
            <w:r w:rsidRPr="00990396">
              <w:rPr>
                <w:sz w:val="16"/>
                <w:szCs w:val="16"/>
              </w:rPr>
              <w:t>Modest sample and simple regression</w:t>
            </w:r>
          </w:p>
        </w:tc>
        <w:tc>
          <w:tcPr>
            <w:tcW w:w="0" w:type="auto"/>
            <w:hideMark/>
          </w:tcPr>
          <w:p w14:paraId="16B826FB" w14:textId="77777777" w:rsidR="005A481C" w:rsidRPr="00990396" w:rsidRDefault="005A481C" w:rsidP="00004062">
            <w:pPr>
              <w:spacing w:line="240" w:lineRule="auto"/>
              <w:jc w:val="both"/>
              <w:rPr>
                <w:sz w:val="16"/>
                <w:szCs w:val="16"/>
              </w:rPr>
            </w:pPr>
            <w:r w:rsidRPr="00990396">
              <w:rPr>
                <w:sz w:val="16"/>
                <w:szCs w:val="16"/>
              </w:rPr>
              <w:t>Endogeneity and temporal-order concerns</w:t>
            </w:r>
          </w:p>
        </w:tc>
        <w:tc>
          <w:tcPr>
            <w:tcW w:w="0" w:type="auto"/>
            <w:hideMark/>
          </w:tcPr>
          <w:p w14:paraId="31BC172B" w14:textId="77777777" w:rsidR="005A481C" w:rsidRPr="00990396" w:rsidRDefault="005A481C" w:rsidP="00004062">
            <w:pPr>
              <w:spacing w:line="240" w:lineRule="auto"/>
              <w:jc w:val="both"/>
              <w:rPr>
                <w:sz w:val="16"/>
                <w:szCs w:val="16"/>
              </w:rPr>
            </w:pPr>
            <w:r w:rsidRPr="00990396">
              <w:rPr>
                <w:sz w:val="16"/>
                <w:szCs w:val="16"/>
              </w:rPr>
              <w:t>Moderate to low</w:t>
            </w:r>
          </w:p>
        </w:tc>
        <w:tc>
          <w:tcPr>
            <w:tcW w:w="0" w:type="auto"/>
            <w:hideMark/>
          </w:tcPr>
          <w:p w14:paraId="17D19800" w14:textId="77777777" w:rsidR="005A481C" w:rsidRPr="00990396" w:rsidRDefault="005A481C" w:rsidP="00004062">
            <w:pPr>
              <w:spacing w:line="240" w:lineRule="auto"/>
              <w:jc w:val="both"/>
              <w:rPr>
                <w:sz w:val="16"/>
                <w:szCs w:val="16"/>
              </w:rPr>
            </w:pPr>
            <w:r w:rsidRPr="00990396">
              <w:rPr>
                <w:sz w:val="16"/>
                <w:szCs w:val="16"/>
              </w:rPr>
              <w:t>Shows that liquidity effects depend on other spending decisions</w:t>
            </w:r>
          </w:p>
        </w:tc>
      </w:tr>
      <w:tr w:rsidR="005A481C" w:rsidRPr="00990396" w14:paraId="072F848B" w14:textId="77777777" w:rsidTr="005A481C">
        <w:tc>
          <w:tcPr>
            <w:tcW w:w="0" w:type="auto"/>
            <w:hideMark/>
          </w:tcPr>
          <w:p w14:paraId="2E4988A0" w14:textId="77777777" w:rsidR="005A481C" w:rsidRPr="00990396" w:rsidRDefault="005A481C" w:rsidP="00004062">
            <w:pPr>
              <w:spacing w:line="240" w:lineRule="auto"/>
              <w:jc w:val="both"/>
              <w:rPr>
                <w:sz w:val="16"/>
                <w:szCs w:val="16"/>
              </w:rPr>
            </w:pPr>
            <w:proofErr w:type="spellStart"/>
            <w:r w:rsidRPr="00990396">
              <w:rPr>
                <w:sz w:val="16"/>
                <w:szCs w:val="16"/>
              </w:rPr>
              <w:t>Mandipa</w:t>
            </w:r>
            <w:proofErr w:type="spellEnd"/>
            <w:r w:rsidRPr="00990396">
              <w:rPr>
                <w:sz w:val="16"/>
                <w:szCs w:val="16"/>
              </w:rPr>
              <w:t xml:space="preserve"> and Sibindi (2022)</w:t>
            </w:r>
          </w:p>
        </w:tc>
        <w:tc>
          <w:tcPr>
            <w:tcW w:w="0" w:type="auto"/>
            <w:hideMark/>
          </w:tcPr>
          <w:p w14:paraId="560B34C5" w14:textId="77777777" w:rsidR="005A481C" w:rsidRPr="00990396" w:rsidRDefault="005A481C" w:rsidP="00004062">
            <w:pPr>
              <w:spacing w:line="240" w:lineRule="auto"/>
              <w:jc w:val="both"/>
              <w:rPr>
                <w:sz w:val="16"/>
                <w:szCs w:val="16"/>
              </w:rPr>
            </w:pPr>
            <w:r w:rsidRPr="00990396">
              <w:rPr>
                <w:sz w:val="16"/>
                <w:szCs w:val="16"/>
              </w:rPr>
              <w:t>Liquidity</w:t>
            </w:r>
          </w:p>
        </w:tc>
        <w:tc>
          <w:tcPr>
            <w:tcW w:w="0" w:type="auto"/>
            <w:hideMark/>
          </w:tcPr>
          <w:p w14:paraId="06F450D2" w14:textId="77777777" w:rsidR="005A481C" w:rsidRPr="00990396" w:rsidRDefault="005A481C" w:rsidP="00004062">
            <w:pPr>
              <w:spacing w:line="240" w:lineRule="auto"/>
              <w:jc w:val="both"/>
              <w:rPr>
                <w:sz w:val="16"/>
                <w:szCs w:val="16"/>
              </w:rPr>
            </w:pPr>
            <w:r w:rsidRPr="00990396">
              <w:rPr>
                <w:sz w:val="16"/>
                <w:szCs w:val="16"/>
              </w:rPr>
              <w:t>Sector focus and fixed-effects estimation</w:t>
            </w:r>
          </w:p>
        </w:tc>
        <w:tc>
          <w:tcPr>
            <w:tcW w:w="0" w:type="auto"/>
            <w:hideMark/>
          </w:tcPr>
          <w:p w14:paraId="65CD474D" w14:textId="77777777" w:rsidR="005A481C" w:rsidRPr="00990396" w:rsidRDefault="005A481C" w:rsidP="00004062">
            <w:pPr>
              <w:spacing w:line="240" w:lineRule="auto"/>
              <w:jc w:val="both"/>
              <w:rPr>
                <w:sz w:val="16"/>
                <w:szCs w:val="16"/>
              </w:rPr>
            </w:pPr>
            <w:r w:rsidRPr="00990396">
              <w:rPr>
                <w:sz w:val="16"/>
                <w:szCs w:val="16"/>
              </w:rPr>
              <w:t>Only 16 firms</w:t>
            </w:r>
          </w:p>
        </w:tc>
        <w:tc>
          <w:tcPr>
            <w:tcW w:w="0" w:type="auto"/>
            <w:hideMark/>
          </w:tcPr>
          <w:p w14:paraId="0F354BF6" w14:textId="77777777" w:rsidR="005A481C" w:rsidRPr="00990396" w:rsidRDefault="005A481C" w:rsidP="00004062">
            <w:pPr>
              <w:spacing w:line="240" w:lineRule="auto"/>
              <w:jc w:val="both"/>
              <w:rPr>
                <w:sz w:val="16"/>
                <w:szCs w:val="16"/>
              </w:rPr>
            </w:pPr>
            <w:r w:rsidRPr="00990396">
              <w:rPr>
                <w:sz w:val="16"/>
                <w:szCs w:val="16"/>
              </w:rPr>
              <w:t>Weak statistical power and narrow generalisability</w:t>
            </w:r>
          </w:p>
        </w:tc>
        <w:tc>
          <w:tcPr>
            <w:tcW w:w="0" w:type="auto"/>
            <w:hideMark/>
          </w:tcPr>
          <w:p w14:paraId="0AAFE0EE" w14:textId="77777777" w:rsidR="005A481C" w:rsidRPr="00990396" w:rsidRDefault="005A481C" w:rsidP="00004062">
            <w:pPr>
              <w:spacing w:line="240" w:lineRule="auto"/>
              <w:jc w:val="both"/>
              <w:rPr>
                <w:sz w:val="16"/>
                <w:szCs w:val="16"/>
              </w:rPr>
            </w:pPr>
            <w:r w:rsidRPr="00990396">
              <w:rPr>
                <w:sz w:val="16"/>
                <w:szCs w:val="16"/>
              </w:rPr>
              <w:t>Low to moderate</w:t>
            </w:r>
          </w:p>
        </w:tc>
        <w:tc>
          <w:tcPr>
            <w:tcW w:w="0" w:type="auto"/>
            <w:hideMark/>
          </w:tcPr>
          <w:p w14:paraId="1854C5A8" w14:textId="77777777" w:rsidR="005A481C" w:rsidRPr="00990396" w:rsidRDefault="005A481C" w:rsidP="00004062">
            <w:pPr>
              <w:spacing w:line="240" w:lineRule="auto"/>
              <w:jc w:val="both"/>
              <w:rPr>
                <w:sz w:val="16"/>
                <w:szCs w:val="16"/>
              </w:rPr>
            </w:pPr>
            <w:r w:rsidRPr="00990396">
              <w:rPr>
                <w:sz w:val="16"/>
                <w:szCs w:val="16"/>
              </w:rPr>
              <w:t>Supports tighter management of inventory, receivables and the cash cycle</w:t>
            </w:r>
          </w:p>
        </w:tc>
      </w:tr>
      <w:tr w:rsidR="005A481C" w:rsidRPr="00990396" w14:paraId="5E512808" w14:textId="77777777" w:rsidTr="005A481C">
        <w:tc>
          <w:tcPr>
            <w:tcW w:w="0" w:type="auto"/>
            <w:hideMark/>
          </w:tcPr>
          <w:p w14:paraId="44FC790D" w14:textId="77777777" w:rsidR="005A481C" w:rsidRPr="00990396" w:rsidRDefault="005A481C" w:rsidP="00004062">
            <w:pPr>
              <w:spacing w:line="240" w:lineRule="auto"/>
              <w:jc w:val="both"/>
              <w:rPr>
                <w:sz w:val="16"/>
                <w:szCs w:val="16"/>
              </w:rPr>
            </w:pPr>
            <w:r w:rsidRPr="00990396">
              <w:rPr>
                <w:sz w:val="16"/>
                <w:szCs w:val="16"/>
              </w:rPr>
              <w:t>Peter et al. (2022)</w:t>
            </w:r>
          </w:p>
        </w:tc>
        <w:tc>
          <w:tcPr>
            <w:tcW w:w="0" w:type="auto"/>
            <w:hideMark/>
          </w:tcPr>
          <w:p w14:paraId="24BCB62D" w14:textId="77777777" w:rsidR="005A481C" w:rsidRPr="00990396" w:rsidRDefault="005A481C" w:rsidP="00004062">
            <w:pPr>
              <w:spacing w:line="240" w:lineRule="auto"/>
              <w:jc w:val="both"/>
              <w:rPr>
                <w:sz w:val="16"/>
                <w:szCs w:val="16"/>
              </w:rPr>
            </w:pPr>
            <w:r w:rsidRPr="00990396">
              <w:rPr>
                <w:sz w:val="16"/>
                <w:szCs w:val="16"/>
              </w:rPr>
              <w:t>Credit</w:t>
            </w:r>
          </w:p>
        </w:tc>
        <w:tc>
          <w:tcPr>
            <w:tcW w:w="0" w:type="auto"/>
            <w:hideMark/>
          </w:tcPr>
          <w:p w14:paraId="76A596A4" w14:textId="77777777" w:rsidR="005A481C" w:rsidRPr="00990396" w:rsidRDefault="005A481C" w:rsidP="00004062">
            <w:pPr>
              <w:spacing w:line="240" w:lineRule="auto"/>
              <w:jc w:val="both"/>
              <w:rPr>
                <w:sz w:val="16"/>
                <w:szCs w:val="16"/>
              </w:rPr>
            </w:pPr>
            <w:r w:rsidRPr="00990396">
              <w:rPr>
                <w:sz w:val="16"/>
                <w:szCs w:val="16"/>
              </w:rPr>
              <w:t>Mixed methods provide methodological triangulation</w:t>
            </w:r>
          </w:p>
        </w:tc>
        <w:tc>
          <w:tcPr>
            <w:tcW w:w="0" w:type="auto"/>
            <w:hideMark/>
          </w:tcPr>
          <w:p w14:paraId="4990F78E" w14:textId="77777777" w:rsidR="005A481C" w:rsidRPr="00990396" w:rsidRDefault="005A481C" w:rsidP="00004062">
            <w:pPr>
              <w:spacing w:line="240" w:lineRule="auto"/>
              <w:jc w:val="both"/>
              <w:rPr>
                <w:sz w:val="16"/>
                <w:szCs w:val="16"/>
              </w:rPr>
            </w:pPr>
            <w:r w:rsidRPr="00990396">
              <w:rPr>
                <w:sz w:val="16"/>
                <w:szCs w:val="16"/>
              </w:rPr>
              <w:t>Non-probability sample from one location</w:t>
            </w:r>
          </w:p>
        </w:tc>
        <w:tc>
          <w:tcPr>
            <w:tcW w:w="0" w:type="auto"/>
            <w:hideMark/>
          </w:tcPr>
          <w:p w14:paraId="5975E4AA" w14:textId="77777777" w:rsidR="005A481C" w:rsidRPr="00990396" w:rsidRDefault="005A481C" w:rsidP="00004062">
            <w:pPr>
              <w:spacing w:line="240" w:lineRule="auto"/>
              <w:jc w:val="both"/>
              <w:rPr>
                <w:sz w:val="16"/>
                <w:szCs w:val="16"/>
              </w:rPr>
            </w:pPr>
            <w:r w:rsidRPr="00990396">
              <w:rPr>
                <w:sz w:val="16"/>
                <w:szCs w:val="16"/>
              </w:rPr>
              <w:t>Self-reporting and common-method bias</w:t>
            </w:r>
          </w:p>
        </w:tc>
        <w:tc>
          <w:tcPr>
            <w:tcW w:w="0" w:type="auto"/>
            <w:hideMark/>
          </w:tcPr>
          <w:p w14:paraId="1AD2450C" w14:textId="77777777" w:rsidR="005A481C" w:rsidRPr="00990396" w:rsidRDefault="005A481C" w:rsidP="00004062">
            <w:pPr>
              <w:spacing w:line="240" w:lineRule="auto"/>
              <w:jc w:val="both"/>
              <w:rPr>
                <w:sz w:val="16"/>
                <w:szCs w:val="16"/>
              </w:rPr>
            </w:pPr>
            <w:r w:rsidRPr="00990396">
              <w:rPr>
                <w:sz w:val="16"/>
                <w:szCs w:val="16"/>
              </w:rPr>
              <w:t>Moderate</w:t>
            </w:r>
          </w:p>
        </w:tc>
        <w:tc>
          <w:tcPr>
            <w:tcW w:w="0" w:type="auto"/>
            <w:hideMark/>
          </w:tcPr>
          <w:p w14:paraId="0FAF976F" w14:textId="77777777" w:rsidR="005A481C" w:rsidRPr="00990396" w:rsidRDefault="005A481C" w:rsidP="00004062">
            <w:pPr>
              <w:spacing w:line="240" w:lineRule="auto"/>
              <w:jc w:val="both"/>
              <w:rPr>
                <w:sz w:val="16"/>
                <w:szCs w:val="16"/>
              </w:rPr>
            </w:pPr>
            <w:r w:rsidRPr="00990396">
              <w:rPr>
                <w:sz w:val="16"/>
                <w:szCs w:val="16"/>
              </w:rPr>
              <w:t>Supports formal customer screening, policies and collection incentives</w:t>
            </w:r>
          </w:p>
        </w:tc>
      </w:tr>
      <w:tr w:rsidR="005A481C" w:rsidRPr="00990396" w14:paraId="5CF9512B" w14:textId="77777777" w:rsidTr="005A481C">
        <w:tc>
          <w:tcPr>
            <w:tcW w:w="0" w:type="auto"/>
            <w:hideMark/>
          </w:tcPr>
          <w:p w14:paraId="6A79A946" w14:textId="77777777" w:rsidR="005A481C" w:rsidRPr="00990396" w:rsidRDefault="005A481C" w:rsidP="00004062">
            <w:pPr>
              <w:spacing w:line="240" w:lineRule="auto"/>
              <w:jc w:val="both"/>
              <w:rPr>
                <w:sz w:val="16"/>
                <w:szCs w:val="16"/>
              </w:rPr>
            </w:pPr>
            <w:r w:rsidRPr="00990396">
              <w:rPr>
                <w:sz w:val="16"/>
                <w:szCs w:val="16"/>
              </w:rPr>
              <w:t>Otto (2023)</w:t>
            </w:r>
          </w:p>
        </w:tc>
        <w:tc>
          <w:tcPr>
            <w:tcW w:w="0" w:type="auto"/>
            <w:hideMark/>
          </w:tcPr>
          <w:p w14:paraId="585FD19F" w14:textId="77777777" w:rsidR="005A481C" w:rsidRPr="00990396" w:rsidRDefault="005A481C" w:rsidP="00004062">
            <w:pPr>
              <w:spacing w:line="240" w:lineRule="auto"/>
              <w:jc w:val="both"/>
              <w:rPr>
                <w:sz w:val="16"/>
                <w:szCs w:val="16"/>
              </w:rPr>
            </w:pPr>
            <w:r w:rsidRPr="00990396">
              <w:rPr>
                <w:sz w:val="16"/>
                <w:szCs w:val="16"/>
              </w:rPr>
              <w:t>Credit</w:t>
            </w:r>
          </w:p>
        </w:tc>
        <w:tc>
          <w:tcPr>
            <w:tcW w:w="0" w:type="auto"/>
            <w:hideMark/>
          </w:tcPr>
          <w:p w14:paraId="6EF9AFE1" w14:textId="77777777" w:rsidR="005A481C" w:rsidRPr="00990396" w:rsidRDefault="005A481C" w:rsidP="00004062">
            <w:pPr>
              <w:spacing w:line="240" w:lineRule="auto"/>
              <w:jc w:val="both"/>
              <w:rPr>
                <w:sz w:val="16"/>
                <w:szCs w:val="16"/>
              </w:rPr>
            </w:pPr>
            <w:r w:rsidRPr="00990396">
              <w:rPr>
                <w:sz w:val="16"/>
                <w:szCs w:val="16"/>
              </w:rPr>
              <w:t>Large sampling frame and detailed factor analysis</w:t>
            </w:r>
          </w:p>
        </w:tc>
        <w:tc>
          <w:tcPr>
            <w:tcW w:w="0" w:type="auto"/>
            <w:hideMark/>
          </w:tcPr>
          <w:p w14:paraId="7BDD32E3" w14:textId="77777777" w:rsidR="005A481C" w:rsidRPr="00990396" w:rsidRDefault="005A481C" w:rsidP="00004062">
            <w:pPr>
              <w:spacing w:line="240" w:lineRule="auto"/>
              <w:jc w:val="both"/>
              <w:rPr>
                <w:sz w:val="16"/>
                <w:szCs w:val="16"/>
              </w:rPr>
            </w:pPr>
            <w:r w:rsidRPr="00990396">
              <w:rPr>
                <w:sz w:val="16"/>
                <w:szCs w:val="16"/>
              </w:rPr>
              <w:t>Only 422 usable responses</w:t>
            </w:r>
          </w:p>
        </w:tc>
        <w:tc>
          <w:tcPr>
            <w:tcW w:w="0" w:type="auto"/>
            <w:hideMark/>
          </w:tcPr>
          <w:p w14:paraId="6FF61AE2" w14:textId="77777777" w:rsidR="005A481C" w:rsidRPr="00990396" w:rsidRDefault="005A481C" w:rsidP="00004062">
            <w:pPr>
              <w:spacing w:line="240" w:lineRule="auto"/>
              <w:jc w:val="both"/>
              <w:rPr>
                <w:sz w:val="16"/>
                <w:szCs w:val="16"/>
              </w:rPr>
            </w:pPr>
            <w:r w:rsidRPr="00990396">
              <w:rPr>
                <w:sz w:val="16"/>
                <w:szCs w:val="16"/>
              </w:rPr>
              <w:t>Severe non-response bias and subjective performance perceptions</w:t>
            </w:r>
          </w:p>
        </w:tc>
        <w:tc>
          <w:tcPr>
            <w:tcW w:w="0" w:type="auto"/>
            <w:hideMark/>
          </w:tcPr>
          <w:p w14:paraId="4F724A02" w14:textId="77777777" w:rsidR="005A481C" w:rsidRPr="00990396" w:rsidRDefault="005A481C" w:rsidP="00004062">
            <w:pPr>
              <w:spacing w:line="240" w:lineRule="auto"/>
              <w:jc w:val="both"/>
              <w:rPr>
                <w:sz w:val="16"/>
                <w:szCs w:val="16"/>
              </w:rPr>
            </w:pPr>
            <w:r w:rsidRPr="00990396">
              <w:rPr>
                <w:sz w:val="16"/>
                <w:szCs w:val="16"/>
              </w:rPr>
              <w:t>Low to moderate</w:t>
            </w:r>
          </w:p>
        </w:tc>
        <w:tc>
          <w:tcPr>
            <w:tcW w:w="0" w:type="auto"/>
            <w:hideMark/>
          </w:tcPr>
          <w:p w14:paraId="6E8E1CF2" w14:textId="77777777" w:rsidR="005A481C" w:rsidRPr="00990396" w:rsidRDefault="005A481C" w:rsidP="00004062">
            <w:pPr>
              <w:spacing w:line="240" w:lineRule="auto"/>
              <w:jc w:val="both"/>
              <w:rPr>
                <w:sz w:val="16"/>
                <w:szCs w:val="16"/>
              </w:rPr>
            </w:pPr>
            <w:r w:rsidRPr="00990396">
              <w:rPr>
                <w:sz w:val="16"/>
                <w:szCs w:val="16"/>
              </w:rPr>
              <w:t>Shows managerial recognition of trade-credit controls, but evidence requires caution</w:t>
            </w:r>
          </w:p>
        </w:tc>
      </w:tr>
      <w:tr w:rsidR="005A481C" w:rsidRPr="00990396" w14:paraId="423236A2" w14:textId="77777777" w:rsidTr="005A481C">
        <w:tc>
          <w:tcPr>
            <w:tcW w:w="0" w:type="auto"/>
            <w:hideMark/>
          </w:tcPr>
          <w:p w14:paraId="63ABD621" w14:textId="77777777" w:rsidR="005A481C" w:rsidRPr="00990396" w:rsidRDefault="005A481C" w:rsidP="00004062">
            <w:pPr>
              <w:spacing w:line="240" w:lineRule="auto"/>
              <w:jc w:val="both"/>
              <w:rPr>
                <w:sz w:val="16"/>
                <w:szCs w:val="16"/>
              </w:rPr>
            </w:pPr>
            <w:r w:rsidRPr="00990396">
              <w:rPr>
                <w:sz w:val="16"/>
                <w:szCs w:val="16"/>
              </w:rPr>
              <w:t>Al-Eitan et al. (2023)</w:t>
            </w:r>
          </w:p>
        </w:tc>
        <w:tc>
          <w:tcPr>
            <w:tcW w:w="0" w:type="auto"/>
            <w:hideMark/>
          </w:tcPr>
          <w:p w14:paraId="5242A553" w14:textId="77777777" w:rsidR="005A481C" w:rsidRPr="00990396" w:rsidRDefault="005A481C" w:rsidP="00004062">
            <w:pPr>
              <w:spacing w:line="240" w:lineRule="auto"/>
              <w:jc w:val="both"/>
              <w:rPr>
                <w:sz w:val="16"/>
                <w:szCs w:val="16"/>
              </w:rPr>
            </w:pPr>
            <w:r w:rsidRPr="00990396">
              <w:rPr>
                <w:sz w:val="16"/>
                <w:szCs w:val="16"/>
              </w:rPr>
              <w:t>Credit</w:t>
            </w:r>
          </w:p>
        </w:tc>
        <w:tc>
          <w:tcPr>
            <w:tcW w:w="0" w:type="auto"/>
            <w:hideMark/>
          </w:tcPr>
          <w:p w14:paraId="61CD4C39" w14:textId="77777777" w:rsidR="005A481C" w:rsidRPr="00990396" w:rsidRDefault="005A481C" w:rsidP="00004062">
            <w:pPr>
              <w:spacing w:line="240" w:lineRule="auto"/>
              <w:jc w:val="both"/>
              <w:rPr>
                <w:sz w:val="16"/>
                <w:szCs w:val="16"/>
              </w:rPr>
            </w:pPr>
            <w:r w:rsidRPr="00990396">
              <w:rPr>
                <w:sz w:val="16"/>
                <w:szCs w:val="16"/>
              </w:rPr>
              <w:t>Longitudinal panel and separation of payables from receivables</w:t>
            </w:r>
          </w:p>
        </w:tc>
        <w:tc>
          <w:tcPr>
            <w:tcW w:w="0" w:type="auto"/>
            <w:hideMark/>
          </w:tcPr>
          <w:p w14:paraId="1BF21634" w14:textId="77777777" w:rsidR="005A481C" w:rsidRPr="00990396" w:rsidRDefault="005A481C" w:rsidP="00004062">
            <w:pPr>
              <w:spacing w:line="240" w:lineRule="auto"/>
              <w:jc w:val="both"/>
              <w:rPr>
                <w:sz w:val="16"/>
                <w:szCs w:val="16"/>
              </w:rPr>
            </w:pPr>
            <w:r w:rsidRPr="00990396">
              <w:rPr>
                <w:sz w:val="16"/>
                <w:szCs w:val="16"/>
              </w:rPr>
              <w:t>Only 38 listed firms</w:t>
            </w:r>
          </w:p>
        </w:tc>
        <w:tc>
          <w:tcPr>
            <w:tcW w:w="0" w:type="auto"/>
            <w:hideMark/>
          </w:tcPr>
          <w:p w14:paraId="314A8728" w14:textId="77777777" w:rsidR="005A481C" w:rsidRPr="00990396" w:rsidRDefault="005A481C" w:rsidP="00004062">
            <w:pPr>
              <w:spacing w:line="240" w:lineRule="auto"/>
              <w:jc w:val="both"/>
              <w:rPr>
                <w:sz w:val="16"/>
                <w:szCs w:val="16"/>
              </w:rPr>
            </w:pPr>
            <w:r w:rsidRPr="00990396">
              <w:rPr>
                <w:sz w:val="16"/>
                <w:szCs w:val="16"/>
              </w:rPr>
              <w:t>Endogeneity and small-sample concerns</w:t>
            </w:r>
          </w:p>
        </w:tc>
        <w:tc>
          <w:tcPr>
            <w:tcW w:w="0" w:type="auto"/>
            <w:hideMark/>
          </w:tcPr>
          <w:p w14:paraId="132FE133" w14:textId="77777777" w:rsidR="005A481C" w:rsidRPr="00990396" w:rsidRDefault="005A481C" w:rsidP="00004062">
            <w:pPr>
              <w:spacing w:line="240" w:lineRule="auto"/>
              <w:jc w:val="both"/>
              <w:rPr>
                <w:sz w:val="16"/>
                <w:szCs w:val="16"/>
              </w:rPr>
            </w:pPr>
            <w:r w:rsidRPr="00990396">
              <w:rPr>
                <w:sz w:val="16"/>
                <w:szCs w:val="16"/>
              </w:rPr>
              <w:t>Moderate</w:t>
            </w:r>
          </w:p>
        </w:tc>
        <w:tc>
          <w:tcPr>
            <w:tcW w:w="0" w:type="auto"/>
            <w:hideMark/>
          </w:tcPr>
          <w:p w14:paraId="2EDF28EF" w14:textId="77777777" w:rsidR="005A481C" w:rsidRPr="00990396" w:rsidRDefault="005A481C" w:rsidP="00004062">
            <w:pPr>
              <w:spacing w:line="240" w:lineRule="auto"/>
              <w:jc w:val="both"/>
              <w:rPr>
                <w:sz w:val="16"/>
                <w:szCs w:val="16"/>
              </w:rPr>
            </w:pPr>
            <w:r w:rsidRPr="00990396">
              <w:rPr>
                <w:sz w:val="16"/>
                <w:szCs w:val="16"/>
              </w:rPr>
              <w:t>Demonstrates asymmetric consequences of granting versus receiving credit</w:t>
            </w:r>
          </w:p>
        </w:tc>
      </w:tr>
      <w:tr w:rsidR="005A481C" w:rsidRPr="00990396" w14:paraId="28B1A4A0" w14:textId="77777777" w:rsidTr="005A481C">
        <w:tc>
          <w:tcPr>
            <w:tcW w:w="0" w:type="auto"/>
            <w:hideMark/>
          </w:tcPr>
          <w:p w14:paraId="1B66CE94" w14:textId="77777777" w:rsidR="005A481C" w:rsidRPr="00990396" w:rsidRDefault="005A481C" w:rsidP="00004062">
            <w:pPr>
              <w:spacing w:line="240" w:lineRule="auto"/>
              <w:jc w:val="both"/>
              <w:rPr>
                <w:sz w:val="16"/>
                <w:szCs w:val="16"/>
              </w:rPr>
            </w:pPr>
            <w:r w:rsidRPr="00990396">
              <w:rPr>
                <w:sz w:val="16"/>
                <w:szCs w:val="16"/>
              </w:rPr>
              <w:t>Kaya (2024)</w:t>
            </w:r>
          </w:p>
        </w:tc>
        <w:tc>
          <w:tcPr>
            <w:tcW w:w="0" w:type="auto"/>
            <w:hideMark/>
          </w:tcPr>
          <w:p w14:paraId="520FC28E" w14:textId="77777777" w:rsidR="005A481C" w:rsidRPr="00990396" w:rsidRDefault="005A481C" w:rsidP="00004062">
            <w:pPr>
              <w:spacing w:line="240" w:lineRule="auto"/>
              <w:jc w:val="both"/>
              <w:rPr>
                <w:sz w:val="16"/>
                <w:szCs w:val="16"/>
              </w:rPr>
            </w:pPr>
            <w:r w:rsidRPr="00990396">
              <w:rPr>
                <w:sz w:val="16"/>
                <w:szCs w:val="16"/>
              </w:rPr>
              <w:t>Credit</w:t>
            </w:r>
          </w:p>
        </w:tc>
        <w:tc>
          <w:tcPr>
            <w:tcW w:w="0" w:type="auto"/>
            <w:hideMark/>
          </w:tcPr>
          <w:p w14:paraId="41A7A3AB" w14:textId="77777777" w:rsidR="005A481C" w:rsidRPr="00990396" w:rsidRDefault="005A481C" w:rsidP="00004062">
            <w:pPr>
              <w:spacing w:line="240" w:lineRule="auto"/>
              <w:jc w:val="both"/>
              <w:rPr>
                <w:sz w:val="16"/>
                <w:szCs w:val="16"/>
              </w:rPr>
            </w:pPr>
            <w:r w:rsidRPr="00990396">
              <w:rPr>
                <w:sz w:val="16"/>
                <w:szCs w:val="16"/>
              </w:rPr>
              <w:t>Multi-country European coverage; robustness testing</w:t>
            </w:r>
          </w:p>
        </w:tc>
        <w:tc>
          <w:tcPr>
            <w:tcW w:w="0" w:type="auto"/>
            <w:hideMark/>
          </w:tcPr>
          <w:p w14:paraId="573EA80B" w14:textId="77777777" w:rsidR="005A481C" w:rsidRPr="00990396" w:rsidRDefault="005A481C" w:rsidP="00004062">
            <w:pPr>
              <w:spacing w:line="240" w:lineRule="auto"/>
              <w:jc w:val="both"/>
              <w:rPr>
                <w:sz w:val="16"/>
                <w:szCs w:val="16"/>
              </w:rPr>
            </w:pPr>
            <w:r w:rsidRPr="00990396">
              <w:rPr>
                <w:sz w:val="16"/>
                <w:szCs w:val="16"/>
              </w:rPr>
              <w:t>Repeated cross-sectional data</w:t>
            </w:r>
          </w:p>
        </w:tc>
        <w:tc>
          <w:tcPr>
            <w:tcW w:w="0" w:type="auto"/>
            <w:hideMark/>
          </w:tcPr>
          <w:p w14:paraId="19C18E6E" w14:textId="77777777" w:rsidR="005A481C" w:rsidRPr="00990396" w:rsidRDefault="005A481C" w:rsidP="00004062">
            <w:pPr>
              <w:spacing w:line="240" w:lineRule="auto"/>
              <w:jc w:val="both"/>
              <w:rPr>
                <w:sz w:val="16"/>
                <w:szCs w:val="16"/>
              </w:rPr>
            </w:pPr>
            <w:r w:rsidRPr="00990396">
              <w:rPr>
                <w:sz w:val="16"/>
                <w:szCs w:val="16"/>
              </w:rPr>
              <w:t>Self-reported experiences and limited causal identification</w:t>
            </w:r>
          </w:p>
        </w:tc>
        <w:tc>
          <w:tcPr>
            <w:tcW w:w="0" w:type="auto"/>
            <w:hideMark/>
          </w:tcPr>
          <w:p w14:paraId="3181E309" w14:textId="77777777" w:rsidR="005A481C" w:rsidRPr="00990396" w:rsidRDefault="005A481C" w:rsidP="00004062">
            <w:pPr>
              <w:spacing w:line="240" w:lineRule="auto"/>
              <w:jc w:val="both"/>
              <w:rPr>
                <w:sz w:val="16"/>
                <w:szCs w:val="16"/>
              </w:rPr>
            </w:pPr>
            <w:r w:rsidRPr="00990396">
              <w:rPr>
                <w:sz w:val="16"/>
                <w:szCs w:val="16"/>
              </w:rPr>
              <w:t>High to moderate</w:t>
            </w:r>
          </w:p>
        </w:tc>
        <w:tc>
          <w:tcPr>
            <w:tcW w:w="0" w:type="auto"/>
            <w:hideMark/>
          </w:tcPr>
          <w:p w14:paraId="5EEF9846" w14:textId="77777777" w:rsidR="005A481C" w:rsidRPr="00990396" w:rsidRDefault="005A481C" w:rsidP="00004062">
            <w:pPr>
              <w:spacing w:line="240" w:lineRule="auto"/>
              <w:jc w:val="both"/>
              <w:rPr>
                <w:sz w:val="16"/>
                <w:szCs w:val="16"/>
              </w:rPr>
            </w:pPr>
            <w:r w:rsidRPr="00990396">
              <w:rPr>
                <w:sz w:val="16"/>
                <w:szCs w:val="16"/>
              </w:rPr>
              <w:t>Strong evidence that late payment generates financing pressure</w:t>
            </w:r>
          </w:p>
        </w:tc>
      </w:tr>
      <w:tr w:rsidR="005A481C" w:rsidRPr="00990396" w14:paraId="2006AAF2" w14:textId="77777777" w:rsidTr="005A481C">
        <w:tc>
          <w:tcPr>
            <w:tcW w:w="0" w:type="auto"/>
            <w:hideMark/>
          </w:tcPr>
          <w:p w14:paraId="420556E1" w14:textId="77777777" w:rsidR="005A481C" w:rsidRPr="00990396" w:rsidRDefault="005A481C" w:rsidP="00004062">
            <w:pPr>
              <w:spacing w:line="240" w:lineRule="auto"/>
              <w:jc w:val="both"/>
              <w:rPr>
                <w:sz w:val="16"/>
                <w:szCs w:val="16"/>
              </w:rPr>
            </w:pPr>
            <w:r w:rsidRPr="00990396">
              <w:rPr>
                <w:sz w:val="16"/>
                <w:szCs w:val="16"/>
              </w:rPr>
              <w:t>Lefebvre (2023)</w:t>
            </w:r>
          </w:p>
        </w:tc>
        <w:tc>
          <w:tcPr>
            <w:tcW w:w="0" w:type="auto"/>
            <w:hideMark/>
          </w:tcPr>
          <w:p w14:paraId="61E2DDE3" w14:textId="77777777" w:rsidR="005A481C" w:rsidRPr="00990396" w:rsidRDefault="005A481C" w:rsidP="00004062">
            <w:pPr>
              <w:spacing w:line="240" w:lineRule="auto"/>
              <w:jc w:val="both"/>
              <w:rPr>
                <w:sz w:val="16"/>
                <w:szCs w:val="16"/>
              </w:rPr>
            </w:pPr>
            <w:r w:rsidRPr="00990396">
              <w:rPr>
                <w:sz w:val="16"/>
                <w:szCs w:val="16"/>
              </w:rPr>
              <w:t>Credit</w:t>
            </w:r>
          </w:p>
        </w:tc>
        <w:tc>
          <w:tcPr>
            <w:tcW w:w="0" w:type="auto"/>
            <w:hideMark/>
          </w:tcPr>
          <w:p w14:paraId="576739BC" w14:textId="77777777" w:rsidR="005A481C" w:rsidRPr="00990396" w:rsidRDefault="005A481C" w:rsidP="00004062">
            <w:pPr>
              <w:spacing w:line="240" w:lineRule="auto"/>
              <w:jc w:val="both"/>
              <w:rPr>
                <w:sz w:val="16"/>
                <w:szCs w:val="16"/>
              </w:rPr>
            </w:pPr>
            <w:r w:rsidRPr="00990396">
              <w:rPr>
                <w:sz w:val="16"/>
                <w:szCs w:val="16"/>
              </w:rPr>
              <w:t>Large EU SME sample and institutional comparison</w:t>
            </w:r>
          </w:p>
        </w:tc>
        <w:tc>
          <w:tcPr>
            <w:tcW w:w="0" w:type="auto"/>
            <w:hideMark/>
          </w:tcPr>
          <w:p w14:paraId="2E1ECD32" w14:textId="77777777" w:rsidR="005A481C" w:rsidRPr="00990396" w:rsidRDefault="005A481C" w:rsidP="00004062">
            <w:pPr>
              <w:spacing w:line="240" w:lineRule="auto"/>
              <w:jc w:val="both"/>
              <w:rPr>
                <w:sz w:val="16"/>
                <w:szCs w:val="16"/>
              </w:rPr>
            </w:pPr>
            <w:r w:rsidRPr="00990396">
              <w:rPr>
                <w:sz w:val="16"/>
                <w:szCs w:val="16"/>
              </w:rPr>
              <w:t>Observational research</w:t>
            </w:r>
          </w:p>
        </w:tc>
        <w:tc>
          <w:tcPr>
            <w:tcW w:w="0" w:type="auto"/>
            <w:hideMark/>
          </w:tcPr>
          <w:p w14:paraId="6EB2C037" w14:textId="77777777" w:rsidR="005A481C" w:rsidRPr="00990396" w:rsidRDefault="005A481C" w:rsidP="00004062">
            <w:pPr>
              <w:spacing w:line="240" w:lineRule="auto"/>
              <w:jc w:val="both"/>
              <w:rPr>
                <w:sz w:val="16"/>
                <w:szCs w:val="16"/>
              </w:rPr>
            </w:pPr>
            <w:r w:rsidRPr="00990396">
              <w:rPr>
                <w:sz w:val="16"/>
                <w:szCs w:val="16"/>
              </w:rPr>
              <w:t>Stronger firms may self-select into longer credit terms</w:t>
            </w:r>
          </w:p>
        </w:tc>
        <w:tc>
          <w:tcPr>
            <w:tcW w:w="0" w:type="auto"/>
            <w:hideMark/>
          </w:tcPr>
          <w:p w14:paraId="5A850201" w14:textId="77777777" w:rsidR="005A481C" w:rsidRPr="00990396" w:rsidRDefault="005A481C" w:rsidP="00004062">
            <w:pPr>
              <w:spacing w:line="240" w:lineRule="auto"/>
              <w:jc w:val="both"/>
              <w:rPr>
                <w:sz w:val="16"/>
                <w:szCs w:val="16"/>
              </w:rPr>
            </w:pPr>
            <w:r w:rsidRPr="00990396">
              <w:rPr>
                <w:sz w:val="16"/>
                <w:szCs w:val="16"/>
              </w:rPr>
              <w:t>High to moderate</w:t>
            </w:r>
          </w:p>
        </w:tc>
        <w:tc>
          <w:tcPr>
            <w:tcW w:w="0" w:type="auto"/>
            <w:hideMark/>
          </w:tcPr>
          <w:p w14:paraId="3BAABC4D" w14:textId="77777777" w:rsidR="005A481C" w:rsidRPr="00990396" w:rsidRDefault="005A481C" w:rsidP="00004062">
            <w:pPr>
              <w:spacing w:line="240" w:lineRule="auto"/>
              <w:jc w:val="both"/>
              <w:rPr>
                <w:sz w:val="16"/>
                <w:szCs w:val="16"/>
              </w:rPr>
            </w:pPr>
            <w:r w:rsidRPr="00990396">
              <w:rPr>
                <w:sz w:val="16"/>
                <w:szCs w:val="16"/>
              </w:rPr>
              <w:t xml:space="preserve">Demonstrates that strategic credit can support growth </w:t>
            </w:r>
            <w:r w:rsidRPr="00990396">
              <w:rPr>
                <w:sz w:val="16"/>
                <w:szCs w:val="16"/>
              </w:rPr>
              <w:lastRenderedPageBreak/>
              <w:t>under favourable conditions</w:t>
            </w:r>
          </w:p>
        </w:tc>
      </w:tr>
      <w:tr w:rsidR="005A481C" w:rsidRPr="00990396" w14:paraId="14C179D1" w14:textId="77777777" w:rsidTr="005A481C">
        <w:tc>
          <w:tcPr>
            <w:tcW w:w="0" w:type="auto"/>
            <w:hideMark/>
          </w:tcPr>
          <w:p w14:paraId="3AD8B8A4" w14:textId="77777777" w:rsidR="005A481C" w:rsidRPr="00990396" w:rsidRDefault="005A481C" w:rsidP="00004062">
            <w:pPr>
              <w:spacing w:line="240" w:lineRule="auto"/>
              <w:jc w:val="both"/>
              <w:rPr>
                <w:sz w:val="16"/>
                <w:szCs w:val="16"/>
              </w:rPr>
            </w:pPr>
            <w:r w:rsidRPr="00990396">
              <w:rPr>
                <w:sz w:val="16"/>
                <w:szCs w:val="16"/>
              </w:rPr>
              <w:lastRenderedPageBreak/>
              <w:t>Del Gaudio et al. (2022)</w:t>
            </w:r>
          </w:p>
        </w:tc>
        <w:tc>
          <w:tcPr>
            <w:tcW w:w="0" w:type="auto"/>
            <w:hideMark/>
          </w:tcPr>
          <w:p w14:paraId="2730444C" w14:textId="77777777" w:rsidR="005A481C" w:rsidRPr="00990396" w:rsidRDefault="005A481C" w:rsidP="00004062">
            <w:pPr>
              <w:spacing w:line="240" w:lineRule="auto"/>
              <w:jc w:val="both"/>
              <w:rPr>
                <w:sz w:val="16"/>
                <w:szCs w:val="16"/>
              </w:rPr>
            </w:pPr>
            <w:r w:rsidRPr="00990396">
              <w:rPr>
                <w:sz w:val="16"/>
                <w:szCs w:val="16"/>
              </w:rPr>
              <w:t>Credit</w:t>
            </w:r>
          </w:p>
        </w:tc>
        <w:tc>
          <w:tcPr>
            <w:tcW w:w="0" w:type="auto"/>
            <w:hideMark/>
          </w:tcPr>
          <w:p w14:paraId="01B8CD7D" w14:textId="77777777" w:rsidR="005A481C" w:rsidRPr="00990396" w:rsidRDefault="005A481C" w:rsidP="00004062">
            <w:pPr>
              <w:spacing w:line="240" w:lineRule="auto"/>
              <w:jc w:val="both"/>
              <w:rPr>
                <w:sz w:val="16"/>
                <w:szCs w:val="16"/>
              </w:rPr>
            </w:pPr>
            <w:r w:rsidRPr="00990396">
              <w:rPr>
                <w:sz w:val="16"/>
                <w:szCs w:val="16"/>
              </w:rPr>
              <w:t>Confidential loan-level evidence; directly observes lender decisions</w:t>
            </w:r>
          </w:p>
        </w:tc>
        <w:tc>
          <w:tcPr>
            <w:tcW w:w="0" w:type="auto"/>
            <w:hideMark/>
          </w:tcPr>
          <w:p w14:paraId="29AFD887" w14:textId="77777777" w:rsidR="005A481C" w:rsidRPr="00990396" w:rsidRDefault="005A481C" w:rsidP="00004062">
            <w:pPr>
              <w:spacing w:line="240" w:lineRule="auto"/>
              <w:jc w:val="both"/>
              <w:rPr>
                <w:sz w:val="16"/>
                <w:szCs w:val="16"/>
              </w:rPr>
            </w:pPr>
            <w:r w:rsidRPr="00990396">
              <w:rPr>
                <w:sz w:val="16"/>
                <w:szCs w:val="16"/>
              </w:rPr>
              <w:t>One country and banking context</w:t>
            </w:r>
          </w:p>
        </w:tc>
        <w:tc>
          <w:tcPr>
            <w:tcW w:w="0" w:type="auto"/>
            <w:hideMark/>
          </w:tcPr>
          <w:p w14:paraId="5A127BA6" w14:textId="77777777" w:rsidR="005A481C" w:rsidRPr="00990396" w:rsidRDefault="005A481C" w:rsidP="00004062">
            <w:pPr>
              <w:spacing w:line="240" w:lineRule="auto"/>
              <w:jc w:val="both"/>
              <w:rPr>
                <w:sz w:val="16"/>
                <w:szCs w:val="16"/>
              </w:rPr>
            </w:pPr>
            <w:r w:rsidRPr="00990396">
              <w:rPr>
                <w:sz w:val="16"/>
                <w:szCs w:val="16"/>
              </w:rPr>
              <w:t>Trade credit may reflect existing firm quality</w:t>
            </w:r>
          </w:p>
        </w:tc>
        <w:tc>
          <w:tcPr>
            <w:tcW w:w="0" w:type="auto"/>
            <w:hideMark/>
          </w:tcPr>
          <w:p w14:paraId="121E8086" w14:textId="77777777" w:rsidR="005A481C" w:rsidRPr="00990396" w:rsidRDefault="005A481C" w:rsidP="00004062">
            <w:pPr>
              <w:spacing w:line="240" w:lineRule="auto"/>
              <w:jc w:val="both"/>
              <w:rPr>
                <w:sz w:val="16"/>
                <w:szCs w:val="16"/>
              </w:rPr>
            </w:pPr>
            <w:r w:rsidRPr="00990396">
              <w:rPr>
                <w:sz w:val="16"/>
                <w:szCs w:val="16"/>
              </w:rPr>
              <w:t>Moderate</w:t>
            </w:r>
          </w:p>
        </w:tc>
        <w:tc>
          <w:tcPr>
            <w:tcW w:w="0" w:type="auto"/>
            <w:hideMark/>
          </w:tcPr>
          <w:p w14:paraId="373559C4" w14:textId="77777777" w:rsidR="005A481C" w:rsidRPr="00990396" w:rsidRDefault="005A481C" w:rsidP="00004062">
            <w:pPr>
              <w:spacing w:line="240" w:lineRule="auto"/>
              <w:jc w:val="both"/>
              <w:rPr>
                <w:sz w:val="16"/>
                <w:szCs w:val="16"/>
              </w:rPr>
            </w:pPr>
            <w:r w:rsidRPr="00990396">
              <w:rPr>
                <w:sz w:val="16"/>
                <w:szCs w:val="16"/>
              </w:rPr>
              <w:t>Shows a signalling benefit of supplier credit for financing access</w:t>
            </w:r>
          </w:p>
        </w:tc>
      </w:tr>
      <w:tr w:rsidR="005A481C" w:rsidRPr="00990396" w14:paraId="507703EE" w14:textId="77777777" w:rsidTr="005A481C">
        <w:tc>
          <w:tcPr>
            <w:tcW w:w="0" w:type="auto"/>
            <w:hideMark/>
          </w:tcPr>
          <w:p w14:paraId="5D6AF096" w14:textId="77777777" w:rsidR="005A481C" w:rsidRPr="00990396" w:rsidRDefault="005A481C" w:rsidP="00004062">
            <w:pPr>
              <w:spacing w:line="240" w:lineRule="auto"/>
              <w:jc w:val="both"/>
              <w:rPr>
                <w:sz w:val="16"/>
                <w:szCs w:val="16"/>
              </w:rPr>
            </w:pPr>
            <w:r w:rsidRPr="00990396">
              <w:rPr>
                <w:sz w:val="16"/>
                <w:szCs w:val="16"/>
              </w:rPr>
              <w:t>Baker et al. (2022)</w:t>
            </w:r>
          </w:p>
        </w:tc>
        <w:tc>
          <w:tcPr>
            <w:tcW w:w="0" w:type="auto"/>
            <w:hideMark/>
          </w:tcPr>
          <w:p w14:paraId="6A9C8407" w14:textId="77777777" w:rsidR="005A481C" w:rsidRPr="00990396" w:rsidRDefault="005A481C" w:rsidP="00004062">
            <w:pPr>
              <w:spacing w:line="240" w:lineRule="auto"/>
              <w:jc w:val="both"/>
              <w:rPr>
                <w:sz w:val="16"/>
                <w:szCs w:val="16"/>
              </w:rPr>
            </w:pPr>
            <w:r w:rsidRPr="00990396">
              <w:rPr>
                <w:sz w:val="16"/>
                <w:szCs w:val="16"/>
              </w:rPr>
              <w:t>Credit</w:t>
            </w:r>
          </w:p>
        </w:tc>
        <w:tc>
          <w:tcPr>
            <w:tcW w:w="0" w:type="auto"/>
            <w:hideMark/>
          </w:tcPr>
          <w:p w14:paraId="11820312" w14:textId="77777777" w:rsidR="005A481C" w:rsidRPr="00990396" w:rsidRDefault="005A481C" w:rsidP="00004062">
            <w:pPr>
              <w:spacing w:line="240" w:lineRule="auto"/>
              <w:jc w:val="both"/>
              <w:rPr>
                <w:sz w:val="16"/>
                <w:szCs w:val="16"/>
              </w:rPr>
            </w:pPr>
            <w:r w:rsidRPr="00990396">
              <w:rPr>
                <w:sz w:val="16"/>
                <w:szCs w:val="16"/>
              </w:rPr>
              <w:t>Large panel; nonlinear model captures an optimal credit level</w:t>
            </w:r>
          </w:p>
        </w:tc>
        <w:tc>
          <w:tcPr>
            <w:tcW w:w="0" w:type="auto"/>
            <w:hideMark/>
          </w:tcPr>
          <w:p w14:paraId="43BC8D0D" w14:textId="77777777" w:rsidR="005A481C" w:rsidRPr="00990396" w:rsidRDefault="005A481C" w:rsidP="00004062">
            <w:pPr>
              <w:spacing w:line="240" w:lineRule="auto"/>
              <w:jc w:val="both"/>
              <w:rPr>
                <w:sz w:val="16"/>
                <w:szCs w:val="16"/>
              </w:rPr>
            </w:pPr>
            <w:r w:rsidRPr="00990396">
              <w:rPr>
                <w:sz w:val="16"/>
                <w:szCs w:val="16"/>
              </w:rPr>
              <w:t>Large listed Indian corporations</w:t>
            </w:r>
          </w:p>
        </w:tc>
        <w:tc>
          <w:tcPr>
            <w:tcW w:w="0" w:type="auto"/>
            <w:hideMark/>
          </w:tcPr>
          <w:p w14:paraId="337BF873" w14:textId="77777777" w:rsidR="005A481C" w:rsidRPr="00990396" w:rsidRDefault="005A481C" w:rsidP="00004062">
            <w:pPr>
              <w:spacing w:line="240" w:lineRule="auto"/>
              <w:jc w:val="both"/>
              <w:rPr>
                <w:sz w:val="16"/>
                <w:szCs w:val="16"/>
              </w:rPr>
            </w:pPr>
            <w:r w:rsidRPr="00990396">
              <w:rPr>
                <w:sz w:val="16"/>
                <w:szCs w:val="16"/>
              </w:rPr>
              <w:t>Simultaneity between profitability and trade-credit decisions</w:t>
            </w:r>
          </w:p>
        </w:tc>
        <w:tc>
          <w:tcPr>
            <w:tcW w:w="0" w:type="auto"/>
            <w:hideMark/>
          </w:tcPr>
          <w:p w14:paraId="35F72D9E" w14:textId="77777777" w:rsidR="005A481C" w:rsidRPr="00990396" w:rsidRDefault="005A481C" w:rsidP="00004062">
            <w:pPr>
              <w:spacing w:line="240" w:lineRule="auto"/>
              <w:jc w:val="both"/>
              <w:rPr>
                <w:sz w:val="16"/>
                <w:szCs w:val="16"/>
              </w:rPr>
            </w:pPr>
            <w:r w:rsidRPr="00990396">
              <w:rPr>
                <w:sz w:val="16"/>
                <w:szCs w:val="16"/>
              </w:rPr>
              <w:t>Low to moderate</w:t>
            </w:r>
          </w:p>
        </w:tc>
        <w:tc>
          <w:tcPr>
            <w:tcW w:w="0" w:type="auto"/>
            <w:hideMark/>
          </w:tcPr>
          <w:p w14:paraId="669DD811" w14:textId="77777777" w:rsidR="005A481C" w:rsidRPr="00990396" w:rsidRDefault="005A481C" w:rsidP="00004062">
            <w:pPr>
              <w:spacing w:line="240" w:lineRule="auto"/>
              <w:jc w:val="both"/>
              <w:rPr>
                <w:sz w:val="16"/>
                <w:szCs w:val="16"/>
              </w:rPr>
            </w:pPr>
            <w:r w:rsidRPr="00990396">
              <w:rPr>
                <w:sz w:val="16"/>
                <w:szCs w:val="16"/>
              </w:rPr>
              <w:t>Supports the conclusion that credit has benefits only up to an efficient level</w:t>
            </w:r>
          </w:p>
        </w:tc>
      </w:tr>
      <w:tr w:rsidR="005A481C" w:rsidRPr="00990396" w14:paraId="272FD9AC" w14:textId="77777777" w:rsidTr="005A481C">
        <w:tc>
          <w:tcPr>
            <w:tcW w:w="0" w:type="auto"/>
            <w:hideMark/>
          </w:tcPr>
          <w:p w14:paraId="00DE8FB1" w14:textId="77777777" w:rsidR="005A481C" w:rsidRPr="00990396" w:rsidRDefault="005A481C" w:rsidP="00004062">
            <w:pPr>
              <w:spacing w:line="240" w:lineRule="auto"/>
              <w:jc w:val="both"/>
              <w:rPr>
                <w:sz w:val="16"/>
                <w:szCs w:val="16"/>
              </w:rPr>
            </w:pPr>
            <w:proofErr w:type="spellStart"/>
            <w:r w:rsidRPr="00990396">
              <w:rPr>
                <w:sz w:val="16"/>
                <w:szCs w:val="16"/>
              </w:rPr>
              <w:t>Belghitar</w:t>
            </w:r>
            <w:proofErr w:type="spellEnd"/>
            <w:r w:rsidRPr="00990396">
              <w:rPr>
                <w:sz w:val="16"/>
                <w:szCs w:val="16"/>
              </w:rPr>
              <w:t xml:space="preserve"> et al. (2021)</w:t>
            </w:r>
          </w:p>
        </w:tc>
        <w:tc>
          <w:tcPr>
            <w:tcW w:w="0" w:type="auto"/>
            <w:hideMark/>
          </w:tcPr>
          <w:p w14:paraId="753B1EB0" w14:textId="77777777" w:rsidR="005A481C" w:rsidRPr="00990396" w:rsidRDefault="005A481C" w:rsidP="00004062">
            <w:pPr>
              <w:spacing w:line="240" w:lineRule="auto"/>
              <w:jc w:val="both"/>
              <w:rPr>
                <w:sz w:val="16"/>
                <w:szCs w:val="16"/>
              </w:rPr>
            </w:pPr>
            <w:r w:rsidRPr="00990396">
              <w:rPr>
                <w:sz w:val="16"/>
                <w:szCs w:val="16"/>
              </w:rPr>
              <w:t>Market</w:t>
            </w:r>
          </w:p>
        </w:tc>
        <w:tc>
          <w:tcPr>
            <w:tcW w:w="0" w:type="auto"/>
            <w:hideMark/>
          </w:tcPr>
          <w:p w14:paraId="78153847" w14:textId="77777777" w:rsidR="005A481C" w:rsidRPr="00990396" w:rsidRDefault="005A481C" w:rsidP="00004062">
            <w:pPr>
              <w:spacing w:line="240" w:lineRule="auto"/>
              <w:jc w:val="both"/>
              <w:rPr>
                <w:sz w:val="16"/>
                <w:szCs w:val="16"/>
              </w:rPr>
            </w:pPr>
            <w:r w:rsidRPr="00990396">
              <w:rPr>
                <w:sz w:val="16"/>
                <w:szCs w:val="16"/>
              </w:rPr>
              <w:t>Direct UK SME context; sophisticated time-varying analysis</w:t>
            </w:r>
          </w:p>
        </w:tc>
        <w:tc>
          <w:tcPr>
            <w:tcW w:w="0" w:type="auto"/>
            <w:hideMark/>
          </w:tcPr>
          <w:p w14:paraId="611CE836" w14:textId="77777777" w:rsidR="005A481C" w:rsidRPr="00990396" w:rsidRDefault="005A481C" w:rsidP="00004062">
            <w:pPr>
              <w:spacing w:line="240" w:lineRule="auto"/>
              <w:jc w:val="both"/>
              <w:rPr>
                <w:sz w:val="16"/>
                <w:szCs w:val="16"/>
              </w:rPr>
            </w:pPr>
            <w:r w:rsidRPr="00990396">
              <w:rPr>
                <w:sz w:val="16"/>
                <w:szCs w:val="16"/>
              </w:rPr>
              <w:t>Publicly traded SME sample</w:t>
            </w:r>
          </w:p>
        </w:tc>
        <w:tc>
          <w:tcPr>
            <w:tcW w:w="0" w:type="auto"/>
            <w:hideMark/>
          </w:tcPr>
          <w:p w14:paraId="2D055987" w14:textId="77777777" w:rsidR="005A481C" w:rsidRPr="00990396" w:rsidRDefault="005A481C" w:rsidP="00004062">
            <w:pPr>
              <w:spacing w:line="240" w:lineRule="auto"/>
              <w:jc w:val="both"/>
              <w:rPr>
                <w:sz w:val="16"/>
                <w:szCs w:val="16"/>
              </w:rPr>
            </w:pPr>
            <w:r w:rsidRPr="00990396">
              <w:rPr>
                <w:sz w:val="16"/>
                <w:szCs w:val="16"/>
              </w:rPr>
              <w:t>Performance measured through market returns; hedging not observed</w:t>
            </w:r>
          </w:p>
        </w:tc>
        <w:tc>
          <w:tcPr>
            <w:tcW w:w="0" w:type="auto"/>
            <w:hideMark/>
          </w:tcPr>
          <w:p w14:paraId="414857D3" w14:textId="77777777" w:rsidR="005A481C" w:rsidRPr="00990396" w:rsidRDefault="005A481C" w:rsidP="00004062">
            <w:pPr>
              <w:spacing w:line="240" w:lineRule="auto"/>
              <w:jc w:val="both"/>
              <w:rPr>
                <w:sz w:val="16"/>
                <w:szCs w:val="16"/>
              </w:rPr>
            </w:pPr>
            <w:r w:rsidRPr="00990396">
              <w:rPr>
                <w:sz w:val="16"/>
                <w:szCs w:val="16"/>
              </w:rPr>
              <w:t>High</w:t>
            </w:r>
          </w:p>
        </w:tc>
        <w:tc>
          <w:tcPr>
            <w:tcW w:w="0" w:type="auto"/>
            <w:hideMark/>
          </w:tcPr>
          <w:p w14:paraId="0F5E13F2" w14:textId="77777777" w:rsidR="005A481C" w:rsidRPr="00990396" w:rsidRDefault="005A481C" w:rsidP="00004062">
            <w:pPr>
              <w:spacing w:line="240" w:lineRule="auto"/>
              <w:jc w:val="both"/>
              <w:rPr>
                <w:sz w:val="16"/>
                <w:szCs w:val="16"/>
              </w:rPr>
            </w:pPr>
            <w:r w:rsidRPr="00990396">
              <w:rPr>
                <w:sz w:val="16"/>
                <w:szCs w:val="16"/>
              </w:rPr>
              <w:t>Core evidence establishing UK SME exchange-rate sensitivity</w:t>
            </w:r>
          </w:p>
        </w:tc>
      </w:tr>
      <w:tr w:rsidR="005A481C" w:rsidRPr="00990396" w14:paraId="757DF9DD" w14:textId="77777777" w:rsidTr="005A481C">
        <w:tc>
          <w:tcPr>
            <w:tcW w:w="0" w:type="auto"/>
            <w:hideMark/>
          </w:tcPr>
          <w:p w14:paraId="71BE5C25" w14:textId="77777777" w:rsidR="005A481C" w:rsidRPr="00990396" w:rsidRDefault="005A481C" w:rsidP="00004062">
            <w:pPr>
              <w:spacing w:line="240" w:lineRule="auto"/>
              <w:jc w:val="both"/>
              <w:rPr>
                <w:sz w:val="16"/>
                <w:szCs w:val="16"/>
              </w:rPr>
            </w:pPr>
            <w:r w:rsidRPr="00990396">
              <w:rPr>
                <w:sz w:val="16"/>
                <w:szCs w:val="16"/>
              </w:rPr>
              <w:t>Dang and Lindsay (2022)</w:t>
            </w:r>
          </w:p>
        </w:tc>
        <w:tc>
          <w:tcPr>
            <w:tcW w:w="0" w:type="auto"/>
            <w:hideMark/>
          </w:tcPr>
          <w:p w14:paraId="2EE1EE47" w14:textId="77777777" w:rsidR="005A481C" w:rsidRPr="00990396" w:rsidRDefault="005A481C" w:rsidP="00004062">
            <w:pPr>
              <w:spacing w:line="240" w:lineRule="auto"/>
              <w:jc w:val="both"/>
              <w:rPr>
                <w:sz w:val="16"/>
                <w:szCs w:val="16"/>
              </w:rPr>
            </w:pPr>
            <w:r w:rsidRPr="00990396">
              <w:rPr>
                <w:sz w:val="16"/>
                <w:szCs w:val="16"/>
              </w:rPr>
              <w:t>Market</w:t>
            </w:r>
          </w:p>
        </w:tc>
        <w:tc>
          <w:tcPr>
            <w:tcW w:w="0" w:type="auto"/>
            <w:hideMark/>
          </w:tcPr>
          <w:p w14:paraId="2C7EF6EE" w14:textId="77777777" w:rsidR="005A481C" w:rsidRPr="00990396" w:rsidRDefault="005A481C" w:rsidP="00004062">
            <w:pPr>
              <w:spacing w:line="240" w:lineRule="auto"/>
              <w:jc w:val="both"/>
              <w:rPr>
                <w:sz w:val="16"/>
                <w:szCs w:val="16"/>
              </w:rPr>
            </w:pPr>
            <w:r w:rsidRPr="00990396">
              <w:rPr>
                <w:sz w:val="16"/>
                <w:szCs w:val="16"/>
              </w:rPr>
              <w:t>EFA, CFA and SEM provide rigorous construct analysis</w:t>
            </w:r>
          </w:p>
        </w:tc>
        <w:tc>
          <w:tcPr>
            <w:tcW w:w="0" w:type="auto"/>
            <w:hideMark/>
          </w:tcPr>
          <w:p w14:paraId="1DD3D9D6" w14:textId="77777777" w:rsidR="005A481C" w:rsidRPr="00990396" w:rsidRDefault="005A481C" w:rsidP="00004062">
            <w:pPr>
              <w:spacing w:line="240" w:lineRule="auto"/>
              <w:jc w:val="both"/>
              <w:rPr>
                <w:sz w:val="16"/>
                <w:szCs w:val="16"/>
              </w:rPr>
            </w:pPr>
            <w:r w:rsidRPr="00990396">
              <w:rPr>
                <w:sz w:val="16"/>
                <w:szCs w:val="16"/>
              </w:rPr>
              <w:t>Small regional and cross-sectional sample</w:t>
            </w:r>
          </w:p>
        </w:tc>
        <w:tc>
          <w:tcPr>
            <w:tcW w:w="0" w:type="auto"/>
            <w:hideMark/>
          </w:tcPr>
          <w:p w14:paraId="6358A442" w14:textId="77777777" w:rsidR="005A481C" w:rsidRPr="00990396" w:rsidRDefault="005A481C" w:rsidP="00004062">
            <w:pPr>
              <w:spacing w:line="240" w:lineRule="auto"/>
              <w:jc w:val="both"/>
              <w:rPr>
                <w:sz w:val="16"/>
                <w:szCs w:val="16"/>
              </w:rPr>
            </w:pPr>
            <w:r w:rsidRPr="00990396">
              <w:rPr>
                <w:sz w:val="16"/>
                <w:szCs w:val="16"/>
              </w:rPr>
              <w:t>Common-method bias and no objective performance variable</w:t>
            </w:r>
          </w:p>
        </w:tc>
        <w:tc>
          <w:tcPr>
            <w:tcW w:w="0" w:type="auto"/>
            <w:hideMark/>
          </w:tcPr>
          <w:p w14:paraId="5AA256AF" w14:textId="77777777" w:rsidR="005A481C" w:rsidRPr="00990396" w:rsidRDefault="005A481C" w:rsidP="00004062">
            <w:pPr>
              <w:spacing w:line="240" w:lineRule="auto"/>
              <w:jc w:val="both"/>
              <w:rPr>
                <w:sz w:val="16"/>
                <w:szCs w:val="16"/>
              </w:rPr>
            </w:pPr>
            <w:r w:rsidRPr="00990396">
              <w:rPr>
                <w:sz w:val="16"/>
                <w:szCs w:val="16"/>
              </w:rPr>
              <w:t>Moderate</w:t>
            </w:r>
          </w:p>
        </w:tc>
        <w:tc>
          <w:tcPr>
            <w:tcW w:w="0" w:type="auto"/>
            <w:hideMark/>
          </w:tcPr>
          <w:p w14:paraId="20E46832" w14:textId="77777777" w:rsidR="005A481C" w:rsidRPr="00990396" w:rsidRDefault="005A481C" w:rsidP="00004062">
            <w:pPr>
              <w:spacing w:line="240" w:lineRule="auto"/>
              <w:jc w:val="both"/>
              <w:rPr>
                <w:sz w:val="16"/>
                <w:szCs w:val="16"/>
              </w:rPr>
            </w:pPr>
            <w:r w:rsidRPr="00990396">
              <w:rPr>
                <w:sz w:val="16"/>
                <w:szCs w:val="16"/>
              </w:rPr>
              <w:t>Explains the importance of organisational resources for hedging capability</w:t>
            </w:r>
          </w:p>
        </w:tc>
      </w:tr>
      <w:tr w:rsidR="005A481C" w:rsidRPr="00990396" w14:paraId="4F7CD905" w14:textId="77777777" w:rsidTr="005A481C">
        <w:tc>
          <w:tcPr>
            <w:tcW w:w="0" w:type="auto"/>
            <w:hideMark/>
          </w:tcPr>
          <w:p w14:paraId="7CE779DC" w14:textId="77777777" w:rsidR="005A481C" w:rsidRPr="00990396" w:rsidRDefault="005A481C" w:rsidP="00004062">
            <w:pPr>
              <w:spacing w:line="240" w:lineRule="auto"/>
              <w:jc w:val="both"/>
              <w:rPr>
                <w:sz w:val="16"/>
                <w:szCs w:val="16"/>
              </w:rPr>
            </w:pPr>
            <w:r w:rsidRPr="00990396">
              <w:rPr>
                <w:sz w:val="16"/>
                <w:szCs w:val="16"/>
              </w:rPr>
              <w:t>Orden-Cruz et al. (2024)</w:t>
            </w:r>
          </w:p>
        </w:tc>
        <w:tc>
          <w:tcPr>
            <w:tcW w:w="0" w:type="auto"/>
            <w:hideMark/>
          </w:tcPr>
          <w:p w14:paraId="573AE063" w14:textId="77777777" w:rsidR="005A481C" w:rsidRPr="00990396" w:rsidRDefault="005A481C" w:rsidP="00004062">
            <w:pPr>
              <w:spacing w:line="240" w:lineRule="auto"/>
              <w:jc w:val="both"/>
              <w:rPr>
                <w:sz w:val="16"/>
                <w:szCs w:val="16"/>
              </w:rPr>
            </w:pPr>
            <w:r w:rsidRPr="00990396">
              <w:rPr>
                <w:sz w:val="16"/>
                <w:szCs w:val="16"/>
              </w:rPr>
              <w:t>Market</w:t>
            </w:r>
          </w:p>
        </w:tc>
        <w:tc>
          <w:tcPr>
            <w:tcW w:w="0" w:type="auto"/>
            <w:hideMark/>
          </w:tcPr>
          <w:p w14:paraId="08BF0C5C" w14:textId="77777777" w:rsidR="005A481C" w:rsidRPr="00990396" w:rsidRDefault="005A481C" w:rsidP="00004062">
            <w:pPr>
              <w:spacing w:line="240" w:lineRule="auto"/>
              <w:jc w:val="both"/>
              <w:rPr>
                <w:sz w:val="16"/>
                <w:szCs w:val="16"/>
              </w:rPr>
            </w:pPr>
            <w:r w:rsidRPr="00990396">
              <w:rPr>
                <w:sz w:val="16"/>
                <w:szCs w:val="16"/>
              </w:rPr>
              <w:t>Very large SME panel; system GMM addresses dynamic effects</w:t>
            </w:r>
          </w:p>
        </w:tc>
        <w:tc>
          <w:tcPr>
            <w:tcW w:w="0" w:type="auto"/>
            <w:hideMark/>
          </w:tcPr>
          <w:p w14:paraId="2449E975" w14:textId="77777777" w:rsidR="005A481C" w:rsidRPr="00990396" w:rsidRDefault="005A481C" w:rsidP="00004062">
            <w:pPr>
              <w:spacing w:line="240" w:lineRule="auto"/>
              <w:jc w:val="both"/>
              <w:rPr>
                <w:sz w:val="16"/>
                <w:szCs w:val="16"/>
              </w:rPr>
            </w:pPr>
            <w:r w:rsidRPr="00990396">
              <w:rPr>
                <w:sz w:val="16"/>
                <w:szCs w:val="16"/>
              </w:rPr>
              <w:t>One-country setting</w:t>
            </w:r>
          </w:p>
        </w:tc>
        <w:tc>
          <w:tcPr>
            <w:tcW w:w="0" w:type="auto"/>
            <w:hideMark/>
          </w:tcPr>
          <w:p w14:paraId="428E04A5" w14:textId="77777777" w:rsidR="005A481C" w:rsidRPr="00990396" w:rsidRDefault="005A481C" w:rsidP="00004062">
            <w:pPr>
              <w:spacing w:line="240" w:lineRule="auto"/>
              <w:jc w:val="both"/>
              <w:rPr>
                <w:sz w:val="16"/>
                <w:szCs w:val="16"/>
              </w:rPr>
            </w:pPr>
            <w:r w:rsidRPr="00990396">
              <w:rPr>
                <w:sz w:val="16"/>
                <w:szCs w:val="16"/>
              </w:rPr>
              <w:t>Aggregate uncertainty index does not capture actual controls</w:t>
            </w:r>
          </w:p>
        </w:tc>
        <w:tc>
          <w:tcPr>
            <w:tcW w:w="0" w:type="auto"/>
            <w:hideMark/>
          </w:tcPr>
          <w:p w14:paraId="5D55114B" w14:textId="77777777" w:rsidR="005A481C" w:rsidRPr="00990396" w:rsidRDefault="005A481C" w:rsidP="00004062">
            <w:pPr>
              <w:spacing w:line="240" w:lineRule="auto"/>
              <w:jc w:val="both"/>
              <w:rPr>
                <w:sz w:val="16"/>
                <w:szCs w:val="16"/>
              </w:rPr>
            </w:pPr>
            <w:r w:rsidRPr="00990396">
              <w:rPr>
                <w:sz w:val="16"/>
                <w:szCs w:val="16"/>
              </w:rPr>
              <w:t>High to moderate</w:t>
            </w:r>
          </w:p>
        </w:tc>
        <w:tc>
          <w:tcPr>
            <w:tcW w:w="0" w:type="auto"/>
            <w:hideMark/>
          </w:tcPr>
          <w:p w14:paraId="238564E8" w14:textId="77777777" w:rsidR="005A481C" w:rsidRPr="00990396" w:rsidRDefault="005A481C" w:rsidP="00004062">
            <w:pPr>
              <w:spacing w:line="240" w:lineRule="auto"/>
              <w:jc w:val="both"/>
              <w:rPr>
                <w:sz w:val="16"/>
                <w:szCs w:val="16"/>
              </w:rPr>
            </w:pPr>
            <w:r w:rsidRPr="00990396">
              <w:rPr>
                <w:sz w:val="16"/>
                <w:szCs w:val="16"/>
              </w:rPr>
              <w:t>Strong evidence that external uncertainty can reduce SME performance</w:t>
            </w:r>
          </w:p>
        </w:tc>
      </w:tr>
      <w:tr w:rsidR="005A481C" w:rsidRPr="00990396" w14:paraId="6AC05304" w14:textId="77777777" w:rsidTr="005A481C">
        <w:tc>
          <w:tcPr>
            <w:tcW w:w="0" w:type="auto"/>
            <w:hideMark/>
          </w:tcPr>
          <w:p w14:paraId="039E6C43" w14:textId="77777777" w:rsidR="005A481C" w:rsidRPr="00990396" w:rsidRDefault="005A481C" w:rsidP="00004062">
            <w:pPr>
              <w:spacing w:line="240" w:lineRule="auto"/>
              <w:jc w:val="both"/>
              <w:rPr>
                <w:sz w:val="16"/>
                <w:szCs w:val="16"/>
              </w:rPr>
            </w:pPr>
            <w:proofErr w:type="spellStart"/>
            <w:r w:rsidRPr="00990396">
              <w:rPr>
                <w:sz w:val="16"/>
                <w:szCs w:val="16"/>
              </w:rPr>
              <w:t>Hawach</w:t>
            </w:r>
            <w:proofErr w:type="spellEnd"/>
            <w:r w:rsidRPr="00990396">
              <w:rPr>
                <w:sz w:val="16"/>
                <w:szCs w:val="16"/>
              </w:rPr>
              <w:t xml:space="preserve"> and Requejo (2025)</w:t>
            </w:r>
          </w:p>
        </w:tc>
        <w:tc>
          <w:tcPr>
            <w:tcW w:w="0" w:type="auto"/>
            <w:hideMark/>
          </w:tcPr>
          <w:p w14:paraId="6FABF8D7" w14:textId="77777777" w:rsidR="005A481C" w:rsidRPr="00990396" w:rsidRDefault="005A481C" w:rsidP="00004062">
            <w:pPr>
              <w:spacing w:line="240" w:lineRule="auto"/>
              <w:jc w:val="both"/>
              <w:rPr>
                <w:sz w:val="16"/>
                <w:szCs w:val="16"/>
              </w:rPr>
            </w:pPr>
            <w:r w:rsidRPr="00990396">
              <w:rPr>
                <w:sz w:val="16"/>
                <w:szCs w:val="16"/>
              </w:rPr>
              <w:t>Market</w:t>
            </w:r>
          </w:p>
        </w:tc>
        <w:tc>
          <w:tcPr>
            <w:tcW w:w="0" w:type="auto"/>
            <w:hideMark/>
          </w:tcPr>
          <w:p w14:paraId="33763A48" w14:textId="77777777" w:rsidR="005A481C" w:rsidRPr="00990396" w:rsidRDefault="005A481C" w:rsidP="00004062">
            <w:pPr>
              <w:spacing w:line="240" w:lineRule="auto"/>
              <w:jc w:val="both"/>
              <w:rPr>
                <w:sz w:val="16"/>
                <w:szCs w:val="16"/>
              </w:rPr>
            </w:pPr>
            <w:r w:rsidRPr="00990396">
              <w:rPr>
                <w:sz w:val="16"/>
                <w:szCs w:val="16"/>
              </w:rPr>
              <w:t>Very large European sample and long coverage</w:t>
            </w:r>
          </w:p>
        </w:tc>
        <w:tc>
          <w:tcPr>
            <w:tcW w:w="0" w:type="auto"/>
            <w:hideMark/>
          </w:tcPr>
          <w:p w14:paraId="59A69E77" w14:textId="77777777" w:rsidR="005A481C" w:rsidRPr="00990396" w:rsidRDefault="005A481C" w:rsidP="00004062">
            <w:pPr>
              <w:spacing w:line="240" w:lineRule="auto"/>
              <w:jc w:val="both"/>
              <w:rPr>
                <w:sz w:val="16"/>
                <w:szCs w:val="16"/>
              </w:rPr>
            </w:pPr>
            <w:r w:rsidRPr="00990396">
              <w:rPr>
                <w:sz w:val="16"/>
                <w:szCs w:val="16"/>
              </w:rPr>
              <w:t>Uses distress probability rather than realised profitability</w:t>
            </w:r>
          </w:p>
        </w:tc>
        <w:tc>
          <w:tcPr>
            <w:tcW w:w="0" w:type="auto"/>
            <w:hideMark/>
          </w:tcPr>
          <w:p w14:paraId="681A31EA" w14:textId="77777777" w:rsidR="005A481C" w:rsidRPr="00990396" w:rsidRDefault="005A481C" w:rsidP="00004062">
            <w:pPr>
              <w:spacing w:line="240" w:lineRule="auto"/>
              <w:jc w:val="both"/>
              <w:rPr>
                <w:sz w:val="16"/>
                <w:szCs w:val="16"/>
              </w:rPr>
            </w:pPr>
            <w:r w:rsidRPr="00990396">
              <w:rPr>
                <w:sz w:val="16"/>
                <w:szCs w:val="16"/>
              </w:rPr>
              <w:t>National heterogeneity and model-based outcome</w:t>
            </w:r>
          </w:p>
        </w:tc>
        <w:tc>
          <w:tcPr>
            <w:tcW w:w="0" w:type="auto"/>
            <w:hideMark/>
          </w:tcPr>
          <w:p w14:paraId="4FF9D36B" w14:textId="77777777" w:rsidR="005A481C" w:rsidRPr="00990396" w:rsidRDefault="005A481C" w:rsidP="00004062">
            <w:pPr>
              <w:spacing w:line="240" w:lineRule="auto"/>
              <w:jc w:val="both"/>
              <w:rPr>
                <w:sz w:val="16"/>
                <w:szCs w:val="16"/>
              </w:rPr>
            </w:pPr>
            <w:r w:rsidRPr="00990396">
              <w:rPr>
                <w:sz w:val="16"/>
                <w:szCs w:val="16"/>
              </w:rPr>
              <w:t>High to moderate</w:t>
            </w:r>
          </w:p>
        </w:tc>
        <w:tc>
          <w:tcPr>
            <w:tcW w:w="0" w:type="auto"/>
            <w:hideMark/>
          </w:tcPr>
          <w:p w14:paraId="3E30A1EA" w14:textId="77777777" w:rsidR="005A481C" w:rsidRPr="00990396" w:rsidRDefault="005A481C" w:rsidP="00004062">
            <w:pPr>
              <w:spacing w:line="240" w:lineRule="auto"/>
              <w:jc w:val="both"/>
              <w:rPr>
                <w:sz w:val="16"/>
                <w:szCs w:val="16"/>
              </w:rPr>
            </w:pPr>
            <w:r w:rsidRPr="00990396">
              <w:rPr>
                <w:sz w:val="16"/>
                <w:szCs w:val="16"/>
              </w:rPr>
              <w:t>Demonstrates the role of organisational characteristics in resilience</w:t>
            </w:r>
          </w:p>
        </w:tc>
      </w:tr>
      <w:tr w:rsidR="005A481C" w:rsidRPr="00990396" w14:paraId="243F4328" w14:textId="77777777" w:rsidTr="005A481C">
        <w:tc>
          <w:tcPr>
            <w:tcW w:w="0" w:type="auto"/>
            <w:hideMark/>
          </w:tcPr>
          <w:p w14:paraId="6F3DA574" w14:textId="77777777" w:rsidR="005A481C" w:rsidRPr="00990396" w:rsidRDefault="005A481C" w:rsidP="00004062">
            <w:pPr>
              <w:spacing w:line="240" w:lineRule="auto"/>
              <w:jc w:val="both"/>
              <w:rPr>
                <w:sz w:val="16"/>
                <w:szCs w:val="16"/>
              </w:rPr>
            </w:pPr>
            <w:r w:rsidRPr="00990396">
              <w:rPr>
                <w:sz w:val="16"/>
                <w:szCs w:val="16"/>
              </w:rPr>
              <w:t>Koroma and Bein (2024)</w:t>
            </w:r>
          </w:p>
        </w:tc>
        <w:tc>
          <w:tcPr>
            <w:tcW w:w="0" w:type="auto"/>
            <w:hideMark/>
          </w:tcPr>
          <w:p w14:paraId="2B014DA6" w14:textId="77777777" w:rsidR="005A481C" w:rsidRPr="00990396" w:rsidRDefault="005A481C" w:rsidP="00004062">
            <w:pPr>
              <w:spacing w:line="240" w:lineRule="auto"/>
              <w:jc w:val="both"/>
              <w:rPr>
                <w:sz w:val="16"/>
                <w:szCs w:val="16"/>
              </w:rPr>
            </w:pPr>
            <w:r w:rsidRPr="00990396">
              <w:rPr>
                <w:sz w:val="16"/>
                <w:szCs w:val="16"/>
              </w:rPr>
              <w:t>Market</w:t>
            </w:r>
          </w:p>
        </w:tc>
        <w:tc>
          <w:tcPr>
            <w:tcW w:w="0" w:type="auto"/>
            <w:hideMark/>
          </w:tcPr>
          <w:p w14:paraId="6C0CB28B" w14:textId="77777777" w:rsidR="005A481C" w:rsidRPr="00990396" w:rsidRDefault="005A481C" w:rsidP="00004062">
            <w:pPr>
              <w:spacing w:line="240" w:lineRule="auto"/>
              <w:jc w:val="both"/>
              <w:rPr>
                <w:sz w:val="16"/>
                <w:szCs w:val="16"/>
              </w:rPr>
            </w:pPr>
            <w:r w:rsidRPr="00990396">
              <w:rPr>
                <w:sz w:val="16"/>
                <w:szCs w:val="16"/>
              </w:rPr>
              <w:t>UK longitudinal data and multiple econometric estimators</w:t>
            </w:r>
          </w:p>
        </w:tc>
        <w:tc>
          <w:tcPr>
            <w:tcW w:w="0" w:type="auto"/>
            <w:hideMark/>
          </w:tcPr>
          <w:p w14:paraId="3E2A6526" w14:textId="77777777" w:rsidR="005A481C" w:rsidRPr="00990396" w:rsidRDefault="005A481C" w:rsidP="00004062">
            <w:pPr>
              <w:spacing w:line="240" w:lineRule="auto"/>
              <w:jc w:val="both"/>
              <w:rPr>
                <w:sz w:val="16"/>
                <w:szCs w:val="16"/>
              </w:rPr>
            </w:pPr>
            <w:r w:rsidRPr="00990396">
              <w:rPr>
                <w:sz w:val="16"/>
                <w:szCs w:val="16"/>
              </w:rPr>
              <w:t>Listed non-financial firms rather than SMEs generally</w:t>
            </w:r>
          </w:p>
        </w:tc>
        <w:tc>
          <w:tcPr>
            <w:tcW w:w="0" w:type="auto"/>
            <w:hideMark/>
          </w:tcPr>
          <w:p w14:paraId="7B7736F2" w14:textId="77777777" w:rsidR="005A481C" w:rsidRPr="00990396" w:rsidRDefault="005A481C" w:rsidP="00004062">
            <w:pPr>
              <w:spacing w:line="240" w:lineRule="auto"/>
              <w:jc w:val="both"/>
              <w:rPr>
                <w:sz w:val="16"/>
                <w:szCs w:val="16"/>
              </w:rPr>
            </w:pPr>
            <w:r w:rsidRPr="00990396">
              <w:rPr>
                <w:sz w:val="16"/>
                <w:szCs w:val="16"/>
              </w:rPr>
              <w:t>Indirect uncertainty and risk-management measures</w:t>
            </w:r>
          </w:p>
        </w:tc>
        <w:tc>
          <w:tcPr>
            <w:tcW w:w="0" w:type="auto"/>
            <w:hideMark/>
          </w:tcPr>
          <w:p w14:paraId="2783E172" w14:textId="77777777" w:rsidR="005A481C" w:rsidRPr="00990396" w:rsidRDefault="005A481C" w:rsidP="00004062">
            <w:pPr>
              <w:spacing w:line="240" w:lineRule="auto"/>
              <w:jc w:val="both"/>
              <w:rPr>
                <w:sz w:val="16"/>
                <w:szCs w:val="16"/>
              </w:rPr>
            </w:pPr>
            <w:r w:rsidRPr="00990396">
              <w:rPr>
                <w:sz w:val="16"/>
                <w:szCs w:val="16"/>
              </w:rPr>
              <w:t>High to moderate</w:t>
            </w:r>
          </w:p>
        </w:tc>
        <w:tc>
          <w:tcPr>
            <w:tcW w:w="0" w:type="auto"/>
            <w:hideMark/>
          </w:tcPr>
          <w:p w14:paraId="096C8BE3" w14:textId="77777777" w:rsidR="005A481C" w:rsidRPr="00990396" w:rsidRDefault="005A481C" w:rsidP="00004062">
            <w:pPr>
              <w:spacing w:line="240" w:lineRule="auto"/>
              <w:jc w:val="both"/>
              <w:rPr>
                <w:sz w:val="16"/>
                <w:szCs w:val="16"/>
              </w:rPr>
            </w:pPr>
            <w:r w:rsidRPr="00990396">
              <w:rPr>
                <w:sz w:val="16"/>
                <w:szCs w:val="16"/>
              </w:rPr>
              <w:t>Demonstrates interaction between market uncertainty and working-capital performance</w:t>
            </w:r>
          </w:p>
        </w:tc>
      </w:tr>
      <w:tr w:rsidR="005A481C" w:rsidRPr="00990396" w14:paraId="5C16FB09" w14:textId="77777777" w:rsidTr="005A481C">
        <w:tc>
          <w:tcPr>
            <w:tcW w:w="0" w:type="auto"/>
            <w:hideMark/>
          </w:tcPr>
          <w:p w14:paraId="2A001825" w14:textId="77777777" w:rsidR="005A481C" w:rsidRPr="00990396" w:rsidRDefault="005A481C" w:rsidP="00004062">
            <w:pPr>
              <w:spacing w:line="240" w:lineRule="auto"/>
              <w:jc w:val="both"/>
              <w:rPr>
                <w:sz w:val="16"/>
                <w:szCs w:val="16"/>
              </w:rPr>
            </w:pPr>
            <w:proofErr w:type="spellStart"/>
            <w:r w:rsidRPr="00990396">
              <w:rPr>
                <w:sz w:val="16"/>
                <w:szCs w:val="16"/>
              </w:rPr>
              <w:t>Tazhibayeva</w:t>
            </w:r>
            <w:proofErr w:type="spellEnd"/>
            <w:r w:rsidRPr="00990396">
              <w:rPr>
                <w:sz w:val="16"/>
                <w:szCs w:val="16"/>
              </w:rPr>
              <w:t xml:space="preserve"> and </w:t>
            </w:r>
            <w:proofErr w:type="spellStart"/>
            <w:r w:rsidRPr="00990396">
              <w:rPr>
                <w:sz w:val="16"/>
                <w:szCs w:val="16"/>
              </w:rPr>
              <w:t>Syzdykova</w:t>
            </w:r>
            <w:proofErr w:type="spellEnd"/>
            <w:r w:rsidRPr="00990396">
              <w:rPr>
                <w:sz w:val="16"/>
                <w:szCs w:val="16"/>
              </w:rPr>
              <w:t xml:space="preserve"> (2026)</w:t>
            </w:r>
          </w:p>
        </w:tc>
        <w:tc>
          <w:tcPr>
            <w:tcW w:w="0" w:type="auto"/>
            <w:hideMark/>
          </w:tcPr>
          <w:p w14:paraId="60AB0946" w14:textId="77777777" w:rsidR="005A481C" w:rsidRPr="00990396" w:rsidRDefault="005A481C" w:rsidP="00004062">
            <w:pPr>
              <w:spacing w:line="240" w:lineRule="auto"/>
              <w:jc w:val="both"/>
              <w:rPr>
                <w:sz w:val="16"/>
                <w:szCs w:val="16"/>
              </w:rPr>
            </w:pPr>
            <w:r w:rsidRPr="00990396">
              <w:rPr>
                <w:sz w:val="16"/>
                <w:szCs w:val="16"/>
              </w:rPr>
              <w:t>Market</w:t>
            </w:r>
          </w:p>
        </w:tc>
        <w:tc>
          <w:tcPr>
            <w:tcW w:w="0" w:type="auto"/>
            <w:hideMark/>
          </w:tcPr>
          <w:p w14:paraId="1C8FA75C" w14:textId="77777777" w:rsidR="005A481C" w:rsidRPr="00990396" w:rsidRDefault="005A481C" w:rsidP="00004062">
            <w:pPr>
              <w:spacing w:line="240" w:lineRule="auto"/>
              <w:jc w:val="both"/>
              <w:rPr>
                <w:sz w:val="16"/>
                <w:szCs w:val="16"/>
              </w:rPr>
            </w:pPr>
            <w:r w:rsidRPr="00990396">
              <w:rPr>
                <w:sz w:val="16"/>
                <w:szCs w:val="16"/>
              </w:rPr>
              <w:t>Separates short-run and long-run macroeconomic relationships</w:t>
            </w:r>
          </w:p>
        </w:tc>
        <w:tc>
          <w:tcPr>
            <w:tcW w:w="0" w:type="auto"/>
            <w:hideMark/>
          </w:tcPr>
          <w:p w14:paraId="4E144199" w14:textId="77777777" w:rsidR="005A481C" w:rsidRPr="00990396" w:rsidRDefault="005A481C" w:rsidP="00004062">
            <w:pPr>
              <w:spacing w:line="240" w:lineRule="auto"/>
              <w:jc w:val="both"/>
              <w:rPr>
                <w:sz w:val="16"/>
                <w:szCs w:val="16"/>
              </w:rPr>
            </w:pPr>
            <w:r w:rsidRPr="00990396">
              <w:rPr>
                <w:sz w:val="16"/>
                <w:szCs w:val="16"/>
              </w:rPr>
              <w:t>Only 24 aggregate observations</w:t>
            </w:r>
          </w:p>
        </w:tc>
        <w:tc>
          <w:tcPr>
            <w:tcW w:w="0" w:type="auto"/>
            <w:hideMark/>
          </w:tcPr>
          <w:p w14:paraId="7A2567DD" w14:textId="77777777" w:rsidR="005A481C" w:rsidRPr="00990396" w:rsidRDefault="005A481C" w:rsidP="00004062">
            <w:pPr>
              <w:spacing w:line="240" w:lineRule="auto"/>
              <w:jc w:val="both"/>
              <w:rPr>
                <w:sz w:val="16"/>
                <w:szCs w:val="16"/>
              </w:rPr>
            </w:pPr>
            <w:r w:rsidRPr="00990396">
              <w:rPr>
                <w:sz w:val="16"/>
                <w:szCs w:val="16"/>
              </w:rPr>
              <w:t>Small sample and strong contextual differences from the UK</w:t>
            </w:r>
          </w:p>
        </w:tc>
        <w:tc>
          <w:tcPr>
            <w:tcW w:w="0" w:type="auto"/>
            <w:hideMark/>
          </w:tcPr>
          <w:p w14:paraId="080E8EF6" w14:textId="77777777" w:rsidR="005A481C" w:rsidRPr="00990396" w:rsidRDefault="005A481C" w:rsidP="00004062">
            <w:pPr>
              <w:spacing w:line="240" w:lineRule="auto"/>
              <w:jc w:val="both"/>
              <w:rPr>
                <w:sz w:val="16"/>
                <w:szCs w:val="16"/>
              </w:rPr>
            </w:pPr>
            <w:r w:rsidRPr="00990396">
              <w:rPr>
                <w:sz w:val="16"/>
                <w:szCs w:val="16"/>
              </w:rPr>
              <w:t>Low</w:t>
            </w:r>
          </w:p>
        </w:tc>
        <w:tc>
          <w:tcPr>
            <w:tcW w:w="0" w:type="auto"/>
            <w:hideMark/>
          </w:tcPr>
          <w:p w14:paraId="318F28A4" w14:textId="77777777" w:rsidR="005A481C" w:rsidRPr="00990396" w:rsidRDefault="005A481C" w:rsidP="00004062">
            <w:pPr>
              <w:spacing w:line="240" w:lineRule="auto"/>
              <w:jc w:val="both"/>
              <w:rPr>
                <w:sz w:val="16"/>
                <w:szCs w:val="16"/>
              </w:rPr>
            </w:pPr>
            <w:r w:rsidRPr="00990396">
              <w:rPr>
                <w:sz w:val="16"/>
                <w:szCs w:val="16"/>
              </w:rPr>
              <w:t>Supplementary evidence of currency and commodity-price exposure</w:t>
            </w:r>
          </w:p>
        </w:tc>
      </w:tr>
      <w:tr w:rsidR="005A481C" w:rsidRPr="00990396" w14:paraId="21F7B78E" w14:textId="77777777" w:rsidTr="005A481C">
        <w:tc>
          <w:tcPr>
            <w:tcW w:w="0" w:type="auto"/>
            <w:hideMark/>
          </w:tcPr>
          <w:p w14:paraId="78A971D7" w14:textId="77777777" w:rsidR="005A481C" w:rsidRPr="00990396" w:rsidRDefault="005A481C" w:rsidP="00004062">
            <w:pPr>
              <w:spacing w:line="240" w:lineRule="auto"/>
              <w:jc w:val="both"/>
              <w:rPr>
                <w:sz w:val="16"/>
                <w:szCs w:val="16"/>
              </w:rPr>
            </w:pPr>
            <w:r w:rsidRPr="00990396">
              <w:rPr>
                <w:sz w:val="16"/>
                <w:szCs w:val="16"/>
              </w:rPr>
              <w:t>Akbar et al. (2021)</w:t>
            </w:r>
          </w:p>
        </w:tc>
        <w:tc>
          <w:tcPr>
            <w:tcW w:w="0" w:type="auto"/>
            <w:hideMark/>
          </w:tcPr>
          <w:p w14:paraId="178142B0" w14:textId="77777777" w:rsidR="005A481C" w:rsidRPr="00990396" w:rsidRDefault="005A481C" w:rsidP="00004062">
            <w:pPr>
              <w:spacing w:line="240" w:lineRule="auto"/>
              <w:jc w:val="both"/>
              <w:rPr>
                <w:sz w:val="16"/>
                <w:szCs w:val="16"/>
              </w:rPr>
            </w:pPr>
            <w:r w:rsidRPr="00990396">
              <w:rPr>
                <w:sz w:val="16"/>
                <w:szCs w:val="16"/>
              </w:rPr>
              <w:t>Market</w:t>
            </w:r>
          </w:p>
        </w:tc>
        <w:tc>
          <w:tcPr>
            <w:tcW w:w="0" w:type="auto"/>
            <w:hideMark/>
          </w:tcPr>
          <w:p w14:paraId="54E81DE6" w14:textId="77777777" w:rsidR="005A481C" w:rsidRPr="00990396" w:rsidRDefault="005A481C" w:rsidP="00004062">
            <w:pPr>
              <w:spacing w:line="240" w:lineRule="auto"/>
              <w:jc w:val="both"/>
              <w:rPr>
                <w:sz w:val="16"/>
                <w:szCs w:val="16"/>
              </w:rPr>
            </w:pPr>
            <w:r w:rsidRPr="00990396">
              <w:rPr>
                <w:sz w:val="16"/>
                <w:szCs w:val="16"/>
              </w:rPr>
              <w:t>System GMM addresses dynamic relationships and some endogeneity</w:t>
            </w:r>
          </w:p>
        </w:tc>
        <w:tc>
          <w:tcPr>
            <w:tcW w:w="0" w:type="auto"/>
            <w:hideMark/>
          </w:tcPr>
          <w:p w14:paraId="67CFD0BA" w14:textId="77777777" w:rsidR="005A481C" w:rsidRPr="00990396" w:rsidRDefault="005A481C" w:rsidP="00004062">
            <w:pPr>
              <w:spacing w:line="240" w:lineRule="auto"/>
              <w:jc w:val="both"/>
              <w:rPr>
                <w:sz w:val="16"/>
                <w:szCs w:val="16"/>
              </w:rPr>
            </w:pPr>
            <w:r w:rsidRPr="00990396">
              <w:rPr>
                <w:sz w:val="16"/>
                <w:szCs w:val="16"/>
              </w:rPr>
              <w:t>Older Pakistani listed-firm data</w:t>
            </w:r>
          </w:p>
        </w:tc>
        <w:tc>
          <w:tcPr>
            <w:tcW w:w="0" w:type="auto"/>
            <w:hideMark/>
          </w:tcPr>
          <w:p w14:paraId="2A87570C" w14:textId="77777777" w:rsidR="005A481C" w:rsidRPr="00990396" w:rsidRDefault="005A481C" w:rsidP="00004062">
            <w:pPr>
              <w:spacing w:line="240" w:lineRule="auto"/>
              <w:jc w:val="both"/>
              <w:rPr>
                <w:sz w:val="16"/>
                <w:szCs w:val="16"/>
              </w:rPr>
            </w:pPr>
            <w:r w:rsidRPr="00990396">
              <w:rPr>
                <w:sz w:val="16"/>
                <w:szCs w:val="16"/>
              </w:rPr>
              <w:t>Indirect measures of deliberate risk-management practices</w:t>
            </w:r>
          </w:p>
        </w:tc>
        <w:tc>
          <w:tcPr>
            <w:tcW w:w="0" w:type="auto"/>
            <w:hideMark/>
          </w:tcPr>
          <w:p w14:paraId="25233B48" w14:textId="77777777" w:rsidR="005A481C" w:rsidRPr="00990396" w:rsidRDefault="005A481C" w:rsidP="00004062">
            <w:pPr>
              <w:spacing w:line="240" w:lineRule="auto"/>
              <w:jc w:val="both"/>
              <w:rPr>
                <w:sz w:val="16"/>
                <w:szCs w:val="16"/>
              </w:rPr>
            </w:pPr>
            <w:r w:rsidRPr="00990396">
              <w:rPr>
                <w:sz w:val="16"/>
                <w:szCs w:val="16"/>
              </w:rPr>
              <w:t>Low to moderate</w:t>
            </w:r>
          </w:p>
        </w:tc>
        <w:tc>
          <w:tcPr>
            <w:tcW w:w="0" w:type="auto"/>
            <w:hideMark/>
          </w:tcPr>
          <w:p w14:paraId="53A5FD6A" w14:textId="77777777" w:rsidR="005A481C" w:rsidRPr="00990396" w:rsidRDefault="005A481C" w:rsidP="00004062">
            <w:pPr>
              <w:spacing w:line="240" w:lineRule="auto"/>
              <w:jc w:val="both"/>
              <w:rPr>
                <w:sz w:val="16"/>
                <w:szCs w:val="16"/>
              </w:rPr>
            </w:pPr>
            <w:r w:rsidRPr="00990396">
              <w:rPr>
                <w:sz w:val="16"/>
                <w:szCs w:val="16"/>
              </w:rPr>
              <w:t>Supports the balancing argument that buffers reduce volatility but can become excessive</w:t>
            </w:r>
          </w:p>
        </w:tc>
      </w:tr>
    </w:tbl>
    <w:p w14:paraId="319A684D" w14:textId="39050052" w:rsidR="00563C7F" w:rsidRPr="00990396" w:rsidRDefault="00563C7F" w:rsidP="00990396">
      <w:pPr>
        <w:jc w:val="both"/>
      </w:pPr>
    </w:p>
    <w:p w14:paraId="0FEA2727" w14:textId="77777777" w:rsidR="00563C7F" w:rsidRPr="00990396" w:rsidRDefault="00563C7F" w:rsidP="00990396">
      <w:pPr>
        <w:jc w:val="both"/>
      </w:pPr>
      <w:r w:rsidRPr="00990396">
        <w:br w:type="page"/>
      </w:r>
    </w:p>
    <w:p w14:paraId="39C646EA" w14:textId="78315CCE" w:rsidR="00563C7F" w:rsidRPr="00990396" w:rsidRDefault="00990396" w:rsidP="00990396">
      <w:pPr>
        <w:pStyle w:val="Heading1"/>
        <w:numPr>
          <w:ilvl w:val="0"/>
          <w:numId w:val="0"/>
        </w:numPr>
        <w:ind w:left="432"/>
        <w:jc w:val="both"/>
        <w:rPr>
          <w:rFonts w:cstheme="minorBidi"/>
        </w:rPr>
      </w:pPr>
      <w:bookmarkStart w:id="69" w:name="_Toc241147049"/>
      <w:r w:rsidRPr="00990396">
        <w:rPr>
          <w:rFonts w:cstheme="minorBidi"/>
        </w:rPr>
        <w:lastRenderedPageBreak/>
        <w:t>APPENDIX C: DATA EXTRACTION AND VERIFICATION MATRIX</w:t>
      </w:r>
      <w:bookmarkEnd w:id="69"/>
    </w:p>
    <w:tbl>
      <w:tblPr>
        <w:tblStyle w:val="TableGrid"/>
        <w:tblW w:w="0" w:type="auto"/>
        <w:tblLook w:val="04A0" w:firstRow="1" w:lastRow="0" w:firstColumn="1" w:lastColumn="0" w:noHBand="0" w:noVBand="1"/>
      </w:tblPr>
      <w:tblGrid>
        <w:gridCol w:w="1336"/>
        <w:gridCol w:w="1585"/>
        <w:gridCol w:w="1633"/>
        <w:gridCol w:w="1704"/>
        <w:gridCol w:w="1447"/>
        <w:gridCol w:w="1311"/>
      </w:tblGrid>
      <w:tr w:rsidR="00563C7F" w:rsidRPr="00990396" w14:paraId="526CA437" w14:textId="77777777" w:rsidTr="00563C7F">
        <w:tc>
          <w:tcPr>
            <w:tcW w:w="0" w:type="auto"/>
            <w:hideMark/>
          </w:tcPr>
          <w:p w14:paraId="069B4807" w14:textId="77777777" w:rsidR="00563C7F" w:rsidRPr="00990396" w:rsidRDefault="00563C7F" w:rsidP="00004062">
            <w:pPr>
              <w:spacing w:line="240" w:lineRule="auto"/>
              <w:jc w:val="both"/>
              <w:rPr>
                <w:b/>
                <w:bCs/>
                <w:sz w:val="16"/>
                <w:szCs w:val="16"/>
              </w:rPr>
            </w:pPr>
            <w:r w:rsidRPr="00990396">
              <w:rPr>
                <w:b/>
                <w:bCs/>
                <w:sz w:val="16"/>
                <w:szCs w:val="16"/>
              </w:rPr>
              <w:t>Study</w:t>
            </w:r>
          </w:p>
        </w:tc>
        <w:tc>
          <w:tcPr>
            <w:tcW w:w="0" w:type="auto"/>
            <w:hideMark/>
          </w:tcPr>
          <w:p w14:paraId="0E26FB94" w14:textId="77777777" w:rsidR="00563C7F" w:rsidRPr="00990396" w:rsidRDefault="00563C7F" w:rsidP="00004062">
            <w:pPr>
              <w:spacing w:line="240" w:lineRule="auto"/>
              <w:jc w:val="both"/>
              <w:rPr>
                <w:b/>
                <w:bCs/>
                <w:sz w:val="16"/>
                <w:szCs w:val="16"/>
              </w:rPr>
            </w:pPr>
            <w:r w:rsidRPr="00990396">
              <w:rPr>
                <w:b/>
                <w:bCs/>
                <w:sz w:val="16"/>
                <w:szCs w:val="16"/>
              </w:rPr>
              <w:t>Source data and original method</w:t>
            </w:r>
          </w:p>
        </w:tc>
        <w:tc>
          <w:tcPr>
            <w:tcW w:w="0" w:type="auto"/>
            <w:hideMark/>
          </w:tcPr>
          <w:p w14:paraId="088E17BD" w14:textId="77777777" w:rsidR="00563C7F" w:rsidRPr="00990396" w:rsidRDefault="00563C7F" w:rsidP="00004062">
            <w:pPr>
              <w:spacing w:line="240" w:lineRule="auto"/>
              <w:jc w:val="both"/>
              <w:rPr>
                <w:b/>
                <w:bCs/>
                <w:sz w:val="16"/>
                <w:szCs w:val="16"/>
              </w:rPr>
            </w:pPr>
            <w:r w:rsidRPr="00990396">
              <w:rPr>
                <w:b/>
                <w:bCs/>
                <w:sz w:val="16"/>
                <w:szCs w:val="16"/>
              </w:rPr>
              <w:t>Extended actual text extracted from study</w:t>
            </w:r>
          </w:p>
        </w:tc>
        <w:tc>
          <w:tcPr>
            <w:tcW w:w="0" w:type="auto"/>
            <w:hideMark/>
          </w:tcPr>
          <w:p w14:paraId="4E315F43" w14:textId="77777777" w:rsidR="00563C7F" w:rsidRPr="00990396" w:rsidRDefault="00563C7F" w:rsidP="00004062">
            <w:pPr>
              <w:spacing w:line="240" w:lineRule="auto"/>
              <w:jc w:val="both"/>
              <w:rPr>
                <w:b/>
                <w:bCs/>
                <w:sz w:val="16"/>
                <w:szCs w:val="16"/>
              </w:rPr>
            </w:pPr>
            <w:r w:rsidRPr="00990396">
              <w:rPr>
                <w:b/>
                <w:bCs/>
                <w:sz w:val="16"/>
                <w:szCs w:val="16"/>
              </w:rPr>
              <w:t>Researcher summary</w:t>
            </w:r>
          </w:p>
        </w:tc>
        <w:tc>
          <w:tcPr>
            <w:tcW w:w="0" w:type="auto"/>
            <w:hideMark/>
          </w:tcPr>
          <w:p w14:paraId="5720709E" w14:textId="77777777" w:rsidR="00563C7F" w:rsidRPr="00990396" w:rsidRDefault="00563C7F" w:rsidP="00004062">
            <w:pPr>
              <w:spacing w:line="240" w:lineRule="auto"/>
              <w:jc w:val="both"/>
              <w:rPr>
                <w:b/>
                <w:bCs/>
                <w:sz w:val="16"/>
                <w:szCs w:val="16"/>
              </w:rPr>
            </w:pPr>
            <w:r w:rsidRPr="00990396">
              <w:rPr>
                <w:b/>
                <w:bCs/>
                <w:sz w:val="16"/>
                <w:szCs w:val="16"/>
              </w:rPr>
              <w:t>Initial code</w:t>
            </w:r>
          </w:p>
        </w:tc>
        <w:tc>
          <w:tcPr>
            <w:tcW w:w="0" w:type="auto"/>
            <w:hideMark/>
          </w:tcPr>
          <w:p w14:paraId="128D5117" w14:textId="77777777" w:rsidR="00563C7F" w:rsidRPr="00990396" w:rsidRDefault="00563C7F" w:rsidP="00004062">
            <w:pPr>
              <w:spacing w:line="240" w:lineRule="auto"/>
              <w:jc w:val="both"/>
              <w:rPr>
                <w:b/>
                <w:bCs/>
                <w:sz w:val="16"/>
                <w:szCs w:val="16"/>
              </w:rPr>
            </w:pPr>
            <w:r w:rsidRPr="00990396">
              <w:rPr>
                <w:b/>
                <w:bCs/>
                <w:sz w:val="16"/>
                <w:szCs w:val="16"/>
              </w:rPr>
              <w:t>Final theme</w:t>
            </w:r>
          </w:p>
        </w:tc>
      </w:tr>
      <w:tr w:rsidR="00563C7F" w:rsidRPr="00990396" w14:paraId="2BDCAA0A" w14:textId="77777777" w:rsidTr="00563C7F">
        <w:tc>
          <w:tcPr>
            <w:tcW w:w="0" w:type="auto"/>
            <w:hideMark/>
          </w:tcPr>
          <w:p w14:paraId="2CE4A90C" w14:textId="77777777" w:rsidR="00563C7F" w:rsidRPr="00990396" w:rsidRDefault="00563C7F" w:rsidP="00004062">
            <w:pPr>
              <w:spacing w:line="240" w:lineRule="auto"/>
              <w:jc w:val="both"/>
              <w:rPr>
                <w:sz w:val="16"/>
                <w:szCs w:val="16"/>
              </w:rPr>
            </w:pPr>
            <w:r w:rsidRPr="00990396">
              <w:rPr>
                <w:rStyle w:val="Strong"/>
                <w:sz w:val="16"/>
                <w:szCs w:val="16"/>
              </w:rPr>
              <w:t>Youssef et al. (2023)</w:t>
            </w:r>
          </w:p>
        </w:tc>
        <w:tc>
          <w:tcPr>
            <w:tcW w:w="0" w:type="auto"/>
            <w:hideMark/>
          </w:tcPr>
          <w:p w14:paraId="5B360DBF" w14:textId="77777777" w:rsidR="00563C7F" w:rsidRPr="00990396" w:rsidRDefault="00563C7F" w:rsidP="00004062">
            <w:pPr>
              <w:spacing w:line="240" w:lineRule="auto"/>
              <w:jc w:val="both"/>
              <w:rPr>
                <w:sz w:val="16"/>
                <w:szCs w:val="16"/>
              </w:rPr>
            </w:pPr>
            <w:r w:rsidRPr="00990396">
              <w:rPr>
                <w:sz w:val="16"/>
                <w:szCs w:val="16"/>
              </w:rPr>
              <w:t xml:space="preserve">93 listed UK SMEs, 2012–2020; Thomson Reuters </w:t>
            </w:r>
            <w:proofErr w:type="spellStart"/>
            <w:r w:rsidRPr="00990396">
              <w:rPr>
                <w:sz w:val="16"/>
                <w:szCs w:val="16"/>
              </w:rPr>
              <w:t>Datastream</w:t>
            </w:r>
            <w:proofErr w:type="spellEnd"/>
            <w:r w:rsidRPr="00990396">
              <w:rPr>
                <w:sz w:val="16"/>
                <w:szCs w:val="16"/>
              </w:rPr>
              <w:t>; fixed effects, random effects and GMM; ROA and ROE</w:t>
            </w:r>
          </w:p>
        </w:tc>
        <w:tc>
          <w:tcPr>
            <w:tcW w:w="0" w:type="auto"/>
            <w:hideMark/>
          </w:tcPr>
          <w:p w14:paraId="45323B34" w14:textId="77777777" w:rsidR="00563C7F" w:rsidRPr="00990396" w:rsidRDefault="00563C7F" w:rsidP="00004062">
            <w:pPr>
              <w:spacing w:line="240" w:lineRule="auto"/>
              <w:jc w:val="both"/>
              <w:rPr>
                <w:sz w:val="16"/>
                <w:szCs w:val="16"/>
              </w:rPr>
            </w:pPr>
            <w:r w:rsidRPr="00990396">
              <w:rPr>
                <w:rStyle w:val="Strong"/>
                <w:sz w:val="16"/>
                <w:szCs w:val="16"/>
              </w:rPr>
              <w:t>Findings:</w:t>
            </w:r>
            <w:r w:rsidRPr="00990396">
              <w:rPr>
                <w:sz w:val="16"/>
                <w:szCs w:val="16"/>
              </w:rPr>
              <w:t xml:space="preserve"> “All variables showed significant influence on profitability, except liquidity reflecting insignificant impact on profitability in two regression models conducted for 93 firms.” </w:t>
            </w:r>
          </w:p>
          <w:p w14:paraId="43BA30CD" w14:textId="2F4DA538" w:rsidR="00563C7F" w:rsidRPr="00990396" w:rsidRDefault="00563C7F" w:rsidP="00004062">
            <w:pPr>
              <w:spacing w:line="240" w:lineRule="auto"/>
              <w:jc w:val="both"/>
              <w:rPr>
                <w:sz w:val="16"/>
                <w:szCs w:val="16"/>
              </w:rPr>
            </w:pPr>
          </w:p>
        </w:tc>
        <w:tc>
          <w:tcPr>
            <w:tcW w:w="0" w:type="auto"/>
            <w:hideMark/>
          </w:tcPr>
          <w:p w14:paraId="58EF0F33" w14:textId="77777777" w:rsidR="00563C7F" w:rsidRPr="00990396" w:rsidRDefault="00563C7F" w:rsidP="00004062">
            <w:pPr>
              <w:spacing w:line="240" w:lineRule="auto"/>
              <w:jc w:val="both"/>
              <w:rPr>
                <w:sz w:val="16"/>
                <w:szCs w:val="16"/>
              </w:rPr>
            </w:pPr>
            <w:r w:rsidRPr="00990396">
              <w:rPr>
                <w:sz w:val="16"/>
                <w:szCs w:val="16"/>
              </w:rPr>
              <w:t>Liquidity did not significantly explain profitability among the sampled UK SMEs, indicating that maintaining higher liquidity does not automatically produce higher ROA or ROE.</w:t>
            </w:r>
          </w:p>
        </w:tc>
        <w:tc>
          <w:tcPr>
            <w:tcW w:w="0" w:type="auto"/>
            <w:hideMark/>
          </w:tcPr>
          <w:p w14:paraId="6626F27D" w14:textId="77777777" w:rsidR="00563C7F" w:rsidRPr="00990396" w:rsidRDefault="00563C7F" w:rsidP="00004062">
            <w:pPr>
              <w:spacing w:line="240" w:lineRule="auto"/>
              <w:jc w:val="both"/>
              <w:rPr>
                <w:sz w:val="16"/>
                <w:szCs w:val="16"/>
              </w:rPr>
            </w:pPr>
            <w:r w:rsidRPr="00990396">
              <w:rPr>
                <w:sz w:val="16"/>
                <w:szCs w:val="16"/>
              </w:rPr>
              <w:t>Insignificant liquidity effect</w:t>
            </w:r>
          </w:p>
        </w:tc>
        <w:tc>
          <w:tcPr>
            <w:tcW w:w="0" w:type="auto"/>
            <w:hideMark/>
          </w:tcPr>
          <w:p w14:paraId="7F3192E0" w14:textId="77777777" w:rsidR="00563C7F" w:rsidRPr="00990396" w:rsidRDefault="00563C7F" w:rsidP="00004062">
            <w:pPr>
              <w:spacing w:line="240" w:lineRule="auto"/>
              <w:jc w:val="both"/>
              <w:rPr>
                <w:sz w:val="16"/>
                <w:szCs w:val="16"/>
              </w:rPr>
            </w:pPr>
            <w:r w:rsidRPr="00990396">
              <w:rPr>
                <w:rStyle w:val="Strong"/>
                <w:sz w:val="16"/>
                <w:szCs w:val="16"/>
              </w:rPr>
              <w:t>Liquidity efficiency and financial resilience</w:t>
            </w:r>
          </w:p>
        </w:tc>
      </w:tr>
      <w:tr w:rsidR="00563C7F" w:rsidRPr="00990396" w14:paraId="4F4AC49A" w14:textId="77777777" w:rsidTr="00563C7F">
        <w:tc>
          <w:tcPr>
            <w:tcW w:w="0" w:type="auto"/>
            <w:gridSpan w:val="6"/>
          </w:tcPr>
          <w:p w14:paraId="541BF31F" w14:textId="6716348C" w:rsidR="00563C7F" w:rsidRPr="00990396" w:rsidRDefault="00563C7F" w:rsidP="00004062">
            <w:pPr>
              <w:spacing w:line="240" w:lineRule="auto"/>
              <w:jc w:val="both"/>
              <w:rPr>
                <w:rStyle w:val="Strong"/>
                <w:sz w:val="16"/>
                <w:szCs w:val="16"/>
              </w:rPr>
            </w:pPr>
            <w:r w:rsidRPr="00990396">
              <w:rPr>
                <w:noProof/>
                <w:sz w:val="16"/>
                <w:szCs w:val="16"/>
              </w:rPr>
              <w:drawing>
                <wp:inline distT="0" distB="0" distL="0" distR="0" wp14:anchorId="59EABC38" wp14:editId="7855D3E4">
                  <wp:extent cx="5410152" cy="104775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589137" cy="1082413"/>
                          </a:xfrm>
                          <a:prstGeom prst="rect">
                            <a:avLst/>
                          </a:prstGeom>
                        </pic:spPr>
                      </pic:pic>
                    </a:graphicData>
                  </a:graphic>
                </wp:inline>
              </w:drawing>
            </w:r>
          </w:p>
        </w:tc>
      </w:tr>
      <w:tr w:rsidR="00563C7F" w:rsidRPr="00990396" w14:paraId="1BDCFAB5" w14:textId="77777777" w:rsidTr="00563C7F">
        <w:tc>
          <w:tcPr>
            <w:tcW w:w="0" w:type="auto"/>
            <w:hideMark/>
          </w:tcPr>
          <w:p w14:paraId="4B74157A" w14:textId="77777777" w:rsidR="00563C7F" w:rsidRPr="00990396" w:rsidRDefault="00563C7F" w:rsidP="00004062">
            <w:pPr>
              <w:spacing w:line="240" w:lineRule="auto"/>
              <w:jc w:val="both"/>
              <w:rPr>
                <w:sz w:val="16"/>
                <w:szCs w:val="16"/>
              </w:rPr>
            </w:pPr>
            <w:proofErr w:type="spellStart"/>
            <w:r w:rsidRPr="00990396">
              <w:rPr>
                <w:rStyle w:val="Strong"/>
                <w:sz w:val="16"/>
                <w:szCs w:val="16"/>
              </w:rPr>
              <w:t>Belghitar</w:t>
            </w:r>
            <w:proofErr w:type="spellEnd"/>
            <w:r w:rsidRPr="00990396">
              <w:rPr>
                <w:rStyle w:val="Strong"/>
                <w:sz w:val="16"/>
                <w:szCs w:val="16"/>
              </w:rPr>
              <w:t xml:space="preserve"> et al. (2022)</w:t>
            </w:r>
          </w:p>
        </w:tc>
        <w:tc>
          <w:tcPr>
            <w:tcW w:w="0" w:type="auto"/>
            <w:hideMark/>
          </w:tcPr>
          <w:p w14:paraId="3F68CCFA" w14:textId="77777777" w:rsidR="00563C7F" w:rsidRPr="00990396" w:rsidRDefault="00563C7F" w:rsidP="00004062">
            <w:pPr>
              <w:spacing w:line="240" w:lineRule="auto"/>
              <w:jc w:val="both"/>
              <w:rPr>
                <w:sz w:val="16"/>
                <w:szCs w:val="16"/>
              </w:rPr>
            </w:pPr>
            <w:r w:rsidRPr="00990396">
              <w:rPr>
                <w:sz w:val="16"/>
                <w:szCs w:val="16"/>
              </w:rPr>
              <w:t>42,401 UK SMEs; company-account data combined with modelling of COVID-19 shocks and government support</w:t>
            </w:r>
          </w:p>
        </w:tc>
        <w:tc>
          <w:tcPr>
            <w:tcW w:w="0" w:type="auto"/>
            <w:hideMark/>
          </w:tcPr>
          <w:p w14:paraId="328C5CA0" w14:textId="6D0EAEA4" w:rsidR="00563C7F" w:rsidRPr="00990396" w:rsidRDefault="00563C7F" w:rsidP="00004062">
            <w:pPr>
              <w:spacing w:line="240" w:lineRule="auto"/>
              <w:jc w:val="both"/>
              <w:rPr>
                <w:sz w:val="16"/>
                <w:szCs w:val="16"/>
              </w:rPr>
            </w:pPr>
            <w:r w:rsidRPr="00990396">
              <w:rPr>
                <w:sz w:val="16"/>
                <w:szCs w:val="16"/>
              </w:rPr>
              <w:t xml:space="preserve"> “</w:t>
            </w:r>
            <w:proofErr w:type="gramStart"/>
            <w:r w:rsidRPr="00990396">
              <w:rPr>
                <w:sz w:val="16"/>
                <w:szCs w:val="16"/>
              </w:rPr>
              <w:t>government</w:t>
            </w:r>
            <w:proofErr w:type="gramEnd"/>
            <w:r w:rsidRPr="00990396">
              <w:rPr>
                <w:sz w:val="16"/>
                <w:szCs w:val="16"/>
              </w:rPr>
              <w:t xml:space="preserve"> support scheme reduces the number of SMEs with negative earnings to 49% and allows extending the residual life… to 194 days.” </w:t>
            </w:r>
          </w:p>
        </w:tc>
        <w:tc>
          <w:tcPr>
            <w:tcW w:w="0" w:type="auto"/>
            <w:hideMark/>
          </w:tcPr>
          <w:p w14:paraId="4DCA3CBE" w14:textId="77777777" w:rsidR="00563C7F" w:rsidRPr="00990396" w:rsidRDefault="00563C7F" w:rsidP="00004062">
            <w:pPr>
              <w:spacing w:line="240" w:lineRule="auto"/>
              <w:jc w:val="both"/>
              <w:rPr>
                <w:sz w:val="16"/>
                <w:szCs w:val="16"/>
              </w:rPr>
            </w:pPr>
            <w:r w:rsidRPr="00990396">
              <w:rPr>
                <w:sz w:val="16"/>
                <w:szCs w:val="16"/>
              </w:rPr>
              <w:t>Financial support strengthened SMEs’ ability to withstand liquidity shocks and significantly increased the survival period of businesses experiencing negative earnings.</w:t>
            </w:r>
          </w:p>
        </w:tc>
        <w:tc>
          <w:tcPr>
            <w:tcW w:w="0" w:type="auto"/>
            <w:hideMark/>
          </w:tcPr>
          <w:p w14:paraId="62891DF6" w14:textId="77777777" w:rsidR="00563C7F" w:rsidRPr="00990396" w:rsidRDefault="00563C7F" w:rsidP="00004062">
            <w:pPr>
              <w:spacing w:line="240" w:lineRule="auto"/>
              <w:jc w:val="both"/>
              <w:rPr>
                <w:sz w:val="16"/>
                <w:szCs w:val="16"/>
              </w:rPr>
            </w:pPr>
            <w:r w:rsidRPr="00990396">
              <w:rPr>
                <w:sz w:val="16"/>
                <w:szCs w:val="16"/>
              </w:rPr>
              <w:t>Liquidity as survival buffer</w:t>
            </w:r>
          </w:p>
        </w:tc>
        <w:tc>
          <w:tcPr>
            <w:tcW w:w="0" w:type="auto"/>
            <w:hideMark/>
          </w:tcPr>
          <w:p w14:paraId="414F5782" w14:textId="77777777" w:rsidR="00563C7F" w:rsidRPr="00990396" w:rsidRDefault="00563C7F" w:rsidP="00004062">
            <w:pPr>
              <w:spacing w:line="240" w:lineRule="auto"/>
              <w:jc w:val="both"/>
              <w:rPr>
                <w:sz w:val="16"/>
                <w:szCs w:val="16"/>
              </w:rPr>
            </w:pPr>
            <w:r w:rsidRPr="00990396">
              <w:rPr>
                <w:rStyle w:val="Strong"/>
                <w:sz w:val="16"/>
                <w:szCs w:val="16"/>
              </w:rPr>
              <w:t>Liquidity efficiency and financial resilience</w:t>
            </w:r>
          </w:p>
        </w:tc>
      </w:tr>
      <w:tr w:rsidR="00563C7F" w:rsidRPr="00990396" w14:paraId="72EDD813" w14:textId="77777777" w:rsidTr="00563C7F">
        <w:tc>
          <w:tcPr>
            <w:tcW w:w="0" w:type="auto"/>
            <w:gridSpan w:val="6"/>
          </w:tcPr>
          <w:p w14:paraId="7E28811B" w14:textId="6154039F" w:rsidR="00563C7F" w:rsidRPr="00990396" w:rsidRDefault="00563C7F" w:rsidP="00004062">
            <w:pPr>
              <w:spacing w:line="240" w:lineRule="auto"/>
              <w:jc w:val="both"/>
              <w:rPr>
                <w:rStyle w:val="Strong"/>
                <w:sz w:val="16"/>
                <w:szCs w:val="16"/>
              </w:rPr>
            </w:pPr>
            <w:r w:rsidRPr="00990396">
              <w:rPr>
                <w:rStyle w:val="Strong"/>
                <w:noProof/>
                <w:sz w:val="16"/>
                <w:szCs w:val="16"/>
              </w:rPr>
              <w:drawing>
                <wp:inline distT="0" distB="0" distL="0" distR="0" wp14:anchorId="6F1BC439" wp14:editId="1743BA44">
                  <wp:extent cx="5731510" cy="951230"/>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951230"/>
                          </a:xfrm>
                          <a:prstGeom prst="rect">
                            <a:avLst/>
                          </a:prstGeom>
                        </pic:spPr>
                      </pic:pic>
                    </a:graphicData>
                  </a:graphic>
                </wp:inline>
              </w:drawing>
            </w:r>
          </w:p>
        </w:tc>
      </w:tr>
      <w:tr w:rsidR="00563C7F" w:rsidRPr="00990396" w14:paraId="2A36132E" w14:textId="77777777" w:rsidTr="00563C7F">
        <w:tc>
          <w:tcPr>
            <w:tcW w:w="0" w:type="auto"/>
            <w:hideMark/>
          </w:tcPr>
          <w:p w14:paraId="078ABB7D" w14:textId="77777777" w:rsidR="00563C7F" w:rsidRPr="00990396" w:rsidRDefault="00563C7F" w:rsidP="00004062">
            <w:pPr>
              <w:spacing w:line="240" w:lineRule="auto"/>
              <w:jc w:val="both"/>
              <w:rPr>
                <w:sz w:val="16"/>
                <w:szCs w:val="16"/>
              </w:rPr>
            </w:pPr>
            <w:r w:rsidRPr="00990396">
              <w:rPr>
                <w:rStyle w:val="Strong"/>
                <w:sz w:val="16"/>
                <w:szCs w:val="16"/>
              </w:rPr>
              <w:t>Laghari et al. (2023)</w:t>
            </w:r>
          </w:p>
        </w:tc>
        <w:tc>
          <w:tcPr>
            <w:tcW w:w="0" w:type="auto"/>
            <w:hideMark/>
          </w:tcPr>
          <w:p w14:paraId="704753B1" w14:textId="77777777" w:rsidR="00563C7F" w:rsidRPr="00990396" w:rsidRDefault="00563C7F" w:rsidP="00004062">
            <w:pPr>
              <w:spacing w:line="240" w:lineRule="auto"/>
              <w:jc w:val="both"/>
              <w:rPr>
                <w:sz w:val="16"/>
                <w:szCs w:val="16"/>
              </w:rPr>
            </w:pPr>
            <w:r w:rsidRPr="00990396">
              <w:rPr>
                <w:sz w:val="16"/>
                <w:szCs w:val="16"/>
              </w:rPr>
              <w:t>20,288 quarterly observations from Chinese non-financial firms; GEE, system GMM and sensitivity analysis</w:t>
            </w:r>
          </w:p>
        </w:tc>
        <w:tc>
          <w:tcPr>
            <w:tcW w:w="0" w:type="auto"/>
            <w:hideMark/>
          </w:tcPr>
          <w:p w14:paraId="7B62B0B9" w14:textId="77777777" w:rsidR="00563C7F" w:rsidRPr="00990396" w:rsidRDefault="00563C7F" w:rsidP="00004062">
            <w:pPr>
              <w:spacing w:line="240" w:lineRule="auto"/>
              <w:jc w:val="both"/>
              <w:rPr>
                <w:sz w:val="16"/>
                <w:szCs w:val="16"/>
              </w:rPr>
            </w:pPr>
            <w:r w:rsidRPr="00990396">
              <w:rPr>
                <w:rStyle w:val="Strong"/>
                <w:sz w:val="16"/>
                <w:szCs w:val="16"/>
              </w:rPr>
              <w:t>Results:</w:t>
            </w:r>
            <w:r w:rsidRPr="00990396">
              <w:rPr>
                <w:sz w:val="16"/>
                <w:szCs w:val="16"/>
              </w:rPr>
              <w:t xml:space="preserve"> “one unit decline in cash conversion cycle would increase firm performance approximately 3.8%… the main estimation results still hold.” </w:t>
            </w:r>
          </w:p>
        </w:tc>
        <w:tc>
          <w:tcPr>
            <w:tcW w:w="0" w:type="auto"/>
            <w:hideMark/>
          </w:tcPr>
          <w:p w14:paraId="14229A21" w14:textId="77777777" w:rsidR="00563C7F" w:rsidRPr="00990396" w:rsidRDefault="00563C7F" w:rsidP="00004062">
            <w:pPr>
              <w:spacing w:line="240" w:lineRule="auto"/>
              <w:jc w:val="both"/>
              <w:rPr>
                <w:sz w:val="16"/>
                <w:szCs w:val="16"/>
              </w:rPr>
            </w:pPr>
            <w:r w:rsidRPr="00990396">
              <w:rPr>
                <w:sz w:val="16"/>
                <w:szCs w:val="16"/>
              </w:rPr>
              <w:t>Faster conversion of working capital into cash was associated with stronger firm performance and the relationship remained after tests addressing potential endogeneity.</w:t>
            </w:r>
          </w:p>
        </w:tc>
        <w:tc>
          <w:tcPr>
            <w:tcW w:w="0" w:type="auto"/>
            <w:hideMark/>
          </w:tcPr>
          <w:p w14:paraId="0E7F8D47" w14:textId="77777777" w:rsidR="00563C7F" w:rsidRPr="00990396" w:rsidRDefault="00563C7F" w:rsidP="00004062">
            <w:pPr>
              <w:spacing w:line="240" w:lineRule="auto"/>
              <w:jc w:val="both"/>
              <w:rPr>
                <w:sz w:val="16"/>
                <w:szCs w:val="16"/>
              </w:rPr>
            </w:pPr>
            <w:r w:rsidRPr="00990396">
              <w:rPr>
                <w:sz w:val="16"/>
                <w:szCs w:val="16"/>
              </w:rPr>
              <w:t>Cash-conversion efficiency</w:t>
            </w:r>
          </w:p>
        </w:tc>
        <w:tc>
          <w:tcPr>
            <w:tcW w:w="0" w:type="auto"/>
            <w:hideMark/>
          </w:tcPr>
          <w:p w14:paraId="4E5B937D" w14:textId="77777777" w:rsidR="00563C7F" w:rsidRPr="00990396" w:rsidRDefault="00563C7F" w:rsidP="00004062">
            <w:pPr>
              <w:spacing w:line="240" w:lineRule="auto"/>
              <w:jc w:val="both"/>
              <w:rPr>
                <w:sz w:val="16"/>
                <w:szCs w:val="16"/>
              </w:rPr>
            </w:pPr>
            <w:r w:rsidRPr="00990396">
              <w:rPr>
                <w:rStyle w:val="Strong"/>
                <w:sz w:val="16"/>
                <w:szCs w:val="16"/>
              </w:rPr>
              <w:t>Liquidity efficiency and financial resilience</w:t>
            </w:r>
          </w:p>
        </w:tc>
      </w:tr>
      <w:tr w:rsidR="00563C7F" w:rsidRPr="00990396" w14:paraId="0D5BAD5B" w14:textId="77777777" w:rsidTr="00563C7F">
        <w:tc>
          <w:tcPr>
            <w:tcW w:w="0" w:type="auto"/>
            <w:gridSpan w:val="6"/>
          </w:tcPr>
          <w:p w14:paraId="280971B3" w14:textId="0AA84996" w:rsidR="00563C7F" w:rsidRPr="00990396" w:rsidRDefault="00563C7F" w:rsidP="00004062">
            <w:pPr>
              <w:spacing w:line="240" w:lineRule="auto"/>
              <w:jc w:val="both"/>
              <w:rPr>
                <w:rStyle w:val="Strong"/>
                <w:sz w:val="16"/>
                <w:szCs w:val="16"/>
              </w:rPr>
            </w:pPr>
            <w:r w:rsidRPr="00990396">
              <w:rPr>
                <w:rStyle w:val="Strong"/>
                <w:noProof/>
                <w:sz w:val="16"/>
                <w:szCs w:val="16"/>
              </w:rPr>
              <w:lastRenderedPageBreak/>
              <w:drawing>
                <wp:inline distT="0" distB="0" distL="0" distR="0" wp14:anchorId="751BBF1A" wp14:editId="447F50D1">
                  <wp:extent cx="5401429" cy="2295845"/>
                  <wp:effectExtent l="0" t="0" r="889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401429" cy="2295845"/>
                          </a:xfrm>
                          <a:prstGeom prst="rect">
                            <a:avLst/>
                          </a:prstGeom>
                        </pic:spPr>
                      </pic:pic>
                    </a:graphicData>
                  </a:graphic>
                </wp:inline>
              </w:drawing>
            </w:r>
          </w:p>
        </w:tc>
      </w:tr>
      <w:tr w:rsidR="00563C7F" w:rsidRPr="00990396" w14:paraId="1893287F" w14:textId="77777777" w:rsidTr="00563C7F">
        <w:tc>
          <w:tcPr>
            <w:tcW w:w="0" w:type="auto"/>
            <w:hideMark/>
          </w:tcPr>
          <w:p w14:paraId="778A8D58" w14:textId="77777777" w:rsidR="00563C7F" w:rsidRPr="00990396" w:rsidRDefault="00563C7F" w:rsidP="00004062">
            <w:pPr>
              <w:spacing w:line="240" w:lineRule="auto"/>
              <w:jc w:val="both"/>
              <w:rPr>
                <w:sz w:val="16"/>
                <w:szCs w:val="16"/>
              </w:rPr>
            </w:pPr>
            <w:r w:rsidRPr="00990396">
              <w:rPr>
                <w:rStyle w:val="Strong"/>
                <w:sz w:val="16"/>
                <w:szCs w:val="16"/>
              </w:rPr>
              <w:t>Hung and Dinh (2022)</w:t>
            </w:r>
          </w:p>
        </w:tc>
        <w:tc>
          <w:tcPr>
            <w:tcW w:w="0" w:type="auto"/>
            <w:hideMark/>
          </w:tcPr>
          <w:p w14:paraId="195D6DAB" w14:textId="77777777" w:rsidR="00563C7F" w:rsidRPr="00990396" w:rsidRDefault="00563C7F" w:rsidP="00004062">
            <w:pPr>
              <w:spacing w:line="240" w:lineRule="auto"/>
              <w:jc w:val="both"/>
              <w:rPr>
                <w:sz w:val="16"/>
                <w:szCs w:val="16"/>
              </w:rPr>
            </w:pPr>
            <w:r w:rsidRPr="00990396">
              <w:rPr>
                <w:sz w:val="16"/>
                <w:szCs w:val="16"/>
              </w:rPr>
              <w:t>4,455 observations from 405 Vietnamese listed firms, 2010–2020; Hansen fixed-effects threshold model</w:t>
            </w:r>
          </w:p>
        </w:tc>
        <w:tc>
          <w:tcPr>
            <w:tcW w:w="0" w:type="auto"/>
            <w:hideMark/>
          </w:tcPr>
          <w:p w14:paraId="304506F9" w14:textId="77777777" w:rsidR="00563C7F" w:rsidRPr="00990396" w:rsidRDefault="00563C7F" w:rsidP="00004062">
            <w:pPr>
              <w:spacing w:line="240" w:lineRule="auto"/>
              <w:jc w:val="both"/>
              <w:rPr>
                <w:sz w:val="16"/>
                <w:szCs w:val="16"/>
              </w:rPr>
            </w:pPr>
            <w:r w:rsidRPr="00990396">
              <w:rPr>
                <w:rStyle w:val="Strong"/>
                <w:sz w:val="16"/>
                <w:szCs w:val="16"/>
              </w:rPr>
              <w:t>Abstract:</w:t>
            </w:r>
            <w:r w:rsidRPr="00990396">
              <w:rPr>
                <w:sz w:val="16"/>
                <w:szCs w:val="16"/>
              </w:rPr>
              <w:t xml:space="preserve"> “there exists a non-linear relationship between working capital management and corporate profitability… variables representing working capital management all have a negative impact.” </w:t>
            </w:r>
          </w:p>
        </w:tc>
        <w:tc>
          <w:tcPr>
            <w:tcW w:w="0" w:type="auto"/>
            <w:hideMark/>
          </w:tcPr>
          <w:p w14:paraId="63294DBB" w14:textId="77777777" w:rsidR="00563C7F" w:rsidRPr="00990396" w:rsidRDefault="00563C7F" w:rsidP="00004062">
            <w:pPr>
              <w:spacing w:line="240" w:lineRule="auto"/>
              <w:jc w:val="both"/>
              <w:rPr>
                <w:sz w:val="16"/>
                <w:szCs w:val="16"/>
              </w:rPr>
            </w:pPr>
            <w:r w:rsidRPr="00990396">
              <w:rPr>
                <w:sz w:val="16"/>
                <w:szCs w:val="16"/>
              </w:rPr>
              <w:t xml:space="preserve">Working-capital effects vary with financial leverage, showing that the relationship between liquidity management and profitability changes after </w:t>
            </w:r>
            <w:proofErr w:type="gramStart"/>
            <w:r w:rsidRPr="00990396">
              <w:rPr>
                <w:sz w:val="16"/>
                <w:szCs w:val="16"/>
              </w:rPr>
              <w:t>particular financial</w:t>
            </w:r>
            <w:proofErr w:type="gramEnd"/>
            <w:r w:rsidRPr="00990396">
              <w:rPr>
                <w:sz w:val="16"/>
                <w:szCs w:val="16"/>
              </w:rPr>
              <w:t xml:space="preserve"> thresholds.</w:t>
            </w:r>
          </w:p>
        </w:tc>
        <w:tc>
          <w:tcPr>
            <w:tcW w:w="0" w:type="auto"/>
            <w:hideMark/>
          </w:tcPr>
          <w:p w14:paraId="4297DF84" w14:textId="77777777" w:rsidR="00563C7F" w:rsidRPr="00990396" w:rsidRDefault="00563C7F" w:rsidP="00004062">
            <w:pPr>
              <w:spacing w:line="240" w:lineRule="auto"/>
              <w:jc w:val="both"/>
              <w:rPr>
                <w:sz w:val="16"/>
                <w:szCs w:val="16"/>
              </w:rPr>
            </w:pPr>
            <w:r w:rsidRPr="00990396">
              <w:rPr>
                <w:sz w:val="16"/>
                <w:szCs w:val="16"/>
              </w:rPr>
              <w:t>Nonlinear liquidity effect</w:t>
            </w:r>
          </w:p>
        </w:tc>
        <w:tc>
          <w:tcPr>
            <w:tcW w:w="0" w:type="auto"/>
            <w:hideMark/>
          </w:tcPr>
          <w:p w14:paraId="5766A9F6" w14:textId="77777777" w:rsidR="00563C7F" w:rsidRPr="00990396" w:rsidRDefault="00563C7F" w:rsidP="00004062">
            <w:pPr>
              <w:spacing w:line="240" w:lineRule="auto"/>
              <w:jc w:val="both"/>
              <w:rPr>
                <w:sz w:val="16"/>
                <w:szCs w:val="16"/>
              </w:rPr>
            </w:pPr>
            <w:r w:rsidRPr="00990396">
              <w:rPr>
                <w:rStyle w:val="Strong"/>
                <w:sz w:val="16"/>
                <w:szCs w:val="16"/>
              </w:rPr>
              <w:t>Liquidity efficiency and financial resilience</w:t>
            </w:r>
          </w:p>
        </w:tc>
      </w:tr>
      <w:tr w:rsidR="00563C7F" w:rsidRPr="00990396" w14:paraId="550EE1BC" w14:textId="77777777" w:rsidTr="00563C7F">
        <w:tc>
          <w:tcPr>
            <w:tcW w:w="0" w:type="auto"/>
            <w:gridSpan w:val="6"/>
          </w:tcPr>
          <w:p w14:paraId="59455D08" w14:textId="09CD0599" w:rsidR="00563C7F" w:rsidRPr="00990396" w:rsidRDefault="00563C7F" w:rsidP="00004062">
            <w:pPr>
              <w:spacing w:line="240" w:lineRule="auto"/>
              <w:jc w:val="both"/>
              <w:rPr>
                <w:rStyle w:val="Strong"/>
                <w:sz w:val="16"/>
                <w:szCs w:val="16"/>
              </w:rPr>
            </w:pPr>
            <w:r w:rsidRPr="00990396">
              <w:rPr>
                <w:rStyle w:val="Strong"/>
                <w:noProof/>
                <w:sz w:val="16"/>
                <w:szCs w:val="16"/>
              </w:rPr>
              <w:drawing>
                <wp:inline distT="0" distB="0" distL="0" distR="0" wp14:anchorId="195C6C4A" wp14:editId="09B32515">
                  <wp:extent cx="5731510" cy="177546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1775460"/>
                          </a:xfrm>
                          <a:prstGeom prst="rect">
                            <a:avLst/>
                          </a:prstGeom>
                        </pic:spPr>
                      </pic:pic>
                    </a:graphicData>
                  </a:graphic>
                </wp:inline>
              </w:drawing>
            </w:r>
          </w:p>
        </w:tc>
      </w:tr>
      <w:tr w:rsidR="00563C7F" w:rsidRPr="00990396" w14:paraId="7140A024" w14:textId="77777777" w:rsidTr="00563C7F">
        <w:tc>
          <w:tcPr>
            <w:tcW w:w="0" w:type="auto"/>
            <w:hideMark/>
          </w:tcPr>
          <w:p w14:paraId="608559B7" w14:textId="77777777" w:rsidR="00563C7F" w:rsidRPr="00990396" w:rsidRDefault="00563C7F" w:rsidP="00004062">
            <w:pPr>
              <w:spacing w:line="240" w:lineRule="auto"/>
              <w:jc w:val="both"/>
              <w:rPr>
                <w:sz w:val="16"/>
                <w:szCs w:val="16"/>
              </w:rPr>
            </w:pPr>
            <w:r w:rsidRPr="00990396">
              <w:rPr>
                <w:rStyle w:val="Strong"/>
                <w:sz w:val="16"/>
                <w:szCs w:val="16"/>
              </w:rPr>
              <w:t xml:space="preserve">Anton and </w:t>
            </w:r>
            <w:proofErr w:type="spellStart"/>
            <w:r w:rsidRPr="00990396">
              <w:rPr>
                <w:rStyle w:val="Strong"/>
                <w:sz w:val="16"/>
                <w:szCs w:val="16"/>
              </w:rPr>
              <w:t>Afloarei</w:t>
            </w:r>
            <w:proofErr w:type="spellEnd"/>
            <w:r w:rsidRPr="00990396">
              <w:rPr>
                <w:rStyle w:val="Strong"/>
                <w:sz w:val="16"/>
                <w:szCs w:val="16"/>
              </w:rPr>
              <w:t xml:space="preserve"> </w:t>
            </w:r>
            <w:proofErr w:type="spellStart"/>
            <w:r w:rsidRPr="00990396">
              <w:rPr>
                <w:rStyle w:val="Strong"/>
                <w:sz w:val="16"/>
                <w:szCs w:val="16"/>
              </w:rPr>
              <w:t>Nucu</w:t>
            </w:r>
            <w:proofErr w:type="spellEnd"/>
            <w:r w:rsidRPr="00990396">
              <w:rPr>
                <w:rStyle w:val="Strong"/>
                <w:sz w:val="16"/>
                <w:szCs w:val="16"/>
              </w:rPr>
              <w:t xml:space="preserve"> (2021)</w:t>
            </w:r>
          </w:p>
        </w:tc>
        <w:tc>
          <w:tcPr>
            <w:tcW w:w="0" w:type="auto"/>
            <w:hideMark/>
          </w:tcPr>
          <w:p w14:paraId="76CFA98E" w14:textId="77777777" w:rsidR="00563C7F" w:rsidRPr="00990396" w:rsidRDefault="00563C7F" w:rsidP="00004062">
            <w:pPr>
              <w:spacing w:line="240" w:lineRule="auto"/>
              <w:jc w:val="both"/>
              <w:rPr>
                <w:sz w:val="16"/>
                <w:szCs w:val="16"/>
              </w:rPr>
            </w:pPr>
            <w:r w:rsidRPr="00990396">
              <w:rPr>
                <w:sz w:val="16"/>
                <w:szCs w:val="16"/>
              </w:rPr>
              <w:t>719 Polish listed firms, 2007–2016; OLS, fixed-effects and panel-corrected standard errors</w:t>
            </w:r>
          </w:p>
        </w:tc>
        <w:tc>
          <w:tcPr>
            <w:tcW w:w="0" w:type="auto"/>
            <w:hideMark/>
          </w:tcPr>
          <w:p w14:paraId="17A891E4" w14:textId="21D3E166" w:rsidR="00563C7F" w:rsidRPr="00990396" w:rsidRDefault="00563C7F" w:rsidP="00004062">
            <w:pPr>
              <w:spacing w:line="240" w:lineRule="auto"/>
              <w:jc w:val="both"/>
              <w:rPr>
                <w:sz w:val="16"/>
                <w:szCs w:val="16"/>
              </w:rPr>
            </w:pPr>
            <w:r w:rsidRPr="00990396">
              <w:rPr>
                <w:sz w:val="16"/>
                <w:szCs w:val="16"/>
              </w:rPr>
              <w:t>“</w:t>
            </w:r>
            <w:proofErr w:type="gramStart"/>
            <w:r w:rsidRPr="00990396">
              <w:rPr>
                <w:sz w:val="16"/>
                <w:szCs w:val="16"/>
              </w:rPr>
              <w:t>working</w:t>
            </w:r>
            <w:proofErr w:type="gramEnd"/>
            <w:r w:rsidRPr="00990396">
              <w:rPr>
                <w:sz w:val="16"/>
                <w:szCs w:val="16"/>
              </w:rPr>
              <w:t xml:space="preserve"> capital has a positive effect on the profitability of Polish firms to a break-even point (optimum level).” </w:t>
            </w:r>
          </w:p>
        </w:tc>
        <w:tc>
          <w:tcPr>
            <w:tcW w:w="0" w:type="auto"/>
            <w:hideMark/>
          </w:tcPr>
          <w:p w14:paraId="38F1A17C" w14:textId="77777777" w:rsidR="00563C7F" w:rsidRPr="00990396" w:rsidRDefault="00563C7F" w:rsidP="00004062">
            <w:pPr>
              <w:spacing w:line="240" w:lineRule="auto"/>
              <w:jc w:val="both"/>
              <w:rPr>
                <w:sz w:val="16"/>
                <w:szCs w:val="16"/>
              </w:rPr>
            </w:pPr>
            <w:r w:rsidRPr="00990396">
              <w:rPr>
                <w:sz w:val="16"/>
                <w:szCs w:val="16"/>
              </w:rPr>
              <w:t>Working capital supports profitability only to an optimum point, after which additional investment in working capital can create opportunity costs.</w:t>
            </w:r>
          </w:p>
        </w:tc>
        <w:tc>
          <w:tcPr>
            <w:tcW w:w="0" w:type="auto"/>
            <w:hideMark/>
          </w:tcPr>
          <w:p w14:paraId="28CCDABB" w14:textId="77777777" w:rsidR="00563C7F" w:rsidRPr="00990396" w:rsidRDefault="00563C7F" w:rsidP="00004062">
            <w:pPr>
              <w:spacing w:line="240" w:lineRule="auto"/>
              <w:jc w:val="both"/>
              <w:rPr>
                <w:sz w:val="16"/>
                <w:szCs w:val="16"/>
              </w:rPr>
            </w:pPr>
            <w:r w:rsidRPr="00990396">
              <w:rPr>
                <w:sz w:val="16"/>
                <w:szCs w:val="16"/>
              </w:rPr>
              <w:t>Optimal liquidity level</w:t>
            </w:r>
          </w:p>
        </w:tc>
        <w:tc>
          <w:tcPr>
            <w:tcW w:w="0" w:type="auto"/>
            <w:hideMark/>
          </w:tcPr>
          <w:p w14:paraId="55EFF2C0" w14:textId="77777777" w:rsidR="00563C7F" w:rsidRPr="00990396" w:rsidRDefault="00563C7F" w:rsidP="00004062">
            <w:pPr>
              <w:spacing w:line="240" w:lineRule="auto"/>
              <w:jc w:val="both"/>
              <w:rPr>
                <w:sz w:val="16"/>
                <w:szCs w:val="16"/>
              </w:rPr>
            </w:pPr>
            <w:r w:rsidRPr="00990396">
              <w:rPr>
                <w:rStyle w:val="Strong"/>
                <w:sz w:val="16"/>
                <w:szCs w:val="16"/>
              </w:rPr>
              <w:t>Liquidity efficiency and financial resilience</w:t>
            </w:r>
          </w:p>
        </w:tc>
      </w:tr>
      <w:tr w:rsidR="00563C7F" w:rsidRPr="00990396" w14:paraId="421ED412" w14:textId="77777777" w:rsidTr="00563C7F">
        <w:tc>
          <w:tcPr>
            <w:tcW w:w="0" w:type="auto"/>
            <w:gridSpan w:val="6"/>
          </w:tcPr>
          <w:p w14:paraId="73A5FE6F" w14:textId="1D805B6F" w:rsidR="00563C7F" w:rsidRPr="00990396" w:rsidRDefault="00563C7F" w:rsidP="00004062">
            <w:pPr>
              <w:spacing w:line="240" w:lineRule="auto"/>
              <w:jc w:val="both"/>
              <w:rPr>
                <w:rStyle w:val="Strong"/>
                <w:sz w:val="16"/>
                <w:szCs w:val="16"/>
              </w:rPr>
            </w:pPr>
            <w:r w:rsidRPr="00990396">
              <w:rPr>
                <w:rStyle w:val="Strong"/>
                <w:noProof/>
                <w:sz w:val="16"/>
                <w:szCs w:val="16"/>
              </w:rPr>
              <w:drawing>
                <wp:inline distT="0" distB="0" distL="0" distR="0" wp14:anchorId="604070A3" wp14:editId="232E09B7">
                  <wp:extent cx="5731510" cy="6540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654050"/>
                          </a:xfrm>
                          <a:prstGeom prst="rect">
                            <a:avLst/>
                          </a:prstGeom>
                        </pic:spPr>
                      </pic:pic>
                    </a:graphicData>
                  </a:graphic>
                </wp:inline>
              </w:drawing>
            </w:r>
          </w:p>
        </w:tc>
      </w:tr>
      <w:tr w:rsidR="00563C7F" w:rsidRPr="00990396" w14:paraId="1305A48E" w14:textId="77777777" w:rsidTr="00563C7F">
        <w:tc>
          <w:tcPr>
            <w:tcW w:w="0" w:type="auto"/>
            <w:hideMark/>
          </w:tcPr>
          <w:p w14:paraId="574C7099" w14:textId="77777777" w:rsidR="00563C7F" w:rsidRPr="00990396" w:rsidRDefault="00563C7F" w:rsidP="00004062">
            <w:pPr>
              <w:spacing w:line="240" w:lineRule="auto"/>
              <w:jc w:val="both"/>
              <w:rPr>
                <w:sz w:val="16"/>
                <w:szCs w:val="16"/>
              </w:rPr>
            </w:pPr>
            <w:proofErr w:type="spellStart"/>
            <w:r w:rsidRPr="00990396">
              <w:rPr>
                <w:rStyle w:val="Strong"/>
                <w:sz w:val="16"/>
                <w:szCs w:val="16"/>
              </w:rPr>
              <w:t>Airout</w:t>
            </w:r>
            <w:proofErr w:type="spellEnd"/>
            <w:r w:rsidRPr="00990396">
              <w:rPr>
                <w:rStyle w:val="Strong"/>
                <w:sz w:val="16"/>
                <w:szCs w:val="16"/>
              </w:rPr>
              <w:t xml:space="preserve"> et al. (2023)</w:t>
            </w:r>
          </w:p>
        </w:tc>
        <w:tc>
          <w:tcPr>
            <w:tcW w:w="0" w:type="auto"/>
            <w:hideMark/>
          </w:tcPr>
          <w:p w14:paraId="2A889099" w14:textId="77777777" w:rsidR="00563C7F" w:rsidRPr="00990396" w:rsidRDefault="00563C7F" w:rsidP="00004062">
            <w:pPr>
              <w:spacing w:line="240" w:lineRule="auto"/>
              <w:jc w:val="both"/>
              <w:rPr>
                <w:sz w:val="16"/>
                <w:szCs w:val="16"/>
              </w:rPr>
            </w:pPr>
            <w:r w:rsidRPr="00990396">
              <w:rPr>
                <w:sz w:val="16"/>
                <w:szCs w:val="16"/>
              </w:rPr>
              <w:t>Secondary data from 200 Jordanian SMEs; descriptive statistics, correlations and regression analysis</w:t>
            </w:r>
          </w:p>
        </w:tc>
        <w:tc>
          <w:tcPr>
            <w:tcW w:w="0" w:type="auto"/>
            <w:hideMark/>
          </w:tcPr>
          <w:p w14:paraId="54201074" w14:textId="77777777" w:rsidR="00563C7F" w:rsidRPr="00990396" w:rsidRDefault="00563C7F" w:rsidP="00004062">
            <w:pPr>
              <w:spacing w:line="240" w:lineRule="auto"/>
              <w:jc w:val="both"/>
              <w:rPr>
                <w:sz w:val="16"/>
                <w:szCs w:val="16"/>
              </w:rPr>
            </w:pPr>
            <w:r w:rsidRPr="00990396">
              <w:rPr>
                <w:rStyle w:val="Strong"/>
                <w:sz w:val="16"/>
                <w:szCs w:val="16"/>
              </w:rPr>
              <w:t>Results:</w:t>
            </w:r>
            <w:r w:rsidRPr="00990396">
              <w:rPr>
                <w:sz w:val="16"/>
                <w:szCs w:val="16"/>
              </w:rPr>
              <w:t xml:space="preserve"> “accounting expenditures, moderated by liquidity, have a remarkable positive effect on the financial performance of small and medium enterprises.” </w:t>
            </w:r>
          </w:p>
        </w:tc>
        <w:tc>
          <w:tcPr>
            <w:tcW w:w="0" w:type="auto"/>
            <w:hideMark/>
          </w:tcPr>
          <w:p w14:paraId="6D2407EE" w14:textId="77777777" w:rsidR="00563C7F" w:rsidRPr="00990396" w:rsidRDefault="00563C7F" w:rsidP="00004062">
            <w:pPr>
              <w:spacing w:line="240" w:lineRule="auto"/>
              <w:jc w:val="both"/>
              <w:rPr>
                <w:sz w:val="16"/>
                <w:szCs w:val="16"/>
              </w:rPr>
            </w:pPr>
            <w:r w:rsidRPr="00990396">
              <w:rPr>
                <w:sz w:val="16"/>
                <w:szCs w:val="16"/>
              </w:rPr>
              <w:t>Liquidity alters the relationship between resource expenditure and SME performance, indicating that liquidity acts as a contextual condition rather than a simple direct determinant.</w:t>
            </w:r>
          </w:p>
        </w:tc>
        <w:tc>
          <w:tcPr>
            <w:tcW w:w="0" w:type="auto"/>
            <w:hideMark/>
          </w:tcPr>
          <w:p w14:paraId="1A5134D7" w14:textId="77777777" w:rsidR="00563C7F" w:rsidRPr="00990396" w:rsidRDefault="00563C7F" w:rsidP="00004062">
            <w:pPr>
              <w:spacing w:line="240" w:lineRule="auto"/>
              <w:jc w:val="both"/>
              <w:rPr>
                <w:sz w:val="16"/>
                <w:szCs w:val="16"/>
              </w:rPr>
            </w:pPr>
            <w:r w:rsidRPr="00990396">
              <w:rPr>
                <w:sz w:val="16"/>
                <w:szCs w:val="16"/>
              </w:rPr>
              <w:t>Liquidity as moderator</w:t>
            </w:r>
          </w:p>
        </w:tc>
        <w:tc>
          <w:tcPr>
            <w:tcW w:w="0" w:type="auto"/>
            <w:hideMark/>
          </w:tcPr>
          <w:p w14:paraId="3864EDDA" w14:textId="77777777" w:rsidR="00563C7F" w:rsidRPr="00990396" w:rsidRDefault="00563C7F" w:rsidP="00004062">
            <w:pPr>
              <w:spacing w:line="240" w:lineRule="auto"/>
              <w:jc w:val="both"/>
              <w:rPr>
                <w:sz w:val="16"/>
                <w:szCs w:val="16"/>
              </w:rPr>
            </w:pPr>
            <w:r w:rsidRPr="00990396">
              <w:rPr>
                <w:rStyle w:val="Strong"/>
                <w:sz w:val="16"/>
                <w:szCs w:val="16"/>
              </w:rPr>
              <w:t>Liquidity efficiency and financial resilience</w:t>
            </w:r>
          </w:p>
        </w:tc>
      </w:tr>
      <w:tr w:rsidR="00563C7F" w:rsidRPr="00990396" w14:paraId="709B65CD" w14:textId="77777777" w:rsidTr="00563C7F">
        <w:tc>
          <w:tcPr>
            <w:tcW w:w="0" w:type="auto"/>
            <w:gridSpan w:val="6"/>
          </w:tcPr>
          <w:p w14:paraId="0F093DFA" w14:textId="585A61E4" w:rsidR="00563C7F" w:rsidRPr="00990396" w:rsidRDefault="00563C7F" w:rsidP="00004062">
            <w:pPr>
              <w:spacing w:line="240" w:lineRule="auto"/>
              <w:jc w:val="both"/>
              <w:rPr>
                <w:rStyle w:val="Strong"/>
                <w:sz w:val="16"/>
                <w:szCs w:val="16"/>
              </w:rPr>
            </w:pPr>
            <w:r w:rsidRPr="00990396">
              <w:rPr>
                <w:rStyle w:val="Strong"/>
                <w:noProof/>
                <w:sz w:val="16"/>
                <w:szCs w:val="16"/>
              </w:rPr>
              <w:lastRenderedPageBreak/>
              <w:drawing>
                <wp:inline distT="0" distB="0" distL="0" distR="0" wp14:anchorId="1E6A5FF1" wp14:editId="71EF5A8B">
                  <wp:extent cx="5731510" cy="13811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1381125"/>
                          </a:xfrm>
                          <a:prstGeom prst="rect">
                            <a:avLst/>
                          </a:prstGeom>
                        </pic:spPr>
                      </pic:pic>
                    </a:graphicData>
                  </a:graphic>
                </wp:inline>
              </w:drawing>
            </w:r>
          </w:p>
        </w:tc>
      </w:tr>
      <w:tr w:rsidR="00563C7F" w:rsidRPr="00990396" w14:paraId="204AFFA9" w14:textId="77777777" w:rsidTr="00563C7F">
        <w:tc>
          <w:tcPr>
            <w:tcW w:w="0" w:type="auto"/>
            <w:hideMark/>
          </w:tcPr>
          <w:p w14:paraId="5A86A5B0" w14:textId="77777777" w:rsidR="00563C7F" w:rsidRPr="00990396" w:rsidRDefault="00563C7F" w:rsidP="00004062">
            <w:pPr>
              <w:spacing w:line="240" w:lineRule="auto"/>
              <w:jc w:val="both"/>
              <w:rPr>
                <w:sz w:val="16"/>
                <w:szCs w:val="16"/>
              </w:rPr>
            </w:pPr>
            <w:proofErr w:type="spellStart"/>
            <w:r w:rsidRPr="00990396">
              <w:rPr>
                <w:rStyle w:val="Strong"/>
                <w:sz w:val="16"/>
                <w:szCs w:val="16"/>
              </w:rPr>
              <w:t>Mandipa</w:t>
            </w:r>
            <w:proofErr w:type="spellEnd"/>
            <w:r w:rsidRPr="00990396">
              <w:rPr>
                <w:rStyle w:val="Strong"/>
                <w:sz w:val="16"/>
                <w:szCs w:val="16"/>
              </w:rPr>
              <w:t xml:space="preserve"> and Sibindi (2022)</w:t>
            </w:r>
          </w:p>
        </w:tc>
        <w:tc>
          <w:tcPr>
            <w:tcW w:w="0" w:type="auto"/>
            <w:hideMark/>
          </w:tcPr>
          <w:p w14:paraId="7A8F436D" w14:textId="77777777" w:rsidR="00563C7F" w:rsidRPr="00990396" w:rsidRDefault="00563C7F" w:rsidP="00004062">
            <w:pPr>
              <w:spacing w:line="240" w:lineRule="auto"/>
              <w:jc w:val="both"/>
              <w:rPr>
                <w:sz w:val="16"/>
                <w:szCs w:val="16"/>
              </w:rPr>
            </w:pPr>
            <w:r w:rsidRPr="00990396">
              <w:rPr>
                <w:sz w:val="16"/>
                <w:szCs w:val="16"/>
              </w:rPr>
              <w:t>16 South African listed retailers, 2010–2019; fixed-effects estimation using working-capital indicators</w:t>
            </w:r>
          </w:p>
        </w:tc>
        <w:tc>
          <w:tcPr>
            <w:tcW w:w="0" w:type="auto"/>
            <w:hideMark/>
          </w:tcPr>
          <w:p w14:paraId="651A9B6A" w14:textId="77777777" w:rsidR="00563C7F" w:rsidRPr="00990396" w:rsidRDefault="00563C7F" w:rsidP="00004062">
            <w:pPr>
              <w:spacing w:line="240" w:lineRule="auto"/>
              <w:jc w:val="both"/>
              <w:rPr>
                <w:sz w:val="16"/>
                <w:szCs w:val="16"/>
              </w:rPr>
            </w:pPr>
            <w:r w:rsidRPr="00990396">
              <w:rPr>
                <w:rStyle w:val="Strong"/>
                <w:sz w:val="16"/>
                <w:szCs w:val="16"/>
              </w:rPr>
              <w:t>Results:</w:t>
            </w:r>
            <w:r w:rsidRPr="00990396">
              <w:rPr>
                <w:sz w:val="16"/>
                <w:szCs w:val="16"/>
              </w:rPr>
              <w:t xml:space="preserve"> “the average collection period and financial performance had a negative relationship on the retail firms’ NOPM, ROA, and ROE.” </w:t>
            </w:r>
          </w:p>
        </w:tc>
        <w:tc>
          <w:tcPr>
            <w:tcW w:w="0" w:type="auto"/>
            <w:hideMark/>
          </w:tcPr>
          <w:p w14:paraId="48C92439" w14:textId="77777777" w:rsidR="00563C7F" w:rsidRPr="00990396" w:rsidRDefault="00563C7F" w:rsidP="00004062">
            <w:pPr>
              <w:spacing w:line="240" w:lineRule="auto"/>
              <w:jc w:val="both"/>
              <w:rPr>
                <w:sz w:val="16"/>
                <w:szCs w:val="16"/>
              </w:rPr>
            </w:pPr>
            <w:r w:rsidRPr="00990396">
              <w:rPr>
                <w:sz w:val="16"/>
                <w:szCs w:val="16"/>
              </w:rPr>
              <w:t>Longer collection periods were associated with weaker profitability measures, suggesting that quicker receivables collection can strengthen working-capital efficiency and financial outcomes.</w:t>
            </w:r>
          </w:p>
        </w:tc>
        <w:tc>
          <w:tcPr>
            <w:tcW w:w="0" w:type="auto"/>
            <w:hideMark/>
          </w:tcPr>
          <w:p w14:paraId="677F7C11" w14:textId="77777777" w:rsidR="00563C7F" w:rsidRPr="00990396" w:rsidRDefault="00563C7F" w:rsidP="00004062">
            <w:pPr>
              <w:spacing w:line="240" w:lineRule="auto"/>
              <w:jc w:val="both"/>
              <w:rPr>
                <w:sz w:val="16"/>
                <w:szCs w:val="16"/>
              </w:rPr>
            </w:pPr>
            <w:r w:rsidRPr="00990396">
              <w:rPr>
                <w:sz w:val="16"/>
                <w:szCs w:val="16"/>
              </w:rPr>
              <w:t>Receivables collection efficiency</w:t>
            </w:r>
          </w:p>
        </w:tc>
        <w:tc>
          <w:tcPr>
            <w:tcW w:w="0" w:type="auto"/>
            <w:hideMark/>
          </w:tcPr>
          <w:p w14:paraId="20C77E75" w14:textId="77777777" w:rsidR="00563C7F" w:rsidRPr="00990396" w:rsidRDefault="00563C7F" w:rsidP="00004062">
            <w:pPr>
              <w:spacing w:line="240" w:lineRule="auto"/>
              <w:jc w:val="both"/>
              <w:rPr>
                <w:sz w:val="16"/>
                <w:szCs w:val="16"/>
              </w:rPr>
            </w:pPr>
            <w:r w:rsidRPr="00990396">
              <w:rPr>
                <w:rStyle w:val="Strong"/>
                <w:sz w:val="16"/>
                <w:szCs w:val="16"/>
              </w:rPr>
              <w:t>Liquidity efficiency and financial resilience</w:t>
            </w:r>
          </w:p>
        </w:tc>
      </w:tr>
      <w:tr w:rsidR="00563C7F" w:rsidRPr="00990396" w14:paraId="0D71133E" w14:textId="77777777" w:rsidTr="00563C7F">
        <w:tc>
          <w:tcPr>
            <w:tcW w:w="0" w:type="auto"/>
            <w:gridSpan w:val="6"/>
          </w:tcPr>
          <w:p w14:paraId="21AD3904" w14:textId="5171F19B" w:rsidR="00563C7F" w:rsidRPr="00990396" w:rsidRDefault="00563C7F" w:rsidP="00004062">
            <w:pPr>
              <w:spacing w:line="240" w:lineRule="auto"/>
              <w:jc w:val="both"/>
              <w:rPr>
                <w:rStyle w:val="Strong"/>
                <w:sz w:val="16"/>
                <w:szCs w:val="16"/>
              </w:rPr>
            </w:pPr>
            <w:r w:rsidRPr="00990396">
              <w:rPr>
                <w:rStyle w:val="Strong"/>
                <w:noProof/>
                <w:sz w:val="16"/>
                <w:szCs w:val="16"/>
              </w:rPr>
              <w:drawing>
                <wp:inline distT="0" distB="0" distL="0" distR="0" wp14:anchorId="1B4EABF1" wp14:editId="3426EDDB">
                  <wp:extent cx="5731510" cy="84010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840105"/>
                          </a:xfrm>
                          <a:prstGeom prst="rect">
                            <a:avLst/>
                          </a:prstGeom>
                        </pic:spPr>
                      </pic:pic>
                    </a:graphicData>
                  </a:graphic>
                </wp:inline>
              </w:drawing>
            </w:r>
          </w:p>
        </w:tc>
      </w:tr>
      <w:tr w:rsidR="00563C7F" w:rsidRPr="00990396" w14:paraId="4C8F8A1E" w14:textId="77777777" w:rsidTr="00563C7F">
        <w:tc>
          <w:tcPr>
            <w:tcW w:w="0" w:type="auto"/>
            <w:hideMark/>
          </w:tcPr>
          <w:p w14:paraId="783EAFDD" w14:textId="77777777" w:rsidR="00563C7F" w:rsidRPr="00990396" w:rsidRDefault="00563C7F" w:rsidP="00004062">
            <w:pPr>
              <w:spacing w:line="240" w:lineRule="auto"/>
              <w:jc w:val="both"/>
              <w:rPr>
                <w:sz w:val="16"/>
                <w:szCs w:val="16"/>
              </w:rPr>
            </w:pPr>
            <w:r w:rsidRPr="00990396">
              <w:rPr>
                <w:rStyle w:val="Strong"/>
                <w:sz w:val="16"/>
                <w:szCs w:val="16"/>
              </w:rPr>
              <w:t>Peter et al. (2022)</w:t>
            </w:r>
          </w:p>
        </w:tc>
        <w:tc>
          <w:tcPr>
            <w:tcW w:w="0" w:type="auto"/>
            <w:hideMark/>
          </w:tcPr>
          <w:p w14:paraId="17ED9757" w14:textId="77777777" w:rsidR="00563C7F" w:rsidRPr="00990396" w:rsidRDefault="00563C7F" w:rsidP="00004062">
            <w:pPr>
              <w:spacing w:line="240" w:lineRule="auto"/>
              <w:jc w:val="both"/>
              <w:rPr>
                <w:sz w:val="16"/>
                <w:szCs w:val="16"/>
              </w:rPr>
            </w:pPr>
            <w:r w:rsidRPr="00990396">
              <w:rPr>
                <w:sz w:val="16"/>
                <w:szCs w:val="16"/>
              </w:rPr>
              <w:t>285 questionnaires and 15 interviews with Lagos SME owners; regression and thematic analysis</w:t>
            </w:r>
          </w:p>
        </w:tc>
        <w:tc>
          <w:tcPr>
            <w:tcW w:w="0" w:type="auto"/>
            <w:hideMark/>
          </w:tcPr>
          <w:p w14:paraId="10D3A75F" w14:textId="77777777" w:rsidR="00563C7F" w:rsidRPr="00990396" w:rsidRDefault="00563C7F" w:rsidP="00004062">
            <w:pPr>
              <w:spacing w:line="240" w:lineRule="auto"/>
              <w:jc w:val="both"/>
              <w:rPr>
                <w:sz w:val="16"/>
                <w:szCs w:val="16"/>
              </w:rPr>
            </w:pPr>
            <w:r w:rsidRPr="00990396">
              <w:rPr>
                <w:rStyle w:val="Strong"/>
                <w:sz w:val="16"/>
                <w:szCs w:val="16"/>
              </w:rPr>
              <w:t>Results:</w:t>
            </w:r>
            <w:r w:rsidRPr="00990396">
              <w:rPr>
                <w:sz w:val="16"/>
                <w:szCs w:val="16"/>
              </w:rPr>
              <w:t xml:space="preserve"> “cash discount, extensive credit checking, and credit policy significantly impact financial performance. Results from the thematic analysis validated the findings.” </w:t>
            </w:r>
          </w:p>
        </w:tc>
        <w:tc>
          <w:tcPr>
            <w:tcW w:w="0" w:type="auto"/>
            <w:hideMark/>
          </w:tcPr>
          <w:p w14:paraId="22C894EC" w14:textId="77777777" w:rsidR="00563C7F" w:rsidRPr="00990396" w:rsidRDefault="00563C7F" w:rsidP="00004062">
            <w:pPr>
              <w:spacing w:line="240" w:lineRule="auto"/>
              <w:jc w:val="both"/>
              <w:rPr>
                <w:sz w:val="16"/>
                <w:szCs w:val="16"/>
              </w:rPr>
            </w:pPr>
            <w:r w:rsidRPr="00990396">
              <w:rPr>
                <w:sz w:val="16"/>
                <w:szCs w:val="16"/>
              </w:rPr>
              <w:t>Formal credit checks, documented policies and payment incentives were associated with improved SME financial performance, with qualitative findings supporting quantitative results.</w:t>
            </w:r>
          </w:p>
        </w:tc>
        <w:tc>
          <w:tcPr>
            <w:tcW w:w="0" w:type="auto"/>
            <w:hideMark/>
          </w:tcPr>
          <w:p w14:paraId="0405D810" w14:textId="77777777" w:rsidR="00563C7F" w:rsidRPr="00990396" w:rsidRDefault="00563C7F" w:rsidP="00004062">
            <w:pPr>
              <w:spacing w:line="240" w:lineRule="auto"/>
              <w:jc w:val="both"/>
              <w:rPr>
                <w:sz w:val="16"/>
                <w:szCs w:val="16"/>
              </w:rPr>
            </w:pPr>
            <w:r w:rsidRPr="00990396">
              <w:rPr>
                <w:sz w:val="16"/>
                <w:szCs w:val="16"/>
              </w:rPr>
              <w:t>Formal credit control</w:t>
            </w:r>
          </w:p>
        </w:tc>
        <w:tc>
          <w:tcPr>
            <w:tcW w:w="0" w:type="auto"/>
            <w:hideMark/>
          </w:tcPr>
          <w:p w14:paraId="6F3E855F" w14:textId="77777777" w:rsidR="00563C7F" w:rsidRPr="00990396" w:rsidRDefault="00563C7F" w:rsidP="00004062">
            <w:pPr>
              <w:spacing w:line="240" w:lineRule="auto"/>
              <w:jc w:val="both"/>
              <w:rPr>
                <w:sz w:val="16"/>
                <w:szCs w:val="16"/>
              </w:rPr>
            </w:pPr>
            <w:r w:rsidRPr="00990396">
              <w:rPr>
                <w:rStyle w:val="Strong"/>
                <w:sz w:val="16"/>
                <w:szCs w:val="16"/>
              </w:rPr>
              <w:t>Disciplined credit management and payment control</w:t>
            </w:r>
          </w:p>
        </w:tc>
      </w:tr>
      <w:tr w:rsidR="00563C7F" w:rsidRPr="00990396" w14:paraId="1D323326" w14:textId="77777777" w:rsidTr="00563C7F">
        <w:tc>
          <w:tcPr>
            <w:tcW w:w="0" w:type="auto"/>
            <w:gridSpan w:val="6"/>
          </w:tcPr>
          <w:p w14:paraId="7CCB4565" w14:textId="7D5057A7" w:rsidR="00563C7F" w:rsidRPr="00990396" w:rsidRDefault="00563C7F" w:rsidP="00004062">
            <w:pPr>
              <w:spacing w:line="240" w:lineRule="auto"/>
              <w:jc w:val="both"/>
              <w:rPr>
                <w:rStyle w:val="Strong"/>
                <w:sz w:val="16"/>
                <w:szCs w:val="16"/>
              </w:rPr>
            </w:pPr>
            <w:r w:rsidRPr="00990396">
              <w:rPr>
                <w:rStyle w:val="Strong"/>
                <w:noProof/>
                <w:sz w:val="16"/>
                <w:szCs w:val="16"/>
              </w:rPr>
              <w:drawing>
                <wp:inline distT="0" distB="0" distL="0" distR="0" wp14:anchorId="0E3F90CA" wp14:editId="37A2573F">
                  <wp:extent cx="5731510" cy="67056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670560"/>
                          </a:xfrm>
                          <a:prstGeom prst="rect">
                            <a:avLst/>
                          </a:prstGeom>
                        </pic:spPr>
                      </pic:pic>
                    </a:graphicData>
                  </a:graphic>
                </wp:inline>
              </w:drawing>
            </w:r>
          </w:p>
        </w:tc>
      </w:tr>
      <w:tr w:rsidR="00563C7F" w:rsidRPr="00990396" w14:paraId="01169A44" w14:textId="77777777" w:rsidTr="00563C7F">
        <w:tc>
          <w:tcPr>
            <w:tcW w:w="0" w:type="auto"/>
            <w:hideMark/>
          </w:tcPr>
          <w:p w14:paraId="39B27D70" w14:textId="77777777" w:rsidR="00563C7F" w:rsidRPr="00990396" w:rsidRDefault="00563C7F" w:rsidP="00004062">
            <w:pPr>
              <w:spacing w:line="240" w:lineRule="auto"/>
              <w:jc w:val="both"/>
              <w:rPr>
                <w:sz w:val="16"/>
                <w:szCs w:val="16"/>
              </w:rPr>
            </w:pPr>
            <w:r w:rsidRPr="00990396">
              <w:rPr>
                <w:rStyle w:val="Strong"/>
                <w:sz w:val="16"/>
                <w:szCs w:val="16"/>
              </w:rPr>
              <w:t>Otto (2023)</w:t>
            </w:r>
          </w:p>
        </w:tc>
        <w:tc>
          <w:tcPr>
            <w:tcW w:w="0" w:type="auto"/>
            <w:hideMark/>
          </w:tcPr>
          <w:p w14:paraId="0F82F1AE" w14:textId="77777777" w:rsidR="00563C7F" w:rsidRPr="00990396" w:rsidRDefault="00563C7F" w:rsidP="00004062">
            <w:pPr>
              <w:spacing w:line="240" w:lineRule="auto"/>
              <w:jc w:val="both"/>
              <w:rPr>
                <w:sz w:val="16"/>
                <w:szCs w:val="16"/>
              </w:rPr>
            </w:pPr>
            <w:r w:rsidRPr="00990396">
              <w:rPr>
                <w:sz w:val="16"/>
                <w:szCs w:val="16"/>
              </w:rPr>
              <w:t>Quantitative survey of South African SMEs using purposive sampling; 10,450 SMEs approached</w:t>
            </w:r>
          </w:p>
        </w:tc>
        <w:tc>
          <w:tcPr>
            <w:tcW w:w="0" w:type="auto"/>
            <w:hideMark/>
          </w:tcPr>
          <w:p w14:paraId="2D7E5855" w14:textId="77777777" w:rsidR="00563C7F" w:rsidRPr="00990396" w:rsidRDefault="00563C7F" w:rsidP="00004062">
            <w:pPr>
              <w:spacing w:line="240" w:lineRule="auto"/>
              <w:jc w:val="both"/>
              <w:rPr>
                <w:sz w:val="16"/>
                <w:szCs w:val="16"/>
              </w:rPr>
            </w:pPr>
            <w:r w:rsidRPr="00990396">
              <w:rPr>
                <w:rStyle w:val="Strong"/>
                <w:sz w:val="16"/>
                <w:szCs w:val="16"/>
              </w:rPr>
              <w:t>Findings:</w:t>
            </w:r>
            <w:r w:rsidRPr="00990396">
              <w:rPr>
                <w:sz w:val="16"/>
                <w:szCs w:val="16"/>
              </w:rPr>
              <w:t xml:space="preserve"> “The results indicate SMEs perceive their trade credit management as effective… identifying their effectiveness in managing trade credit.” </w:t>
            </w:r>
          </w:p>
        </w:tc>
        <w:tc>
          <w:tcPr>
            <w:tcW w:w="0" w:type="auto"/>
            <w:hideMark/>
          </w:tcPr>
          <w:p w14:paraId="630F9097" w14:textId="77777777" w:rsidR="00563C7F" w:rsidRPr="00990396" w:rsidRDefault="00563C7F" w:rsidP="00004062">
            <w:pPr>
              <w:spacing w:line="240" w:lineRule="auto"/>
              <w:jc w:val="both"/>
              <w:rPr>
                <w:sz w:val="16"/>
                <w:szCs w:val="16"/>
              </w:rPr>
            </w:pPr>
            <w:r w:rsidRPr="00990396">
              <w:rPr>
                <w:sz w:val="16"/>
                <w:szCs w:val="16"/>
              </w:rPr>
              <w:t>SME respondents generally perceived their trade-credit practices positively, although this represents managerial perceptions rather than independently measured financial outcomes.</w:t>
            </w:r>
          </w:p>
        </w:tc>
        <w:tc>
          <w:tcPr>
            <w:tcW w:w="0" w:type="auto"/>
            <w:hideMark/>
          </w:tcPr>
          <w:p w14:paraId="672AD748" w14:textId="77777777" w:rsidR="00563C7F" w:rsidRPr="00990396" w:rsidRDefault="00563C7F" w:rsidP="00004062">
            <w:pPr>
              <w:spacing w:line="240" w:lineRule="auto"/>
              <w:jc w:val="both"/>
              <w:rPr>
                <w:sz w:val="16"/>
                <w:szCs w:val="16"/>
              </w:rPr>
            </w:pPr>
            <w:r w:rsidRPr="00990396">
              <w:rPr>
                <w:sz w:val="16"/>
                <w:szCs w:val="16"/>
              </w:rPr>
              <w:t>Perceived credit-management effectiveness</w:t>
            </w:r>
          </w:p>
        </w:tc>
        <w:tc>
          <w:tcPr>
            <w:tcW w:w="0" w:type="auto"/>
            <w:hideMark/>
          </w:tcPr>
          <w:p w14:paraId="7191CA9B" w14:textId="77777777" w:rsidR="00563C7F" w:rsidRPr="00990396" w:rsidRDefault="00563C7F" w:rsidP="00004062">
            <w:pPr>
              <w:spacing w:line="240" w:lineRule="auto"/>
              <w:jc w:val="both"/>
              <w:rPr>
                <w:sz w:val="16"/>
                <w:szCs w:val="16"/>
              </w:rPr>
            </w:pPr>
            <w:r w:rsidRPr="00990396">
              <w:rPr>
                <w:rStyle w:val="Strong"/>
                <w:sz w:val="16"/>
                <w:szCs w:val="16"/>
              </w:rPr>
              <w:t>Disciplined credit management and payment control</w:t>
            </w:r>
          </w:p>
        </w:tc>
      </w:tr>
      <w:tr w:rsidR="00563C7F" w:rsidRPr="00990396" w14:paraId="53D503C4" w14:textId="77777777" w:rsidTr="00563C7F">
        <w:tc>
          <w:tcPr>
            <w:tcW w:w="0" w:type="auto"/>
            <w:gridSpan w:val="6"/>
          </w:tcPr>
          <w:p w14:paraId="5523A746" w14:textId="1FEAE5C0" w:rsidR="00563C7F" w:rsidRPr="00990396" w:rsidRDefault="00563C7F" w:rsidP="00004062">
            <w:pPr>
              <w:spacing w:line="240" w:lineRule="auto"/>
              <w:jc w:val="both"/>
              <w:rPr>
                <w:rStyle w:val="Strong"/>
                <w:sz w:val="16"/>
                <w:szCs w:val="16"/>
              </w:rPr>
            </w:pPr>
            <w:r w:rsidRPr="00990396">
              <w:rPr>
                <w:rStyle w:val="Strong"/>
                <w:noProof/>
                <w:sz w:val="16"/>
                <w:szCs w:val="16"/>
              </w:rPr>
              <w:drawing>
                <wp:inline distT="0" distB="0" distL="0" distR="0" wp14:anchorId="117CAF2D" wp14:editId="7758FC34">
                  <wp:extent cx="5731510" cy="394335"/>
                  <wp:effectExtent l="0" t="0" r="254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394335"/>
                          </a:xfrm>
                          <a:prstGeom prst="rect">
                            <a:avLst/>
                          </a:prstGeom>
                        </pic:spPr>
                      </pic:pic>
                    </a:graphicData>
                  </a:graphic>
                </wp:inline>
              </w:drawing>
            </w:r>
          </w:p>
        </w:tc>
      </w:tr>
      <w:tr w:rsidR="00563C7F" w:rsidRPr="00990396" w14:paraId="4CFC64CF" w14:textId="77777777" w:rsidTr="00563C7F">
        <w:tc>
          <w:tcPr>
            <w:tcW w:w="0" w:type="auto"/>
            <w:hideMark/>
          </w:tcPr>
          <w:p w14:paraId="5B28E337" w14:textId="77777777" w:rsidR="00563C7F" w:rsidRPr="00990396" w:rsidRDefault="00563C7F" w:rsidP="00004062">
            <w:pPr>
              <w:spacing w:line="240" w:lineRule="auto"/>
              <w:jc w:val="both"/>
              <w:rPr>
                <w:sz w:val="16"/>
                <w:szCs w:val="16"/>
              </w:rPr>
            </w:pPr>
            <w:r w:rsidRPr="00990396">
              <w:rPr>
                <w:rStyle w:val="Strong"/>
                <w:sz w:val="16"/>
                <w:szCs w:val="16"/>
              </w:rPr>
              <w:t>Al-Eitan et al. (2023)</w:t>
            </w:r>
          </w:p>
        </w:tc>
        <w:tc>
          <w:tcPr>
            <w:tcW w:w="0" w:type="auto"/>
            <w:hideMark/>
          </w:tcPr>
          <w:p w14:paraId="4AA19DE2" w14:textId="77777777" w:rsidR="00563C7F" w:rsidRPr="00990396" w:rsidRDefault="00563C7F" w:rsidP="00004062">
            <w:pPr>
              <w:spacing w:line="240" w:lineRule="auto"/>
              <w:jc w:val="both"/>
              <w:rPr>
                <w:sz w:val="16"/>
                <w:szCs w:val="16"/>
              </w:rPr>
            </w:pPr>
            <w:r w:rsidRPr="00990396">
              <w:rPr>
                <w:sz w:val="16"/>
                <w:szCs w:val="16"/>
              </w:rPr>
              <w:t>38 Jordanian manufacturing SMEs, 2009–2021; panel-data analysis of accounts payable, receivable and profitability</w:t>
            </w:r>
          </w:p>
        </w:tc>
        <w:tc>
          <w:tcPr>
            <w:tcW w:w="0" w:type="auto"/>
            <w:hideMark/>
          </w:tcPr>
          <w:p w14:paraId="3532B16E" w14:textId="77777777" w:rsidR="00563C7F" w:rsidRPr="00990396" w:rsidRDefault="00563C7F" w:rsidP="00004062">
            <w:pPr>
              <w:spacing w:line="240" w:lineRule="auto"/>
              <w:jc w:val="both"/>
              <w:rPr>
                <w:sz w:val="16"/>
                <w:szCs w:val="16"/>
              </w:rPr>
            </w:pPr>
            <w:r w:rsidRPr="00990396">
              <w:rPr>
                <w:rStyle w:val="Strong"/>
                <w:sz w:val="16"/>
                <w:szCs w:val="16"/>
              </w:rPr>
              <w:t>Abstract:</w:t>
            </w:r>
            <w:r w:rsidRPr="00990396">
              <w:rPr>
                <w:sz w:val="16"/>
                <w:szCs w:val="16"/>
              </w:rPr>
              <w:t xml:space="preserve"> “findings showed a positive relationship between accounts payable and profitability… no clear relationship was found between accounts receivable and profitability.” </w:t>
            </w:r>
          </w:p>
        </w:tc>
        <w:tc>
          <w:tcPr>
            <w:tcW w:w="0" w:type="auto"/>
            <w:hideMark/>
          </w:tcPr>
          <w:p w14:paraId="74CDA9FD" w14:textId="77777777" w:rsidR="00563C7F" w:rsidRPr="00990396" w:rsidRDefault="00563C7F" w:rsidP="00004062">
            <w:pPr>
              <w:spacing w:line="240" w:lineRule="auto"/>
              <w:jc w:val="both"/>
              <w:rPr>
                <w:sz w:val="16"/>
                <w:szCs w:val="16"/>
              </w:rPr>
            </w:pPr>
            <w:r w:rsidRPr="00990396">
              <w:rPr>
                <w:sz w:val="16"/>
                <w:szCs w:val="16"/>
              </w:rPr>
              <w:t>Supplier credit appears capable of supporting profitability, whereas extending credit to customers did not demonstrate an equally clear performance benefit.</w:t>
            </w:r>
          </w:p>
        </w:tc>
        <w:tc>
          <w:tcPr>
            <w:tcW w:w="0" w:type="auto"/>
            <w:hideMark/>
          </w:tcPr>
          <w:p w14:paraId="10FF57BC" w14:textId="77777777" w:rsidR="00563C7F" w:rsidRPr="00990396" w:rsidRDefault="00563C7F" w:rsidP="00004062">
            <w:pPr>
              <w:spacing w:line="240" w:lineRule="auto"/>
              <w:jc w:val="both"/>
              <w:rPr>
                <w:sz w:val="16"/>
                <w:szCs w:val="16"/>
              </w:rPr>
            </w:pPr>
            <w:r w:rsidRPr="00990396">
              <w:rPr>
                <w:sz w:val="16"/>
                <w:szCs w:val="16"/>
              </w:rPr>
              <w:t>Asymmetric trade-credit effect</w:t>
            </w:r>
          </w:p>
        </w:tc>
        <w:tc>
          <w:tcPr>
            <w:tcW w:w="0" w:type="auto"/>
            <w:hideMark/>
          </w:tcPr>
          <w:p w14:paraId="2ED56E7C" w14:textId="77777777" w:rsidR="00563C7F" w:rsidRPr="00990396" w:rsidRDefault="00563C7F" w:rsidP="00004062">
            <w:pPr>
              <w:spacing w:line="240" w:lineRule="auto"/>
              <w:jc w:val="both"/>
              <w:rPr>
                <w:sz w:val="16"/>
                <w:szCs w:val="16"/>
              </w:rPr>
            </w:pPr>
            <w:r w:rsidRPr="00990396">
              <w:rPr>
                <w:rStyle w:val="Strong"/>
                <w:sz w:val="16"/>
                <w:szCs w:val="16"/>
              </w:rPr>
              <w:t>Disciplined credit management and payment control</w:t>
            </w:r>
          </w:p>
        </w:tc>
      </w:tr>
      <w:tr w:rsidR="00563C7F" w:rsidRPr="00990396" w14:paraId="7E2F5339" w14:textId="77777777" w:rsidTr="00563C7F">
        <w:tc>
          <w:tcPr>
            <w:tcW w:w="0" w:type="auto"/>
            <w:gridSpan w:val="6"/>
          </w:tcPr>
          <w:p w14:paraId="648FDD72" w14:textId="47195B7D" w:rsidR="00563C7F" w:rsidRPr="00990396" w:rsidRDefault="00563C7F" w:rsidP="00004062">
            <w:pPr>
              <w:spacing w:line="240" w:lineRule="auto"/>
              <w:jc w:val="both"/>
              <w:rPr>
                <w:rStyle w:val="Strong"/>
                <w:sz w:val="16"/>
                <w:szCs w:val="16"/>
              </w:rPr>
            </w:pPr>
            <w:r w:rsidRPr="00990396">
              <w:rPr>
                <w:rStyle w:val="Strong"/>
                <w:noProof/>
                <w:sz w:val="16"/>
                <w:szCs w:val="16"/>
              </w:rPr>
              <w:lastRenderedPageBreak/>
              <w:drawing>
                <wp:inline distT="0" distB="0" distL="0" distR="0" wp14:anchorId="32D79F61" wp14:editId="150A2555">
                  <wp:extent cx="5731510" cy="61595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615950"/>
                          </a:xfrm>
                          <a:prstGeom prst="rect">
                            <a:avLst/>
                          </a:prstGeom>
                        </pic:spPr>
                      </pic:pic>
                    </a:graphicData>
                  </a:graphic>
                </wp:inline>
              </w:drawing>
            </w:r>
          </w:p>
        </w:tc>
      </w:tr>
      <w:tr w:rsidR="00563C7F" w:rsidRPr="00990396" w14:paraId="0F36D41B" w14:textId="77777777" w:rsidTr="00563C7F">
        <w:tc>
          <w:tcPr>
            <w:tcW w:w="0" w:type="auto"/>
            <w:hideMark/>
          </w:tcPr>
          <w:p w14:paraId="09B44A45" w14:textId="77777777" w:rsidR="00563C7F" w:rsidRPr="00990396" w:rsidRDefault="00563C7F" w:rsidP="00004062">
            <w:pPr>
              <w:spacing w:line="240" w:lineRule="auto"/>
              <w:jc w:val="both"/>
              <w:rPr>
                <w:sz w:val="16"/>
                <w:szCs w:val="16"/>
              </w:rPr>
            </w:pPr>
            <w:r w:rsidRPr="00990396">
              <w:rPr>
                <w:rStyle w:val="Strong"/>
                <w:sz w:val="16"/>
                <w:szCs w:val="16"/>
              </w:rPr>
              <w:t>Kaya (2024)</w:t>
            </w:r>
          </w:p>
        </w:tc>
        <w:tc>
          <w:tcPr>
            <w:tcW w:w="0" w:type="auto"/>
            <w:hideMark/>
          </w:tcPr>
          <w:p w14:paraId="6491F036" w14:textId="77777777" w:rsidR="00563C7F" w:rsidRPr="00990396" w:rsidRDefault="00563C7F" w:rsidP="00004062">
            <w:pPr>
              <w:spacing w:line="240" w:lineRule="auto"/>
              <w:jc w:val="both"/>
              <w:rPr>
                <w:sz w:val="16"/>
                <w:szCs w:val="16"/>
              </w:rPr>
            </w:pPr>
            <w:r w:rsidRPr="00990396">
              <w:rPr>
                <w:sz w:val="16"/>
                <w:szCs w:val="16"/>
              </w:rPr>
              <w:t>Firm-level SME information from 11 European countries, 2019–2023; probability models, controls and robustness analyses</w:t>
            </w:r>
          </w:p>
        </w:tc>
        <w:tc>
          <w:tcPr>
            <w:tcW w:w="0" w:type="auto"/>
            <w:hideMark/>
          </w:tcPr>
          <w:p w14:paraId="4DB93BD5" w14:textId="246A2CB4" w:rsidR="00563C7F" w:rsidRPr="00990396" w:rsidRDefault="00563C7F" w:rsidP="00004062">
            <w:pPr>
              <w:spacing w:line="240" w:lineRule="auto"/>
              <w:jc w:val="both"/>
              <w:rPr>
                <w:sz w:val="16"/>
                <w:szCs w:val="16"/>
              </w:rPr>
            </w:pPr>
            <w:r w:rsidRPr="00990396">
              <w:rPr>
                <w:sz w:val="16"/>
                <w:szCs w:val="16"/>
              </w:rPr>
              <w:t xml:space="preserve"> “SMEs experiencing frequent or occasional late payments face difficulties in accessing finance… banks potentially view cash flow uncertainty as an increased risk.” </w:t>
            </w:r>
          </w:p>
        </w:tc>
        <w:tc>
          <w:tcPr>
            <w:tcW w:w="0" w:type="auto"/>
            <w:hideMark/>
          </w:tcPr>
          <w:p w14:paraId="563929A7" w14:textId="77777777" w:rsidR="00563C7F" w:rsidRPr="00990396" w:rsidRDefault="00563C7F" w:rsidP="00004062">
            <w:pPr>
              <w:spacing w:line="240" w:lineRule="auto"/>
              <w:jc w:val="both"/>
              <w:rPr>
                <w:sz w:val="16"/>
                <w:szCs w:val="16"/>
              </w:rPr>
            </w:pPr>
            <w:r w:rsidRPr="00990396">
              <w:rPr>
                <w:sz w:val="16"/>
                <w:szCs w:val="16"/>
              </w:rPr>
              <w:t>Late payments create wider financial consequences because uncertain cash flows reduce creditworthiness, restrict borrowing availability and contribute to less favourable financing conditions.</w:t>
            </w:r>
          </w:p>
        </w:tc>
        <w:tc>
          <w:tcPr>
            <w:tcW w:w="0" w:type="auto"/>
            <w:hideMark/>
          </w:tcPr>
          <w:p w14:paraId="69FFCC40" w14:textId="77777777" w:rsidR="00563C7F" w:rsidRPr="00990396" w:rsidRDefault="00563C7F" w:rsidP="00004062">
            <w:pPr>
              <w:spacing w:line="240" w:lineRule="auto"/>
              <w:jc w:val="both"/>
              <w:rPr>
                <w:sz w:val="16"/>
                <w:szCs w:val="16"/>
              </w:rPr>
            </w:pPr>
            <w:r w:rsidRPr="00990396">
              <w:rPr>
                <w:sz w:val="16"/>
                <w:szCs w:val="16"/>
              </w:rPr>
              <w:t>Late-payment financing pressure</w:t>
            </w:r>
          </w:p>
        </w:tc>
        <w:tc>
          <w:tcPr>
            <w:tcW w:w="0" w:type="auto"/>
            <w:hideMark/>
          </w:tcPr>
          <w:p w14:paraId="154B9243" w14:textId="77777777" w:rsidR="00563C7F" w:rsidRPr="00990396" w:rsidRDefault="00563C7F" w:rsidP="00004062">
            <w:pPr>
              <w:spacing w:line="240" w:lineRule="auto"/>
              <w:jc w:val="both"/>
              <w:rPr>
                <w:sz w:val="16"/>
                <w:szCs w:val="16"/>
              </w:rPr>
            </w:pPr>
            <w:r w:rsidRPr="00990396">
              <w:rPr>
                <w:rStyle w:val="Strong"/>
                <w:sz w:val="16"/>
                <w:szCs w:val="16"/>
              </w:rPr>
              <w:t>Disciplined credit management and payment control</w:t>
            </w:r>
          </w:p>
        </w:tc>
      </w:tr>
      <w:tr w:rsidR="00563C7F" w:rsidRPr="00990396" w14:paraId="233651CE" w14:textId="77777777" w:rsidTr="00563C7F">
        <w:tc>
          <w:tcPr>
            <w:tcW w:w="0" w:type="auto"/>
            <w:gridSpan w:val="6"/>
          </w:tcPr>
          <w:p w14:paraId="3DA2A23A" w14:textId="48C41AEF" w:rsidR="00563C7F" w:rsidRPr="00990396" w:rsidRDefault="00563C7F" w:rsidP="00004062">
            <w:pPr>
              <w:spacing w:line="240" w:lineRule="auto"/>
              <w:jc w:val="both"/>
              <w:rPr>
                <w:rStyle w:val="Strong"/>
                <w:sz w:val="16"/>
                <w:szCs w:val="16"/>
              </w:rPr>
            </w:pPr>
            <w:r w:rsidRPr="00990396">
              <w:rPr>
                <w:rStyle w:val="Strong"/>
                <w:noProof/>
                <w:sz w:val="16"/>
                <w:szCs w:val="16"/>
              </w:rPr>
              <w:drawing>
                <wp:inline distT="0" distB="0" distL="0" distR="0" wp14:anchorId="264A1985" wp14:editId="03C1BCDE">
                  <wp:extent cx="5731510" cy="93535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935355"/>
                          </a:xfrm>
                          <a:prstGeom prst="rect">
                            <a:avLst/>
                          </a:prstGeom>
                        </pic:spPr>
                      </pic:pic>
                    </a:graphicData>
                  </a:graphic>
                </wp:inline>
              </w:drawing>
            </w:r>
          </w:p>
        </w:tc>
      </w:tr>
      <w:tr w:rsidR="00563C7F" w:rsidRPr="00990396" w14:paraId="78A2D803" w14:textId="77777777" w:rsidTr="00563C7F">
        <w:tc>
          <w:tcPr>
            <w:tcW w:w="0" w:type="auto"/>
            <w:hideMark/>
          </w:tcPr>
          <w:p w14:paraId="4573D963" w14:textId="77777777" w:rsidR="00563C7F" w:rsidRPr="00990396" w:rsidRDefault="00563C7F" w:rsidP="00004062">
            <w:pPr>
              <w:spacing w:line="240" w:lineRule="auto"/>
              <w:jc w:val="both"/>
              <w:rPr>
                <w:sz w:val="16"/>
                <w:szCs w:val="16"/>
              </w:rPr>
            </w:pPr>
            <w:r w:rsidRPr="00990396">
              <w:rPr>
                <w:rStyle w:val="Strong"/>
                <w:sz w:val="16"/>
                <w:szCs w:val="16"/>
              </w:rPr>
              <w:t>Lefebvre (2023)</w:t>
            </w:r>
          </w:p>
        </w:tc>
        <w:tc>
          <w:tcPr>
            <w:tcW w:w="0" w:type="auto"/>
            <w:hideMark/>
          </w:tcPr>
          <w:p w14:paraId="0867930B" w14:textId="77777777" w:rsidR="00563C7F" w:rsidRPr="00990396" w:rsidRDefault="00563C7F" w:rsidP="00004062">
            <w:pPr>
              <w:spacing w:line="240" w:lineRule="auto"/>
              <w:jc w:val="both"/>
              <w:rPr>
                <w:sz w:val="16"/>
                <w:szCs w:val="16"/>
              </w:rPr>
            </w:pPr>
            <w:r w:rsidRPr="00990396">
              <w:rPr>
                <w:sz w:val="16"/>
                <w:szCs w:val="16"/>
              </w:rPr>
              <w:t>Large EU SME dataset; firm- and year-fixed-effects regressions examining payment duration, sales growth and employment growth</w:t>
            </w:r>
          </w:p>
        </w:tc>
        <w:tc>
          <w:tcPr>
            <w:tcW w:w="0" w:type="auto"/>
            <w:hideMark/>
          </w:tcPr>
          <w:p w14:paraId="0880CBF1" w14:textId="77777777" w:rsidR="00563C7F" w:rsidRPr="00990396" w:rsidRDefault="00563C7F" w:rsidP="00004062">
            <w:pPr>
              <w:spacing w:line="240" w:lineRule="auto"/>
              <w:jc w:val="both"/>
              <w:rPr>
                <w:sz w:val="16"/>
                <w:szCs w:val="16"/>
              </w:rPr>
            </w:pPr>
            <w:r w:rsidRPr="00990396">
              <w:rPr>
                <w:rStyle w:val="Strong"/>
                <w:sz w:val="16"/>
                <w:szCs w:val="16"/>
              </w:rPr>
              <w:t>Results:</w:t>
            </w:r>
            <w:r w:rsidRPr="00990396">
              <w:rPr>
                <w:sz w:val="16"/>
                <w:szCs w:val="16"/>
              </w:rPr>
              <w:t xml:space="preserve"> “we observe a positive and statistically significant relationship between payment duration and growth… longer payment duration is associated with faster growth.” </w:t>
            </w:r>
          </w:p>
        </w:tc>
        <w:tc>
          <w:tcPr>
            <w:tcW w:w="0" w:type="auto"/>
            <w:hideMark/>
          </w:tcPr>
          <w:p w14:paraId="501C7FD7" w14:textId="77777777" w:rsidR="00563C7F" w:rsidRPr="00990396" w:rsidRDefault="00563C7F" w:rsidP="00004062">
            <w:pPr>
              <w:spacing w:line="240" w:lineRule="auto"/>
              <w:jc w:val="both"/>
              <w:rPr>
                <w:sz w:val="16"/>
                <w:szCs w:val="16"/>
              </w:rPr>
            </w:pPr>
            <w:r w:rsidRPr="00990396">
              <w:rPr>
                <w:sz w:val="16"/>
                <w:szCs w:val="16"/>
              </w:rPr>
              <w:t>Longer payment duration can facilitate SME growth where payment conditions function effectively, demonstrating that strategically offered trade credit is not necessarily harmful.</w:t>
            </w:r>
          </w:p>
        </w:tc>
        <w:tc>
          <w:tcPr>
            <w:tcW w:w="0" w:type="auto"/>
            <w:hideMark/>
          </w:tcPr>
          <w:p w14:paraId="70614A26" w14:textId="77777777" w:rsidR="00563C7F" w:rsidRPr="00990396" w:rsidRDefault="00563C7F" w:rsidP="00004062">
            <w:pPr>
              <w:spacing w:line="240" w:lineRule="auto"/>
              <w:jc w:val="both"/>
              <w:rPr>
                <w:sz w:val="16"/>
                <w:szCs w:val="16"/>
              </w:rPr>
            </w:pPr>
            <w:r w:rsidRPr="00990396">
              <w:rPr>
                <w:sz w:val="16"/>
                <w:szCs w:val="16"/>
              </w:rPr>
              <w:t>Strategic trade-credit extension</w:t>
            </w:r>
          </w:p>
        </w:tc>
        <w:tc>
          <w:tcPr>
            <w:tcW w:w="0" w:type="auto"/>
            <w:hideMark/>
          </w:tcPr>
          <w:p w14:paraId="5F6674FC" w14:textId="77777777" w:rsidR="00563C7F" w:rsidRPr="00990396" w:rsidRDefault="00563C7F" w:rsidP="00004062">
            <w:pPr>
              <w:spacing w:line="240" w:lineRule="auto"/>
              <w:jc w:val="both"/>
              <w:rPr>
                <w:sz w:val="16"/>
                <w:szCs w:val="16"/>
              </w:rPr>
            </w:pPr>
            <w:r w:rsidRPr="00990396">
              <w:rPr>
                <w:rStyle w:val="Strong"/>
                <w:sz w:val="16"/>
                <w:szCs w:val="16"/>
              </w:rPr>
              <w:t>Disciplined credit management and payment control</w:t>
            </w:r>
          </w:p>
        </w:tc>
      </w:tr>
      <w:tr w:rsidR="00563C7F" w:rsidRPr="00990396" w14:paraId="4B0A9EC5" w14:textId="77777777" w:rsidTr="00563C7F">
        <w:tc>
          <w:tcPr>
            <w:tcW w:w="0" w:type="auto"/>
            <w:gridSpan w:val="6"/>
          </w:tcPr>
          <w:p w14:paraId="42AB91F1" w14:textId="0341E888" w:rsidR="00563C7F" w:rsidRPr="00990396" w:rsidRDefault="00563C7F" w:rsidP="00004062">
            <w:pPr>
              <w:spacing w:line="240" w:lineRule="auto"/>
              <w:jc w:val="both"/>
              <w:rPr>
                <w:rStyle w:val="Strong"/>
                <w:sz w:val="16"/>
                <w:szCs w:val="16"/>
              </w:rPr>
            </w:pPr>
            <w:r w:rsidRPr="00990396">
              <w:rPr>
                <w:rStyle w:val="Strong"/>
                <w:noProof/>
                <w:sz w:val="16"/>
                <w:szCs w:val="16"/>
              </w:rPr>
              <w:drawing>
                <wp:inline distT="0" distB="0" distL="0" distR="0" wp14:anchorId="128259B3" wp14:editId="2DB7F146">
                  <wp:extent cx="5731510" cy="233235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2332355"/>
                          </a:xfrm>
                          <a:prstGeom prst="rect">
                            <a:avLst/>
                          </a:prstGeom>
                        </pic:spPr>
                      </pic:pic>
                    </a:graphicData>
                  </a:graphic>
                </wp:inline>
              </w:drawing>
            </w:r>
          </w:p>
        </w:tc>
      </w:tr>
      <w:tr w:rsidR="00563C7F" w:rsidRPr="00990396" w14:paraId="11F5964F" w14:textId="77777777" w:rsidTr="00563C7F">
        <w:tc>
          <w:tcPr>
            <w:tcW w:w="0" w:type="auto"/>
            <w:hideMark/>
          </w:tcPr>
          <w:p w14:paraId="1A45DD95" w14:textId="77777777" w:rsidR="00563C7F" w:rsidRPr="00990396" w:rsidRDefault="00563C7F" w:rsidP="00004062">
            <w:pPr>
              <w:spacing w:line="240" w:lineRule="auto"/>
              <w:jc w:val="both"/>
              <w:rPr>
                <w:sz w:val="16"/>
                <w:szCs w:val="16"/>
              </w:rPr>
            </w:pPr>
            <w:r w:rsidRPr="00990396">
              <w:rPr>
                <w:rStyle w:val="Strong"/>
                <w:sz w:val="16"/>
                <w:szCs w:val="16"/>
              </w:rPr>
              <w:t>Del Gaudio et al. (2022)</w:t>
            </w:r>
          </w:p>
        </w:tc>
        <w:tc>
          <w:tcPr>
            <w:tcW w:w="0" w:type="auto"/>
            <w:hideMark/>
          </w:tcPr>
          <w:p w14:paraId="05526597" w14:textId="77777777" w:rsidR="00563C7F" w:rsidRPr="00990396" w:rsidRDefault="00563C7F" w:rsidP="00004062">
            <w:pPr>
              <w:spacing w:line="240" w:lineRule="auto"/>
              <w:jc w:val="both"/>
              <w:rPr>
                <w:sz w:val="16"/>
                <w:szCs w:val="16"/>
              </w:rPr>
            </w:pPr>
            <w:r w:rsidRPr="00990396">
              <w:rPr>
                <w:sz w:val="16"/>
                <w:szCs w:val="16"/>
              </w:rPr>
              <w:t>Confidential Italian bank–firm loan-level data for SMEs; empirical analysis of lending decisions</w:t>
            </w:r>
          </w:p>
        </w:tc>
        <w:tc>
          <w:tcPr>
            <w:tcW w:w="0" w:type="auto"/>
            <w:hideMark/>
          </w:tcPr>
          <w:p w14:paraId="450FF7C5" w14:textId="1DF57970" w:rsidR="00563C7F" w:rsidRPr="00990396" w:rsidRDefault="00563C7F" w:rsidP="00004062">
            <w:pPr>
              <w:spacing w:line="240" w:lineRule="auto"/>
              <w:jc w:val="both"/>
              <w:rPr>
                <w:sz w:val="16"/>
                <w:szCs w:val="16"/>
              </w:rPr>
            </w:pPr>
            <w:r w:rsidRPr="00990396">
              <w:rPr>
                <w:sz w:val="16"/>
                <w:szCs w:val="16"/>
              </w:rPr>
              <w:t xml:space="preserve"> “</w:t>
            </w:r>
            <w:proofErr w:type="gramStart"/>
            <w:r w:rsidRPr="00990396">
              <w:rPr>
                <w:sz w:val="16"/>
                <w:szCs w:val="16"/>
              </w:rPr>
              <w:t>trade</w:t>
            </w:r>
            <w:proofErr w:type="gramEnd"/>
            <w:r w:rsidRPr="00990396">
              <w:rPr>
                <w:sz w:val="16"/>
                <w:szCs w:val="16"/>
              </w:rPr>
              <w:t xml:space="preserve"> credit plays a </w:t>
            </w:r>
            <w:proofErr w:type="spellStart"/>
            <w:r w:rsidRPr="00990396">
              <w:rPr>
                <w:sz w:val="16"/>
                <w:szCs w:val="16"/>
              </w:rPr>
              <w:t>signaling</w:t>
            </w:r>
            <w:proofErr w:type="spellEnd"/>
            <w:r w:rsidRPr="00990396">
              <w:rPr>
                <w:sz w:val="16"/>
                <w:szCs w:val="16"/>
              </w:rPr>
              <w:t xml:space="preserve"> role, increasing the probability of obtaining a loan. Suppliers bearing credit risk </w:t>
            </w:r>
            <w:proofErr w:type="gramStart"/>
            <w:r w:rsidRPr="00990396">
              <w:rPr>
                <w:sz w:val="16"/>
                <w:szCs w:val="16"/>
              </w:rPr>
              <w:t>lead</w:t>
            </w:r>
            <w:proofErr w:type="gramEnd"/>
            <w:r w:rsidRPr="00990396">
              <w:rPr>
                <w:sz w:val="16"/>
                <w:szCs w:val="16"/>
              </w:rPr>
              <w:t xml:space="preserve"> banks to lend to firms.” </w:t>
            </w:r>
          </w:p>
        </w:tc>
        <w:tc>
          <w:tcPr>
            <w:tcW w:w="0" w:type="auto"/>
            <w:hideMark/>
          </w:tcPr>
          <w:p w14:paraId="10A116F6" w14:textId="77777777" w:rsidR="00563C7F" w:rsidRPr="00990396" w:rsidRDefault="00563C7F" w:rsidP="00004062">
            <w:pPr>
              <w:spacing w:line="240" w:lineRule="auto"/>
              <w:jc w:val="both"/>
              <w:rPr>
                <w:sz w:val="16"/>
                <w:szCs w:val="16"/>
              </w:rPr>
            </w:pPr>
            <w:r w:rsidRPr="00990396">
              <w:rPr>
                <w:sz w:val="16"/>
                <w:szCs w:val="16"/>
              </w:rPr>
              <w:t>The willingness of suppliers to provide trade credit can signal borrower quality to banks and improve SMEs’ access to external finance.</w:t>
            </w:r>
          </w:p>
        </w:tc>
        <w:tc>
          <w:tcPr>
            <w:tcW w:w="0" w:type="auto"/>
            <w:hideMark/>
          </w:tcPr>
          <w:p w14:paraId="0EFA9F68" w14:textId="77777777" w:rsidR="00563C7F" w:rsidRPr="00990396" w:rsidRDefault="00563C7F" w:rsidP="00004062">
            <w:pPr>
              <w:spacing w:line="240" w:lineRule="auto"/>
              <w:jc w:val="both"/>
              <w:rPr>
                <w:sz w:val="16"/>
                <w:szCs w:val="16"/>
              </w:rPr>
            </w:pPr>
            <w:r w:rsidRPr="00990396">
              <w:rPr>
                <w:sz w:val="16"/>
                <w:szCs w:val="16"/>
              </w:rPr>
              <w:t>Trade credit as signal</w:t>
            </w:r>
          </w:p>
        </w:tc>
        <w:tc>
          <w:tcPr>
            <w:tcW w:w="0" w:type="auto"/>
            <w:hideMark/>
          </w:tcPr>
          <w:p w14:paraId="3FC2098F" w14:textId="77777777" w:rsidR="00563C7F" w:rsidRPr="00990396" w:rsidRDefault="00563C7F" w:rsidP="00004062">
            <w:pPr>
              <w:spacing w:line="240" w:lineRule="auto"/>
              <w:jc w:val="both"/>
              <w:rPr>
                <w:sz w:val="16"/>
                <w:szCs w:val="16"/>
              </w:rPr>
            </w:pPr>
            <w:r w:rsidRPr="00990396">
              <w:rPr>
                <w:rStyle w:val="Strong"/>
                <w:sz w:val="16"/>
                <w:szCs w:val="16"/>
              </w:rPr>
              <w:t>Disciplined credit management and payment control</w:t>
            </w:r>
          </w:p>
        </w:tc>
      </w:tr>
      <w:tr w:rsidR="00563C7F" w:rsidRPr="00990396" w14:paraId="0AAB005F" w14:textId="77777777" w:rsidTr="00563C7F">
        <w:tc>
          <w:tcPr>
            <w:tcW w:w="0" w:type="auto"/>
            <w:gridSpan w:val="6"/>
          </w:tcPr>
          <w:p w14:paraId="6CE43AA7" w14:textId="369F2244" w:rsidR="00563C7F" w:rsidRPr="00990396" w:rsidRDefault="00563C7F" w:rsidP="00004062">
            <w:pPr>
              <w:spacing w:line="240" w:lineRule="auto"/>
              <w:jc w:val="both"/>
              <w:rPr>
                <w:rStyle w:val="Strong"/>
                <w:sz w:val="16"/>
                <w:szCs w:val="16"/>
              </w:rPr>
            </w:pPr>
            <w:r w:rsidRPr="00990396">
              <w:rPr>
                <w:rStyle w:val="Strong"/>
                <w:noProof/>
                <w:sz w:val="16"/>
                <w:szCs w:val="16"/>
              </w:rPr>
              <w:drawing>
                <wp:inline distT="0" distB="0" distL="0" distR="0" wp14:anchorId="11F25F27" wp14:editId="1A39037B">
                  <wp:extent cx="5731510" cy="1080770"/>
                  <wp:effectExtent l="0" t="0" r="254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1080770"/>
                          </a:xfrm>
                          <a:prstGeom prst="rect">
                            <a:avLst/>
                          </a:prstGeom>
                        </pic:spPr>
                      </pic:pic>
                    </a:graphicData>
                  </a:graphic>
                </wp:inline>
              </w:drawing>
            </w:r>
          </w:p>
        </w:tc>
      </w:tr>
      <w:tr w:rsidR="00563C7F" w:rsidRPr="00990396" w14:paraId="154DD937" w14:textId="77777777" w:rsidTr="00563C7F">
        <w:tc>
          <w:tcPr>
            <w:tcW w:w="0" w:type="auto"/>
            <w:hideMark/>
          </w:tcPr>
          <w:p w14:paraId="159402A2" w14:textId="77777777" w:rsidR="00563C7F" w:rsidRPr="00990396" w:rsidRDefault="00563C7F" w:rsidP="00004062">
            <w:pPr>
              <w:spacing w:line="240" w:lineRule="auto"/>
              <w:jc w:val="both"/>
              <w:rPr>
                <w:sz w:val="16"/>
                <w:szCs w:val="16"/>
              </w:rPr>
            </w:pPr>
            <w:r w:rsidRPr="00990396">
              <w:rPr>
                <w:rStyle w:val="Strong"/>
                <w:sz w:val="16"/>
                <w:szCs w:val="16"/>
              </w:rPr>
              <w:lastRenderedPageBreak/>
              <w:t>Baker et al. (2022)</w:t>
            </w:r>
          </w:p>
        </w:tc>
        <w:tc>
          <w:tcPr>
            <w:tcW w:w="0" w:type="auto"/>
            <w:hideMark/>
          </w:tcPr>
          <w:p w14:paraId="6A35C196" w14:textId="77777777" w:rsidR="00563C7F" w:rsidRPr="00990396" w:rsidRDefault="00563C7F" w:rsidP="00004062">
            <w:pPr>
              <w:spacing w:line="240" w:lineRule="auto"/>
              <w:jc w:val="both"/>
              <w:rPr>
                <w:sz w:val="16"/>
                <w:szCs w:val="16"/>
              </w:rPr>
            </w:pPr>
            <w:r w:rsidRPr="00990396">
              <w:rPr>
                <w:sz w:val="16"/>
                <w:szCs w:val="16"/>
              </w:rPr>
              <w:t>Panel of BSE-listed Indian corporations across six non-financial sectors; nonlinear regression analysis</w:t>
            </w:r>
          </w:p>
        </w:tc>
        <w:tc>
          <w:tcPr>
            <w:tcW w:w="0" w:type="auto"/>
            <w:hideMark/>
          </w:tcPr>
          <w:p w14:paraId="2B50954C" w14:textId="71C65560" w:rsidR="00563C7F" w:rsidRPr="00990396" w:rsidRDefault="00563C7F" w:rsidP="00004062">
            <w:pPr>
              <w:spacing w:line="240" w:lineRule="auto"/>
              <w:jc w:val="both"/>
              <w:rPr>
                <w:sz w:val="16"/>
                <w:szCs w:val="16"/>
              </w:rPr>
            </w:pPr>
            <w:r w:rsidRPr="00990396">
              <w:rPr>
                <w:sz w:val="16"/>
                <w:szCs w:val="16"/>
              </w:rPr>
              <w:t xml:space="preserve"> “</w:t>
            </w:r>
            <w:proofErr w:type="gramStart"/>
            <w:r w:rsidRPr="00990396">
              <w:rPr>
                <w:sz w:val="16"/>
                <w:szCs w:val="16"/>
              </w:rPr>
              <w:t>findings</w:t>
            </w:r>
            <w:proofErr w:type="gramEnd"/>
            <w:r w:rsidRPr="00990396">
              <w:rPr>
                <w:sz w:val="16"/>
                <w:szCs w:val="16"/>
              </w:rPr>
              <w:t xml:space="preserve"> suggest an inverted U-shaped relationship between trade credit and firm profitability and support an optimal receivables and payables level.” </w:t>
            </w:r>
          </w:p>
        </w:tc>
        <w:tc>
          <w:tcPr>
            <w:tcW w:w="0" w:type="auto"/>
            <w:hideMark/>
          </w:tcPr>
          <w:p w14:paraId="4D7C5D79" w14:textId="77777777" w:rsidR="00563C7F" w:rsidRPr="00990396" w:rsidRDefault="00563C7F" w:rsidP="00004062">
            <w:pPr>
              <w:spacing w:line="240" w:lineRule="auto"/>
              <w:jc w:val="both"/>
              <w:rPr>
                <w:sz w:val="16"/>
                <w:szCs w:val="16"/>
              </w:rPr>
            </w:pPr>
            <w:r w:rsidRPr="00990396">
              <w:rPr>
                <w:sz w:val="16"/>
                <w:szCs w:val="16"/>
              </w:rPr>
              <w:t>Trade credit improves profitability only until an efficient level; extending credit beyond this point allows financing and default-related costs to outweigh benefits.</w:t>
            </w:r>
          </w:p>
        </w:tc>
        <w:tc>
          <w:tcPr>
            <w:tcW w:w="0" w:type="auto"/>
            <w:hideMark/>
          </w:tcPr>
          <w:p w14:paraId="371AD522" w14:textId="77777777" w:rsidR="00563C7F" w:rsidRPr="00990396" w:rsidRDefault="00563C7F" w:rsidP="00004062">
            <w:pPr>
              <w:spacing w:line="240" w:lineRule="auto"/>
              <w:jc w:val="both"/>
              <w:rPr>
                <w:sz w:val="16"/>
                <w:szCs w:val="16"/>
              </w:rPr>
            </w:pPr>
            <w:r w:rsidRPr="00990396">
              <w:rPr>
                <w:sz w:val="16"/>
                <w:szCs w:val="16"/>
              </w:rPr>
              <w:t>Optimal trade-credit level</w:t>
            </w:r>
          </w:p>
        </w:tc>
        <w:tc>
          <w:tcPr>
            <w:tcW w:w="0" w:type="auto"/>
            <w:hideMark/>
          </w:tcPr>
          <w:p w14:paraId="1B6F3B97" w14:textId="77777777" w:rsidR="00563C7F" w:rsidRPr="00990396" w:rsidRDefault="00563C7F" w:rsidP="00004062">
            <w:pPr>
              <w:spacing w:line="240" w:lineRule="auto"/>
              <w:jc w:val="both"/>
              <w:rPr>
                <w:sz w:val="16"/>
                <w:szCs w:val="16"/>
              </w:rPr>
            </w:pPr>
            <w:r w:rsidRPr="00990396">
              <w:rPr>
                <w:rStyle w:val="Strong"/>
                <w:sz w:val="16"/>
                <w:szCs w:val="16"/>
              </w:rPr>
              <w:t>Disciplined credit management and payment control</w:t>
            </w:r>
          </w:p>
        </w:tc>
      </w:tr>
      <w:tr w:rsidR="00563C7F" w:rsidRPr="00990396" w14:paraId="0619B842" w14:textId="77777777" w:rsidTr="00563C7F">
        <w:tc>
          <w:tcPr>
            <w:tcW w:w="0" w:type="auto"/>
            <w:gridSpan w:val="6"/>
          </w:tcPr>
          <w:p w14:paraId="27947A04" w14:textId="5217E55C" w:rsidR="00563C7F" w:rsidRPr="00990396" w:rsidRDefault="00563C7F" w:rsidP="00004062">
            <w:pPr>
              <w:spacing w:line="240" w:lineRule="auto"/>
              <w:jc w:val="both"/>
              <w:rPr>
                <w:rStyle w:val="Strong"/>
                <w:sz w:val="16"/>
                <w:szCs w:val="16"/>
              </w:rPr>
            </w:pPr>
            <w:r w:rsidRPr="00990396">
              <w:rPr>
                <w:rStyle w:val="Strong"/>
                <w:noProof/>
                <w:sz w:val="16"/>
                <w:szCs w:val="16"/>
              </w:rPr>
              <w:drawing>
                <wp:inline distT="0" distB="0" distL="0" distR="0" wp14:anchorId="79C6CBDE" wp14:editId="5A87EE7F">
                  <wp:extent cx="5731510" cy="1251585"/>
                  <wp:effectExtent l="0" t="0" r="254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1251585"/>
                          </a:xfrm>
                          <a:prstGeom prst="rect">
                            <a:avLst/>
                          </a:prstGeom>
                        </pic:spPr>
                      </pic:pic>
                    </a:graphicData>
                  </a:graphic>
                </wp:inline>
              </w:drawing>
            </w:r>
          </w:p>
        </w:tc>
      </w:tr>
      <w:tr w:rsidR="00563C7F" w:rsidRPr="00990396" w14:paraId="7DFF6BAA" w14:textId="77777777" w:rsidTr="00563C7F">
        <w:tc>
          <w:tcPr>
            <w:tcW w:w="0" w:type="auto"/>
            <w:hideMark/>
          </w:tcPr>
          <w:p w14:paraId="6692BFC9" w14:textId="77777777" w:rsidR="00563C7F" w:rsidRPr="00990396" w:rsidRDefault="00563C7F" w:rsidP="00004062">
            <w:pPr>
              <w:spacing w:line="240" w:lineRule="auto"/>
              <w:jc w:val="both"/>
              <w:rPr>
                <w:sz w:val="16"/>
                <w:szCs w:val="16"/>
              </w:rPr>
            </w:pPr>
            <w:proofErr w:type="spellStart"/>
            <w:r w:rsidRPr="00990396">
              <w:rPr>
                <w:rStyle w:val="Strong"/>
                <w:sz w:val="16"/>
                <w:szCs w:val="16"/>
              </w:rPr>
              <w:t>Belghitar</w:t>
            </w:r>
            <w:proofErr w:type="spellEnd"/>
            <w:r w:rsidRPr="00990396">
              <w:rPr>
                <w:rStyle w:val="Strong"/>
                <w:sz w:val="16"/>
                <w:szCs w:val="16"/>
              </w:rPr>
              <w:t xml:space="preserve"> et al. (2021)</w:t>
            </w:r>
          </w:p>
        </w:tc>
        <w:tc>
          <w:tcPr>
            <w:tcW w:w="0" w:type="auto"/>
            <w:hideMark/>
          </w:tcPr>
          <w:p w14:paraId="26D473B0" w14:textId="77777777" w:rsidR="00563C7F" w:rsidRPr="00990396" w:rsidRDefault="00563C7F" w:rsidP="00004062">
            <w:pPr>
              <w:spacing w:line="240" w:lineRule="auto"/>
              <w:jc w:val="both"/>
              <w:rPr>
                <w:sz w:val="16"/>
                <w:szCs w:val="16"/>
              </w:rPr>
            </w:pPr>
            <w:r w:rsidRPr="00990396">
              <w:rPr>
                <w:sz w:val="16"/>
                <w:szCs w:val="16"/>
              </w:rPr>
              <w:t>UK non-financial SMEs; asymmetric and time-varying exchange-rate exposure analysis</w:t>
            </w:r>
          </w:p>
        </w:tc>
        <w:tc>
          <w:tcPr>
            <w:tcW w:w="0" w:type="auto"/>
            <w:hideMark/>
          </w:tcPr>
          <w:p w14:paraId="3F66EF78" w14:textId="2EBEEB9C" w:rsidR="00563C7F" w:rsidRPr="00990396" w:rsidRDefault="00563C7F" w:rsidP="00004062">
            <w:pPr>
              <w:spacing w:line="240" w:lineRule="auto"/>
              <w:jc w:val="both"/>
              <w:rPr>
                <w:sz w:val="16"/>
                <w:szCs w:val="16"/>
              </w:rPr>
            </w:pPr>
            <w:r w:rsidRPr="00990396">
              <w:rPr>
                <w:sz w:val="16"/>
                <w:szCs w:val="16"/>
              </w:rPr>
              <w:t xml:space="preserve"> “XR fluctuations have a strong negative effect on SME performance at the industry and individual firm level for both depreciations and appreciations.” </w:t>
            </w:r>
          </w:p>
        </w:tc>
        <w:tc>
          <w:tcPr>
            <w:tcW w:w="0" w:type="auto"/>
            <w:hideMark/>
          </w:tcPr>
          <w:p w14:paraId="6AFDA1D6" w14:textId="77777777" w:rsidR="00563C7F" w:rsidRPr="00990396" w:rsidRDefault="00563C7F" w:rsidP="00004062">
            <w:pPr>
              <w:spacing w:line="240" w:lineRule="auto"/>
              <w:jc w:val="both"/>
              <w:rPr>
                <w:sz w:val="16"/>
                <w:szCs w:val="16"/>
              </w:rPr>
            </w:pPr>
            <w:r w:rsidRPr="00990396">
              <w:rPr>
                <w:sz w:val="16"/>
                <w:szCs w:val="16"/>
              </w:rPr>
              <w:t>UK SMEs experience meaningful currency exposure, and both appreciation and depreciation can adversely affect financial performance depending on individual firm circumstances.</w:t>
            </w:r>
          </w:p>
        </w:tc>
        <w:tc>
          <w:tcPr>
            <w:tcW w:w="0" w:type="auto"/>
            <w:hideMark/>
          </w:tcPr>
          <w:p w14:paraId="1F368761" w14:textId="77777777" w:rsidR="00563C7F" w:rsidRPr="00990396" w:rsidRDefault="00563C7F" w:rsidP="00004062">
            <w:pPr>
              <w:spacing w:line="240" w:lineRule="auto"/>
              <w:jc w:val="both"/>
              <w:rPr>
                <w:sz w:val="16"/>
                <w:szCs w:val="16"/>
              </w:rPr>
            </w:pPr>
            <w:r w:rsidRPr="00990396">
              <w:rPr>
                <w:sz w:val="16"/>
                <w:szCs w:val="16"/>
              </w:rPr>
              <w:t>Exchange-rate exposure</w:t>
            </w:r>
          </w:p>
        </w:tc>
        <w:tc>
          <w:tcPr>
            <w:tcW w:w="0" w:type="auto"/>
            <w:hideMark/>
          </w:tcPr>
          <w:p w14:paraId="09F458CD" w14:textId="77777777" w:rsidR="00563C7F" w:rsidRPr="00990396" w:rsidRDefault="00563C7F" w:rsidP="00004062">
            <w:pPr>
              <w:spacing w:line="240" w:lineRule="auto"/>
              <w:jc w:val="both"/>
              <w:rPr>
                <w:sz w:val="16"/>
                <w:szCs w:val="16"/>
              </w:rPr>
            </w:pPr>
            <w:r w:rsidRPr="00990396">
              <w:rPr>
                <w:rStyle w:val="Strong"/>
                <w:sz w:val="16"/>
                <w:szCs w:val="16"/>
              </w:rPr>
              <w:t>Adaptive market-risk capability</w:t>
            </w:r>
          </w:p>
        </w:tc>
      </w:tr>
      <w:tr w:rsidR="00563C7F" w:rsidRPr="00990396" w14:paraId="52CA3C83" w14:textId="77777777" w:rsidTr="00563C7F">
        <w:tc>
          <w:tcPr>
            <w:tcW w:w="0" w:type="auto"/>
            <w:gridSpan w:val="6"/>
          </w:tcPr>
          <w:p w14:paraId="58EE8DFE" w14:textId="47113583" w:rsidR="00563C7F" w:rsidRPr="00990396" w:rsidRDefault="00563C7F" w:rsidP="00004062">
            <w:pPr>
              <w:spacing w:line="240" w:lineRule="auto"/>
              <w:jc w:val="both"/>
              <w:rPr>
                <w:rStyle w:val="Strong"/>
                <w:sz w:val="16"/>
                <w:szCs w:val="16"/>
              </w:rPr>
            </w:pPr>
            <w:r w:rsidRPr="00990396">
              <w:rPr>
                <w:rStyle w:val="Strong"/>
                <w:noProof/>
                <w:sz w:val="16"/>
                <w:szCs w:val="16"/>
              </w:rPr>
              <w:drawing>
                <wp:inline distT="0" distB="0" distL="0" distR="0" wp14:anchorId="7A3EB0D0" wp14:editId="52120DAD">
                  <wp:extent cx="5731510" cy="1769745"/>
                  <wp:effectExtent l="0" t="0" r="254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1769745"/>
                          </a:xfrm>
                          <a:prstGeom prst="rect">
                            <a:avLst/>
                          </a:prstGeom>
                        </pic:spPr>
                      </pic:pic>
                    </a:graphicData>
                  </a:graphic>
                </wp:inline>
              </w:drawing>
            </w:r>
          </w:p>
        </w:tc>
      </w:tr>
      <w:tr w:rsidR="00563C7F" w:rsidRPr="00990396" w14:paraId="4E369D37" w14:textId="77777777" w:rsidTr="00563C7F">
        <w:tc>
          <w:tcPr>
            <w:tcW w:w="0" w:type="auto"/>
            <w:hideMark/>
          </w:tcPr>
          <w:p w14:paraId="4AD245A1" w14:textId="77777777" w:rsidR="00563C7F" w:rsidRPr="00990396" w:rsidRDefault="00563C7F" w:rsidP="00004062">
            <w:pPr>
              <w:spacing w:line="240" w:lineRule="auto"/>
              <w:jc w:val="both"/>
              <w:rPr>
                <w:sz w:val="16"/>
                <w:szCs w:val="16"/>
              </w:rPr>
            </w:pPr>
            <w:r w:rsidRPr="00990396">
              <w:rPr>
                <w:rStyle w:val="Strong"/>
                <w:sz w:val="16"/>
                <w:szCs w:val="16"/>
              </w:rPr>
              <w:t>Dang and Lindsay (2022)</w:t>
            </w:r>
          </w:p>
        </w:tc>
        <w:tc>
          <w:tcPr>
            <w:tcW w:w="0" w:type="auto"/>
            <w:hideMark/>
          </w:tcPr>
          <w:p w14:paraId="7FC6087A" w14:textId="77777777" w:rsidR="00563C7F" w:rsidRPr="00990396" w:rsidRDefault="00563C7F" w:rsidP="00004062">
            <w:pPr>
              <w:spacing w:line="240" w:lineRule="auto"/>
              <w:jc w:val="both"/>
              <w:rPr>
                <w:sz w:val="16"/>
                <w:szCs w:val="16"/>
              </w:rPr>
            </w:pPr>
            <w:r w:rsidRPr="00990396">
              <w:rPr>
                <w:sz w:val="16"/>
                <w:szCs w:val="16"/>
              </w:rPr>
              <w:t>Exporting SMEs in Australia and New Zealand; surveys analysed using EFA, CFA and structural-equation modelling</w:t>
            </w:r>
          </w:p>
        </w:tc>
        <w:tc>
          <w:tcPr>
            <w:tcW w:w="0" w:type="auto"/>
            <w:hideMark/>
          </w:tcPr>
          <w:p w14:paraId="6B402C19" w14:textId="1B9CA2B1" w:rsidR="00563C7F" w:rsidRPr="00990396" w:rsidRDefault="00563C7F" w:rsidP="00004062">
            <w:pPr>
              <w:spacing w:line="240" w:lineRule="auto"/>
              <w:jc w:val="both"/>
              <w:rPr>
                <w:sz w:val="16"/>
                <w:szCs w:val="16"/>
              </w:rPr>
            </w:pPr>
            <w:r w:rsidRPr="00990396">
              <w:rPr>
                <w:sz w:val="16"/>
                <w:szCs w:val="16"/>
              </w:rPr>
              <w:t xml:space="preserve"> “The study identifies four determinants of forex risk strategy… Organisational and human resources are shown to have a key mediation role.” </w:t>
            </w:r>
          </w:p>
        </w:tc>
        <w:tc>
          <w:tcPr>
            <w:tcW w:w="0" w:type="auto"/>
            <w:hideMark/>
          </w:tcPr>
          <w:p w14:paraId="17E8BDFC" w14:textId="77777777" w:rsidR="00563C7F" w:rsidRPr="00990396" w:rsidRDefault="00563C7F" w:rsidP="00004062">
            <w:pPr>
              <w:spacing w:line="240" w:lineRule="auto"/>
              <w:jc w:val="both"/>
              <w:rPr>
                <w:sz w:val="16"/>
                <w:szCs w:val="16"/>
              </w:rPr>
            </w:pPr>
            <w:r w:rsidRPr="00990396">
              <w:rPr>
                <w:sz w:val="16"/>
                <w:szCs w:val="16"/>
              </w:rPr>
              <w:t>Foreign-exchange risk management depends upon exposure and perceptions, but also on whether SMEs possess sufficient organisational and human resources to implement responses.</w:t>
            </w:r>
          </w:p>
        </w:tc>
        <w:tc>
          <w:tcPr>
            <w:tcW w:w="0" w:type="auto"/>
            <w:hideMark/>
          </w:tcPr>
          <w:p w14:paraId="56CD2C9C" w14:textId="77777777" w:rsidR="00563C7F" w:rsidRPr="00990396" w:rsidRDefault="00563C7F" w:rsidP="00004062">
            <w:pPr>
              <w:spacing w:line="240" w:lineRule="auto"/>
              <w:jc w:val="both"/>
              <w:rPr>
                <w:sz w:val="16"/>
                <w:szCs w:val="16"/>
              </w:rPr>
            </w:pPr>
            <w:r w:rsidRPr="00990396">
              <w:rPr>
                <w:sz w:val="16"/>
                <w:szCs w:val="16"/>
              </w:rPr>
              <w:t>Resource-dependent hedging capability</w:t>
            </w:r>
          </w:p>
        </w:tc>
        <w:tc>
          <w:tcPr>
            <w:tcW w:w="0" w:type="auto"/>
            <w:hideMark/>
          </w:tcPr>
          <w:p w14:paraId="18354221" w14:textId="77777777" w:rsidR="00563C7F" w:rsidRPr="00990396" w:rsidRDefault="00563C7F" w:rsidP="00004062">
            <w:pPr>
              <w:spacing w:line="240" w:lineRule="auto"/>
              <w:jc w:val="both"/>
              <w:rPr>
                <w:sz w:val="16"/>
                <w:szCs w:val="16"/>
              </w:rPr>
            </w:pPr>
            <w:r w:rsidRPr="00990396">
              <w:rPr>
                <w:rStyle w:val="Strong"/>
                <w:sz w:val="16"/>
                <w:szCs w:val="16"/>
              </w:rPr>
              <w:t>Adaptive market-risk capability</w:t>
            </w:r>
          </w:p>
        </w:tc>
      </w:tr>
      <w:tr w:rsidR="00563C7F" w:rsidRPr="00990396" w14:paraId="4FC7EB9E" w14:textId="77777777" w:rsidTr="00563C7F">
        <w:tc>
          <w:tcPr>
            <w:tcW w:w="0" w:type="auto"/>
            <w:gridSpan w:val="6"/>
          </w:tcPr>
          <w:p w14:paraId="2C72EBAC" w14:textId="2EA87F3A" w:rsidR="00563C7F" w:rsidRPr="00990396" w:rsidRDefault="00563C7F" w:rsidP="00004062">
            <w:pPr>
              <w:spacing w:line="240" w:lineRule="auto"/>
              <w:jc w:val="both"/>
              <w:rPr>
                <w:rStyle w:val="Strong"/>
                <w:sz w:val="16"/>
                <w:szCs w:val="16"/>
              </w:rPr>
            </w:pPr>
            <w:r w:rsidRPr="00990396">
              <w:rPr>
                <w:rStyle w:val="Strong"/>
                <w:noProof/>
                <w:sz w:val="16"/>
                <w:szCs w:val="16"/>
              </w:rPr>
              <w:drawing>
                <wp:inline distT="0" distB="0" distL="0" distR="0" wp14:anchorId="11259902" wp14:editId="6A6B9965">
                  <wp:extent cx="5731510" cy="1001395"/>
                  <wp:effectExtent l="0" t="0" r="254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1001395"/>
                          </a:xfrm>
                          <a:prstGeom prst="rect">
                            <a:avLst/>
                          </a:prstGeom>
                        </pic:spPr>
                      </pic:pic>
                    </a:graphicData>
                  </a:graphic>
                </wp:inline>
              </w:drawing>
            </w:r>
          </w:p>
        </w:tc>
      </w:tr>
      <w:tr w:rsidR="00563C7F" w:rsidRPr="00990396" w14:paraId="24E36362" w14:textId="77777777" w:rsidTr="00563C7F">
        <w:tc>
          <w:tcPr>
            <w:tcW w:w="0" w:type="auto"/>
            <w:hideMark/>
          </w:tcPr>
          <w:p w14:paraId="203A2DC9" w14:textId="77777777" w:rsidR="00563C7F" w:rsidRPr="00990396" w:rsidRDefault="00563C7F" w:rsidP="00004062">
            <w:pPr>
              <w:spacing w:line="240" w:lineRule="auto"/>
              <w:jc w:val="both"/>
              <w:rPr>
                <w:sz w:val="16"/>
                <w:szCs w:val="16"/>
              </w:rPr>
            </w:pPr>
            <w:r w:rsidRPr="00990396">
              <w:rPr>
                <w:rStyle w:val="Strong"/>
                <w:sz w:val="16"/>
                <w:szCs w:val="16"/>
              </w:rPr>
              <w:t>Orden-Cruz et al. (2024)</w:t>
            </w:r>
          </w:p>
        </w:tc>
        <w:tc>
          <w:tcPr>
            <w:tcW w:w="0" w:type="auto"/>
            <w:hideMark/>
          </w:tcPr>
          <w:p w14:paraId="72FB3396" w14:textId="77777777" w:rsidR="00563C7F" w:rsidRPr="00990396" w:rsidRDefault="00563C7F" w:rsidP="00004062">
            <w:pPr>
              <w:spacing w:line="240" w:lineRule="auto"/>
              <w:jc w:val="both"/>
              <w:rPr>
                <w:sz w:val="16"/>
                <w:szCs w:val="16"/>
              </w:rPr>
            </w:pPr>
            <w:r w:rsidRPr="00990396">
              <w:rPr>
                <w:sz w:val="16"/>
                <w:szCs w:val="16"/>
              </w:rPr>
              <w:t>80,620 Spanish SMEs, 2012–2020; system GMM examining economic-policy uncertainty and financial performance</w:t>
            </w:r>
          </w:p>
        </w:tc>
        <w:tc>
          <w:tcPr>
            <w:tcW w:w="0" w:type="auto"/>
            <w:hideMark/>
          </w:tcPr>
          <w:p w14:paraId="29F6EAD8" w14:textId="0024D3B0" w:rsidR="00563C7F" w:rsidRPr="00990396" w:rsidRDefault="00563C7F" w:rsidP="00004062">
            <w:pPr>
              <w:spacing w:line="240" w:lineRule="auto"/>
              <w:jc w:val="both"/>
              <w:rPr>
                <w:sz w:val="16"/>
                <w:szCs w:val="16"/>
              </w:rPr>
            </w:pPr>
            <w:r w:rsidRPr="00990396">
              <w:rPr>
                <w:sz w:val="16"/>
                <w:szCs w:val="16"/>
              </w:rPr>
              <w:t xml:space="preserve"> “Using system Generalized Method of Moments estimators, the results show a negative impact, especially in the service sector.” </w:t>
            </w:r>
          </w:p>
        </w:tc>
        <w:tc>
          <w:tcPr>
            <w:tcW w:w="0" w:type="auto"/>
            <w:hideMark/>
          </w:tcPr>
          <w:p w14:paraId="009C22EF" w14:textId="77777777" w:rsidR="00563C7F" w:rsidRPr="00990396" w:rsidRDefault="00563C7F" w:rsidP="00004062">
            <w:pPr>
              <w:spacing w:line="240" w:lineRule="auto"/>
              <w:jc w:val="both"/>
              <w:rPr>
                <w:sz w:val="16"/>
                <w:szCs w:val="16"/>
              </w:rPr>
            </w:pPr>
            <w:r w:rsidRPr="00990396">
              <w:rPr>
                <w:sz w:val="16"/>
                <w:szCs w:val="16"/>
              </w:rPr>
              <w:t xml:space="preserve">Economic-policy uncertainty reduces SME financial performance, although its effect differs according to sector and individual financial and </w:t>
            </w:r>
            <w:r w:rsidRPr="00990396">
              <w:rPr>
                <w:sz w:val="16"/>
                <w:szCs w:val="16"/>
              </w:rPr>
              <w:lastRenderedPageBreak/>
              <w:t>organisational characteristics.</w:t>
            </w:r>
          </w:p>
        </w:tc>
        <w:tc>
          <w:tcPr>
            <w:tcW w:w="0" w:type="auto"/>
            <w:hideMark/>
          </w:tcPr>
          <w:p w14:paraId="00F4E2BA" w14:textId="77777777" w:rsidR="00563C7F" w:rsidRPr="00990396" w:rsidRDefault="00563C7F" w:rsidP="00004062">
            <w:pPr>
              <w:spacing w:line="240" w:lineRule="auto"/>
              <w:jc w:val="both"/>
              <w:rPr>
                <w:sz w:val="16"/>
                <w:szCs w:val="16"/>
              </w:rPr>
            </w:pPr>
            <w:r w:rsidRPr="00990396">
              <w:rPr>
                <w:sz w:val="16"/>
                <w:szCs w:val="16"/>
              </w:rPr>
              <w:lastRenderedPageBreak/>
              <w:t>Policy-uncertainty exposure</w:t>
            </w:r>
          </w:p>
        </w:tc>
        <w:tc>
          <w:tcPr>
            <w:tcW w:w="0" w:type="auto"/>
            <w:hideMark/>
          </w:tcPr>
          <w:p w14:paraId="4DAA9A04" w14:textId="77777777" w:rsidR="00563C7F" w:rsidRPr="00990396" w:rsidRDefault="00563C7F" w:rsidP="00004062">
            <w:pPr>
              <w:spacing w:line="240" w:lineRule="auto"/>
              <w:jc w:val="both"/>
              <w:rPr>
                <w:sz w:val="16"/>
                <w:szCs w:val="16"/>
              </w:rPr>
            </w:pPr>
            <w:r w:rsidRPr="00990396">
              <w:rPr>
                <w:rStyle w:val="Strong"/>
                <w:sz w:val="16"/>
                <w:szCs w:val="16"/>
              </w:rPr>
              <w:t>Adaptive market-risk capability</w:t>
            </w:r>
          </w:p>
        </w:tc>
      </w:tr>
      <w:tr w:rsidR="004F565E" w:rsidRPr="00990396" w14:paraId="7CD2031F" w14:textId="77777777" w:rsidTr="00480268">
        <w:tc>
          <w:tcPr>
            <w:tcW w:w="0" w:type="auto"/>
            <w:gridSpan w:val="6"/>
          </w:tcPr>
          <w:p w14:paraId="40183C67" w14:textId="4629DC57" w:rsidR="004F565E" w:rsidRPr="00990396" w:rsidRDefault="004F565E" w:rsidP="00004062">
            <w:pPr>
              <w:spacing w:line="240" w:lineRule="auto"/>
              <w:jc w:val="both"/>
              <w:rPr>
                <w:rStyle w:val="Strong"/>
                <w:sz w:val="16"/>
                <w:szCs w:val="16"/>
              </w:rPr>
            </w:pPr>
            <w:r w:rsidRPr="00990396">
              <w:rPr>
                <w:rStyle w:val="Strong"/>
                <w:noProof/>
                <w:sz w:val="16"/>
                <w:szCs w:val="16"/>
              </w:rPr>
              <w:drawing>
                <wp:inline distT="0" distB="0" distL="0" distR="0" wp14:anchorId="4EF6C3C1" wp14:editId="6BC0AE42">
                  <wp:extent cx="5731510" cy="65532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655320"/>
                          </a:xfrm>
                          <a:prstGeom prst="rect">
                            <a:avLst/>
                          </a:prstGeom>
                        </pic:spPr>
                      </pic:pic>
                    </a:graphicData>
                  </a:graphic>
                </wp:inline>
              </w:drawing>
            </w:r>
          </w:p>
        </w:tc>
      </w:tr>
      <w:tr w:rsidR="00563C7F" w:rsidRPr="00990396" w14:paraId="1EF1D8AE" w14:textId="77777777" w:rsidTr="00563C7F">
        <w:tc>
          <w:tcPr>
            <w:tcW w:w="0" w:type="auto"/>
            <w:hideMark/>
          </w:tcPr>
          <w:p w14:paraId="42685C40" w14:textId="77777777" w:rsidR="00563C7F" w:rsidRPr="00990396" w:rsidRDefault="00563C7F" w:rsidP="00004062">
            <w:pPr>
              <w:spacing w:line="240" w:lineRule="auto"/>
              <w:jc w:val="both"/>
              <w:rPr>
                <w:sz w:val="16"/>
                <w:szCs w:val="16"/>
              </w:rPr>
            </w:pPr>
            <w:proofErr w:type="spellStart"/>
            <w:r w:rsidRPr="00990396">
              <w:rPr>
                <w:rStyle w:val="Strong"/>
                <w:sz w:val="16"/>
                <w:szCs w:val="16"/>
              </w:rPr>
              <w:t>Hawach</w:t>
            </w:r>
            <w:proofErr w:type="spellEnd"/>
            <w:r w:rsidRPr="00990396">
              <w:rPr>
                <w:rStyle w:val="Strong"/>
                <w:sz w:val="16"/>
                <w:szCs w:val="16"/>
              </w:rPr>
              <w:t xml:space="preserve"> and Requejo (2025)</w:t>
            </w:r>
          </w:p>
        </w:tc>
        <w:tc>
          <w:tcPr>
            <w:tcW w:w="0" w:type="auto"/>
            <w:hideMark/>
          </w:tcPr>
          <w:p w14:paraId="38A7DF30" w14:textId="77777777" w:rsidR="00563C7F" w:rsidRPr="00990396" w:rsidRDefault="00563C7F" w:rsidP="00004062">
            <w:pPr>
              <w:spacing w:line="240" w:lineRule="auto"/>
              <w:jc w:val="both"/>
              <w:rPr>
                <w:sz w:val="16"/>
                <w:szCs w:val="16"/>
              </w:rPr>
            </w:pPr>
            <w:r w:rsidRPr="00990396">
              <w:rPr>
                <w:sz w:val="16"/>
                <w:szCs w:val="16"/>
              </w:rPr>
              <w:t>145,611 SMEs from 24 European countries, 2012–2021; longitudinal analysis of EPU and financial distress</w:t>
            </w:r>
          </w:p>
        </w:tc>
        <w:tc>
          <w:tcPr>
            <w:tcW w:w="0" w:type="auto"/>
            <w:hideMark/>
          </w:tcPr>
          <w:p w14:paraId="1B2A0969" w14:textId="7F31EE64" w:rsidR="00563C7F" w:rsidRPr="00990396" w:rsidRDefault="00563C7F" w:rsidP="00004062">
            <w:pPr>
              <w:spacing w:line="240" w:lineRule="auto"/>
              <w:jc w:val="both"/>
              <w:rPr>
                <w:sz w:val="16"/>
                <w:szCs w:val="16"/>
              </w:rPr>
            </w:pPr>
            <w:r w:rsidRPr="00990396">
              <w:rPr>
                <w:sz w:val="16"/>
                <w:szCs w:val="16"/>
              </w:rPr>
              <w:t xml:space="preserve">“SMEs' risk of financial distress rises with increasing EPU. Family ownership mitigates the positive effect of EPU on financial distress likelihood.” </w:t>
            </w:r>
          </w:p>
        </w:tc>
        <w:tc>
          <w:tcPr>
            <w:tcW w:w="0" w:type="auto"/>
            <w:hideMark/>
          </w:tcPr>
          <w:p w14:paraId="36B7B3DF" w14:textId="77777777" w:rsidR="00563C7F" w:rsidRPr="00990396" w:rsidRDefault="00563C7F" w:rsidP="00004062">
            <w:pPr>
              <w:spacing w:line="240" w:lineRule="auto"/>
              <w:jc w:val="both"/>
              <w:rPr>
                <w:sz w:val="16"/>
                <w:szCs w:val="16"/>
              </w:rPr>
            </w:pPr>
            <w:r w:rsidRPr="00990396">
              <w:rPr>
                <w:sz w:val="16"/>
                <w:szCs w:val="16"/>
              </w:rPr>
              <w:t>Greater policy uncertainty increases SME financial vulnerability, but internal organisational characteristics can reduce the extent to which external uncertainty produces financial distress.</w:t>
            </w:r>
          </w:p>
        </w:tc>
        <w:tc>
          <w:tcPr>
            <w:tcW w:w="0" w:type="auto"/>
            <w:hideMark/>
          </w:tcPr>
          <w:p w14:paraId="407C4ABA" w14:textId="77777777" w:rsidR="00563C7F" w:rsidRPr="00990396" w:rsidRDefault="00563C7F" w:rsidP="00004062">
            <w:pPr>
              <w:spacing w:line="240" w:lineRule="auto"/>
              <w:jc w:val="both"/>
              <w:rPr>
                <w:sz w:val="16"/>
                <w:szCs w:val="16"/>
              </w:rPr>
            </w:pPr>
            <w:r w:rsidRPr="00990396">
              <w:rPr>
                <w:sz w:val="16"/>
                <w:szCs w:val="16"/>
              </w:rPr>
              <w:t>Uncertainty-driven distress</w:t>
            </w:r>
          </w:p>
        </w:tc>
        <w:tc>
          <w:tcPr>
            <w:tcW w:w="0" w:type="auto"/>
            <w:hideMark/>
          </w:tcPr>
          <w:p w14:paraId="7B4B9DCE" w14:textId="77777777" w:rsidR="00563C7F" w:rsidRPr="00990396" w:rsidRDefault="00563C7F" w:rsidP="00004062">
            <w:pPr>
              <w:spacing w:line="240" w:lineRule="auto"/>
              <w:jc w:val="both"/>
              <w:rPr>
                <w:sz w:val="16"/>
                <w:szCs w:val="16"/>
              </w:rPr>
            </w:pPr>
            <w:r w:rsidRPr="00990396">
              <w:rPr>
                <w:rStyle w:val="Strong"/>
                <w:sz w:val="16"/>
                <w:szCs w:val="16"/>
              </w:rPr>
              <w:t>Adaptive market-risk capability</w:t>
            </w:r>
          </w:p>
        </w:tc>
      </w:tr>
      <w:tr w:rsidR="00563C7F" w:rsidRPr="00990396" w14:paraId="03FF5374" w14:textId="77777777" w:rsidTr="00563C7F">
        <w:tc>
          <w:tcPr>
            <w:tcW w:w="0" w:type="auto"/>
            <w:hideMark/>
          </w:tcPr>
          <w:p w14:paraId="3F1253F7" w14:textId="77777777" w:rsidR="00563C7F" w:rsidRPr="00990396" w:rsidRDefault="00563C7F" w:rsidP="00004062">
            <w:pPr>
              <w:spacing w:line="240" w:lineRule="auto"/>
              <w:jc w:val="both"/>
              <w:rPr>
                <w:sz w:val="16"/>
                <w:szCs w:val="16"/>
              </w:rPr>
            </w:pPr>
            <w:r w:rsidRPr="00990396">
              <w:rPr>
                <w:rStyle w:val="Strong"/>
                <w:sz w:val="16"/>
                <w:szCs w:val="16"/>
              </w:rPr>
              <w:t>Koroma and Bein (2024)</w:t>
            </w:r>
          </w:p>
        </w:tc>
        <w:tc>
          <w:tcPr>
            <w:tcW w:w="0" w:type="auto"/>
            <w:hideMark/>
          </w:tcPr>
          <w:p w14:paraId="3D2C12E2" w14:textId="77777777" w:rsidR="00563C7F" w:rsidRPr="00990396" w:rsidRDefault="00563C7F" w:rsidP="00004062">
            <w:pPr>
              <w:spacing w:line="240" w:lineRule="auto"/>
              <w:jc w:val="both"/>
              <w:rPr>
                <w:sz w:val="16"/>
                <w:szCs w:val="16"/>
              </w:rPr>
            </w:pPr>
            <w:r w:rsidRPr="00990396">
              <w:rPr>
                <w:sz w:val="16"/>
                <w:szCs w:val="16"/>
              </w:rPr>
              <w:t>199 UK listed non-financial companies, 2006–2021; fixed effects, random effects and two-step GMM</w:t>
            </w:r>
          </w:p>
        </w:tc>
        <w:tc>
          <w:tcPr>
            <w:tcW w:w="0" w:type="auto"/>
            <w:hideMark/>
          </w:tcPr>
          <w:p w14:paraId="5EDD2E02" w14:textId="6121F90E" w:rsidR="00563C7F" w:rsidRPr="00990396" w:rsidRDefault="00563C7F" w:rsidP="00004062">
            <w:pPr>
              <w:spacing w:line="240" w:lineRule="auto"/>
              <w:jc w:val="both"/>
              <w:rPr>
                <w:sz w:val="16"/>
                <w:szCs w:val="16"/>
              </w:rPr>
            </w:pPr>
            <w:r w:rsidRPr="00990396">
              <w:rPr>
                <w:sz w:val="16"/>
                <w:szCs w:val="16"/>
              </w:rPr>
              <w:t>“</w:t>
            </w:r>
            <w:proofErr w:type="gramStart"/>
            <w:r w:rsidRPr="00990396">
              <w:rPr>
                <w:sz w:val="16"/>
                <w:szCs w:val="16"/>
              </w:rPr>
              <w:t>interaction</w:t>
            </w:r>
            <w:proofErr w:type="gramEnd"/>
            <w:r w:rsidRPr="00990396">
              <w:rPr>
                <w:sz w:val="16"/>
                <w:szCs w:val="16"/>
              </w:rPr>
              <w:t xml:space="preserve"> variable (CCC × EPU) had a detrimental effect on profitability… weaker association between working capital and profitability during periods of high economic policy uncertainty.” </w:t>
            </w:r>
          </w:p>
        </w:tc>
        <w:tc>
          <w:tcPr>
            <w:tcW w:w="0" w:type="auto"/>
            <w:hideMark/>
          </w:tcPr>
          <w:p w14:paraId="663AEE9F" w14:textId="77777777" w:rsidR="00563C7F" w:rsidRPr="00990396" w:rsidRDefault="00563C7F" w:rsidP="00004062">
            <w:pPr>
              <w:spacing w:line="240" w:lineRule="auto"/>
              <w:jc w:val="both"/>
              <w:rPr>
                <w:sz w:val="16"/>
                <w:szCs w:val="16"/>
              </w:rPr>
            </w:pPr>
            <w:r w:rsidRPr="00990396">
              <w:rPr>
                <w:sz w:val="16"/>
                <w:szCs w:val="16"/>
              </w:rPr>
              <w:t>External policy uncertainty changes the effectiveness of internal working-capital management, demonstrating that liquidity and market risks interact rather than operating independently.</w:t>
            </w:r>
          </w:p>
        </w:tc>
        <w:tc>
          <w:tcPr>
            <w:tcW w:w="0" w:type="auto"/>
            <w:hideMark/>
          </w:tcPr>
          <w:p w14:paraId="7DE1392D" w14:textId="77777777" w:rsidR="00563C7F" w:rsidRPr="00990396" w:rsidRDefault="00563C7F" w:rsidP="00004062">
            <w:pPr>
              <w:spacing w:line="240" w:lineRule="auto"/>
              <w:jc w:val="both"/>
              <w:rPr>
                <w:sz w:val="16"/>
                <w:szCs w:val="16"/>
              </w:rPr>
            </w:pPr>
            <w:r w:rsidRPr="00990396">
              <w:rPr>
                <w:sz w:val="16"/>
                <w:szCs w:val="16"/>
              </w:rPr>
              <w:t>Market-liquidity interaction</w:t>
            </w:r>
          </w:p>
        </w:tc>
        <w:tc>
          <w:tcPr>
            <w:tcW w:w="0" w:type="auto"/>
            <w:hideMark/>
          </w:tcPr>
          <w:p w14:paraId="445B775F" w14:textId="77777777" w:rsidR="00563C7F" w:rsidRPr="00990396" w:rsidRDefault="00563C7F" w:rsidP="00004062">
            <w:pPr>
              <w:spacing w:line="240" w:lineRule="auto"/>
              <w:jc w:val="both"/>
              <w:rPr>
                <w:sz w:val="16"/>
                <w:szCs w:val="16"/>
              </w:rPr>
            </w:pPr>
            <w:r w:rsidRPr="00990396">
              <w:rPr>
                <w:rStyle w:val="Strong"/>
                <w:sz w:val="16"/>
                <w:szCs w:val="16"/>
              </w:rPr>
              <w:t>Adaptive market-risk capability</w:t>
            </w:r>
          </w:p>
        </w:tc>
      </w:tr>
      <w:tr w:rsidR="004F565E" w:rsidRPr="00990396" w14:paraId="3DA6AA20" w14:textId="77777777" w:rsidTr="000249C6">
        <w:tc>
          <w:tcPr>
            <w:tcW w:w="0" w:type="auto"/>
            <w:gridSpan w:val="6"/>
          </w:tcPr>
          <w:p w14:paraId="7F5D6989" w14:textId="207019FA" w:rsidR="004F565E" w:rsidRPr="00990396" w:rsidRDefault="004F565E" w:rsidP="00004062">
            <w:pPr>
              <w:spacing w:line="240" w:lineRule="auto"/>
              <w:jc w:val="both"/>
              <w:rPr>
                <w:rStyle w:val="Strong"/>
                <w:sz w:val="16"/>
                <w:szCs w:val="16"/>
              </w:rPr>
            </w:pPr>
            <w:r w:rsidRPr="00990396">
              <w:rPr>
                <w:rStyle w:val="Strong"/>
                <w:noProof/>
                <w:sz w:val="16"/>
                <w:szCs w:val="16"/>
              </w:rPr>
              <w:drawing>
                <wp:inline distT="0" distB="0" distL="0" distR="0" wp14:anchorId="07A148AA" wp14:editId="516D681D">
                  <wp:extent cx="5731510" cy="62928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1510" cy="629285"/>
                          </a:xfrm>
                          <a:prstGeom prst="rect">
                            <a:avLst/>
                          </a:prstGeom>
                        </pic:spPr>
                      </pic:pic>
                    </a:graphicData>
                  </a:graphic>
                </wp:inline>
              </w:drawing>
            </w:r>
          </w:p>
        </w:tc>
      </w:tr>
      <w:tr w:rsidR="00563C7F" w:rsidRPr="00990396" w14:paraId="52132981" w14:textId="77777777" w:rsidTr="00563C7F">
        <w:tc>
          <w:tcPr>
            <w:tcW w:w="0" w:type="auto"/>
            <w:hideMark/>
          </w:tcPr>
          <w:p w14:paraId="753137BE" w14:textId="77777777" w:rsidR="00563C7F" w:rsidRPr="00990396" w:rsidRDefault="00563C7F" w:rsidP="00004062">
            <w:pPr>
              <w:spacing w:line="240" w:lineRule="auto"/>
              <w:jc w:val="both"/>
              <w:rPr>
                <w:sz w:val="16"/>
                <w:szCs w:val="16"/>
              </w:rPr>
            </w:pPr>
            <w:proofErr w:type="spellStart"/>
            <w:r w:rsidRPr="00990396">
              <w:rPr>
                <w:rStyle w:val="Strong"/>
                <w:sz w:val="16"/>
                <w:szCs w:val="16"/>
              </w:rPr>
              <w:t>Tazhibayeva</w:t>
            </w:r>
            <w:proofErr w:type="spellEnd"/>
            <w:r w:rsidRPr="00990396">
              <w:rPr>
                <w:rStyle w:val="Strong"/>
                <w:sz w:val="16"/>
                <w:szCs w:val="16"/>
              </w:rPr>
              <w:t xml:space="preserve"> and </w:t>
            </w:r>
            <w:proofErr w:type="spellStart"/>
            <w:r w:rsidRPr="00990396">
              <w:rPr>
                <w:rStyle w:val="Strong"/>
                <w:sz w:val="16"/>
                <w:szCs w:val="16"/>
              </w:rPr>
              <w:t>Syzdykova</w:t>
            </w:r>
            <w:proofErr w:type="spellEnd"/>
            <w:r w:rsidRPr="00990396">
              <w:rPr>
                <w:rStyle w:val="Strong"/>
                <w:sz w:val="16"/>
                <w:szCs w:val="16"/>
              </w:rPr>
              <w:t xml:space="preserve"> (2026)</w:t>
            </w:r>
          </w:p>
        </w:tc>
        <w:tc>
          <w:tcPr>
            <w:tcW w:w="0" w:type="auto"/>
            <w:hideMark/>
          </w:tcPr>
          <w:p w14:paraId="7C347379" w14:textId="77777777" w:rsidR="00563C7F" w:rsidRPr="00990396" w:rsidRDefault="00563C7F" w:rsidP="00004062">
            <w:pPr>
              <w:spacing w:line="240" w:lineRule="auto"/>
              <w:jc w:val="both"/>
              <w:rPr>
                <w:sz w:val="16"/>
                <w:szCs w:val="16"/>
              </w:rPr>
            </w:pPr>
            <w:r w:rsidRPr="00990396">
              <w:rPr>
                <w:sz w:val="16"/>
                <w:szCs w:val="16"/>
              </w:rPr>
              <w:t>Kazakhstan SME manufacturing data, 2000–2023; ARDL analysis of exchange rates and oil prices</w:t>
            </w:r>
          </w:p>
        </w:tc>
        <w:tc>
          <w:tcPr>
            <w:tcW w:w="0" w:type="auto"/>
            <w:hideMark/>
          </w:tcPr>
          <w:p w14:paraId="033EE81D" w14:textId="77777777" w:rsidR="00563C7F" w:rsidRPr="00990396" w:rsidRDefault="00563C7F" w:rsidP="00004062">
            <w:pPr>
              <w:spacing w:line="240" w:lineRule="auto"/>
              <w:jc w:val="both"/>
              <w:rPr>
                <w:sz w:val="16"/>
                <w:szCs w:val="16"/>
              </w:rPr>
            </w:pPr>
            <w:r w:rsidRPr="00990396">
              <w:rPr>
                <w:rStyle w:val="Strong"/>
                <w:sz w:val="16"/>
                <w:szCs w:val="16"/>
              </w:rPr>
              <w:t>Abstract:</w:t>
            </w:r>
            <w:r w:rsidRPr="00990396">
              <w:rPr>
                <w:sz w:val="16"/>
                <w:szCs w:val="16"/>
              </w:rPr>
              <w:t xml:space="preserve"> “long-run analysis reveal[s] that the exchange rate has a significant and strong positive effect on SME manufacturing output.” </w:t>
            </w:r>
          </w:p>
        </w:tc>
        <w:tc>
          <w:tcPr>
            <w:tcW w:w="0" w:type="auto"/>
            <w:hideMark/>
          </w:tcPr>
          <w:p w14:paraId="1F5B5D74" w14:textId="77777777" w:rsidR="00563C7F" w:rsidRPr="00990396" w:rsidRDefault="00563C7F" w:rsidP="00004062">
            <w:pPr>
              <w:spacing w:line="240" w:lineRule="auto"/>
              <w:jc w:val="both"/>
              <w:rPr>
                <w:sz w:val="16"/>
                <w:szCs w:val="16"/>
              </w:rPr>
            </w:pPr>
            <w:r w:rsidRPr="00990396">
              <w:rPr>
                <w:sz w:val="16"/>
                <w:szCs w:val="16"/>
              </w:rPr>
              <w:t>Exchange-rate movements have significant long-term implications for SME manufacturing activity, demonstrating a pathway through which macroeconomic market conditions can influence performance.</w:t>
            </w:r>
          </w:p>
        </w:tc>
        <w:tc>
          <w:tcPr>
            <w:tcW w:w="0" w:type="auto"/>
            <w:hideMark/>
          </w:tcPr>
          <w:p w14:paraId="0F1CF879" w14:textId="77777777" w:rsidR="00563C7F" w:rsidRPr="00990396" w:rsidRDefault="00563C7F" w:rsidP="00004062">
            <w:pPr>
              <w:spacing w:line="240" w:lineRule="auto"/>
              <w:jc w:val="both"/>
              <w:rPr>
                <w:sz w:val="16"/>
                <w:szCs w:val="16"/>
              </w:rPr>
            </w:pPr>
            <w:r w:rsidRPr="00990396">
              <w:rPr>
                <w:sz w:val="16"/>
                <w:szCs w:val="16"/>
              </w:rPr>
              <w:t>Macroeconomic price exposure</w:t>
            </w:r>
          </w:p>
        </w:tc>
        <w:tc>
          <w:tcPr>
            <w:tcW w:w="0" w:type="auto"/>
            <w:hideMark/>
          </w:tcPr>
          <w:p w14:paraId="6574EF74" w14:textId="77777777" w:rsidR="00563C7F" w:rsidRPr="00990396" w:rsidRDefault="00563C7F" w:rsidP="00004062">
            <w:pPr>
              <w:spacing w:line="240" w:lineRule="auto"/>
              <w:jc w:val="both"/>
              <w:rPr>
                <w:sz w:val="16"/>
                <w:szCs w:val="16"/>
              </w:rPr>
            </w:pPr>
            <w:r w:rsidRPr="00990396">
              <w:rPr>
                <w:rStyle w:val="Strong"/>
                <w:sz w:val="16"/>
                <w:szCs w:val="16"/>
              </w:rPr>
              <w:t>Adaptive market-risk capability</w:t>
            </w:r>
          </w:p>
        </w:tc>
      </w:tr>
      <w:tr w:rsidR="004F565E" w:rsidRPr="00990396" w14:paraId="317EB82B" w14:textId="77777777" w:rsidTr="00AE571A">
        <w:tc>
          <w:tcPr>
            <w:tcW w:w="0" w:type="auto"/>
            <w:gridSpan w:val="6"/>
          </w:tcPr>
          <w:p w14:paraId="405900C1" w14:textId="261CF833" w:rsidR="004F565E" w:rsidRPr="00990396" w:rsidRDefault="004F565E" w:rsidP="00004062">
            <w:pPr>
              <w:spacing w:line="240" w:lineRule="auto"/>
              <w:jc w:val="both"/>
              <w:rPr>
                <w:rStyle w:val="Strong"/>
                <w:sz w:val="16"/>
                <w:szCs w:val="16"/>
              </w:rPr>
            </w:pPr>
            <w:r w:rsidRPr="00990396">
              <w:rPr>
                <w:rStyle w:val="Strong"/>
                <w:noProof/>
                <w:sz w:val="16"/>
                <w:szCs w:val="16"/>
              </w:rPr>
              <w:drawing>
                <wp:inline distT="0" distB="0" distL="0" distR="0" wp14:anchorId="406A8416" wp14:editId="515A0560">
                  <wp:extent cx="5731510" cy="1006475"/>
                  <wp:effectExtent l="0" t="0" r="254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1006475"/>
                          </a:xfrm>
                          <a:prstGeom prst="rect">
                            <a:avLst/>
                          </a:prstGeom>
                        </pic:spPr>
                      </pic:pic>
                    </a:graphicData>
                  </a:graphic>
                </wp:inline>
              </w:drawing>
            </w:r>
          </w:p>
        </w:tc>
      </w:tr>
      <w:tr w:rsidR="00563C7F" w:rsidRPr="00990396" w14:paraId="7504C7FC" w14:textId="77777777" w:rsidTr="00563C7F">
        <w:tc>
          <w:tcPr>
            <w:tcW w:w="0" w:type="auto"/>
            <w:hideMark/>
          </w:tcPr>
          <w:p w14:paraId="442C1713" w14:textId="77777777" w:rsidR="00563C7F" w:rsidRPr="00990396" w:rsidRDefault="00563C7F" w:rsidP="00004062">
            <w:pPr>
              <w:spacing w:line="240" w:lineRule="auto"/>
              <w:jc w:val="both"/>
              <w:rPr>
                <w:sz w:val="16"/>
                <w:szCs w:val="16"/>
              </w:rPr>
            </w:pPr>
            <w:r w:rsidRPr="00990396">
              <w:rPr>
                <w:rStyle w:val="Strong"/>
                <w:sz w:val="16"/>
                <w:szCs w:val="16"/>
              </w:rPr>
              <w:t>Akbar et al. (2021)</w:t>
            </w:r>
          </w:p>
        </w:tc>
        <w:tc>
          <w:tcPr>
            <w:tcW w:w="0" w:type="auto"/>
            <w:hideMark/>
          </w:tcPr>
          <w:p w14:paraId="6A7E0C3E" w14:textId="77777777" w:rsidR="00563C7F" w:rsidRPr="00990396" w:rsidRDefault="00563C7F" w:rsidP="00004062">
            <w:pPr>
              <w:spacing w:line="240" w:lineRule="auto"/>
              <w:jc w:val="both"/>
              <w:rPr>
                <w:sz w:val="16"/>
                <w:szCs w:val="16"/>
              </w:rPr>
            </w:pPr>
            <w:r w:rsidRPr="00990396">
              <w:rPr>
                <w:sz w:val="16"/>
                <w:szCs w:val="16"/>
              </w:rPr>
              <w:t>Pakistani listed firms across 12 industries, 2005–2014; system GMM</w:t>
            </w:r>
          </w:p>
        </w:tc>
        <w:tc>
          <w:tcPr>
            <w:tcW w:w="0" w:type="auto"/>
            <w:hideMark/>
          </w:tcPr>
          <w:p w14:paraId="00A88649" w14:textId="77777777" w:rsidR="00563C7F" w:rsidRPr="00990396" w:rsidRDefault="00563C7F" w:rsidP="00004062">
            <w:pPr>
              <w:spacing w:line="240" w:lineRule="auto"/>
              <w:jc w:val="both"/>
              <w:rPr>
                <w:sz w:val="16"/>
                <w:szCs w:val="16"/>
              </w:rPr>
            </w:pPr>
            <w:r w:rsidRPr="00990396">
              <w:rPr>
                <w:rStyle w:val="Strong"/>
                <w:sz w:val="16"/>
                <w:szCs w:val="16"/>
              </w:rPr>
              <w:t>Results:</w:t>
            </w:r>
            <w:r w:rsidRPr="00990396">
              <w:rPr>
                <w:sz w:val="16"/>
                <w:szCs w:val="16"/>
              </w:rPr>
              <w:t xml:space="preserve"> “firms with better cash positions were subject to lesser stock market volatility. In contrast, excess working capital… increased volatility in operating income.” </w:t>
            </w:r>
          </w:p>
        </w:tc>
        <w:tc>
          <w:tcPr>
            <w:tcW w:w="0" w:type="auto"/>
            <w:hideMark/>
          </w:tcPr>
          <w:p w14:paraId="5C34573D" w14:textId="77777777" w:rsidR="00563C7F" w:rsidRPr="00990396" w:rsidRDefault="00563C7F" w:rsidP="00004062">
            <w:pPr>
              <w:spacing w:line="240" w:lineRule="auto"/>
              <w:jc w:val="both"/>
              <w:rPr>
                <w:sz w:val="16"/>
                <w:szCs w:val="16"/>
              </w:rPr>
            </w:pPr>
            <w:r w:rsidRPr="00990396">
              <w:rPr>
                <w:sz w:val="16"/>
                <w:szCs w:val="16"/>
              </w:rPr>
              <w:t>Financial buffers can reduce market volatility, but excessive working capital may increase operating risk, demonstrating a trade-off between resilience and financial efficiency.</w:t>
            </w:r>
          </w:p>
        </w:tc>
        <w:tc>
          <w:tcPr>
            <w:tcW w:w="0" w:type="auto"/>
            <w:hideMark/>
          </w:tcPr>
          <w:p w14:paraId="5F03AC41" w14:textId="77777777" w:rsidR="00563C7F" w:rsidRPr="00990396" w:rsidRDefault="00563C7F" w:rsidP="00004062">
            <w:pPr>
              <w:spacing w:line="240" w:lineRule="auto"/>
              <w:jc w:val="both"/>
              <w:rPr>
                <w:sz w:val="16"/>
                <w:szCs w:val="16"/>
              </w:rPr>
            </w:pPr>
            <w:r w:rsidRPr="00990396">
              <w:rPr>
                <w:sz w:val="16"/>
                <w:szCs w:val="16"/>
              </w:rPr>
              <w:t>Financial buffer against volatility</w:t>
            </w:r>
          </w:p>
        </w:tc>
        <w:tc>
          <w:tcPr>
            <w:tcW w:w="0" w:type="auto"/>
            <w:hideMark/>
          </w:tcPr>
          <w:p w14:paraId="2AF430E7" w14:textId="77777777" w:rsidR="00563C7F" w:rsidRPr="00990396" w:rsidRDefault="00563C7F" w:rsidP="00004062">
            <w:pPr>
              <w:spacing w:line="240" w:lineRule="auto"/>
              <w:jc w:val="both"/>
              <w:rPr>
                <w:sz w:val="16"/>
                <w:szCs w:val="16"/>
              </w:rPr>
            </w:pPr>
            <w:r w:rsidRPr="00990396">
              <w:rPr>
                <w:rStyle w:val="Strong"/>
                <w:sz w:val="16"/>
                <w:szCs w:val="16"/>
              </w:rPr>
              <w:t>Adaptive market-risk capability</w:t>
            </w:r>
          </w:p>
        </w:tc>
      </w:tr>
      <w:tr w:rsidR="004F565E" w:rsidRPr="00990396" w14:paraId="4E3ABF41" w14:textId="77777777" w:rsidTr="00456644">
        <w:tc>
          <w:tcPr>
            <w:tcW w:w="0" w:type="auto"/>
            <w:gridSpan w:val="6"/>
          </w:tcPr>
          <w:p w14:paraId="7C651DF2" w14:textId="71D951F8" w:rsidR="004F565E" w:rsidRPr="00990396" w:rsidRDefault="004F565E" w:rsidP="00004062">
            <w:pPr>
              <w:spacing w:line="240" w:lineRule="auto"/>
              <w:jc w:val="both"/>
              <w:rPr>
                <w:rStyle w:val="Strong"/>
                <w:sz w:val="16"/>
                <w:szCs w:val="16"/>
              </w:rPr>
            </w:pPr>
            <w:r w:rsidRPr="00990396">
              <w:rPr>
                <w:rStyle w:val="Strong"/>
                <w:noProof/>
                <w:sz w:val="16"/>
                <w:szCs w:val="16"/>
              </w:rPr>
              <w:drawing>
                <wp:inline distT="0" distB="0" distL="0" distR="0" wp14:anchorId="392A83D1" wp14:editId="2F0FB1FB">
                  <wp:extent cx="5731510" cy="55308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553085"/>
                          </a:xfrm>
                          <a:prstGeom prst="rect">
                            <a:avLst/>
                          </a:prstGeom>
                        </pic:spPr>
                      </pic:pic>
                    </a:graphicData>
                  </a:graphic>
                </wp:inline>
              </w:drawing>
            </w:r>
          </w:p>
        </w:tc>
      </w:tr>
    </w:tbl>
    <w:p w14:paraId="085ED459" w14:textId="7DB835D7" w:rsidR="00004062" w:rsidRDefault="00004062" w:rsidP="00990396">
      <w:pPr>
        <w:jc w:val="both"/>
      </w:pPr>
    </w:p>
    <w:p w14:paraId="1EF66F92" w14:textId="77777777" w:rsidR="00004062" w:rsidRDefault="00004062">
      <w:pPr>
        <w:spacing w:line="259" w:lineRule="auto"/>
      </w:pPr>
      <w:r>
        <w:lastRenderedPageBreak/>
        <w:br w:type="page"/>
      </w:r>
    </w:p>
    <w:p w14:paraId="29DC265B" w14:textId="7D95F2EC" w:rsidR="00137AE8" w:rsidRDefault="00004062" w:rsidP="00004062">
      <w:pPr>
        <w:pStyle w:val="Heading1"/>
        <w:numPr>
          <w:ilvl w:val="0"/>
          <w:numId w:val="0"/>
        </w:numPr>
        <w:ind w:left="432"/>
      </w:pPr>
      <w:bookmarkStart w:id="70" w:name="_Toc241147050"/>
      <w:r>
        <w:lastRenderedPageBreak/>
        <w:t>APPENDIX D: ETHICAL APPROVAL</w:t>
      </w:r>
      <w:bookmarkEnd w:id="70"/>
    </w:p>
    <w:p w14:paraId="7491AE8D" w14:textId="77777777" w:rsidR="005F4E12" w:rsidRDefault="005F4E12" w:rsidP="005F4E12">
      <w:pPr>
        <w:tabs>
          <w:tab w:val="left" w:pos="5103"/>
        </w:tabs>
        <w:jc w:val="center"/>
        <w:rPr>
          <w:rFonts w:ascii="Arial" w:hAnsi="Arial" w:cs="Arial"/>
          <w:b/>
          <w:bCs/>
          <w:sz w:val="24"/>
          <w:szCs w:val="24"/>
        </w:rPr>
      </w:pPr>
    </w:p>
    <w:p w14:paraId="13E25255" w14:textId="77777777" w:rsidR="005F4E12" w:rsidRPr="004C3A0B" w:rsidRDefault="005F4E12" w:rsidP="005F4E12">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C7D4B23" w14:textId="77777777" w:rsidR="005F4E12" w:rsidRPr="004C3A0B" w:rsidRDefault="005F4E12" w:rsidP="005F4E12">
      <w:pPr>
        <w:tabs>
          <w:tab w:val="left" w:pos="5103"/>
        </w:tabs>
        <w:ind w:right="282"/>
        <w:jc w:val="center"/>
        <w:rPr>
          <w:rFonts w:ascii="Arial" w:hAnsi="Arial" w:cs="Arial"/>
          <w:b/>
          <w:bCs/>
        </w:rPr>
      </w:pPr>
    </w:p>
    <w:p w14:paraId="1DB869C4" w14:textId="77777777" w:rsidR="005F4E12" w:rsidRPr="004C3A0B" w:rsidRDefault="005F4E12" w:rsidP="005F4E12">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w:t>
      </w:r>
    </w:p>
    <w:p w14:paraId="46BE34FB" w14:textId="77777777" w:rsidR="005F4E12" w:rsidRPr="004C3A0B" w:rsidRDefault="005F4E12" w:rsidP="005F4E12">
      <w:pPr>
        <w:tabs>
          <w:tab w:val="left" w:pos="5103"/>
        </w:tabs>
        <w:ind w:right="282"/>
        <w:jc w:val="center"/>
        <w:rPr>
          <w:rFonts w:ascii="Arial" w:hAnsi="Arial" w:cs="Arial"/>
          <w:b/>
          <w:bCs/>
          <w:sz w:val="16"/>
          <w:szCs w:val="16"/>
        </w:rPr>
      </w:pPr>
    </w:p>
    <w:p w14:paraId="0A03648B" w14:textId="77777777" w:rsidR="005F4E12" w:rsidRPr="004C3A0B" w:rsidRDefault="005F4E12" w:rsidP="005F4E12">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F34D66D" w14:textId="77777777" w:rsidR="005F4E12" w:rsidRPr="004C3A0B" w:rsidRDefault="005F4E12" w:rsidP="005F4E12">
      <w:pPr>
        <w:tabs>
          <w:tab w:val="left" w:pos="5103"/>
        </w:tabs>
        <w:ind w:right="282"/>
        <w:jc w:val="both"/>
        <w:rPr>
          <w:rFonts w:ascii="Arial" w:hAnsi="Arial" w:cs="Arial"/>
        </w:rPr>
      </w:pPr>
    </w:p>
    <w:p w14:paraId="6912FAB2" w14:textId="77777777" w:rsidR="005F4E12" w:rsidRPr="004C3A0B" w:rsidRDefault="005F4E12" w:rsidP="005F4E12">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18287C79" w14:textId="77777777" w:rsidR="005F4E12" w:rsidRPr="004C3A0B" w:rsidRDefault="005F4E12" w:rsidP="005F4E12">
      <w:pPr>
        <w:tabs>
          <w:tab w:val="left" w:pos="5103"/>
        </w:tabs>
        <w:ind w:right="282"/>
        <w:jc w:val="both"/>
        <w:rPr>
          <w:rFonts w:ascii="Arial" w:hAnsi="Arial" w:cs="Arial"/>
        </w:rPr>
      </w:pPr>
    </w:p>
    <w:p w14:paraId="643BE075" w14:textId="77777777" w:rsidR="005F4E12" w:rsidRDefault="005F4E12" w:rsidP="005F4E12">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w:t>
      </w:r>
    </w:p>
    <w:p w14:paraId="681ED2AD" w14:textId="77777777" w:rsidR="005F4E12" w:rsidRPr="004C3A0B" w:rsidRDefault="005F4E12" w:rsidP="005F4E12">
      <w:pPr>
        <w:autoSpaceDE w:val="0"/>
        <w:autoSpaceDN w:val="0"/>
        <w:adjustRightInd w:val="0"/>
        <w:jc w:val="both"/>
        <w:rPr>
          <w:rFonts w:ascii="Arial" w:hAnsi="Arial" w:cs="Arial"/>
        </w:rPr>
      </w:pPr>
    </w:p>
    <w:p w14:paraId="01851F74" w14:textId="77777777" w:rsidR="005F4E12" w:rsidRPr="004C3A0B" w:rsidRDefault="005F4E12" w:rsidP="005F4E12">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F4E12" w:rsidRPr="004C3A0B" w14:paraId="712E2629" w14:textId="77777777" w:rsidTr="00A555F0">
        <w:trPr>
          <w:trHeight w:val="439"/>
        </w:trPr>
        <w:tc>
          <w:tcPr>
            <w:tcW w:w="559" w:type="dxa"/>
            <w:shd w:val="clear" w:color="auto" w:fill="F2F2F2" w:themeFill="background1" w:themeFillShade="F2"/>
            <w:vAlign w:val="center"/>
          </w:tcPr>
          <w:p w14:paraId="6B144821" w14:textId="77777777" w:rsidR="005F4E12" w:rsidRPr="004C3A0B" w:rsidRDefault="005F4E12" w:rsidP="00A555F0">
            <w:pPr>
              <w:rPr>
                <w:rFonts w:ascii="Arial" w:hAnsi="Arial" w:cs="Arial"/>
              </w:rPr>
            </w:pPr>
            <w:r>
              <w:rPr>
                <w:rFonts w:ascii="Arial" w:hAnsi="Arial" w:cs="Arial"/>
              </w:rPr>
              <w:t>1</w:t>
            </w:r>
          </w:p>
        </w:tc>
        <w:tc>
          <w:tcPr>
            <w:tcW w:w="3253" w:type="dxa"/>
            <w:shd w:val="clear" w:color="auto" w:fill="F2F2F2" w:themeFill="background1" w:themeFillShade="F2"/>
            <w:vAlign w:val="center"/>
          </w:tcPr>
          <w:p w14:paraId="04201387" w14:textId="77777777" w:rsidR="005F4E12" w:rsidRPr="004C3A0B" w:rsidRDefault="005F4E12" w:rsidP="00A555F0">
            <w:pPr>
              <w:rPr>
                <w:rFonts w:ascii="Arial" w:hAnsi="Arial" w:cs="Arial"/>
              </w:rPr>
            </w:pPr>
            <w:r w:rsidRPr="004C3A0B">
              <w:rPr>
                <w:rFonts w:ascii="Arial" w:hAnsi="Arial" w:cs="Arial"/>
              </w:rPr>
              <w:t>Full Name:</w:t>
            </w:r>
          </w:p>
        </w:tc>
        <w:tc>
          <w:tcPr>
            <w:tcW w:w="6636" w:type="dxa"/>
            <w:vAlign w:val="center"/>
          </w:tcPr>
          <w:p w14:paraId="5D99D285" w14:textId="77777777" w:rsidR="005F4E12" w:rsidRPr="004C3A0B" w:rsidRDefault="005F4E12" w:rsidP="00A555F0">
            <w:pPr>
              <w:rPr>
                <w:rFonts w:ascii="Arial" w:hAnsi="Arial" w:cs="Arial"/>
              </w:rPr>
            </w:pPr>
            <w:r w:rsidRPr="00935A0E">
              <w:rPr>
                <w:rFonts w:ascii="Arial" w:hAnsi="Arial" w:cs="Arial"/>
              </w:rPr>
              <w:t>Roshan Lal</w:t>
            </w:r>
          </w:p>
        </w:tc>
      </w:tr>
      <w:tr w:rsidR="005F4E12" w:rsidRPr="004C3A0B" w14:paraId="7F7C3C41" w14:textId="77777777" w:rsidTr="00A555F0">
        <w:trPr>
          <w:cantSplit/>
          <w:trHeight w:val="340"/>
        </w:trPr>
        <w:tc>
          <w:tcPr>
            <w:tcW w:w="559" w:type="dxa"/>
            <w:shd w:val="clear" w:color="auto" w:fill="F2F2F2" w:themeFill="background1" w:themeFillShade="F2"/>
            <w:vAlign w:val="center"/>
          </w:tcPr>
          <w:p w14:paraId="127AD7AD" w14:textId="77777777" w:rsidR="005F4E12" w:rsidRPr="004C3A0B" w:rsidRDefault="005F4E12" w:rsidP="00A555F0">
            <w:pPr>
              <w:rPr>
                <w:rFonts w:ascii="Arial" w:hAnsi="Arial" w:cs="Arial"/>
              </w:rPr>
            </w:pPr>
            <w:r>
              <w:rPr>
                <w:rFonts w:ascii="Arial" w:hAnsi="Arial" w:cs="Arial"/>
              </w:rPr>
              <w:t>2</w:t>
            </w:r>
          </w:p>
        </w:tc>
        <w:tc>
          <w:tcPr>
            <w:tcW w:w="3253" w:type="dxa"/>
            <w:shd w:val="clear" w:color="auto" w:fill="F2F2F2" w:themeFill="background1" w:themeFillShade="F2"/>
            <w:vAlign w:val="center"/>
          </w:tcPr>
          <w:p w14:paraId="0DB0C72A" w14:textId="77777777" w:rsidR="005F4E12" w:rsidRPr="004C3A0B" w:rsidRDefault="005F4E12" w:rsidP="00A555F0">
            <w:pPr>
              <w:rPr>
                <w:rFonts w:ascii="Arial" w:hAnsi="Arial" w:cs="Arial"/>
              </w:rPr>
            </w:pPr>
            <w:r>
              <w:rPr>
                <w:rFonts w:ascii="Arial" w:hAnsi="Arial" w:cs="Arial"/>
              </w:rPr>
              <w:t>Student Number:</w:t>
            </w:r>
          </w:p>
        </w:tc>
        <w:tc>
          <w:tcPr>
            <w:tcW w:w="6636" w:type="dxa"/>
            <w:vAlign w:val="center"/>
          </w:tcPr>
          <w:p w14:paraId="51D55C64" w14:textId="77777777" w:rsidR="005F4E12" w:rsidRDefault="005F4E12" w:rsidP="00A555F0">
            <w:pPr>
              <w:rPr>
                <w:rFonts w:ascii="Arial" w:hAnsi="Arial" w:cs="Arial"/>
              </w:rPr>
            </w:pPr>
          </w:p>
          <w:p w14:paraId="014642C5" w14:textId="77777777" w:rsidR="005F4E12" w:rsidRPr="004C3A0B" w:rsidRDefault="005F4E12" w:rsidP="00A555F0">
            <w:pPr>
              <w:rPr>
                <w:rFonts w:ascii="Arial" w:hAnsi="Arial" w:cs="Arial"/>
              </w:rPr>
            </w:pPr>
            <w:r w:rsidRPr="00935A0E">
              <w:rPr>
                <w:rFonts w:ascii="Arial" w:hAnsi="Arial" w:cs="Arial"/>
              </w:rPr>
              <w:t>2430265</w:t>
            </w:r>
          </w:p>
        </w:tc>
      </w:tr>
      <w:tr w:rsidR="005F4E12" w:rsidRPr="004C3A0B" w14:paraId="100CFF1F" w14:textId="77777777" w:rsidTr="00A555F0">
        <w:trPr>
          <w:trHeight w:val="513"/>
        </w:trPr>
        <w:tc>
          <w:tcPr>
            <w:tcW w:w="559" w:type="dxa"/>
            <w:shd w:val="clear" w:color="auto" w:fill="F2F2F2" w:themeFill="background1" w:themeFillShade="F2"/>
            <w:vAlign w:val="center"/>
          </w:tcPr>
          <w:p w14:paraId="5C208EC3" w14:textId="77777777" w:rsidR="005F4E12" w:rsidRPr="004C3A0B" w:rsidRDefault="005F4E12" w:rsidP="00A555F0">
            <w:pPr>
              <w:rPr>
                <w:rFonts w:ascii="Arial" w:hAnsi="Arial" w:cs="Arial"/>
              </w:rPr>
            </w:pPr>
            <w:r>
              <w:rPr>
                <w:rFonts w:ascii="Arial" w:hAnsi="Arial" w:cs="Arial"/>
              </w:rPr>
              <w:t>3</w:t>
            </w:r>
          </w:p>
        </w:tc>
        <w:tc>
          <w:tcPr>
            <w:tcW w:w="3253" w:type="dxa"/>
            <w:shd w:val="clear" w:color="auto" w:fill="F2F2F2" w:themeFill="background1" w:themeFillShade="F2"/>
            <w:vAlign w:val="center"/>
          </w:tcPr>
          <w:p w14:paraId="6811ABAD" w14:textId="77777777" w:rsidR="005F4E12" w:rsidRPr="004C3A0B" w:rsidRDefault="005F4E12" w:rsidP="00A555F0">
            <w:pPr>
              <w:rPr>
                <w:rFonts w:ascii="Arial" w:hAnsi="Arial" w:cs="Arial"/>
              </w:rPr>
            </w:pPr>
            <w:r>
              <w:rPr>
                <w:rFonts w:ascii="Arial" w:hAnsi="Arial" w:cs="Arial"/>
              </w:rPr>
              <w:t>Email address</w:t>
            </w:r>
            <w:r w:rsidRPr="004C3A0B">
              <w:rPr>
                <w:rFonts w:ascii="Arial" w:hAnsi="Arial" w:cs="Arial"/>
              </w:rPr>
              <w:t>:</w:t>
            </w:r>
          </w:p>
        </w:tc>
        <w:tc>
          <w:tcPr>
            <w:tcW w:w="6636" w:type="dxa"/>
            <w:vAlign w:val="center"/>
          </w:tcPr>
          <w:p w14:paraId="08F3E7B7" w14:textId="77777777" w:rsidR="005F4E12" w:rsidRPr="004C3A0B" w:rsidRDefault="005F4E12" w:rsidP="00A555F0">
            <w:pPr>
              <w:rPr>
                <w:rFonts w:ascii="Arial" w:hAnsi="Arial" w:cs="Arial"/>
              </w:rPr>
            </w:pPr>
            <w:hyperlink r:id="rId70" w:history="1">
              <w:r w:rsidRPr="0084647A">
                <w:rPr>
                  <w:rStyle w:val="Hyperlink"/>
                  <w:rFonts w:ascii="Arial" w:hAnsi="Arial" w:cs="Arial"/>
                </w:rPr>
                <w:t>2430265@student.uwtsd.ac.uk</w:t>
              </w:r>
            </w:hyperlink>
            <w:r>
              <w:rPr>
                <w:rFonts w:ascii="Arial" w:hAnsi="Arial" w:cs="Arial"/>
              </w:rPr>
              <w:t xml:space="preserve"> </w:t>
            </w:r>
          </w:p>
        </w:tc>
      </w:tr>
      <w:tr w:rsidR="005F4E12" w:rsidRPr="004C3A0B" w14:paraId="343DE791" w14:textId="77777777" w:rsidTr="00A555F0">
        <w:trPr>
          <w:trHeight w:val="549"/>
        </w:trPr>
        <w:tc>
          <w:tcPr>
            <w:tcW w:w="559" w:type="dxa"/>
            <w:shd w:val="clear" w:color="auto" w:fill="F2F2F2" w:themeFill="background1" w:themeFillShade="F2"/>
            <w:vAlign w:val="center"/>
          </w:tcPr>
          <w:p w14:paraId="5DA3FF1C" w14:textId="77777777" w:rsidR="005F4E12" w:rsidRPr="004C3A0B" w:rsidRDefault="005F4E12" w:rsidP="00A555F0">
            <w:pPr>
              <w:rPr>
                <w:rFonts w:ascii="Arial" w:hAnsi="Arial" w:cs="Arial"/>
              </w:rPr>
            </w:pPr>
            <w:r>
              <w:rPr>
                <w:rFonts w:ascii="Arial" w:hAnsi="Arial" w:cs="Arial"/>
              </w:rPr>
              <w:t>4</w:t>
            </w:r>
          </w:p>
        </w:tc>
        <w:tc>
          <w:tcPr>
            <w:tcW w:w="3253" w:type="dxa"/>
            <w:shd w:val="clear" w:color="auto" w:fill="F2F2F2" w:themeFill="background1" w:themeFillShade="F2"/>
            <w:vAlign w:val="center"/>
          </w:tcPr>
          <w:p w14:paraId="777EAD82" w14:textId="77777777" w:rsidR="005F4E12" w:rsidRPr="004C3A0B" w:rsidRDefault="005F4E12" w:rsidP="00A555F0">
            <w:pPr>
              <w:rPr>
                <w:rFonts w:ascii="Arial" w:hAnsi="Arial" w:cs="Arial"/>
              </w:rPr>
            </w:pPr>
            <w:r w:rsidRPr="004C3A0B">
              <w:rPr>
                <w:rFonts w:ascii="Arial" w:hAnsi="Arial" w:cs="Arial"/>
              </w:rPr>
              <w:t>Programme of Study:</w:t>
            </w:r>
          </w:p>
        </w:tc>
        <w:tc>
          <w:tcPr>
            <w:tcW w:w="6636" w:type="dxa"/>
            <w:vAlign w:val="center"/>
          </w:tcPr>
          <w:p w14:paraId="51D35A59" w14:textId="77777777" w:rsidR="005F4E12" w:rsidRPr="004C3A0B" w:rsidRDefault="005F4E12" w:rsidP="00A555F0">
            <w:pPr>
              <w:rPr>
                <w:rFonts w:ascii="Arial" w:hAnsi="Arial" w:cs="Arial"/>
              </w:rPr>
            </w:pPr>
            <w:r w:rsidRPr="00935A0E">
              <w:rPr>
                <w:rFonts w:ascii="Arial" w:hAnsi="Arial" w:cs="Arial"/>
              </w:rPr>
              <w:t>MBA International Business</w:t>
            </w:r>
          </w:p>
        </w:tc>
      </w:tr>
      <w:tr w:rsidR="005F4E12" w:rsidRPr="004C3A0B" w14:paraId="05963B31" w14:textId="77777777" w:rsidTr="00A555F0">
        <w:trPr>
          <w:trHeight w:val="557"/>
        </w:trPr>
        <w:tc>
          <w:tcPr>
            <w:tcW w:w="559" w:type="dxa"/>
            <w:shd w:val="clear" w:color="auto" w:fill="F2F2F2" w:themeFill="background1" w:themeFillShade="F2"/>
            <w:vAlign w:val="center"/>
          </w:tcPr>
          <w:p w14:paraId="45E97A58" w14:textId="77777777" w:rsidR="005F4E12" w:rsidRPr="004C3A0B" w:rsidRDefault="005F4E12" w:rsidP="00A555F0">
            <w:pPr>
              <w:rPr>
                <w:rFonts w:ascii="Arial" w:hAnsi="Arial" w:cs="Arial"/>
              </w:rPr>
            </w:pPr>
            <w:r>
              <w:rPr>
                <w:rFonts w:ascii="Arial" w:hAnsi="Arial" w:cs="Arial"/>
              </w:rPr>
              <w:t>5</w:t>
            </w:r>
          </w:p>
        </w:tc>
        <w:tc>
          <w:tcPr>
            <w:tcW w:w="3253" w:type="dxa"/>
            <w:shd w:val="clear" w:color="auto" w:fill="F2F2F2" w:themeFill="background1" w:themeFillShade="F2"/>
            <w:vAlign w:val="center"/>
          </w:tcPr>
          <w:p w14:paraId="2907658D" w14:textId="77777777" w:rsidR="005F4E12" w:rsidRPr="004C3A0B" w:rsidRDefault="005F4E12" w:rsidP="00A555F0">
            <w:pPr>
              <w:rPr>
                <w:rFonts w:ascii="Arial" w:hAnsi="Arial" w:cs="Arial"/>
              </w:rPr>
            </w:pPr>
            <w:r w:rsidRPr="004C3A0B">
              <w:rPr>
                <w:rFonts w:ascii="Arial" w:hAnsi="Arial" w:cs="Arial"/>
              </w:rPr>
              <w:t>Supervisor:</w:t>
            </w:r>
          </w:p>
        </w:tc>
        <w:tc>
          <w:tcPr>
            <w:tcW w:w="6636" w:type="dxa"/>
            <w:vAlign w:val="center"/>
          </w:tcPr>
          <w:p w14:paraId="1BCF9510" w14:textId="77777777" w:rsidR="005F4E12" w:rsidRPr="004C3A0B" w:rsidRDefault="005F4E12" w:rsidP="00A555F0">
            <w:pPr>
              <w:rPr>
                <w:rFonts w:ascii="Arial" w:hAnsi="Arial" w:cs="Arial"/>
              </w:rPr>
            </w:pPr>
            <w:r w:rsidRPr="00935A0E">
              <w:rPr>
                <w:rFonts w:ascii="Arial" w:hAnsi="Arial" w:cs="Arial"/>
              </w:rPr>
              <w:t>Shahrukh Irfan</w:t>
            </w:r>
          </w:p>
        </w:tc>
      </w:tr>
    </w:tbl>
    <w:p w14:paraId="6F697900" w14:textId="77777777" w:rsidR="005F4E12" w:rsidRDefault="005F4E12" w:rsidP="005F4E12">
      <w:pPr>
        <w:autoSpaceDE w:val="0"/>
        <w:autoSpaceDN w:val="0"/>
        <w:adjustRightInd w:val="0"/>
        <w:spacing w:after="240"/>
        <w:jc w:val="both"/>
        <w:rPr>
          <w:rFonts w:ascii="Arial" w:hAnsi="Arial" w:cs="Arial"/>
          <w:b/>
        </w:rPr>
      </w:pPr>
    </w:p>
    <w:p w14:paraId="3C53E9AA" w14:textId="77777777" w:rsidR="005F4E12" w:rsidRPr="004C3A0B" w:rsidRDefault="005F4E12" w:rsidP="005F4E12">
      <w:pPr>
        <w:autoSpaceDE w:val="0"/>
        <w:autoSpaceDN w:val="0"/>
        <w:adjustRightInd w:val="0"/>
        <w:spacing w:after="240"/>
        <w:jc w:val="both"/>
        <w:rPr>
          <w:rFonts w:ascii="Arial" w:hAnsi="Arial" w:cs="Arial"/>
          <w:b/>
        </w:rPr>
      </w:pPr>
      <w:r w:rsidRPr="004C3A0B">
        <w:rPr>
          <w:rFonts w:ascii="Arial" w:hAnsi="Arial" w:cs="Arial"/>
          <w:b/>
        </w:rPr>
        <w:t>SECTION</w:t>
      </w:r>
      <w:r>
        <w:rPr>
          <w:rFonts w:ascii="Arial" w:hAnsi="Arial" w:cs="Arial"/>
          <w:b/>
        </w:rPr>
        <w:t xml:space="preserve"> B</w:t>
      </w:r>
      <w:r w:rsidRPr="004C3A0B">
        <w:rPr>
          <w:rFonts w:ascii="Arial" w:hAnsi="Arial" w:cs="Arial"/>
          <w:b/>
        </w:rPr>
        <w:t xml:space="preserve">: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5F4E12" w:rsidRPr="004C3A0B" w14:paraId="179BD048" w14:textId="77777777" w:rsidTr="00A555F0">
        <w:tc>
          <w:tcPr>
            <w:tcW w:w="562" w:type="dxa"/>
            <w:shd w:val="clear" w:color="auto" w:fill="F2F2F2" w:themeFill="background1" w:themeFillShade="F2"/>
          </w:tcPr>
          <w:p w14:paraId="7A37F18D" w14:textId="77777777" w:rsidR="005F4E12" w:rsidRPr="004C3A0B" w:rsidRDefault="005F4E12" w:rsidP="00A555F0">
            <w:pPr>
              <w:autoSpaceDE w:val="0"/>
              <w:autoSpaceDN w:val="0"/>
              <w:adjustRightInd w:val="0"/>
              <w:rPr>
                <w:rFonts w:ascii="Arial" w:hAnsi="Arial" w:cs="Arial"/>
              </w:rPr>
            </w:pPr>
          </w:p>
        </w:tc>
        <w:tc>
          <w:tcPr>
            <w:tcW w:w="9918" w:type="dxa"/>
            <w:gridSpan w:val="2"/>
            <w:shd w:val="clear" w:color="auto" w:fill="F2F2F2" w:themeFill="background1" w:themeFillShade="F2"/>
          </w:tcPr>
          <w:p w14:paraId="4F3AA369"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5F4E12" w:rsidRPr="004C3A0B" w14:paraId="772510AA" w14:textId="77777777" w:rsidTr="00A555F0">
        <w:trPr>
          <w:trHeight w:val="355"/>
        </w:trPr>
        <w:tc>
          <w:tcPr>
            <w:tcW w:w="562" w:type="dxa"/>
            <w:vAlign w:val="center"/>
          </w:tcPr>
          <w:p w14:paraId="4F922B87" w14:textId="77777777" w:rsidR="005F4E12" w:rsidRPr="002132F9" w:rsidRDefault="005F4E12" w:rsidP="00A555F0">
            <w:pPr>
              <w:autoSpaceDE w:val="0"/>
              <w:autoSpaceDN w:val="0"/>
              <w:adjustRightInd w:val="0"/>
              <w:rPr>
                <w:rFonts w:ascii="Arial" w:hAnsi="Arial" w:cs="Arial"/>
              </w:rPr>
            </w:pPr>
            <w:r w:rsidRPr="002132F9">
              <w:rPr>
                <w:rFonts w:ascii="Arial" w:hAnsi="Arial" w:cs="Arial"/>
              </w:rPr>
              <w:t>1</w:t>
            </w:r>
          </w:p>
        </w:tc>
        <w:tc>
          <w:tcPr>
            <w:tcW w:w="8784" w:type="dxa"/>
            <w:vAlign w:val="center"/>
          </w:tcPr>
          <w:p w14:paraId="359CBDEC" w14:textId="77777777" w:rsidR="005F4E12" w:rsidRPr="003F6F7B" w:rsidRDefault="005F4E12" w:rsidP="00A555F0">
            <w:pPr>
              <w:autoSpaceDE w:val="0"/>
              <w:autoSpaceDN w:val="0"/>
              <w:adjustRightInd w:val="0"/>
              <w:rPr>
                <w:rFonts w:ascii="Arial" w:hAnsi="Arial" w:cs="Arial"/>
                <w:b/>
                <w:bCs/>
              </w:rPr>
            </w:pPr>
            <w:hyperlink r:id="rId71" w:history="1">
              <w:r w:rsidRPr="005704BE">
                <w:rPr>
                  <w:rStyle w:val="Hyperlink"/>
                  <w:rFonts w:ascii="Arial" w:hAnsi="Arial" w:cs="Arial"/>
                  <w:b/>
                  <w:bCs/>
                  <w:color w:val="auto"/>
                  <w:u w:val="none"/>
                </w:rPr>
                <w:t>UWTSD Research Ethi</w:t>
              </w:r>
              <w:r>
                <w:rPr>
                  <w:rStyle w:val="Hyperlink"/>
                  <w:rFonts w:ascii="Arial" w:hAnsi="Arial" w:cs="Arial"/>
                  <w:b/>
                  <w:bCs/>
                  <w:color w:val="auto"/>
                  <w:u w:val="none"/>
                </w:rPr>
                <w:t>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92EE571" w14:textId="77777777" w:rsidR="005F4E12" w:rsidRPr="00DD0929" w:rsidRDefault="005F4E12" w:rsidP="00A555F0">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5F4E12" w:rsidRPr="004C3A0B" w14:paraId="101BA1CC" w14:textId="77777777" w:rsidTr="00A555F0">
        <w:trPr>
          <w:trHeight w:val="417"/>
        </w:trPr>
        <w:tc>
          <w:tcPr>
            <w:tcW w:w="562" w:type="dxa"/>
            <w:vAlign w:val="center"/>
          </w:tcPr>
          <w:p w14:paraId="63FD4A2F" w14:textId="77777777" w:rsidR="005F4E12" w:rsidRPr="002132F9" w:rsidRDefault="005F4E12" w:rsidP="00A555F0">
            <w:pPr>
              <w:autoSpaceDE w:val="0"/>
              <w:autoSpaceDN w:val="0"/>
              <w:adjustRightInd w:val="0"/>
              <w:rPr>
                <w:rFonts w:ascii="Arial" w:hAnsi="Arial" w:cs="Arial"/>
              </w:rPr>
            </w:pPr>
            <w:r w:rsidRPr="002132F9">
              <w:rPr>
                <w:rFonts w:ascii="Arial" w:hAnsi="Arial" w:cs="Arial"/>
              </w:rPr>
              <w:t>2</w:t>
            </w:r>
          </w:p>
        </w:tc>
        <w:tc>
          <w:tcPr>
            <w:tcW w:w="8784" w:type="dxa"/>
            <w:vAlign w:val="center"/>
          </w:tcPr>
          <w:p w14:paraId="0713D3CE" w14:textId="77777777" w:rsidR="005F4E12" w:rsidRPr="006C1FDD" w:rsidRDefault="005F4E12" w:rsidP="00A555F0">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b/>
                <w:bCs/>
              </w:rPr>
              <w:id w:val="-2040961117"/>
              <w14:checkbox>
                <w14:checked w14:val="1"/>
                <w14:checkedState w14:val="2612" w14:font="MS Gothic"/>
                <w14:uncheckedState w14:val="2610" w14:font="MS Gothic"/>
              </w14:checkbox>
            </w:sdtPr>
            <w:sdtContent>
              <w:p w14:paraId="1EB13A70" w14:textId="77777777" w:rsidR="005F4E12" w:rsidRPr="004C3A0B" w:rsidRDefault="005F4E12" w:rsidP="00A555F0">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5F4E12" w:rsidRPr="004C3A0B" w14:paraId="6FE2AFA9" w14:textId="77777777" w:rsidTr="00A555F0">
        <w:trPr>
          <w:trHeight w:val="409"/>
        </w:trPr>
        <w:tc>
          <w:tcPr>
            <w:tcW w:w="562" w:type="dxa"/>
            <w:vAlign w:val="center"/>
          </w:tcPr>
          <w:p w14:paraId="0F1AD10D" w14:textId="77777777" w:rsidR="005F4E12" w:rsidRPr="002132F9" w:rsidRDefault="005F4E12" w:rsidP="00A555F0">
            <w:pPr>
              <w:autoSpaceDE w:val="0"/>
              <w:autoSpaceDN w:val="0"/>
              <w:adjustRightInd w:val="0"/>
              <w:rPr>
                <w:rFonts w:ascii="Arial" w:hAnsi="Arial" w:cs="Arial"/>
              </w:rPr>
            </w:pPr>
            <w:r w:rsidRPr="002132F9">
              <w:rPr>
                <w:rFonts w:ascii="Arial" w:hAnsi="Arial" w:cs="Arial"/>
              </w:rPr>
              <w:t>3</w:t>
            </w:r>
          </w:p>
        </w:tc>
        <w:tc>
          <w:tcPr>
            <w:tcW w:w="8784" w:type="dxa"/>
            <w:vAlign w:val="center"/>
          </w:tcPr>
          <w:p w14:paraId="12D28D35" w14:textId="77777777" w:rsidR="005F4E12" w:rsidRPr="001B41AD" w:rsidRDefault="005F4E12" w:rsidP="00A555F0">
            <w:pPr>
              <w:autoSpaceDE w:val="0"/>
              <w:autoSpaceDN w:val="0"/>
              <w:adjustRightInd w:val="0"/>
              <w:rPr>
                <w:rFonts w:ascii="Arial" w:hAnsi="Arial" w:cs="Arial"/>
                <w:b/>
                <w:bCs/>
                <w:iCs/>
              </w:rPr>
            </w:pPr>
            <w:r w:rsidRPr="00935A0E">
              <w:rPr>
                <w:rFonts w:ascii="Arial" w:hAnsi="Arial" w:cs="Arial"/>
                <w:b/>
                <w:bCs/>
                <w:iCs/>
              </w:rPr>
              <w:t>General Data Protection Regulation (GDPR) 2016 and Data Protection Act 2018</w:t>
            </w:r>
          </w:p>
        </w:tc>
        <w:tc>
          <w:tcPr>
            <w:tcW w:w="1134" w:type="dxa"/>
            <w:shd w:val="clear" w:color="auto" w:fill="BFBFBF" w:themeFill="background1" w:themeFillShade="BF"/>
            <w:vAlign w:val="center"/>
          </w:tcPr>
          <w:sdt>
            <w:sdtPr>
              <w:rPr>
                <w:rFonts w:ascii="Arial" w:hAnsi="Arial" w:cs="Arial"/>
                <w:b/>
                <w:bCs/>
              </w:rPr>
              <w:id w:val="-2087453121"/>
              <w14:checkbox>
                <w14:checked w14:val="1"/>
                <w14:checkedState w14:val="2612" w14:font="MS Gothic"/>
                <w14:uncheckedState w14:val="2610" w14:font="MS Gothic"/>
              </w14:checkbox>
            </w:sdtPr>
            <w:sdtContent>
              <w:p w14:paraId="327FE78C" w14:textId="77777777" w:rsidR="005F4E12" w:rsidRPr="004C3A0B" w:rsidRDefault="005F4E12" w:rsidP="00A555F0">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5F4E12" w:rsidRPr="004C3A0B" w14:paraId="40FFCC05" w14:textId="77777777" w:rsidTr="00A555F0">
        <w:trPr>
          <w:trHeight w:val="409"/>
        </w:trPr>
        <w:tc>
          <w:tcPr>
            <w:tcW w:w="562" w:type="dxa"/>
            <w:vAlign w:val="center"/>
          </w:tcPr>
          <w:p w14:paraId="6679E35F" w14:textId="77777777" w:rsidR="005F4E12" w:rsidRPr="002132F9" w:rsidRDefault="005F4E12" w:rsidP="00A555F0">
            <w:pPr>
              <w:autoSpaceDE w:val="0"/>
              <w:autoSpaceDN w:val="0"/>
              <w:adjustRightInd w:val="0"/>
              <w:rPr>
                <w:rFonts w:ascii="Arial" w:hAnsi="Arial" w:cs="Arial"/>
              </w:rPr>
            </w:pPr>
            <w:r>
              <w:rPr>
                <w:rFonts w:ascii="Arial" w:hAnsi="Arial" w:cs="Arial"/>
              </w:rPr>
              <w:t>4</w:t>
            </w:r>
          </w:p>
        </w:tc>
        <w:tc>
          <w:tcPr>
            <w:tcW w:w="8784" w:type="dxa"/>
            <w:vAlign w:val="center"/>
          </w:tcPr>
          <w:p w14:paraId="6D14B2D0" w14:textId="77777777" w:rsidR="005F4E12" w:rsidRPr="004C3A0B" w:rsidRDefault="005F4E12" w:rsidP="00A555F0">
            <w:pPr>
              <w:autoSpaceDE w:val="0"/>
              <w:autoSpaceDN w:val="0"/>
              <w:adjustRightInd w:val="0"/>
              <w:rPr>
                <w:rFonts w:ascii="Arial" w:hAnsi="Arial" w:cs="Arial"/>
                <w:b/>
                <w:bCs/>
                <w:i/>
              </w:rPr>
            </w:pPr>
          </w:p>
        </w:tc>
        <w:tc>
          <w:tcPr>
            <w:tcW w:w="1134" w:type="dxa"/>
            <w:shd w:val="clear" w:color="auto" w:fill="BFBFBF" w:themeFill="background1" w:themeFillShade="BF"/>
            <w:vAlign w:val="center"/>
          </w:tcPr>
          <w:sdt>
            <w:sdtPr>
              <w:rPr>
                <w:rFonts w:ascii="Arial" w:hAnsi="Arial" w:cs="Arial"/>
                <w:b/>
                <w:bCs/>
              </w:rPr>
              <w:id w:val="-1002195764"/>
              <w14:checkbox>
                <w14:checked w14:val="0"/>
                <w14:checkedState w14:val="2612" w14:font="MS Gothic"/>
                <w14:uncheckedState w14:val="2610" w14:font="MS Gothic"/>
              </w14:checkbox>
            </w:sdtPr>
            <w:sdtContent>
              <w:p w14:paraId="4E1CC6B4" w14:textId="77777777" w:rsidR="005F4E12" w:rsidRDefault="005F4E12" w:rsidP="00A555F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3042B37C" w14:textId="77777777" w:rsidR="005F4E12" w:rsidRDefault="005F4E12" w:rsidP="005F4E12">
      <w:pPr>
        <w:autoSpaceDE w:val="0"/>
        <w:autoSpaceDN w:val="0"/>
        <w:adjustRightInd w:val="0"/>
        <w:spacing w:after="240"/>
        <w:jc w:val="both"/>
        <w:rPr>
          <w:rFonts w:ascii="Arial" w:hAnsi="Arial" w:cs="Arial"/>
          <w:b/>
        </w:rPr>
      </w:pPr>
    </w:p>
    <w:p w14:paraId="09EC6375" w14:textId="77777777" w:rsidR="005F4E12" w:rsidRPr="004C3A0B" w:rsidRDefault="005F4E12" w:rsidP="005F4E12">
      <w:pPr>
        <w:autoSpaceDE w:val="0"/>
        <w:autoSpaceDN w:val="0"/>
        <w:adjustRightInd w:val="0"/>
        <w:spacing w:after="240"/>
        <w:jc w:val="both"/>
        <w:rPr>
          <w:rFonts w:ascii="Arial" w:hAnsi="Arial" w:cs="Arial"/>
          <w:b/>
        </w:rPr>
      </w:pPr>
      <w:r w:rsidRPr="004C3A0B">
        <w:rPr>
          <w:rFonts w:ascii="Arial" w:hAnsi="Arial" w:cs="Arial"/>
          <w:b/>
        </w:rPr>
        <w:t xml:space="preserve">SECTION </w:t>
      </w:r>
      <w:r>
        <w:rPr>
          <w:rFonts w:ascii="Arial" w:hAnsi="Arial" w:cs="Arial"/>
          <w:b/>
        </w:rPr>
        <w:t>C</w:t>
      </w:r>
      <w:r w:rsidRPr="004C3A0B">
        <w:rPr>
          <w:rFonts w:ascii="Arial" w:hAnsi="Arial" w:cs="Arial"/>
          <w:b/>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9"/>
        <w:gridCol w:w="1394"/>
        <w:gridCol w:w="2827"/>
        <w:gridCol w:w="1466"/>
        <w:gridCol w:w="2934"/>
      </w:tblGrid>
      <w:tr w:rsidR="005F4E12" w:rsidRPr="004C3A0B" w14:paraId="751FED3F" w14:textId="77777777" w:rsidTr="00A555F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B036F3" w14:textId="77777777" w:rsidR="005F4E12" w:rsidRPr="00D66471" w:rsidRDefault="005F4E12" w:rsidP="00A555F0">
            <w:pPr>
              <w:rPr>
                <w:rFonts w:ascii="Arial" w:hAnsi="Arial" w:cs="Arial"/>
              </w:rPr>
            </w:pPr>
            <w:r w:rsidRPr="00D66471">
              <w:rPr>
                <w:rFonts w:ascii="Arial"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8F201" w14:textId="77777777" w:rsidR="005F4E12" w:rsidRPr="004C3A0B" w:rsidRDefault="005F4E12" w:rsidP="00A555F0">
            <w:pPr>
              <w:rPr>
                <w:rFonts w:ascii="Arial" w:hAnsi="Arial" w:cs="Arial"/>
              </w:rPr>
            </w:pPr>
            <w:r w:rsidRPr="004C3A0B">
              <w:rPr>
                <w:rFonts w:ascii="Arial"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66A8CF27" w14:textId="77777777" w:rsidR="005F4E12" w:rsidRPr="004C3A0B" w:rsidRDefault="005F4E12" w:rsidP="00A555F0">
            <w:pPr>
              <w:rPr>
                <w:rFonts w:ascii="Arial" w:hAnsi="Arial" w:cs="Arial"/>
              </w:rPr>
            </w:pPr>
            <w:r w:rsidRPr="00935A0E">
              <w:rPr>
                <w:rFonts w:ascii="Arial" w:hAnsi="Arial" w:cs="Arial"/>
              </w:rPr>
              <w:t>The Impact of Financial Risk Management Practices on the Financial Performance of UK SMEs</w:t>
            </w:r>
          </w:p>
        </w:tc>
      </w:tr>
      <w:tr w:rsidR="005F4E12" w:rsidRPr="004C3A0B" w14:paraId="7AF6966E" w14:textId="77777777" w:rsidTr="00A555F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DD812C" w14:textId="77777777" w:rsidR="005F4E12" w:rsidRPr="00D66471" w:rsidRDefault="005F4E12" w:rsidP="00A555F0">
            <w:pPr>
              <w:rPr>
                <w:rFonts w:ascii="Arial" w:hAnsi="Arial" w:cs="Arial"/>
              </w:rPr>
            </w:pPr>
            <w:r w:rsidRPr="00D66471">
              <w:rPr>
                <w:rFonts w:ascii="Arial"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B1556B" w14:textId="77777777" w:rsidR="005F4E12" w:rsidRPr="00D839CD" w:rsidRDefault="005F4E12" w:rsidP="00A555F0">
            <w:pPr>
              <w:rPr>
                <w:rFonts w:ascii="Arial" w:hAnsi="Arial" w:cs="Arial"/>
              </w:rPr>
            </w:pPr>
            <w:r w:rsidRPr="00D839CD">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4E26BAF1" w14:textId="77777777" w:rsidR="005F4E12" w:rsidRPr="00D839CD" w:rsidRDefault="005F4E12" w:rsidP="00A555F0">
            <w:pPr>
              <w:rPr>
                <w:rFonts w:ascii="Arial" w:hAnsi="Arial" w:cs="Arial"/>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DE9DEC" w14:textId="77777777" w:rsidR="005F4E12" w:rsidRPr="00D839CD" w:rsidRDefault="005F4E12" w:rsidP="00A555F0">
            <w:pPr>
              <w:rPr>
                <w:rFonts w:ascii="Arial" w:hAnsi="Arial" w:cs="Arial"/>
              </w:rPr>
            </w:pPr>
            <w:r w:rsidRPr="00D839CD">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D5D2F90" w14:textId="77777777" w:rsidR="005F4E12" w:rsidRPr="004C3A0B" w:rsidRDefault="005F4E12" w:rsidP="00A555F0">
            <w:pPr>
              <w:rPr>
                <w:rFonts w:ascii="Arial" w:hAnsi="Arial" w:cs="Arial"/>
              </w:rPr>
            </w:pPr>
          </w:p>
        </w:tc>
      </w:tr>
      <w:tr w:rsidR="005F4E12" w:rsidRPr="004C3A0B" w14:paraId="5731EEFA" w14:textId="77777777" w:rsidTr="00A555F0">
        <w:trPr>
          <w:trHeight w:val="454"/>
        </w:trPr>
        <w:tc>
          <w:tcPr>
            <w:tcW w:w="237" w:type="pct"/>
            <w:tcBorders>
              <w:top w:val="single" w:sz="4" w:space="0" w:color="auto"/>
            </w:tcBorders>
            <w:shd w:val="clear" w:color="auto" w:fill="F2F2F2" w:themeFill="background1" w:themeFillShade="F2"/>
            <w:vAlign w:val="center"/>
          </w:tcPr>
          <w:p w14:paraId="60F5E22F" w14:textId="77777777" w:rsidR="005F4E12" w:rsidRPr="002132F9" w:rsidRDefault="005F4E12" w:rsidP="00A555F0">
            <w:pPr>
              <w:spacing w:before="120" w:after="120"/>
              <w:rPr>
                <w:rFonts w:ascii="Arial" w:hAnsi="Arial" w:cs="Arial"/>
              </w:rPr>
            </w:pPr>
          </w:p>
        </w:tc>
        <w:tc>
          <w:tcPr>
            <w:tcW w:w="4763" w:type="pct"/>
            <w:gridSpan w:val="4"/>
            <w:tcBorders>
              <w:top w:val="single" w:sz="4" w:space="0" w:color="auto"/>
            </w:tcBorders>
            <w:shd w:val="clear" w:color="auto" w:fill="F2F2F2" w:themeFill="background1" w:themeFillShade="F2"/>
            <w:vAlign w:val="center"/>
          </w:tcPr>
          <w:p w14:paraId="53F31863" w14:textId="77777777" w:rsidR="005F4E12" w:rsidRDefault="005F4E12" w:rsidP="00A555F0">
            <w:pPr>
              <w:spacing w:before="120" w:after="120"/>
              <w:rPr>
                <w:rFonts w:ascii="Arial" w:hAnsi="Arial" w:cs="Arial"/>
                <w:b/>
              </w:rPr>
            </w:pPr>
            <w:r>
              <w:rPr>
                <w:rFonts w:ascii="Arial" w:hAnsi="Arial" w:cs="Arial"/>
                <w:b/>
              </w:rPr>
              <w:t>Introduction to the Research (maximum 300 words in each section)</w:t>
            </w:r>
          </w:p>
          <w:p w14:paraId="2FFB7CB6" w14:textId="77777777" w:rsidR="005F4E12" w:rsidRPr="009D2E0B" w:rsidRDefault="005F4E12" w:rsidP="00A555F0">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5DEC176D" w14:textId="77777777" w:rsidR="005F4E12" w:rsidRPr="006C1FDD" w:rsidRDefault="005F4E12" w:rsidP="005F4E12">
            <w:pPr>
              <w:pStyle w:val="ListParagraph"/>
              <w:numPr>
                <w:ilvl w:val="0"/>
                <w:numId w:val="29"/>
              </w:numPr>
              <w:spacing w:after="0" w:line="240" w:lineRule="auto"/>
              <w:contextualSpacing w:val="0"/>
              <w:rPr>
                <w:rFonts w:ascii="Arial" w:hAnsi="Arial" w:cs="Arial"/>
                <w:i/>
              </w:rPr>
            </w:pPr>
            <w:r w:rsidRPr="006C1FDD">
              <w:rPr>
                <w:rFonts w:ascii="Arial" w:hAnsi="Arial" w:cs="Arial"/>
                <w:i/>
              </w:rPr>
              <w:t>Purpose of Research Activity</w:t>
            </w:r>
          </w:p>
          <w:p w14:paraId="454B8B1C" w14:textId="77777777" w:rsidR="005F4E12" w:rsidRPr="006C1FDD" w:rsidRDefault="005F4E12" w:rsidP="005F4E12">
            <w:pPr>
              <w:pStyle w:val="ListParagraph"/>
              <w:numPr>
                <w:ilvl w:val="0"/>
                <w:numId w:val="29"/>
              </w:numPr>
              <w:spacing w:after="0" w:line="240" w:lineRule="auto"/>
              <w:contextualSpacing w:val="0"/>
              <w:rPr>
                <w:rFonts w:ascii="Arial" w:hAnsi="Arial" w:cs="Arial"/>
                <w:i/>
              </w:rPr>
            </w:pPr>
            <w:r w:rsidRPr="006C1FDD">
              <w:rPr>
                <w:rFonts w:ascii="Arial" w:hAnsi="Arial" w:cs="Arial"/>
                <w:i/>
              </w:rPr>
              <w:t>Proposed Research Question</w:t>
            </w:r>
          </w:p>
          <w:p w14:paraId="7E249B31" w14:textId="77777777" w:rsidR="005F4E12" w:rsidRPr="009D2E0B" w:rsidRDefault="005F4E12" w:rsidP="005F4E12">
            <w:pPr>
              <w:pStyle w:val="ListParagraph"/>
              <w:numPr>
                <w:ilvl w:val="0"/>
                <w:numId w:val="29"/>
              </w:numPr>
              <w:spacing w:after="0" w:line="240" w:lineRule="auto"/>
              <w:contextualSpacing w:val="0"/>
              <w:rPr>
                <w:rFonts w:ascii="Arial" w:hAnsi="Arial" w:cs="Arial"/>
                <w:i/>
              </w:rPr>
            </w:pPr>
            <w:r w:rsidRPr="009D2E0B">
              <w:rPr>
                <w:rFonts w:ascii="Arial" w:hAnsi="Arial" w:cs="Arial"/>
                <w:i/>
              </w:rPr>
              <w:t>Aims of Research Activity</w:t>
            </w:r>
          </w:p>
          <w:p w14:paraId="5D62A7D3" w14:textId="77777777" w:rsidR="005F4E12" w:rsidRPr="009D2E0B" w:rsidRDefault="005F4E12" w:rsidP="005F4E12">
            <w:pPr>
              <w:pStyle w:val="ListParagraph"/>
              <w:numPr>
                <w:ilvl w:val="0"/>
                <w:numId w:val="29"/>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2CCD41C4" w14:textId="77777777" w:rsidR="005F4E12" w:rsidRDefault="005F4E12" w:rsidP="00A555F0">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5960B632" w14:textId="77777777" w:rsidR="005F4E12" w:rsidRPr="009D2E0B" w:rsidRDefault="005F4E12" w:rsidP="005F4E12">
            <w:pPr>
              <w:pStyle w:val="ListParagraph"/>
              <w:numPr>
                <w:ilvl w:val="0"/>
                <w:numId w:val="29"/>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6E3A8CA1" w14:textId="77777777" w:rsidR="005F4E12" w:rsidRPr="009D2E0B" w:rsidRDefault="005F4E12" w:rsidP="005F4E12">
            <w:pPr>
              <w:pStyle w:val="ListParagraph"/>
              <w:numPr>
                <w:ilvl w:val="0"/>
                <w:numId w:val="29"/>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5F4E12" w:rsidRPr="004C3A0B" w:rsidDel="002A152D" w14:paraId="06598AE0" w14:textId="77777777" w:rsidTr="00A555F0">
        <w:trPr>
          <w:trHeight w:val="454"/>
        </w:trPr>
        <w:tc>
          <w:tcPr>
            <w:tcW w:w="237" w:type="pct"/>
            <w:vAlign w:val="center"/>
          </w:tcPr>
          <w:p w14:paraId="31A9DBA4" w14:textId="77777777" w:rsidR="005F4E12" w:rsidRPr="002132F9" w:rsidRDefault="005F4E12" w:rsidP="00A555F0">
            <w:pPr>
              <w:autoSpaceDE w:val="0"/>
              <w:autoSpaceDN w:val="0"/>
              <w:adjustRightInd w:val="0"/>
              <w:rPr>
                <w:rFonts w:ascii="Arial" w:hAnsi="Arial" w:cs="Arial"/>
              </w:rPr>
            </w:pPr>
            <w:r>
              <w:rPr>
                <w:rFonts w:ascii="Arial" w:hAnsi="Arial" w:cs="Arial"/>
              </w:rPr>
              <w:t>3</w:t>
            </w:r>
          </w:p>
        </w:tc>
        <w:tc>
          <w:tcPr>
            <w:tcW w:w="4763" w:type="pct"/>
            <w:gridSpan w:val="4"/>
            <w:vAlign w:val="center"/>
          </w:tcPr>
          <w:p w14:paraId="5C5BEEDB" w14:textId="77777777" w:rsidR="005F4E12" w:rsidRPr="009D2E0B" w:rsidRDefault="005F4E12" w:rsidP="00A555F0">
            <w:pPr>
              <w:autoSpaceDE w:val="0"/>
              <w:autoSpaceDN w:val="0"/>
              <w:adjustRightInd w:val="0"/>
              <w:rPr>
                <w:rFonts w:ascii="Arial" w:hAnsi="Arial" w:cs="Arial"/>
                <w:b/>
                <w:bCs/>
              </w:rPr>
            </w:pPr>
            <w:r w:rsidRPr="009D2E0B">
              <w:rPr>
                <w:rFonts w:ascii="Arial" w:hAnsi="Arial" w:cs="Arial"/>
                <w:b/>
                <w:bCs/>
              </w:rPr>
              <w:t>Purpose of Research Activity</w:t>
            </w:r>
          </w:p>
          <w:p w14:paraId="4DE71DF3" w14:textId="77777777" w:rsidR="005F4E12" w:rsidRDefault="005F4E12" w:rsidP="00A555F0">
            <w:pPr>
              <w:rPr>
                <w:rFonts w:ascii="Arial" w:hAnsi="Arial" w:cs="Arial"/>
              </w:rPr>
            </w:pPr>
          </w:p>
          <w:p w14:paraId="3674DDAD" w14:textId="77777777" w:rsidR="005F4E12" w:rsidRPr="00B17110" w:rsidRDefault="005F4E12" w:rsidP="00A555F0">
            <w:pPr>
              <w:rPr>
                <w:rFonts w:ascii="Arial" w:hAnsi="Arial" w:cs="Arial"/>
              </w:rPr>
            </w:pPr>
            <w:r w:rsidRPr="00B17110">
              <w:rPr>
                <w:rFonts w:ascii="Arial" w:hAnsi="Arial" w:cs="Arial"/>
              </w:rPr>
              <w:t>The purpose of this research is to critically examine how financial risk management practices influence the financial performance of UK small and medium-sized enterprises. The study will focus on liquidity risk management, credit risk management and market-risk management.</w:t>
            </w:r>
          </w:p>
          <w:p w14:paraId="3C690CFD" w14:textId="77777777" w:rsidR="005F4E12" w:rsidRPr="00B17110" w:rsidRDefault="005F4E12" w:rsidP="00A555F0">
            <w:pPr>
              <w:rPr>
                <w:rFonts w:ascii="Arial" w:hAnsi="Arial" w:cs="Arial"/>
              </w:rPr>
            </w:pPr>
            <w:r w:rsidRPr="00B17110">
              <w:rPr>
                <w:rFonts w:ascii="Arial" w:hAnsi="Arial" w:cs="Arial"/>
              </w:rPr>
              <w:lastRenderedPageBreak/>
              <w:t>The research will use secondary qualitative data from existing peer-reviewed journal articles, government reports, policy publications and credible industry reports. No primary data will be collected from individuals or organisations.</w:t>
            </w:r>
          </w:p>
          <w:p w14:paraId="25242944" w14:textId="77777777" w:rsidR="005F4E12" w:rsidRPr="00B17110" w:rsidRDefault="005F4E12" w:rsidP="00A555F0">
            <w:pPr>
              <w:rPr>
                <w:rFonts w:ascii="Arial" w:hAnsi="Arial" w:cs="Arial"/>
              </w:rPr>
            </w:pPr>
            <w:r w:rsidRPr="00B17110">
              <w:rPr>
                <w:rFonts w:ascii="Arial" w:hAnsi="Arial" w:cs="Arial"/>
              </w:rPr>
              <w:t>Existing research suggests that financial risk management may help SMEs improve cash-flow stability, reduce bad debts and respond to changes in interest rates, exchange rates and input prices. However, findings differ between countries, sectors and research methods. Much of the available evidence is also based outside the United Kingdom.</w:t>
            </w:r>
          </w:p>
          <w:p w14:paraId="774FE9FF" w14:textId="77777777" w:rsidR="005F4E12" w:rsidRPr="00B17110" w:rsidRDefault="005F4E12" w:rsidP="00A555F0">
            <w:pPr>
              <w:rPr>
                <w:rFonts w:ascii="Arial" w:hAnsi="Arial" w:cs="Arial"/>
              </w:rPr>
            </w:pPr>
            <w:r w:rsidRPr="00B17110">
              <w:rPr>
                <w:rFonts w:ascii="Arial" w:hAnsi="Arial" w:cs="Arial"/>
              </w:rPr>
              <w:t>The study will critically compare and interpret existing evidence to identify common themes, differences and gaps. It will add to the existing body of knowledge by providing a structured review focused specifically on UK SMEs. The subject is important because SMEs make a major contribution to the UK economy but often have limited financial resources and specialist risk-management knowledge.</w:t>
            </w:r>
          </w:p>
          <w:p w14:paraId="4FD0C2BD" w14:textId="77777777" w:rsidR="005F4E12" w:rsidRDefault="005F4E12" w:rsidP="00A555F0">
            <w:pPr>
              <w:rPr>
                <w:rFonts w:ascii="Arial" w:hAnsi="Arial" w:cs="Arial"/>
              </w:rPr>
            </w:pPr>
          </w:p>
          <w:p w14:paraId="16CBA41B" w14:textId="77777777" w:rsidR="005F4E12" w:rsidRDefault="005F4E12" w:rsidP="00A555F0">
            <w:pPr>
              <w:rPr>
                <w:rFonts w:ascii="Arial" w:hAnsi="Arial" w:cs="Arial"/>
              </w:rPr>
            </w:pPr>
          </w:p>
          <w:p w14:paraId="1D635250" w14:textId="77777777" w:rsidR="005F4E12" w:rsidRPr="002A152D" w:rsidDel="00425DA7" w:rsidRDefault="005F4E12" w:rsidP="00A555F0">
            <w:pPr>
              <w:rPr>
                <w:rFonts w:ascii="Arial" w:hAnsi="Arial" w:cs="Arial"/>
              </w:rPr>
            </w:pPr>
            <w:r w:rsidRPr="004C3A0B">
              <w:rPr>
                <w:rFonts w:ascii="Arial" w:hAnsi="Arial" w:cs="Arial"/>
                <w:color w:val="808080"/>
                <w:sz w:val="18"/>
                <w:szCs w:val="18"/>
              </w:rPr>
              <w:t>(this box should expand as you type)</w:t>
            </w:r>
          </w:p>
        </w:tc>
      </w:tr>
      <w:tr w:rsidR="005F4E12" w:rsidRPr="006C1FDD" w:rsidDel="002A152D" w14:paraId="456DCDC6" w14:textId="77777777" w:rsidTr="00A555F0">
        <w:trPr>
          <w:trHeight w:val="454"/>
        </w:trPr>
        <w:tc>
          <w:tcPr>
            <w:tcW w:w="237" w:type="pct"/>
            <w:vAlign w:val="center"/>
          </w:tcPr>
          <w:p w14:paraId="3431759D" w14:textId="77777777" w:rsidR="005F4E12" w:rsidRPr="002132F9" w:rsidRDefault="005F4E12" w:rsidP="00A555F0">
            <w:pPr>
              <w:autoSpaceDE w:val="0"/>
              <w:autoSpaceDN w:val="0"/>
              <w:adjustRightInd w:val="0"/>
              <w:rPr>
                <w:rFonts w:ascii="Arial" w:hAnsi="Arial" w:cs="Arial"/>
              </w:rPr>
            </w:pPr>
            <w:r>
              <w:rPr>
                <w:rFonts w:ascii="Arial" w:hAnsi="Arial" w:cs="Arial"/>
              </w:rPr>
              <w:lastRenderedPageBreak/>
              <w:t>4</w:t>
            </w:r>
          </w:p>
        </w:tc>
        <w:tc>
          <w:tcPr>
            <w:tcW w:w="4763" w:type="pct"/>
            <w:gridSpan w:val="4"/>
            <w:vAlign w:val="center"/>
          </w:tcPr>
          <w:p w14:paraId="6879D163" w14:textId="77777777" w:rsidR="005F4E12" w:rsidRPr="006C1FDD" w:rsidRDefault="005F4E12" w:rsidP="00A555F0">
            <w:pPr>
              <w:autoSpaceDE w:val="0"/>
              <w:autoSpaceDN w:val="0"/>
              <w:adjustRightInd w:val="0"/>
              <w:rPr>
                <w:rFonts w:ascii="Arial" w:hAnsi="Arial" w:cs="Arial"/>
                <w:b/>
                <w:bCs/>
              </w:rPr>
            </w:pPr>
            <w:r w:rsidRPr="006C1FDD">
              <w:rPr>
                <w:rFonts w:ascii="Arial" w:hAnsi="Arial" w:cs="Arial"/>
                <w:b/>
                <w:bCs/>
              </w:rPr>
              <w:t>Research Question</w:t>
            </w:r>
          </w:p>
          <w:p w14:paraId="2462BC80" w14:textId="77777777" w:rsidR="005F4E12" w:rsidRPr="006C1FDD" w:rsidRDefault="005F4E12" w:rsidP="00A555F0">
            <w:pPr>
              <w:rPr>
                <w:rFonts w:ascii="Arial" w:hAnsi="Arial" w:cs="Arial"/>
              </w:rPr>
            </w:pPr>
          </w:p>
          <w:p w14:paraId="7AE645CD" w14:textId="77777777" w:rsidR="005F4E12" w:rsidRDefault="005F4E12" w:rsidP="00A555F0">
            <w:pPr>
              <w:rPr>
                <w:rFonts w:ascii="Arial" w:hAnsi="Arial" w:cs="Arial"/>
              </w:rPr>
            </w:pPr>
            <w:r w:rsidRPr="00B17110">
              <w:rPr>
                <w:rFonts w:ascii="Arial" w:hAnsi="Arial" w:cs="Arial"/>
              </w:rPr>
              <w:t>How does existing secondary evidence explain the influence of financial risk management practices on the financial performance of UK SMEs?</w:t>
            </w:r>
          </w:p>
          <w:p w14:paraId="6F10B85D" w14:textId="77777777" w:rsidR="005F4E12" w:rsidRPr="00B17110" w:rsidRDefault="005F4E12" w:rsidP="00A555F0">
            <w:pPr>
              <w:rPr>
                <w:rFonts w:ascii="Arial" w:hAnsi="Arial" w:cs="Arial"/>
              </w:rPr>
            </w:pPr>
            <w:r w:rsidRPr="00B17110">
              <w:rPr>
                <w:rFonts w:ascii="Arial" w:hAnsi="Arial" w:cs="Arial"/>
                <w:b/>
                <w:bCs/>
              </w:rPr>
              <w:t>Supporting questions:</w:t>
            </w:r>
          </w:p>
          <w:p w14:paraId="6F7DC164" w14:textId="77777777" w:rsidR="005F4E12" w:rsidRPr="00B17110" w:rsidRDefault="005F4E12" w:rsidP="005F4E12">
            <w:pPr>
              <w:numPr>
                <w:ilvl w:val="0"/>
                <w:numId w:val="33"/>
              </w:numPr>
              <w:spacing w:after="0" w:line="240" w:lineRule="auto"/>
              <w:rPr>
                <w:rFonts w:ascii="Arial" w:hAnsi="Arial" w:cs="Arial"/>
              </w:rPr>
            </w:pPr>
            <w:r w:rsidRPr="00B17110">
              <w:rPr>
                <w:rFonts w:ascii="Arial" w:hAnsi="Arial" w:cs="Arial"/>
              </w:rPr>
              <w:t>How does existing literature explain the relationship between liquidity risk management and UK SME financial performance?</w:t>
            </w:r>
          </w:p>
          <w:p w14:paraId="4671120A" w14:textId="77777777" w:rsidR="005F4E12" w:rsidRPr="00B17110" w:rsidRDefault="005F4E12" w:rsidP="005F4E12">
            <w:pPr>
              <w:numPr>
                <w:ilvl w:val="0"/>
                <w:numId w:val="33"/>
              </w:numPr>
              <w:spacing w:after="0" w:line="240" w:lineRule="auto"/>
              <w:rPr>
                <w:rFonts w:ascii="Arial" w:hAnsi="Arial" w:cs="Arial"/>
              </w:rPr>
            </w:pPr>
            <w:r w:rsidRPr="00B17110">
              <w:rPr>
                <w:rFonts w:ascii="Arial" w:hAnsi="Arial" w:cs="Arial"/>
              </w:rPr>
              <w:t>How does existing literature explain the relationship between credit risk management and UK SME financial performance?</w:t>
            </w:r>
          </w:p>
          <w:p w14:paraId="7ACDD515" w14:textId="77777777" w:rsidR="005F4E12" w:rsidRPr="00B17110" w:rsidRDefault="005F4E12" w:rsidP="005F4E12">
            <w:pPr>
              <w:numPr>
                <w:ilvl w:val="0"/>
                <w:numId w:val="33"/>
              </w:numPr>
              <w:spacing w:after="0" w:line="240" w:lineRule="auto"/>
              <w:rPr>
                <w:rFonts w:ascii="Arial" w:hAnsi="Arial" w:cs="Arial"/>
              </w:rPr>
            </w:pPr>
            <w:r w:rsidRPr="00B17110">
              <w:rPr>
                <w:rFonts w:ascii="Arial" w:hAnsi="Arial" w:cs="Arial"/>
              </w:rPr>
              <w:t>How does existing literature explain the relationship between market-risk management and UK SME financial performance?</w:t>
            </w:r>
          </w:p>
          <w:p w14:paraId="45748376" w14:textId="77777777" w:rsidR="005F4E12" w:rsidRPr="006C1FDD" w:rsidRDefault="005F4E12" w:rsidP="00A555F0">
            <w:pPr>
              <w:rPr>
                <w:rFonts w:ascii="Arial" w:hAnsi="Arial" w:cs="Arial"/>
              </w:rPr>
            </w:pPr>
          </w:p>
          <w:p w14:paraId="21E41106" w14:textId="77777777" w:rsidR="005F4E12" w:rsidRPr="006C1FDD" w:rsidRDefault="005F4E12" w:rsidP="00A555F0">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5F4E12" w:rsidRPr="004C3A0B" w14:paraId="4E0312A6" w14:textId="77777777" w:rsidTr="00A555F0">
        <w:trPr>
          <w:trHeight w:val="454"/>
        </w:trPr>
        <w:tc>
          <w:tcPr>
            <w:tcW w:w="237" w:type="pct"/>
            <w:vAlign w:val="center"/>
          </w:tcPr>
          <w:p w14:paraId="207C006B" w14:textId="77777777" w:rsidR="005F4E12" w:rsidRPr="002132F9" w:rsidRDefault="005F4E12" w:rsidP="00A555F0">
            <w:pPr>
              <w:autoSpaceDE w:val="0"/>
              <w:autoSpaceDN w:val="0"/>
              <w:adjustRightInd w:val="0"/>
              <w:rPr>
                <w:rFonts w:ascii="Arial" w:hAnsi="Arial" w:cs="Arial"/>
              </w:rPr>
            </w:pPr>
            <w:r>
              <w:rPr>
                <w:rFonts w:ascii="Arial" w:hAnsi="Arial" w:cs="Arial"/>
              </w:rPr>
              <w:t>5</w:t>
            </w:r>
          </w:p>
        </w:tc>
        <w:tc>
          <w:tcPr>
            <w:tcW w:w="4763" w:type="pct"/>
            <w:gridSpan w:val="4"/>
            <w:vAlign w:val="center"/>
          </w:tcPr>
          <w:p w14:paraId="5028DA64" w14:textId="77777777" w:rsidR="005F4E12" w:rsidRPr="009D2E0B" w:rsidRDefault="005F4E12" w:rsidP="00A555F0">
            <w:pPr>
              <w:autoSpaceDE w:val="0"/>
              <w:autoSpaceDN w:val="0"/>
              <w:adjustRightInd w:val="0"/>
              <w:rPr>
                <w:rFonts w:ascii="Arial" w:hAnsi="Arial" w:cs="Arial"/>
                <w:b/>
                <w:bCs/>
              </w:rPr>
            </w:pPr>
            <w:r w:rsidRPr="009D2E0B">
              <w:rPr>
                <w:rFonts w:ascii="Arial" w:hAnsi="Arial" w:cs="Arial"/>
                <w:b/>
                <w:bCs/>
              </w:rPr>
              <w:t>Aims of Research Activity</w:t>
            </w:r>
          </w:p>
          <w:p w14:paraId="4A4F2025" w14:textId="77777777" w:rsidR="005F4E12" w:rsidRPr="004C3A0B" w:rsidRDefault="005F4E12" w:rsidP="00A555F0">
            <w:pPr>
              <w:rPr>
                <w:rFonts w:ascii="Arial" w:hAnsi="Arial" w:cs="Arial"/>
              </w:rPr>
            </w:pPr>
            <w:r w:rsidRPr="00B17110">
              <w:rPr>
                <w:rFonts w:ascii="Arial" w:hAnsi="Arial" w:cs="Arial"/>
                <w:color w:val="00B050"/>
              </w:rPr>
              <w:t>To critically examine, through secondary qualitative research, how financial risk management practices influence the financial performance of UK SMEs.</w:t>
            </w:r>
          </w:p>
          <w:p w14:paraId="589101E8" w14:textId="77777777" w:rsidR="005F4E12" w:rsidRPr="002A152D" w:rsidRDefault="005F4E12" w:rsidP="00A555F0">
            <w:pPr>
              <w:rPr>
                <w:rFonts w:ascii="Arial" w:hAnsi="Arial" w:cs="Arial"/>
              </w:rPr>
            </w:pPr>
            <w:r w:rsidRPr="004C3A0B">
              <w:rPr>
                <w:rFonts w:ascii="Arial" w:hAnsi="Arial" w:cs="Arial"/>
                <w:color w:val="808080"/>
                <w:sz w:val="18"/>
                <w:szCs w:val="18"/>
              </w:rPr>
              <w:lastRenderedPageBreak/>
              <w:t>(this box should expand as you type)</w:t>
            </w:r>
          </w:p>
        </w:tc>
      </w:tr>
      <w:tr w:rsidR="005F4E12" w:rsidRPr="004C3A0B" w14:paraId="20F75C88" w14:textId="77777777" w:rsidTr="00A555F0">
        <w:trPr>
          <w:trHeight w:val="454"/>
        </w:trPr>
        <w:tc>
          <w:tcPr>
            <w:tcW w:w="237" w:type="pct"/>
            <w:vAlign w:val="center"/>
          </w:tcPr>
          <w:p w14:paraId="66EF3D53" w14:textId="77777777" w:rsidR="005F4E12" w:rsidRPr="002132F9" w:rsidRDefault="005F4E12" w:rsidP="00A555F0">
            <w:pPr>
              <w:autoSpaceDE w:val="0"/>
              <w:autoSpaceDN w:val="0"/>
              <w:adjustRightInd w:val="0"/>
              <w:rPr>
                <w:rFonts w:ascii="Arial" w:hAnsi="Arial" w:cs="Arial"/>
              </w:rPr>
            </w:pPr>
            <w:r>
              <w:rPr>
                <w:rFonts w:ascii="Arial" w:hAnsi="Arial" w:cs="Arial"/>
              </w:rPr>
              <w:lastRenderedPageBreak/>
              <w:t>6</w:t>
            </w:r>
          </w:p>
        </w:tc>
        <w:tc>
          <w:tcPr>
            <w:tcW w:w="4763" w:type="pct"/>
            <w:gridSpan w:val="4"/>
            <w:vAlign w:val="center"/>
          </w:tcPr>
          <w:p w14:paraId="03107CE3" w14:textId="77777777" w:rsidR="005F4E12" w:rsidRPr="009D2E0B" w:rsidRDefault="005F4E12" w:rsidP="00A555F0">
            <w:pPr>
              <w:autoSpaceDE w:val="0"/>
              <w:autoSpaceDN w:val="0"/>
              <w:adjustRightInd w:val="0"/>
              <w:rPr>
                <w:rFonts w:ascii="Arial" w:hAnsi="Arial" w:cs="Arial"/>
                <w:b/>
                <w:bCs/>
              </w:rPr>
            </w:pPr>
            <w:r w:rsidRPr="009D2E0B">
              <w:rPr>
                <w:rFonts w:ascii="Arial" w:hAnsi="Arial" w:cs="Arial"/>
                <w:b/>
                <w:bCs/>
              </w:rPr>
              <w:t>Objectives of Research Activity</w:t>
            </w:r>
          </w:p>
          <w:p w14:paraId="2A93BAE0" w14:textId="77777777" w:rsidR="005F4E12" w:rsidRPr="00B17110" w:rsidRDefault="005F4E12" w:rsidP="005F4E12">
            <w:pPr>
              <w:numPr>
                <w:ilvl w:val="0"/>
                <w:numId w:val="32"/>
              </w:numPr>
              <w:spacing w:before="100" w:beforeAutospacing="1" w:after="100" w:afterAutospacing="1" w:line="240" w:lineRule="auto"/>
              <w:rPr>
                <w:sz w:val="24"/>
                <w:szCs w:val="24"/>
                <w:lang w:eastAsia="en-GB"/>
              </w:rPr>
            </w:pPr>
            <w:r w:rsidRPr="00B17110">
              <w:rPr>
                <w:sz w:val="24"/>
                <w:szCs w:val="24"/>
                <w:lang w:eastAsia="en-GB"/>
              </w:rPr>
              <w:t>To critically examine secondary literature concerning liquidity risk management and the financial performance of UK SMEs.</w:t>
            </w:r>
          </w:p>
          <w:p w14:paraId="0074F5E1" w14:textId="77777777" w:rsidR="005F4E12" w:rsidRPr="00B17110" w:rsidRDefault="005F4E12" w:rsidP="005F4E12">
            <w:pPr>
              <w:numPr>
                <w:ilvl w:val="0"/>
                <w:numId w:val="32"/>
              </w:numPr>
              <w:spacing w:before="100" w:beforeAutospacing="1" w:after="100" w:afterAutospacing="1" w:line="240" w:lineRule="auto"/>
              <w:rPr>
                <w:sz w:val="24"/>
                <w:szCs w:val="24"/>
                <w:lang w:eastAsia="en-GB"/>
              </w:rPr>
            </w:pPr>
            <w:r w:rsidRPr="00B17110">
              <w:rPr>
                <w:sz w:val="24"/>
                <w:szCs w:val="24"/>
                <w:lang w:eastAsia="en-GB"/>
              </w:rPr>
              <w:t>To evaluate secondary evidence concerning credit risk management and the financial performance of UK SMEs.</w:t>
            </w:r>
          </w:p>
          <w:p w14:paraId="22095C55" w14:textId="77777777" w:rsidR="005F4E12" w:rsidRPr="00B17110" w:rsidRDefault="005F4E12" w:rsidP="005F4E12">
            <w:pPr>
              <w:numPr>
                <w:ilvl w:val="0"/>
                <w:numId w:val="32"/>
              </w:numPr>
              <w:spacing w:before="100" w:beforeAutospacing="1" w:after="100" w:afterAutospacing="1" w:line="240" w:lineRule="auto"/>
              <w:rPr>
                <w:sz w:val="24"/>
                <w:szCs w:val="24"/>
                <w:lang w:eastAsia="en-GB"/>
              </w:rPr>
            </w:pPr>
            <w:r w:rsidRPr="00B17110">
              <w:rPr>
                <w:sz w:val="24"/>
                <w:szCs w:val="24"/>
                <w:lang w:eastAsia="en-GB"/>
              </w:rPr>
              <w:t>To explore how existing literature explains the relationship between market-risk management and the financial performance of UK SMEs.</w:t>
            </w:r>
          </w:p>
          <w:p w14:paraId="5C27E712" w14:textId="77777777" w:rsidR="005F4E12" w:rsidRDefault="005F4E12" w:rsidP="00A555F0">
            <w:pPr>
              <w:rPr>
                <w:rFonts w:ascii="Arial" w:hAnsi="Arial" w:cs="Arial"/>
              </w:rPr>
            </w:pPr>
          </w:p>
          <w:p w14:paraId="01D879BE" w14:textId="77777777" w:rsidR="005F4E12" w:rsidRPr="004C3A0B" w:rsidRDefault="005F4E12" w:rsidP="00A555F0">
            <w:pPr>
              <w:rPr>
                <w:rFonts w:ascii="Arial" w:hAnsi="Arial" w:cs="Arial"/>
              </w:rPr>
            </w:pPr>
          </w:p>
          <w:p w14:paraId="68C321DF" w14:textId="77777777" w:rsidR="005F4E12" w:rsidRPr="004C3A0B" w:rsidRDefault="005F4E12" w:rsidP="00A555F0">
            <w:pPr>
              <w:rPr>
                <w:rFonts w:ascii="Arial" w:hAnsi="Arial" w:cs="Arial"/>
              </w:rPr>
            </w:pPr>
            <w:r w:rsidRPr="004C3A0B">
              <w:rPr>
                <w:rFonts w:ascii="Arial" w:hAnsi="Arial" w:cs="Arial"/>
                <w:color w:val="808080"/>
                <w:sz w:val="18"/>
                <w:szCs w:val="18"/>
              </w:rPr>
              <w:t>(this box should expand as you type)</w:t>
            </w:r>
          </w:p>
        </w:tc>
      </w:tr>
      <w:tr w:rsidR="005F4E12" w:rsidRPr="004C3A0B" w14:paraId="4A1F7549" w14:textId="77777777" w:rsidTr="00A555F0">
        <w:trPr>
          <w:trHeight w:val="454"/>
        </w:trPr>
        <w:tc>
          <w:tcPr>
            <w:tcW w:w="237" w:type="pct"/>
            <w:shd w:val="clear" w:color="auto" w:fill="F2F2F2" w:themeFill="background1" w:themeFillShade="F2"/>
            <w:vAlign w:val="center"/>
          </w:tcPr>
          <w:p w14:paraId="4CA582D4" w14:textId="77777777" w:rsidR="005F4E12" w:rsidRPr="002132F9" w:rsidRDefault="005F4E12" w:rsidP="00A555F0">
            <w:pPr>
              <w:spacing w:before="120" w:after="120"/>
              <w:rPr>
                <w:rFonts w:ascii="Arial" w:hAnsi="Arial" w:cs="Arial"/>
              </w:rPr>
            </w:pPr>
          </w:p>
        </w:tc>
        <w:tc>
          <w:tcPr>
            <w:tcW w:w="4763" w:type="pct"/>
            <w:gridSpan w:val="4"/>
            <w:shd w:val="clear" w:color="auto" w:fill="F2F2F2" w:themeFill="background1" w:themeFillShade="F2"/>
            <w:vAlign w:val="center"/>
          </w:tcPr>
          <w:p w14:paraId="0498EC6A" w14:textId="77777777" w:rsidR="005F4E12" w:rsidRPr="004C3A0B" w:rsidRDefault="005F4E12" w:rsidP="00A555F0">
            <w:pPr>
              <w:spacing w:before="120" w:after="120"/>
              <w:rPr>
                <w:rFonts w:ascii="Arial" w:hAnsi="Arial" w:cs="Arial"/>
                <w:b/>
              </w:rPr>
            </w:pPr>
            <w:r>
              <w:rPr>
                <w:rFonts w:ascii="Arial" w:hAnsi="Arial" w:cs="Arial"/>
                <w:b/>
              </w:rPr>
              <w:t xml:space="preserve">Proposed data collection </w:t>
            </w:r>
            <w:r w:rsidRPr="004C3A0B">
              <w:rPr>
                <w:rFonts w:ascii="Arial" w:hAnsi="Arial" w:cs="Arial"/>
                <w:b/>
              </w:rPr>
              <w:t>methods</w:t>
            </w:r>
            <w:r>
              <w:rPr>
                <w:rFonts w:ascii="Arial" w:hAnsi="Arial" w:cs="Arial"/>
                <w:b/>
              </w:rPr>
              <w:t xml:space="preserve"> (maximum 600 words)</w:t>
            </w:r>
          </w:p>
          <w:p w14:paraId="79B25979" w14:textId="77777777" w:rsidR="005F4E12" w:rsidRPr="004C3A0B" w:rsidRDefault="005F4E12" w:rsidP="00A555F0">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w:t>
            </w:r>
            <w:r>
              <w:rPr>
                <w:rFonts w:ascii="Arial" w:hAnsi="Arial" w:cs="Arial"/>
              </w:rPr>
              <w:t xml:space="preserve"> to collect data</w:t>
            </w:r>
            <w:r w:rsidRPr="004C3A0B">
              <w:rPr>
                <w:rFonts w:ascii="Arial" w:hAnsi="Arial" w:cs="Arial"/>
              </w:rPr>
              <w:t>, making it clear what specific techniques may be used. If methods other than those listed in this section are deemed appropriate later, additional ethical approval for those methods wi</w:t>
            </w:r>
            <w:r>
              <w:rPr>
                <w:rFonts w:ascii="Arial" w:hAnsi="Arial" w:cs="Arial"/>
              </w:rPr>
              <w:t>ll be needed. You do not need to justify the methods here but should instead describe how you intend to collect the data necessary for you to complete your project.</w:t>
            </w:r>
          </w:p>
        </w:tc>
      </w:tr>
      <w:tr w:rsidR="005F4E12" w:rsidRPr="004C3A0B" w14:paraId="14BC459C" w14:textId="77777777" w:rsidTr="00A555F0">
        <w:trPr>
          <w:trHeight w:val="454"/>
        </w:trPr>
        <w:tc>
          <w:tcPr>
            <w:tcW w:w="237" w:type="pct"/>
            <w:vAlign w:val="center"/>
          </w:tcPr>
          <w:p w14:paraId="33E354F3" w14:textId="77777777" w:rsidR="005F4E12" w:rsidRPr="00D66471" w:rsidRDefault="005F4E12" w:rsidP="00A555F0">
            <w:pPr>
              <w:rPr>
                <w:rFonts w:ascii="Arial" w:hAnsi="Arial" w:cs="Arial"/>
              </w:rPr>
            </w:pPr>
            <w:r>
              <w:rPr>
                <w:rFonts w:ascii="Arial" w:hAnsi="Arial" w:cs="Arial"/>
              </w:rPr>
              <w:t>7</w:t>
            </w:r>
          </w:p>
        </w:tc>
        <w:tc>
          <w:tcPr>
            <w:tcW w:w="4763" w:type="pct"/>
            <w:gridSpan w:val="4"/>
            <w:vAlign w:val="center"/>
          </w:tcPr>
          <w:p w14:paraId="333EC98B" w14:textId="77777777" w:rsidR="005F4E12" w:rsidRPr="00B17110" w:rsidRDefault="005F4E12" w:rsidP="00A555F0">
            <w:pPr>
              <w:rPr>
                <w:rFonts w:ascii="Arial" w:hAnsi="Arial" w:cs="Arial"/>
                <w:color w:val="00B050"/>
              </w:rPr>
            </w:pPr>
            <w:r w:rsidRPr="00B17110">
              <w:rPr>
                <w:rFonts w:ascii="Arial" w:hAnsi="Arial" w:cs="Arial"/>
                <w:color w:val="00B050"/>
              </w:rPr>
              <w:t>This research will use a secondary qualitative research design. No questionnaires, interviews, focus groups, observations or experiments will be conducted.</w:t>
            </w:r>
          </w:p>
          <w:p w14:paraId="0AC6961E" w14:textId="77777777" w:rsidR="005F4E12" w:rsidRPr="00B17110" w:rsidRDefault="005F4E12" w:rsidP="00A555F0">
            <w:pPr>
              <w:rPr>
                <w:rFonts w:ascii="Arial" w:hAnsi="Arial" w:cs="Arial"/>
                <w:color w:val="00B050"/>
              </w:rPr>
            </w:pPr>
            <w:r w:rsidRPr="00B17110">
              <w:rPr>
                <w:rFonts w:ascii="Arial" w:hAnsi="Arial" w:cs="Arial"/>
                <w:color w:val="00B050"/>
              </w:rPr>
              <w:t>Data will be collected from existing publicly available and institutionally accessible sources. These will include peer-reviewed journal articles, academic books, government publications, policy reports and credible industry reports concerning financial risk management and SME financial performance.</w:t>
            </w:r>
          </w:p>
          <w:p w14:paraId="7F79AE59" w14:textId="77777777" w:rsidR="005F4E12" w:rsidRPr="00B17110" w:rsidRDefault="005F4E12" w:rsidP="00A555F0">
            <w:pPr>
              <w:rPr>
                <w:rFonts w:ascii="Arial" w:hAnsi="Arial" w:cs="Arial"/>
                <w:color w:val="00B050"/>
              </w:rPr>
            </w:pPr>
            <w:r w:rsidRPr="00B17110">
              <w:rPr>
                <w:rFonts w:ascii="Arial" w:hAnsi="Arial" w:cs="Arial"/>
                <w:color w:val="00B050"/>
              </w:rPr>
              <w:t>Relevant literature will be identified through Google Scholar, the UWTSD online library and academic databases available through the University. Official sources such as the Office for National Statistics and the Department for Business and Trade may also be used.</w:t>
            </w:r>
          </w:p>
          <w:p w14:paraId="7A228809" w14:textId="77777777" w:rsidR="005F4E12" w:rsidRPr="00B17110" w:rsidRDefault="005F4E12" w:rsidP="00A555F0">
            <w:pPr>
              <w:rPr>
                <w:rFonts w:ascii="Arial" w:hAnsi="Arial" w:cs="Arial"/>
                <w:color w:val="00B050"/>
              </w:rPr>
            </w:pPr>
            <w:r w:rsidRPr="00B17110">
              <w:rPr>
                <w:rFonts w:ascii="Arial" w:hAnsi="Arial" w:cs="Arial"/>
                <w:color w:val="00B050"/>
              </w:rPr>
              <w:t>Search terms will include combinations of:</w:t>
            </w:r>
          </w:p>
          <w:p w14:paraId="19C9BD47" w14:textId="77777777" w:rsidR="005F4E12" w:rsidRPr="00B17110" w:rsidRDefault="005F4E12" w:rsidP="005F4E12">
            <w:pPr>
              <w:numPr>
                <w:ilvl w:val="0"/>
                <w:numId w:val="35"/>
              </w:numPr>
              <w:spacing w:after="0" w:line="240" w:lineRule="auto"/>
              <w:rPr>
                <w:rFonts w:ascii="Arial" w:hAnsi="Arial" w:cs="Arial"/>
                <w:color w:val="00B050"/>
              </w:rPr>
            </w:pPr>
            <w:r w:rsidRPr="00B17110">
              <w:rPr>
                <w:rFonts w:ascii="Arial" w:hAnsi="Arial" w:cs="Arial"/>
                <w:color w:val="00B050"/>
              </w:rPr>
              <w:t>UK SMEs;</w:t>
            </w:r>
          </w:p>
          <w:p w14:paraId="6B6F17F2" w14:textId="77777777" w:rsidR="005F4E12" w:rsidRPr="00B17110" w:rsidRDefault="005F4E12" w:rsidP="005F4E12">
            <w:pPr>
              <w:numPr>
                <w:ilvl w:val="0"/>
                <w:numId w:val="35"/>
              </w:numPr>
              <w:spacing w:after="0" w:line="240" w:lineRule="auto"/>
              <w:rPr>
                <w:rFonts w:ascii="Arial" w:hAnsi="Arial" w:cs="Arial"/>
                <w:color w:val="00B050"/>
              </w:rPr>
            </w:pPr>
            <w:r w:rsidRPr="00B17110">
              <w:rPr>
                <w:rFonts w:ascii="Arial" w:hAnsi="Arial" w:cs="Arial"/>
                <w:color w:val="00B050"/>
              </w:rPr>
              <w:t>financial risk management;</w:t>
            </w:r>
          </w:p>
          <w:p w14:paraId="1FF67FE0" w14:textId="77777777" w:rsidR="005F4E12" w:rsidRPr="00B17110" w:rsidRDefault="005F4E12" w:rsidP="005F4E12">
            <w:pPr>
              <w:numPr>
                <w:ilvl w:val="0"/>
                <w:numId w:val="35"/>
              </w:numPr>
              <w:spacing w:after="0" w:line="240" w:lineRule="auto"/>
              <w:rPr>
                <w:rFonts w:ascii="Arial" w:hAnsi="Arial" w:cs="Arial"/>
                <w:color w:val="00B050"/>
              </w:rPr>
            </w:pPr>
            <w:r w:rsidRPr="00B17110">
              <w:rPr>
                <w:rFonts w:ascii="Arial" w:hAnsi="Arial" w:cs="Arial"/>
                <w:color w:val="00B050"/>
              </w:rPr>
              <w:t>liquidity risk management;</w:t>
            </w:r>
          </w:p>
          <w:p w14:paraId="4E9469A6" w14:textId="77777777" w:rsidR="005F4E12" w:rsidRPr="00B17110" w:rsidRDefault="005F4E12" w:rsidP="005F4E12">
            <w:pPr>
              <w:numPr>
                <w:ilvl w:val="0"/>
                <w:numId w:val="35"/>
              </w:numPr>
              <w:spacing w:after="0" w:line="240" w:lineRule="auto"/>
              <w:rPr>
                <w:rFonts w:ascii="Arial" w:hAnsi="Arial" w:cs="Arial"/>
                <w:color w:val="00B050"/>
              </w:rPr>
            </w:pPr>
            <w:r w:rsidRPr="00B17110">
              <w:rPr>
                <w:rFonts w:ascii="Arial" w:hAnsi="Arial" w:cs="Arial"/>
                <w:color w:val="00B050"/>
              </w:rPr>
              <w:t>credit risk management;</w:t>
            </w:r>
          </w:p>
          <w:p w14:paraId="2EA5E4C4" w14:textId="77777777" w:rsidR="005F4E12" w:rsidRPr="00B17110" w:rsidRDefault="005F4E12" w:rsidP="005F4E12">
            <w:pPr>
              <w:numPr>
                <w:ilvl w:val="0"/>
                <w:numId w:val="35"/>
              </w:numPr>
              <w:spacing w:after="0" w:line="240" w:lineRule="auto"/>
              <w:rPr>
                <w:rFonts w:ascii="Arial" w:hAnsi="Arial" w:cs="Arial"/>
                <w:color w:val="00B050"/>
              </w:rPr>
            </w:pPr>
            <w:r w:rsidRPr="00B17110">
              <w:rPr>
                <w:rFonts w:ascii="Arial" w:hAnsi="Arial" w:cs="Arial"/>
                <w:color w:val="00B050"/>
              </w:rPr>
              <w:lastRenderedPageBreak/>
              <w:t>market-risk management;</w:t>
            </w:r>
          </w:p>
          <w:p w14:paraId="2D45F66A" w14:textId="77777777" w:rsidR="005F4E12" w:rsidRPr="00B17110" w:rsidRDefault="005F4E12" w:rsidP="005F4E12">
            <w:pPr>
              <w:numPr>
                <w:ilvl w:val="0"/>
                <w:numId w:val="35"/>
              </w:numPr>
              <w:spacing w:after="0" w:line="240" w:lineRule="auto"/>
              <w:rPr>
                <w:rFonts w:ascii="Arial" w:hAnsi="Arial" w:cs="Arial"/>
                <w:color w:val="00B050"/>
              </w:rPr>
            </w:pPr>
            <w:r w:rsidRPr="00B17110">
              <w:rPr>
                <w:rFonts w:ascii="Arial" w:hAnsi="Arial" w:cs="Arial"/>
                <w:color w:val="00B050"/>
              </w:rPr>
              <w:t>financial performance;</w:t>
            </w:r>
          </w:p>
          <w:p w14:paraId="700B17B9" w14:textId="77777777" w:rsidR="005F4E12" w:rsidRPr="00B17110" w:rsidRDefault="005F4E12" w:rsidP="005F4E12">
            <w:pPr>
              <w:numPr>
                <w:ilvl w:val="0"/>
                <w:numId w:val="35"/>
              </w:numPr>
              <w:spacing w:after="0" w:line="240" w:lineRule="auto"/>
              <w:rPr>
                <w:rFonts w:ascii="Arial" w:hAnsi="Arial" w:cs="Arial"/>
                <w:color w:val="00B050"/>
              </w:rPr>
            </w:pPr>
            <w:r w:rsidRPr="00B17110">
              <w:rPr>
                <w:rFonts w:ascii="Arial" w:hAnsi="Arial" w:cs="Arial"/>
                <w:color w:val="00B050"/>
              </w:rPr>
              <w:t>cash-flow management;</w:t>
            </w:r>
          </w:p>
          <w:p w14:paraId="7499FE87" w14:textId="77777777" w:rsidR="005F4E12" w:rsidRPr="00B17110" w:rsidRDefault="005F4E12" w:rsidP="005F4E12">
            <w:pPr>
              <w:numPr>
                <w:ilvl w:val="0"/>
                <w:numId w:val="35"/>
              </w:numPr>
              <w:spacing w:after="0" w:line="240" w:lineRule="auto"/>
              <w:rPr>
                <w:rFonts w:ascii="Arial" w:hAnsi="Arial" w:cs="Arial"/>
                <w:color w:val="00B050"/>
              </w:rPr>
            </w:pPr>
            <w:r w:rsidRPr="00B17110">
              <w:rPr>
                <w:rFonts w:ascii="Arial" w:hAnsi="Arial" w:cs="Arial"/>
                <w:color w:val="00B050"/>
              </w:rPr>
              <w:t>credit control; and</w:t>
            </w:r>
          </w:p>
          <w:p w14:paraId="52C677A7" w14:textId="77777777" w:rsidR="005F4E12" w:rsidRPr="00B17110" w:rsidRDefault="005F4E12" w:rsidP="005F4E12">
            <w:pPr>
              <w:numPr>
                <w:ilvl w:val="0"/>
                <w:numId w:val="35"/>
              </w:numPr>
              <w:spacing w:after="0" w:line="240" w:lineRule="auto"/>
              <w:rPr>
                <w:rFonts w:ascii="Arial" w:hAnsi="Arial" w:cs="Arial"/>
                <w:color w:val="00B050"/>
              </w:rPr>
            </w:pPr>
            <w:r w:rsidRPr="00B17110">
              <w:rPr>
                <w:rFonts w:ascii="Arial" w:hAnsi="Arial" w:cs="Arial"/>
                <w:color w:val="00B050"/>
              </w:rPr>
              <w:t>financial resilience.</w:t>
            </w:r>
          </w:p>
          <w:p w14:paraId="22E93030" w14:textId="77777777" w:rsidR="005F4E12" w:rsidRPr="00B17110" w:rsidRDefault="005F4E12" w:rsidP="00A555F0">
            <w:pPr>
              <w:rPr>
                <w:rFonts w:ascii="Arial" w:hAnsi="Arial" w:cs="Arial"/>
                <w:color w:val="00B050"/>
              </w:rPr>
            </w:pPr>
            <w:r w:rsidRPr="00B17110">
              <w:rPr>
                <w:rFonts w:ascii="Arial" w:hAnsi="Arial" w:cs="Arial"/>
                <w:color w:val="00B050"/>
              </w:rPr>
              <w:t>Recent empirical studies published from 2021 onwards will be prioritised. Earlier seminal publications may be included where they are necessary to explain theories such as the Resource-Based View and Contingency Theory.</w:t>
            </w:r>
          </w:p>
          <w:p w14:paraId="66EA7834" w14:textId="77777777" w:rsidR="005F4E12" w:rsidRPr="00B17110" w:rsidRDefault="005F4E12" w:rsidP="00A555F0">
            <w:pPr>
              <w:rPr>
                <w:rFonts w:ascii="Arial" w:hAnsi="Arial" w:cs="Arial"/>
                <w:color w:val="00B050"/>
              </w:rPr>
            </w:pPr>
            <w:r w:rsidRPr="00B17110">
              <w:rPr>
                <w:rFonts w:ascii="Arial" w:hAnsi="Arial" w:cs="Arial"/>
                <w:color w:val="00B050"/>
              </w:rPr>
              <w:t>Sources will be selected according to their relevance, credibility, publication date and methodological quality. Studies focusing only on large companies, banks or unrelated industries will normally be excluded unless they provide useful theoretical or contextual information.</w:t>
            </w:r>
          </w:p>
          <w:p w14:paraId="4C1249C4" w14:textId="77777777" w:rsidR="005F4E12" w:rsidRPr="00B17110" w:rsidRDefault="005F4E12" w:rsidP="00A555F0">
            <w:pPr>
              <w:rPr>
                <w:rFonts w:ascii="Arial" w:hAnsi="Arial" w:cs="Arial"/>
                <w:color w:val="00B050"/>
              </w:rPr>
            </w:pPr>
            <w:r w:rsidRPr="00B17110">
              <w:rPr>
                <w:rFonts w:ascii="Arial" w:hAnsi="Arial" w:cs="Arial"/>
                <w:color w:val="00B050"/>
              </w:rPr>
              <w:t>Information from the selected sources will be recorded in a literature-review table. This may include the author, year, country, research aim, methodology, sample, findings, strengths, weaknesses and relevance to the study.</w:t>
            </w:r>
          </w:p>
          <w:p w14:paraId="74A4CD1A" w14:textId="77777777" w:rsidR="005F4E12" w:rsidRPr="00B17110" w:rsidRDefault="005F4E12" w:rsidP="00A555F0">
            <w:pPr>
              <w:rPr>
                <w:rFonts w:ascii="Arial" w:hAnsi="Arial" w:cs="Arial"/>
                <w:color w:val="00B050"/>
              </w:rPr>
            </w:pPr>
            <w:r w:rsidRPr="00B17110">
              <w:rPr>
                <w:rFonts w:ascii="Arial" w:hAnsi="Arial" w:cs="Arial"/>
                <w:color w:val="00B050"/>
              </w:rPr>
              <w:t xml:space="preserve">The data will be analysed using thematic analysis. The researcher will identify and organise themes relating to liquidity risk management, credit risk management, market-risk management, financial performance and contextual influences. Studies will be </w:t>
            </w:r>
            <w:proofErr w:type="gramStart"/>
            <w:r w:rsidRPr="00B17110">
              <w:rPr>
                <w:rFonts w:ascii="Arial" w:hAnsi="Arial" w:cs="Arial"/>
                <w:color w:val="00B050"/>
              </w:rPr>
              <w:t>compared and contrasted</w:t>
            </w:r>
            <w:proofErr w:type="gramEnd"/>
            <w:r w:rsidRPr="00B17110">
              <w:rPr>
                <w:rFonts w:ascii="Arial" w:hAnsi="Arial" w:cs="Arial"/>
                <w:color w:val="00B050"/>
              </w:rPr>
              <w:t xml:space="preserve"> to identify agreements, differences and gaps.</w:t>
            </w:r>
          </w:p>
          <w:p w14:paraId="715D43AC" w14:textId="77777777" w:rsidR="005F4E12" w:rsidRPr="00B17110" w:rsidRDefault="005F4E12" w:rsidP="00A555F0">
            <w:pPr>
              <w:rPr>
                <w:rFonts w:ascii="Arial" w:hAnsi="Arial" w:cs="Arial"/>
                <w:color w:val="00B050"/>
              </w:rPr>
            </w:pPr>
            <w:r w:rsidRPr="00B17110">
              <w:rPr>
                <w:rFonts w:ascii="Arial" w:hAnsi="Arial" w:cs="Arial"/>
                <w:color w:val="00B050"/>
              </w:rPr>
              <w:t>Only existing documents will be analysed. No personal, confidential or special-category data will intentionally be collected. All sources will be acknowledged using appropriate academic referencing.</w:t>
            </w:r>
          </w:p>
          <w:p w14:paraId="21FA069C" w14:textId="77777777" w:rsidR="005F4E12" w:rsidRPr="004C3A0B" w:rsidRDefault="005F4E12" w:rsidP="00A555F0">
            <w:pPr>
              <w:rPr>
                <w:rFonts w:ascii="Arial" w:hAnsi="Arial" w:cs="Arial"/>
              </w:rPr>
            </w:pPr>
          </w:p>
          <w:p w14:paraId="0FDC6285" w14:textId="77777777" w:rsidR="005F4E12" w:rsidRPr="004C3A0B" w:rsidRDefault="005F4E12" w:rsidP="00A555F0">
            <w:pPr>
              <w:rPr>
                <w:rFonts w:ascii="Arial" w:hAnsi="Arial" w:cs="Arial"/>
                <w:b/>
              </w:rPr>
            </w:pPr>
            <w:r w:rsidRPr="004C3A0B">
              <w:rPr>
                <w:rFonts w:ascii="Arial" w:hAnsi="Arial" w:cs="Arial"/>
                <w:color w:val="808080"/>
                <w:sz w:val="18"/>
                <w:szCs w:val="18"/>
              </w:rPr>
              <w:t>(this box should expand as you type)</w:t>
            </w:r>
          </w:p>
        </w:tc>
      </w:tr>
    </w:tbl>
    <w:p w14:paraId="15C73B7B" w14:textId="77777777" w:rsidR="005F4E12" w:rsidRDefault="005F4E12" w:rsidP="005F4E12"/>
    <w:p w14:paraId="17418DF1" w14:textId="77777777" w:rsidR="005F4E12" w:rsidRPr="004C3A0B" w:rsidRDefault="005F4E12" w:rsidP="005F4E12">
      <w:pPr>
        <w:spacing w:after="240"/>
        <w:rPr>
          <w:rFonts w:ascii="Arial" w:hAnsi="Arial" w:cs="Arial"/>
          <w:b/>
        </w:rPr>
      </w:pPr>
      <w:r>
        <w:rPr>
          <w:rFonts w:ascii="Arial" w:hAnsi="Arial" w:cs="Arial"/>
          <w:b/>
        </w:rPr>
        <w:t>SECTION D</w:t>
      </w:r>
      <w:r w:rsidRPr="004C3A0B">
        <w:rPr>
          <w:rFonts w:ascii="Arial" w:hAnsi="Arial" w:cs="Arial"/>
          <w:b/>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5F4E12" w:rsidRPr="004C3A0B" w14:paraId="755A36FB" w14:textId="77777777" w:rsidTr="00A555F0">
        <w:trPr>
          <w:trHeight w:val="558"/>
        </w:trPr>
        <w:tc>
          <w:tcPr>
            <w:tcW w:w="562" w:type="dxa"/>
            <w:shd w:val="clear" w:color="auto" w:fill="F2F2F2" w:themeFill="background1" w:themeFillShade="F2"/>
            <w:vAlign w:val="center"/>
          </w:tcPr>
          <w:p w14:paraId="48EF0921" w14:textId="77777777" w:rsidR="005F4E12" w:rsidRPr="004C3A0B" w:rsidRDefault="005F4E12" w:rsidP="00A555F0">
            <w:pPr>
              <w:autoSpaceDE w:val="0"/>
              <w:autoSpaceDN w:val="0"/>
              <w:adjustRightInd w:val="0"/>
              <w:rPr>
                <w:rFonts w:ascii="Arial" w:hAnsi="Arial" w:cs="Arial"/>
                <w:b/>
              </w:rPr>
            </w:pPr>
          </w:p>
        </w:tc>
        <w:tc>
          <w:tcPr>
            <w:tcW w:w="8227" w:type="dxa"/>
            <w:shd w:val="clear" w:color="auto" w:fill="F2F2F2" w:themeFill="background1" w:themeFillShade="F2"/>
            <w:vAlign w:val="center"/>
          </w:tcPr>
          <w:p w14:paraId="153E01C5" w14:textId="77777777" w:rsidR="005F4E12" w:rsidRPr="004C3A0B" w:rsidRDefault="005F4E12" w:rsidP="00A555F0">
            <w:pPr>
              <w:autoSpaceDE w:val="0"/>
              <w:autoSpaceDN w:val="0"/>
              <w:adjustRightInd w:val="0"/>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vAlign w:val="center"/>
          </w:tcPr>
          <w:p w14:paraId="06D6A0B0" w14:textId="77777777" w:rsidR="005F4E12" w:rsidRPr="004C3A0B" w:rsidRDefault="005F4E12" w:rsidP="00A555F0">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vAlign w:val="center"/>
          </w:tcPr>
          <w:p w14:paraId="72DF234D" w14:textId="77777777" w:rsidR="005F4E12" w:rsidRPr="004C3A0B" w:rsidRDefault="005F4E12" w:rsidP="00A555F0">
            <w:pPr>
              <w:autoSpaceDE w:val="0"/>
              <w:autoSpaceDN w:val="0"/>
              <w:adjustRightInd w:val="0"/>
              <w:jc w:val="center"/>
              <w:rPr>
                <w:rFonts w:ascii="Arial" w:hAnsi="Arial" w:cs="Arial"/>
                <w:b/>
                <w:bCs/>
              </w:rPr>
            </w:pPr>
            <w:r w:rsidRPr="004C3A0B">
              <w:rPr>
                <w:rFonts w:ascii="Arial" w:hAnsi="Arial" w:cs="Arial"/>
                <w:b/>
                <w:bCs/>
              </w:rPr>
              <w:t>NO</w:t>
            </w:r>
          </w:p>
        </w:tc>
      </w:tr>
      <w:tr w:rsidR="005F4E12" w:rsidRPr="004C3A0B" w14:paraId="16F6F3F7" w14:textId="77777777" w:rsidTr="00A555F0">
        <w:trPr>
          <w:trHeight w:val="439"/>
        </w:trPr>
        <w:tc>
          <w:tcPr>
            <w:tcW w:w="562" w:type="dxa"/>
            <w:shd w:val="clear" w:color="auto" w:fill="F2F2F2" w:themeFill="background1" w:themeFillShade="F2"/>
            <w:vAlign w:val="center"/>
          </w:tcPr>
          <w:p w14:paraId="20FC3EAF" w14:textId="77777777" w:rsidR="005F4E12" w:rsidRPr="004C3A0B" w:rsidRDefault="005F4E12" w:rsidP="00A555F0">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vAlign w:val="center"/>
          </w:tcPr>
          <w:p w14:paraId="07FD9106"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Content>
              <w:p w14:paraId="25B157AB"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Content>
              <w:p w14:paraId="1F7CEF59"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712F3DBB" w14:textId="77777777" w:rsidTr="00A555F0">
        <w:trPr>
          <w:trHeight w:val="439"/>
        </w:trPr>
        <w:tc>
          <w:tcPr>
            <w:tcW w:w="562" w:type="dxa"/>
            <w:shd w:val="clear" w:color="auto" w:fill="F2F2F2" w:themeFill="background1" w:themeFillShade="F2"/>
            <w:vAlign w:val="center"/>
          </w:tcPr>
          <w:p w14:paraId="1AF9FAE9" w14:textId="77777777" w:rsidR="005F4E12" w:rsidRPr="004C3A0B" w:rsidRDefault="005F4E12" w:rsidP="00A555F0">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031B8E9F"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533B124C"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1C39D1B8"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564D541E" w14:textId="77777777" w:rsidTr="00A555F0">
        <w:trPr>
          <w:trHeight w:val="439"/>
        </w:trPr>
        <w:tc>
          <w:tcPr>
            <w:tcW w:w="562" w:type="dxa"/>
            <w:shd w:val="clear" w:color="auto" w:fill="F2F2F2" w:themeFill="background1" w:themeFillShade="F2"/>
            <w:vAlign w:val="center"/>
          </w:tcPr>
          <w:p w14:paraId="3C60307C" w14:textId="77777777" w:rsidR="005F4E12" w:rsidRDefault="005F4E12" w:rsidP="00A555F0">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5130E122"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vAlign w:val="center"/>
          </w:tcPr>
          <w:sdt>
            <w:sdtPr>
              <w:rPr>
                <w:rFonts w:ascii="Arial" w:hAnsi="Arial" w:cs="Arial"/>
                <w:b/>
                <w:bCs/>
              </w:rPr>
              <w:id w:val="-507049709"/>
              <w14:checkbox>
                <w14:checked w14:val="0"/>
                <w14:checkedState w14:val="2612" w14:font="MS Gothic"/>
                <w14:uncheckedState w14:val="2610" w14:font="MS Gothic"/>
              </w14:checkbox>
            </w:sdtPr>
            <w:sdtContent>
              <w:p w14:paraId="5B39B841" w14:textId="77777777" w:rsidR="005F4E12" w:rsidRDefault="005F4E12" w:rsidP="00A555F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8368725"/>
              <w14:checkbox>
                <w14:checked w14:val="1"/>
                <w14:checkedState w14:val="2612" w14:font="MS Gothic"/>
                <w14:uncheckedState w14:val="2610" w14:font="MS Gothic"/>
              </w14:checkbox>
            </w:sdtPr>
            <w:sdtContent>
              <w:p w14:paraId="505E8CD3" w14:textId="77777777" w:rsidR="005F4E12" w:rsidRDefault="005F4E12" w:rsidP="00A555F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5F4E12" w:rsidRPr="004C3A0B" w14:paraId="0EA46746" w14:textId="77777777" w:rsidTr="00A555F0">
        <w:trPr>
          <w:trHeight w:val="403"/>
        </w:trPr>
        <w:tc>
          <w:tcPr>
            <w:tcW w:w="562" w:type="dxa"/>
            <w:shd w:val="clear" w:color="auto" w:fill="F2F2F2" w:themeFill="background1" w:themeFillShade="F2"/>
            <w:vAlign w:val="center"/>
          </w:tcPr>
          <w:p w14:paraId="6FA0D817" w14:textId="77777777" w:rsidR="005F4E12" w:rsidRPr="004C3A0B" w:rsidRDefault="005F4E12" w:rsidP="00A555F0">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088ED85B"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6B0EC10C"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3010C6B9"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332A554D" w14:textId="77777777" w:rsidTr="00A555F0">
        <w:trPr>
          <w:trHeight w:val="403"/>
        </w:trPr>
        <w:tc>
          <w:tcPr>
            <w:tcW w:w="562" w:type="dxa"/>
            <w:shd w:val="clear" w:color="auto" w:fill="F2F2F2" w:themeFill="background1" w:themeFillShade="F2"/>
            <w:vAlign w:val="center"/>
          </w:tcPr>
          <w:p w14:paraId="541AA785" w14:textId="77777777" w:rsidR="005F4E12" w:rsidRDefault="005F4E12" w:rsidP="00A555F0">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1D9970E9"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494723296"/>
              <w14:checkbox>
                <w14:checked w14:val="0"/>
                <w14:checkedState w14:val="2612" w14:font="MS Gothic"/>
                <w14:uncheckedState w14:val="2610" w14:font="MS Gothic"/>
              </w14:checkbox>
            </w:sdtPr>
            <w:sdtContent>
              <w:p w14:paraId="228D5B16" w14:textId="77777777" w:rsidR="005F4E12" w:rsidRDefault="005F4E12" w:rsidP="00A555F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672298898"/>
              <w14:checkbox>
                <w14:checked w14:val="1"/>
                <w14:checkedState w14:val="2612" w14:font="MS Gothic"/>
                <w14:uncheckedState w14:val="2610" w14:font="MS Gothic"/>
              </w14:checkbox>
            </w:sdtPr>
            <w:sdtContent>
              <w:p w14:paraId="23EC1690" w14:textId="77777777" w:rsidR="005F4E12" w:rsidRDefault="005F4E12" w:rsidP="00A555F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5F4E12" w:rsidRPr="004C3A0B" w14:paraId="0ABB02A6" w14:textId="77777777" w:rsidTr="00A555F0">
        <w:trPr>
          <w:trHeight w:val="403"/>
        </w:trPr>
        <w:tc>
          <w:tcPr>
            <w:tcW w:w="562" w:type="dxa"/>
            <w:shd w:val="clear" w:color="auto" w:fill="F2F2F2" w:themeFill="background1" w:themeFillShade="F2"/>
            <w:vAlign w:val="center"/>
          </w:tcPr>
          <w:p w14:paraId="7A172D48" w14:textId="77777777" w:rsidR="005F4E12" w:rsidRPr="004C3A0B" w:rsidRDefault="005F4E12" w:rsidP="00A555F0">
            <w:pPr>
              <w:autoSpaceDE w:val="0"/>
              <w:autoSpaceDN w:val="0"/>
              <w:adjustRightInd w:val="0"/>
              <w:rPr>
                <w:rFonts w:ascii="Arial" w:hAnsi="Arial" w:cs="Arial"/>
              </w:rPr>
            </w:pPr>
            <w:r>
              <w:rPr>
                <w:rFonts w:ascii="Arial" w:hAnsi="Arial" w:cs="Arial"/>
              </w:rPr>
              <w:lastRenderedPageBreak/>
              <w:t>6</w:t>
            </w:r>
          </w:p>
        </w:tc>
        <w:tc>
          <w:tcPr>
            <w:tcW w:w="8227" w:type="dxa"/>
            <w:shd w:val="clear" w:color="auto" w:fill="F2F2F2" w:themeFill="background1" w:themeFillShade="F2"/>
            <w:vAlign w:val="center"/>
          </w:tcPr>
          <w:p w14:paraId="663119D7" w14:textId="77777777" w:rsidR="005F4E12" w:rsidRPr="004C3A0B" w:rsidRDefault="005F4E12" w:rsidP="00A555F0">
            <w:pPr>
              <w:autoSpaceDE w:val="0"/>
              <w:autoSpaceDN w:val="0"/>
              <w:adjustRightInd w:val="0"/>
              <w:rPr>
                <w:rFonts w:ascii="Arial" w:hAnsi="Arial" w:cs="Arial"/>
              </w:rPr>
            </w:pPr>
            <w:r>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04B94286"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5239B3FE"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01ADA0F7" w14:textId="77777777" w:rsidTr="00A555F0">
        <w:trPr>
          <w:trHeight w:val="439"/>
        </w:trPr>
        <w:tc>
          <w:tcPr>
            <w:tcW w:w="562" w:type="dxa"/>
            <w:shd w:val="clear" w:color="auto" w:fill="F2F2F2" w:themeFill="background1" w:themeFillShade="F2"/>
            <w:vAlign w:val="center"/>
          </w:tcPr>
          <w:p w14:paraId="436158F2" w14:textId="77777777" w:rsidR="005F4E12" w:rsidRPr="004C3A0B" w:rsidRDefault="005F4E12" w:rsidP="00A555F0">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089E1010"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32DAE89D"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131AAEB9"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1C0D787F" w14:textId="77777777" w:rsidTr="00A555F0">
        <w:trPr>
          <w:trHeight w:val="403"/>
        </w:trPr>
        <w:tc>
          <w:tcPr>
            <w:tcW w:w="562" w:type="dxa"/>
            <w:shd w:val="clear" w:color="auto" w:fill="F2F2F2" w:themeFill="background1" w:themeFillShade="F2"/>
            <w:vAlign w:val="center"/>
          </w:tcPr>
          <w:p w14:paraId="7D04C838" w14:textId="77777777" w:rsidR="005F4E12" w:rsidRPr="004C3A0B" w:rsidRDefault="005F4E12" w:rsidP="00A555F0">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3B81F7CB"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040C0370"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5BEC8740"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586E2ECA" w14:textId="77777777" w:rsidTr="00A555F0">
        <w:trPr>
          <w:trHeight w:val="439"/>
        </w:trPr>
        <w:tc>
          <w:tcPr>
            <w:tcW w:w="562" w:type="dxa"/>
            <w:shd w:val="clear" w:color="auto" w:fill="F2F2F2" w:themeFill="background1" w:themeFillShade="F2"/>
            <w:vAlign w:val="center"/>
          </w:tcPr>
          <w:p w14:paraId="4BD4563C" w14:textId="77777777" w:rsidR="005F4E12" w:rsidRPr="004C3A0B" w:rsidRDefault="005F4E12" w:rsidP="00A555F0">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2BFD1B2F"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28089651"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6C7B7CC3"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7D40E395" w14:textId="77777777" w:rsidTr="00A555F0">
        <w:trPr>
          <w:trHeight w:val="403"/>
        </w:trPr>
        <w:tc>
          <w:tcPr>
            <w:tcW w:w="562" w:type="dxa"/>
            <w:shd w:val="clear" w:color="auto" w:fill="F2F2F2" w:themeFill="background1" w:themeFillShade="F2"/>
            <w:vAlign w:val="center"/>
          </w:tcPr>
          <w:p w14:paraId="1605CF3B" w14:textId="77777777" w:rsidR="005F4E12" w:rsidRPr="004C3A0B" w:rsidRDefault="005F4E12" w:rsidP="00A555F0">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77EBC7B9"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2B59F460"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3500DD91"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747573D4" w14:textId="77777777" w:rsidTr="00A555F0">
        <w:trPr>
          <w:trHeight w:val="403"/>
        </w:trPr>
        <w:tc>
          <w:tcPr>
            <w:tcW w:w="562" w:type="dxa"/>
            <w:shd w:val="clear" w:color="auto" w:fill="F2F2F2" w:themeFill="background1" w:themeFillShade="F2"/>
            <w:vAlign w:val="center"/>
          </w:tcPr>
          <w:p w14:paraId="3D67B826" w14:textId="77777777" w:rsidR="005F4E12" w:rsidRPr="004C3A0B" w:rsidRDefault="005F4E12" w:rsidP="00A555F0">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4F106EBC"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4474EF79"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5513D23E"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F4E12" w:rsidRPr="004C3A0B" w14:paraId="33CAD17A" w14:textId="77777777" w:rsidTr="00A555F0">
        <w:trPr>
          <w:trHeight w:val="403"/>
        </w:trPr>
        <w:tc>
          <w:tcPr>
            <w:tcW w:w="562" w:type="dxa"/>
            <w:shd w:val="clear" w:color="auto" w:fill="F2F2F2" w:themeFill="background1" w:themeFillShade="F2"/>
            <w:vAlign w:val="center"/>
          </w:tcPr>
          <w:p w14:paraId="58E98E04" w14:textId="77777777" w:rsidR="005F4E12" w:rsidRPr="004C3A0B" w:rsidRDefault="005F4E12" w:rsidP="00A555F0">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12FA0EFD"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1E1DCA17"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77DEA773"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F4E12" w:rsidRPr="004C3A0B" w14:paraId="60C91D3A" w14:textId="77777777" w:rsidTr="00A555F0">
        <w:trPr>
          <w:trHeight w:val="403"/>
        </w:trPr>
        <w:tc>
          <w:tcPr>
            <w:tcW w:w="562" w:type="dxa"/>
            <w:shd w:val="clear" w:color="auto" w:fill="F2F2F2" w:themeFill="background1" w:themeFillShade="F2"/>
            <w:vAlign w:val="center"/>
          </w:tcPr>
          <w:p w14:paraId="06D301FA" w14:textId="77777777" w:rsidR="005F4E12" w:rsidRPr="004C3A0B" w:rsidRDefault="005F4E12" w:rsidP="00A555F0">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67FF8053"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4FEAEC4F"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02786BB8"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F4E12" w:rsidRPr="004C3A0B" w14:paraId="4817AE46" w14:textId="77777777" w:rsidTr="00A555F0">
        <w:trPr>
          <w:trHeight w:val="403"/>
        </w:trPr>
        <w:tc>
          <w:tcPr>
            <w:tcW w:w="562" w:type="dxa"/>
            <w:shd w:val="clear" w:color="auto" w:fill="F2F2F2" w:themeFill="background1" w:themeFillShade="F2"/>
            <w:vAlign w:val="center"/>
          </w:tcPr>
          <w:p w14:paraId="1E731A6F" w14:textId="77777777" w:rsidR="005F4E12" w:rsidRPr="004C3A0B" w:rsidRDefault="005F4E12" w:rsidP="00A555F0">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40C9CF11"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1919A89A"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0865E53B"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F4E12" w:rsidRPr="004C3A0B" w14:paraId="71FE76BD" w14:textId="77777777" w:rsidTr="00A555F0">
        <w:trPr>
          <w:trHeight w:val="403"/>
        </w:trPr>
        <w:tc>
          <w:tcPr>
            <w:tcW w:w="562" w:type="dxa"/>
            <w:shd w:val="clear" w:color="auto" w:fill="F2F2F2" w:themeFill="background1" w:themeFillShade="F2"/>
            <w:vAlign w:val="center"/>
          </w:tcPr>
          <w:p w14:paraId="4F8582DA" w14:textId="77777777" w:rsidR="005F4E12" w:rsidRPr="004C3A0B" w:rsidRDefault="005F4E12" w:rsidP="00A555F0">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4FF9D3B7"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3E3BEA3F"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1B9659C4"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F4E12" w:rsidRPr="004C3A0B" w14:paraId="3BE6513B" w14:textId="77777777" w:rsidTr="00A555F0">
        <w:trPr>
          <w:trHeight w:val="403"/>
        </w:trPr>
        <w:tc>
          <w:tcPr>
            <w:tcW w:w="562" w:type="dxa"/>
            <w:shd w:val="clear" w:color="auto" w:fill="F2F2F2" w:themeFill="background1" w:themeFillShade="F2"/>
            <w:vAlign w:val="center"/>
          </w:tcPr>
          <w:p w14:paraId="4A1E15E3" w14:textId="77777777" w:rsidR="005F4E12" w:rsidRDefault="005F4E12" w:rsidP="00A555F0">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vAlign w:val="center"/>
          </w:tcPr>
          <w:p w14:paraId="7F3A8E96" w14:textId="77777777" w:rsidR="005F4E12" w:rsidRPr="004C3A0B" w:rsidRDefault="005F4E12" w:rsidP="00A555F0">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rPr>
              <w:id w:val="1647247395"/>
              <w14:checkbox>
                <w14:checked w14:val="0"/>
                <w14:checkedState w14:val="2612" w14:font="MS Gothic"/>
                <w14:uncheckedState w14:val="2610" w14:font="MS Gothic"/>
              </w14:checkbox>
            </w:sdtPr>
            <w:sdtContent>
              <w:p w14:paraId="047D0AA1" w14:textId="77777777" w:rsidR="005F4E12" w:rsidRDefault="005F4E12" w:rsidP="00A555F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995170133"/>
              <w14:checkbox>
                <w14:checked w14:val="1"/>
                <w14:checkedState w14:val="2612" w14:font="MS Gothic"/>
                <w14:uncheckedState w14:val="2610" w14:font="MS Gothic"/>
              </w14:checkbox>
            </w:sdtPr>
            <w:sdtContent>
              <w:p w14:paraId="4C0D78F6" w14:textId="77777777" w:rsidR="005F4E12" w:rsidRDefault="005F4E12" w:rsidP="00A555F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5F4E12" w:rsidRPr="006C1FDD" w14:paraId="618D438B" w14:textId="77777777" w:rsidTr="00A555F0">
        <w:trPr>
          <w:trHeight w:val="403"/>
        </w:trPr>
        <w:tc>
          <w:tcPr>
            <w:tcW w:w="562" w:type="dxa"/>
            <w:shd w:val="clear" w:color="auto" w:fill="F2F2F2" w:themeFill="background1" w:themeFillShade="F2"/>
            <w:vAlign w:val="center"/>
          </w:tcPr>
          <w:p w14:paraId="0DC71270" w14:textId="77777777" w:rsidR="005F4E12" w:rsidRPr="006C1FDD" w:rsidRDefault="005F4E12" w:rsidP="00A555F0">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vAlign w:val="center"/>
          </w:tcPr>
          <w:p w14:paraId="291B0989" w14:textId="77777777" w:rsidR="005F4E12" w:rsidRPr="006C1FDD" w:rsidRDefault="005F4E12" w:rsidP="00A555F0">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0D49A51D" w14:textId="77777777" w:rsidR="005F4E12" w:rsidRPr="006C1FDD" w:rsidRDefault="005F4E12" w:rsidP="00A555F0">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5D5002EE" w14:textId="77777777" w:rsidR="005F4E12" w:rsidRPr="006C1FDD" w:rsidRDefault="005F4E12" w:rsidP="00A555F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5F4E12" w:rsidRPr="006C1FDD" w14:paraId="0DDD38ED" w14:textId="77777777" w:rsidTr="00A555F0">
        <w:trPr>
          <w:trHeight w:val="403"/>
        </w:trPr>
        <w:tc>
          <w:tcPr>
            <w:tcW w:w="562" w:type="dxa"/>
            <w:vAlign w:val="center"/>
          </w:tcPr>
          <w:p w14:paraId="03651899" w14:textId="77777777" w:rsidR="005F4E12" w:rsidRPr="006C1FDD" w:rsidRDefault="005F4E12" w:rsidP="00A555F0">
            <w:pPr>
              <w:autoSpaceDE w:val="0"/>
              <w:autoSpaceDN w:val="0"/>
              <w:adjustRightInd w:val="0"/>
              <w:rPr>
                <w:rFonts w:ascii="Arial" w:hAnsi="Arial" w:cs="Arial"/>
              </w:rPr>
            </w:pPr>
          </w:p>
        </w:tc>
        <w:tc>
          <w:tcPr>
            <w:tcW w:w="8227" w:type="dxa"/>
            <w:vAlign w:val="center"/>
          </w:tcPr>
          <w:p w14:paraId="586D44AD" w14:textId="77777777" w:rsidR="005F4E12" w:rsidRPr="006C1FDD" w:rsidRDefault="005F4E12" w:rsidP="00A555F0">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72F0894B" w14:textId="77777777" w:rsidR="005F4E12" w:rsidRPr="006C1FDD" w:rsidRDefault="005F4E12" w:rsidP="00A555F0">
            <w:pPr>
              <w:rPr>
                <w:rFonts w:ascii="Arial" w:hAnsi="Arial" w:cs="Arial"/>
              </w:rPr>
            </w:pPr>
          </w:p>
          <w:p w14:paraId="10D00A65" w14:textId="77777777" w:rsidR="005F4E12" w:rsidRPr="006C1FDD" w:rsidRDefault="005F4E12" w:rsidP="00A555F0">
            <w:pPr>
              <w:rPr>
                <w:rFonts w:ascii="Arial" w:hAnsi="Arial" w:cs="Arial"/>
              </w:rPr>
            </w:pPr>
          </w:p>
          <w:p w14:paraId="182B79D1" w14:textId="77777777" w:rsidR="005F4E12" w:rsidRPr="006C1FDD" w:rsidRDefault="005F4E12" w:rsidP="00A555F0">
            <w:pPr>
              <w:rPr>
                <w:rFonts w:ascii="Arial" w:hAnsi="Arial" w:cs="Arial"/>
              </w:rPr>
            </w:pPr>
          </w:p>
          <w:p w14:paraId="56ED1872" w14:textId="77777777" w:rsidR="005F4E12" w:rsidRPr="006C1FDD" w:rsidRDefault="005F4E12" w:rsidP="00A555F0">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0CFBF3A" w14:textId="77777777" w:rsidR="005F4E12" w:rsidRPr="006C1FDD" w:rsidRDefault="005F4E12" w:rsidP="00A555F0">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1CE810E7" w14:textId="77777777" w:rsidR="005F4E12" w:rsidRPr="006C1FDD" w:rsidRDefault="005F4E12" w:rsidP="00A555F0">
            <w:pPr>
              <w:autoSpaceDE w:val="0"/>
              <w:autoSpaceDN w:val="0"/>
              <w:adjustRightInd w:val="0"/>
              <w:jc w:val="center"/>
              <w:rPr>
                <w:rFonts w:ascii="Arial" w:hAnsi="Arial" w:cs="Arial"/>
                <w:b/>
                <w:bCs/>
              </w:rPr>
            </w:pPr>
          </w:p>
        </w:tc>
      </w:tr>
    </w:tbl>
    <w:p w14:paraId="7ADD88C0" w14:textId="77777777" w:rsidR="005F4E12" w:rsidRDefault="005F4E12" w:rsidP="005F4E12">
      <w:pPr>
        <w:jc w:val="both"/>
        <w:rPr>
          <w:rFonts w:ascii="Arial" w:hAnsi="Arial" w:cs="Arial"/>
          <w:bCs/>
          <w:iCs/>
        </w:rPr>
      </w:pPr>
    </w:p>
    <w:p w14:paraId="1FD437D8" w14:textId="77777777" w:rsidR="005F4E12" w:rsidRPr="003D0884" w:rsidRDefault="005F4E12" w:rsidP="005F4E12">
      <w:pPr>
        <w:jc w:val="both"/>
        <w:rPr>
          <w:rFonts w:ascii="Arial" w:hAnsi="Arial" w:cs="Arial"/>
          <w:bCs/>
          <w:iCs/>
        </w:rPr>
      </w:pPr>
      <w:r w:rsidRPr="003D0884">
        <w:rPr>
          <w:rFonts w:ascii="Arial" w:hAnsi="Arial" w:cs="Arial"/>
          <w:bCs/>
          <w:iCs/>
        </w:rPr>
        <w:t xml:space="preserve">If </w:t>
      </w:r>
      <w:r>
        <w:rPr>
          <w:rFonts w:ascii="Arial" w:hAnsi="Arial" w:cs="Arial"/>
          <w:bCs/>
          <w:iCs/>
        </w:rPr>
        <w:t xml:space="preserve">you have ticked NO to every </w:t>
      </w:r>
      <w:proofErr w:type="gramStart"/>
      <w:r>
        <w:rPr>
          <w:rFonts w:ascii="Arial" w:hAnsi="Arial" w:cs="Arial"/>
          <w:bCs/>
          <w:iCs/>
        </w:rPr>
        <w:t>question</w:t>
      </w:r>
      <w:proofErr w:type="gramEnd"/>
      <w:r w:rsidRPr="003D0884">
        <w:rPr>
          <w:rFonts w:ascii="Arial" w:hAnsi="Arial" w:cs="Arial"/>
          <w:bCs/>
          <w:iCs/>
        </w:rPr>
        <w:t xml:space="preserve"> then the research activity is (ethically) low risk and </w:t>
      </w:r>
      <w:r>
        <w:rPr>
          <w:rFonts w:ascii="Arial" w:hAnsi="Arial" w:cs="Arial"/>
          <w:bCs/>
          <w:iCs/>
        </w:rPr>
        <w:t xml:space="preserve">you may skip section </w:t>
      </w:r>
      <w:r w:rsidRPr="003D0884">
        <w:rPr>
          <w:rFonts w:ascii="Arial" w:hAnsi="Arial" w:cs="Arial"/>
          <w:bCs/>
          <w:iCs/>
        </w:rPr>
        <w:t xml:space="preserve">E and continue to section </w:t>
      </w:r>
      <w:r>
        <w:rPr>
          <w:rFonts w:ascii="Arial" w:hAnsi="Arial" w:cs="Arial"/>
          <w:bCs/>
          <w:iCs/>
        </w:rPr>
        <w:t>F</w:t>
      </w:r>
      <w:r w:rsidRPr="003D0884">
        <w:rPr>
          <w:rFonts w:ascii="Arial" w:hAnsi="Arial" w:cs="Arial"/>
          <w:bCs/>
          <w:iCs/>
        </w:rPr>
        <w:t>.</w:t>
      </w:r>
    </w:p>
    <w:p w14:paraId="2B6F2A51" w14:textId="77777777" w:rsidR="005F4E12" w:rsidRPr="004C3A0B" w:rsidRDefault="005F4E12" w:rsidP="005F4E12">
      <w:pPr>
        <w:rPr>
          <w:rFonts w:ascii="Arial" w:hAnsi="Arial" w:cs="Arial"/>
          <w:bCs/>
          <w:iCs/>
        </w:rPr>
      </w:pPr>
    </w:p>
    <w:p w14:paraId="62B73EE3" w14:textId="77777777" w:rsidR="005F4E12" w:rsidRDefault="005F4E12" w:rsidP="005F4E12">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2AF48606" w14:textId="77777777" w:rsidR="005F4E12" w:rsidRPr="004C3A0B" w:rsidRDefault="005F4E12" w:rsidP="005F4E12">
      <w:pPr>
        <w:rPr>
          <w:rFonts w:ascii="Arial" w:hAnsi="Arial" w:cs="Arial"/>
          <w:bCs/>
          <w:iCs/>
        </w:rPr>
      </w:pPr>
    </w:p>
    <w:p w14:paraId="01C65BD1" w14:textId="77777777" w:rsidR="005F4E12" w:rsidRPr="00354F34" w:rsidRDefault="005F4E12" w:rsidP="005F4E12">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E</w:t>
      </w:r>
      <w:r w:rsidRPr="00354F34">
        <w:rPr>
          <w:rFonts w:ascii="Arial" w:hAnsi="Arial" w:cs="Arial"/>
          <w:b/>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5F4E12" w:rsidRPr="004C3A0B" w14:paraId="3DABE0C9" w14:textId="77777777" w:rsidTr="00A555F0">
        <w:tc>
          <w:tcPr>
            <w:tcW w:w="562" w:type="dxa"/>
            <w:shd w:val="clear" w:color="auto" w:fill="F2F2F2" w:themeFill="background1" w:themeFillShade="F2"/>
            <w:vAlign w:val="center"/>
          </w:tcPr>
          <w:p w14:paraId="31BD06EA" w14:textId="77777777" w:rsidR="005F4E12" w:rsidRPr="004C3A0B" w:rsidRDefault="005F4E12" w:rsidP="00A555F0">
            <w:pPr>
              <w:autoSpaceDE w:val="0"/>
              <w:autoSpaceDN w:val="0"/>
              <w:adjustRightInd w:val="0"/>
              <w:jc w:val="center"/>
              <w:rPr>
                <w:rFonts w:ascii="Arial" w:hAnsi="Arial" w:cs="Arial"/>
                <w:b/>
              </w:rPr>
            </w:pPr>
          </w:p>
        </w:tc>
        <w:tc>
          <w:tcPr>
            <w:tcW w:w="8217" w:type="dxa"/>
            <w:shd w:val="clear" w:color="auto" w:fill="F2F2F2" w:themeFill="background1" w:themeFillShade="F2"/>
          </w:tcPr>
          <w:p w14:paraId="3BBF1C5F" w14:textId="77777777" w:rsidR="005F4E12" w:rsidRPr="004C3A0B" w:rsidRDefault="005F4E12" w:rsidP="00A555F0">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2DB03F6E" w14:textId="77777777" w:rsidR="005F4E12" w:rsidRPr="004C3A0B" w:rsidRDefault="005F4E12" w:rsidP="00A555F0">
            <w:pPr>
              <w:autoSpaceDE w:val="0"/>
              <w:autoSpaceDN w:val="0"/>
              <w:adjustRightInd w:val="0"/>
              <w:jc w:val="center"/>
              <w:rPr>
                <w:rFonts w:ascii="Arial" w:hAnsi="Arial" w:cs="Arial"/>
                <w:b/>
                <w:bCs/>
              </w:rPr>
            </w:pPr>
          </w:p>
          <w:p w14:paraId="5D7E2D69" w14:textId="77777777" w:rsidR="005F4E12" w:rsidRPr="004C3A0B" w:rsidRDefault="005F4E12" w:rsidP="00A555F0">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4CA0F5CD" w14:textId="77777777" w:rsidR="005F4E12" w:rsidRPr="004C3A0B" w:rsidRDefault="005F4E12" w:rsidP="00A555F0">
            <w:pPr>
              <w:autoSpaceDE w:val="0"/>
              <w:autoSpaceDN w:val="0"/>
              <w:adjustRightInd w:val="0"/>
              <w:jc w:val="center"/>
              <w:rPr>
                <w:rFonts w:ascii="Arial" w:hAnsi="Arial" w:cs="Arial"/>
                <w:b/>
                <w:bCs/>
              </w:rPr>
            </w:pPr>
          </w:p>
          <w:p w14:paraId="56029F73" w14:textId="77777777" w:rsidR="005F4E12" w:rsidRPr="004C3A0B" w:rsidRDefault="005F4E12" w:rsidP="00A555F0">
            <w:pPr>
              <w:autoSpaceDE w:val="0"/>
              <w:autoSpaceDN w:val="0"/>
              <w:adjustRightInd w:val="0"/>
              <w:jc w:val="center"/>
              <w:rPr>
                <w:rFonts w:ascii="Arial" w:hAnsi="Arial" w:cs="Arial"/>
                <w:b/>
                <w:bCs/>
              </w:rPr>
            </w:pPr>
            <w:r w:rsidRPr="004C3A0B">
              <w:rPr>
                <w:rFonts w:ascii="Arial" w:hAnsi="Arial" w:cs="Arial"/>
                <w:b/>
                <w:bCs/>
              </w:rPr>
              <w:t>NO</w:t>
            </w:r>
          </w:p>
        </w:tc>
      </w:tr>
      <w:tr w:rsidR="005F4E12" w:rsidRPr="004C3A0B" w14:paraId="55760414" w14:textId="77777777" w:rsidTr="00A555F0">
        <w:trPr>
          <w:trHeight w:val="439"/>
        </w:trPr>
        <w:tc>
          <w:tcPr>
            <w:tcW w:w="562" w:type="dxa"/>
            <w:shd w:val="clear" w:color="auto" w:fill="F2F2F2" w:themeFill="background1" w:themeFillShade="F2"/>
            <w:vAlign w:val="center"/>
          </w:tcPr>
          <w:p w14:paraId="05DB48FA" w14:textId="77777777" w:rsidR="005F4E12" w:rsidRPr="004C3A0B" w:rsidRDefault="005F4E12" w:rsidP="00A555F0">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488B5D03"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257C0CCA"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23036CEA"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076A0350" w14:textId="77777777" w:rsidTr="00A555F0">
        <w:trPr>
          <w:trHeight w:val="403"/>
        </w:trPr>
        <w:tc>
          <w:tcPr>
            <w:tcW w:w="562" w:type="dxa"/>
            <w:shd w:val="clear" w:color="auto" w:fill="F2F2F2" w:themeFill="background1" w:themeFillShade="F2"/>
            <w:vAlign w:val="center"/>
          </w:tcPr>
          <w:p w14:paraId="2B876083" w14:textId="77777777" w:rsidR="005F4E12" w:rsidRPr="004C3A0B" w:rsidRDefault="005F4E12" w:rsidP="00A555F0">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038E54FD"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Content>
              <w:p w14:paraId="065F27C2"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1"/>
                <w14:checkedState w14:val="2612" w14:font="MS Gothic"/>
                <w14:uncheckedState w14:val="2610" w14:font="MS Gothic"/>
              </w14:checkbox>
            </w:sdtPr>
            <w:sdtContent>
              <w:p w14:paraId="0B84F9A6"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33C2C1F0" w14:textId="77777777" w:rsidTr="00A555F0">
        <w:trPr>
          <w:trHeight w:val="439"/>
        </w:trPr>
        <w:tc>
          <w:tcPr>
            <w:tcW w:w="562" w:type="dxa"/>
            <w:shd w:val="clear" w:color="auto" w:fill="F2F2F2" w:themeFill="background1" w:themeFillShade="F2"/>
            <w:vAlign w:val="center"/>
          </w:tcPr>
          <w:p w14:paraId="090DDBC6" w14:textId="77777777" w:rsidR="005F4E12" w:rsidRPr="004C3A0B" w:rsidRDefault="005F4E12" w:rsidP="00A555F0">
            <w:pPr>
              <w:autoSpaceDE w:val="0"/>
              <w:autoSpaceDN w:val="0"/>
              <w:adjustRightInd w:val="0"/>
              <w:jc w:val="center"/>
              <w:rPr>
                <w:rFonts w:ascii="Arial" w:hAnsi="Arial" w:cs="Arial"/>
              </w:rPr>
            </w:pPr>
            <w:r>
              <w:rPr>
                <w:rFonts w:ascii="Arial" w:hAnsi="Arial" w:cs="Arial"/>
              </w:rPr>
              <w:lastRenderedPageBreak/>
              <w:t>3</w:t>
            </w:r>
          </w:p>
        </w:tc>
        <w:tc>
          <w:tcPr>
            <w:tcW w:w="8217" w:type="dxa"/>
            <w:shd w:val="clear" w:color="auto" w:fill="F2F2F2" w:themeFill="background1" w:themeFillShade="F2"/>
            <w:vAlign w:val="center"/>
          </w:tcPr>
          <w:p w14:paraId="73B4E7E2"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7E30C8B3"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3090881E"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520D5E8E" w14:textId="77777777" w:rsidTr="00A555F0">
        <w:trPr>
          <w:trHeight w:val="403"/>
        </w:trPr>
        <w:tc>
          <w:tcPr>
            <w:tcW w:w="562" w:type="dxa"/>
            <w:shd w:val="clear" w:color="auto" w:fill="F2F2F2" w:themeFill="background1" w:themeFillShade="F2"/>
            <w:vAlign w:val="center"/>
          </w:tcPr>
          <w:p w14:paraId="5196E243" w14:textId="77777777" w:rsidR="005F4E12" w:rsidRPr="004C3A0B" w:rsidRDefault="005F4E12" w:rsidP="00A555F0">
            <w:pPr>
              <w:autoSpaceDE w:val="0"/>
              <w:autoSpaceDN w:val="0"/>
              <w:adjustRightInd w:val="0"/>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14:paraId="24730885"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6C1AAA89"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560D29E7"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3B4B925D" w14:textId="77777777" w:rsidTr="00A555F0">
        <w:trPr>
          <w:trHeight w:val="403"/>
        </w:trPr>
        <w:tc>
          <w:tcPr>
            <w:tcW w:w="562" w:type="dxa"/>
            <w:shd w:val="clear" w:color="auto" w:fill="F2F2F2" w:themeFill="background1" w:themeFillShade="F2"/>
            <w:vAlign w:val="center"/>
          </w:tcPr>
          <w:p w14:paraId="65F14D0B" w14:textId="77777777" w:rsidR="005F4E12" w:rsidRPr="004C3A0B" w:rsidRDefault="005F4E12" w:rsidP="00A555F0">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75258891"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3BF52042"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45E347F0"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212AD48E" w14:textId="77777777" w:rsidTr="00A555F0">
        <w:trPr>
          <w:trHeight w:val="439"/>
        </w:trPr>
        <w:tc>
          <w:tcPr>
            <w:tcW w:w="562" w:type="dxa"/>
            <w:shd w:val="clear" w:color="auto" w:fill="F2F2F2" w:themeFill="background1" w:themeFillShade="F2"/>
            <w:vAlign w:val="center"/>
          </w:tcPr>
          <w:p w14:paraId="5D3ABAE5" w14:textId="77777777" w:rsidR="005F4E12" w:rsidRPr="004C3A0B" w:rsidRDefault="005F4E12" w:rsidP="00A555F0">
            <w:pPr>
              <w:autoSpaceDE w:val="0"/>
              <w:autoSpaceDN w:val="0"/>
              <w:adjustRightInd w:val="0"/>
              <w:jc w:val="center"/>
              <w:rPr>
                <w:rFonts w:ascii="Arial" w:hAnsi="Arial" w:cs="Arial"/>
              </w:rPr>
            </w:pPr>
            <w:r>
              <w:rPr>
                <w:rFonts w:ascii="Arial" w:hAnsi="Arial" w:cs="Arial"/>
              </w:rPr>
              <w:t>6</w:t>
            </w:r>
          </w:p>
        </w:tc>
        <w:tc>
          <w:tcPr>
            <w:tcW w:w="8217" w:type="dxa"/>
            <w:shd w:val="clear" w:color="auto" w:fill="F2F2F2" w:themeFill="background1" w:themeFillShade="F2"/>
            <w:vAlign w:val="center"/>
          </w:tcPr>
          <w:p w14:paraId="3120DD7A"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54DD5594"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4A28FAD0"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5B7B8D36" w14:textId="77777777" w:rsidTr="00A555F0">
        <w:trPr>
          <w:trHeight w:val="403"/>
        </w:trPr>
        <w:tc>
          <w:tcPr>
            <w:tcW w:w="562" w:type="dxa"/>
            <w:shd w:val="clear" w:color="auto" w:fill="F2F2F2" w:themeFill="background1" w:themeFillShade="F2"/>
            <w:vAlign w:val="center"/>
          </w:tcPr>
          <w:p w14:paraId="03292102" w14:textId="77777777" w:rsidR="005F4E12" w:rsidRPr="004C3A0B" w:rsidRDefault="005F4E12" w:rsidP="00A555F0">
            <w:pPr>
              <w:autoSpaceDE w:val="0"/>
              <w:autoSpaceDN w:val="0"/>
              <w:adjustRightInd w:val="0"/>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14:paraId="5BE3FFE6"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54DD00E8"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3D78B9C5"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F4E12" w:rsidRPr="004C3A0B" w14:paraId="7017A244" w14:textId="77777777" w:rsidTr="00A555F0">
        <w:trPr>
          <w:trHeight w:val="403"/>
        </w:trPr>
        <w:tc>
          <w:tcPr>
            <w:tcW w:w="562" w:type="dxa"/>
            <w:shd w:val="clear" w:color="auto" w:fill="F2F2F2" w:themeFill="background1" w:themeFillShade="F2"/>
            <w:vAlign w:val="center"/>
          </w:tcPr>
          <w:p w14:paraId="2DE537DF" w14:textId="77777777" w:rsidR="005F4E12" w:rsidRPr="004C3A0B" w:rsidRDefault="005F4E12" w:rsidP="00A555F0">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4D9D2507"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20A24E2B"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0D9D8C2F"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F4E12" w:rsidRPr="004C3A0B" w14:paraId="7EEED74A" w14:textId="77777777" w:rsidTr="00A555F0">
        <w:trPr>
          <w:trHeight w:val="403"/>
        </w:trPr>
        <w:tc>
          <w:tcPr>
            <w:tcW w:w="562" w:type="dxa"/>
            <w:shd w:val="clear" w:color="auto" w:fill="F2F2F2" w:themeFill="background1" w:themeFillShade="F2"/>
            <w:vAlign w:val="center"/>
          </w:tcPr>
          <w:p w14:paraId="55B8F793" w14:textId="77777777" w:rsidR="005F4E12" w:rsidRPr="004C3A0B" w:rsidRDefault="005F4E12" w:rsidP="00A555F0">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14:paraId="33FE9965"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494F8D1C" w14:textId="77777777" w:rsidR="005F4E12" w:rsidRPr="004C3A0B" w:rsidRDefault="005F4E12" w:rsidP="00A555F0">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0BE547B6"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75FCD11A"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F4E12" w:rsidRPr="004C3A0B" w14:paraId="4653635E" w14:textId="77777777" w:rsidTr="00A555F0">
        <w:trPr>
          <w:trHeight w:val="403"/>
        </w:trPr>
        <w:tc>
          <w:tcPr>
            <w:tcW w:w="562" w:type="dxa"/>
            <w:vAlign w:val="center"/>
          </w:tcPr>
          <w:p w14:paraId="2BC63409" w14:textId="77777777" w:rsidR="005F4E12" w:rsidRPr="006C1FDD" w:rsidRDefault="005F4E12" w:rsidP="00A555F0">
            <w:pPr>
              <w:autoSpaceDE w:val="0"/>
              <w:autoSpaceDN w:val="0"/>
              <w:adjustRightInd w:val="0"/>
              <w:jc w:val="center"/>
              <w:rPr>
                <w:rFonts w:ascii="Arial" w:hAnsi="Arial" w:cs="Arial"/>
              </w:rPr>
            </w:pPr>
          </w:p>
        </w:tc>
        <w:tc>
          <w:tcPr>
            <w:tcW w:w="8217" w:type="dxa"/>
            <w:vAlign w:val="center"/>
          </w:tcPr>
          <w:p w14:paraId="6DC70460" w14:textId="77777777" w:rsidR="005F4E12" w:rsidRPr="006C1FDD" w:rsidRDefault="005F4E12" w:rsidP="00A555F0">
            <w:pPr>
              <w:autoSpaceDE w:val="0"/>
              <w:autoSpaceDN w:val="0"/>
              <w:adjustRightInd w:val="0"/>
              <w:rPr>
                <w:rFonts w:ascii="Arial" w:hAnsi="Arial" w:cs="Arial"/>
              </w:rPr>
            </w:pPr>
            <w:r>
              <w:rPr>
                <w:rFonts w:ascii="Arial" w:hAnsi="Arial" w:cs="Arial"/>
              </w:rPr>
              <w:t>Details of any other participant groups:</w:t>
            </w:r>
          </w:p>
          <w:p w14:paraId="06FFBF2E" w14:textId="77777777" w:rsidR="005F4E12" w:rsidRDefault="005F4E12" w:rsidP="00A555F0">
            <w:pPr>
              <w:rPr>
                <w:rFonts w:ascii="Arial" w:hAnsi="Arial" w:cs="Arial"/>
              </w:rPr>
            </w:pPr>
            <w:r w:rsidRPr="00AA34BD">
              <w:rPr>
                <w:rFonts w:ascii="Arial" w:hAnsi="Arial" w:cs="Arial"/>
                <w:color w:val="00B050"/>
              </w:rPr>
              <w:t>Complete this only if your participants cannot give consent. This includes animals</w:t>
            </w:r>
          </w:p>
          <w:p w14:paraId="1C55F532" w14:textId="77777777" w:rsidR="005F4E12" w:rsidRDefault="005F4E12" w:rsidP="00A555F0">
            <w:pPr>
              <w:rPr>
                <w:rFonts w:ascii="Arial" w:hAnsi="Arial" w:cs="Arial"/>
              </w:rPr>
            </w:pPr>
          </w:p>
          <w:p w14:paraId="28AC3C75" w14:textId="77777777" w:rsidR="005F4E12" w:rsidRPr="004C3A0B" w:rsidRDefault="005F4E12" w:rsidP="00A555F0">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2981E4E" w14:textId="77777777" w:rsidR="005F4E12" w:rsidRDefault="005F4E12" w:rsidP="00A555F0">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50CF9351" w14:textId="77777777" w:rsidR="005F4E12" w:rsidRDefault="005F4E12" w:rsidP="00A555F0">
            <w:pPr>
              <w:autoSpaceDE w:val="0"/>
              <w:autoSpaceDN w:val="0"/>
              <w:adjustRightInd w:val="0"/>
              <w:jc w:val="center"/>
              <w:rPr>
                <w:rFonts w:ascii="Arial" w:hAnsi="Arial" w:cs="Arial"/>
                <w:b/>
                <w:bCs/>
              </w:rPr>
            </w:pPr>
          </w:p>
        </w:tc>
      </w:tr>
    </w:tbl>
    <w:p w14:paraId="0817D7EE" w14:textId="77777777" w:rsidR="005F4E12" w:rsidRPr="00D71982" w:rsidRDefault="005F4E12" w:rsidP="005F4E12">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5F4E12" w:rsidRPr="004C3A0B" w14:paraId="3B9E9515" w14:textId="77777777" w:rsidTr="00A555F0">
        <w:trPr>
          <w:trHeight w:val="403"/>
        </w:trPr>
        <w:tc>
          <w:tcPr>
            <w:tcW w:w="562" w:type="dxa"/>
            <w:tcBorders>
              <w:bottom w:val="single" w:sz="4" w:space="0" w:color="auto"/>
            </w:tcBorders>
            <w:shd w:val="clear" w:color="auto" w:fill="F2F2F2" w:themeFill="background1" w:themeFillShade="F2"/>
          </w:tcPr>
          <w:p w14:paraId="15C38394" w14:textId="77777777" w:rsidR="005F4E12" w:rsidRPr="002132F9" w:rsidRDefault="005F4E12" w:rsidP="00A555F0">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089B8E80" w14:textId="77777777" w:rsidR="005F4E12" w:rsidRPr="004C3A0B" w:rsidRDefault="005F4E12" w:rsidP="00A555F0">
            <w:pPr>
              <w:rPr>
                <w:rFonts w:ascii="Arial" w:hAnsi="Arial" w:cs="Arial"/>
                <w:b/>
              </w:rPr>
            </w:pPr>
            <w:r w:rsidRPr="004C3A0B">
              <w:rPr>
                <w:rFonts w:ascii="Arial" w:hAnsi="Arial" w:cs="Arial"/>
                <w:b/>
              </w:rPr>
              <w:t>Participant numbers and source</w:t>
            </w:r>
          </w:p>
          <w:p w14:paraId="52B66DC9"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5F4E12" w:rsidRPr="004C3A0B" w14:paraId="4F26C7CC" w14:textId="77777777" w:rsidTr="00A555F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CA1108" w14:textId="77777777" w:rsidR="005F4E12" w:rsidRDefault="005F4E12" w:rsidP="00A555F0">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FC47E8" w14:textId="77777777" w:rsidR="005F4E12" w:rsidRPr="004C3A0B" w:rsidRDefault="005F4E12" w:rsidP="00A555F0">
            <w:pPr>
              <w:rPr>
                <w:rFonts w:ascii="Arial" w:hAnsi="Arial" w:cs="Arial"/>
              </w:rPr>
            </w:pPr>
            <w:r>
              <w:rPr>
                <w:rFonts w:ascii="Arial" w:hAnsi="Arial" w:cs="Arial"/>
              </w:rPr>
              <w:t>How many participants are expected?</w:t>
            </w:r>
          </w:p>
          <w:p w14:paraId="785F6D9D" w14:textId="77777777" w:rsidR="005F4E12" w:rsidRPr="004C3A0B" w:rsidRDefault="005F4E12" w:rsidP="00A555F0">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FFD142C" w14:textId="77777777" w:rsidR="005F4E12" w:rsidRDefault="005F4E12" w:rsidP="00A555F0">
            <w:pPr>
              <w:rPr>
                <w:rFonts w:ascii="Arial" w:hAnsi="Arial" w:cs="Arial"/>
              </w:rPr>
            </w:pPr>
          </w:p>
          <w:p w14:paraId="2AFBCACE" w14:textId="77777777" w:rsidR="005F4E12" w:rsidRPr="004C3A0B" w:rsidRDefault="005F4E12" w:rsidP="00A555F0">
            <w:pPr>
              <w:rPr>
                <w:rFonts w:ascii="Arial" w:hAnsi="Arial" w:cs="Arial"/>
              </w:rPr>
            </w:pPr>
          </w:p>
          <w:p w14:paraId="18A00D31" w14:textId="77777777" w:rsidR="005F4E12" w:rsidRPr="004C3A0B" w:rsidRDefault="005F4E12" w:rsidP="00A555F0">
            <w:pPr>
              <w:rPr>
                <w:rFonts w:ascii="Arial" w:hAnsi="Arial" w:cs="Arial"/>
                <w:b/>
              </w:rPr>
            </w:pPr>
            <w:r w:rsidRPr="003257BD">
              <w:rPr>
                <w:rFonts w:ascii="Arial" w:hAnsi="Arial" w:cs="Arial"/>
                <w:i/>
                <w:color w:val="808080"/>
                <w:sz w:val="18"/>
                <w:szCs w:val="18"/>
              </w:rPr>
              <w:t>(this box should expand as you type)</w:t>
            </w:r>
          </w:p>
        </w:tc>
      </w:tr>
      <w:tr w:rsidR="005F4E12" w:rsidRPr="004C3A0B" w14:paraId="39C54D93" w14:textId="77777777" w:rsidTr="00A555F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CBC364" w14:textId="77777777" w:rsidR="005F4E12" w:rsidRDefault="005F4E12" w:rsidP="00A555F0">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13847C" w14:textId="77777777" w:rsidR="005F4E12" w:rsidRDefault="005F4E12" w:rsidP="00A555F0">
            <w:pPr>
              <w:rPr>
                <w:rFonts w:ascii="Arial" w:hAnsi="Arial" w:cs="Arial"/>
              </w:rPr>
            </w:pPr>
            <w:r>
              <w:rPr>
                <w:rFonts w:ascii="Arial" w:hAnsi="Arial" w:cs="Arial"/>
              </w:rPr>
              <w:t>Who will the participants be?</w:t>
            </w:r>
          </w:p>
          <w:p w14:paraId="60CE4284" w14:textId="77777777" w:rsidR="005F4E12" w:rsidRDefault="005F4E12" w:rsidP="00A555F0">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3DAA801" w14:textId="77777777" w:rsidR="005F4E12" w:rsidRDefault="005F4E12" w:rsidP="00A555F0">
            <w:pPr>
              <w:rPr>
                <w:rFonts w:ascii="Arial" w:hAnsi="Arial" w:cs="Arial"/>
              </w:rPr>
            </w:pPr>
          </w:p>
          <w:p w14:paraId="566C1756" w14:textId="77777777" w:rsidR="005F4E12" w:rsidRDefault="005F4E12" w:rsidP="00A555F0">
            <w:pPr>
              <w:rPr>
                <w:rFonts w:ascii="Arial" w:hAnsi="Arial" w:cs="Arial"/>
              </w:rPr>
            </w:pPr>
          </w:p>
          <w:p w14:paraId="0BC82A71" w14:textId="77777777" w:rsidR="005F4E12" w:rsidRPr="004C3A0B" w:rsidRDefault="005F4E12" w:rsidP="00A555F0">
            <w:pPr>
              <w:rPr>
                <w:rFonts w:ascii="Arial" w:hAnsi="Arial" w:cs="Arial"/>
              </w:rPr>
            </w:pPr>
          </w:p>
          <w:p w14:paraId="1910EF9E" w14:textId="77777777" w:rsidR="005F4E12" w:rsidRPr="003257BD" w:rsidRDefault="005F4E12" w:rsidP="00A555F0">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5F4E12" w:rsidRPr="004C3A0B" w14:paraId="54231F46" w14:textId="77777777" w:rsidTr="00A555F0">
        <w:trPr>
          <w:trHeight w:val="403"/>
        </w:trPr>
        <w:tc>
          <w:tcPr>
            <w:tcW w:w="562" w:type="dxa"/>
            <w:tcBorders>
              <w:top w:val="single" w:sz="4" w:space="0" w:color="auto"/>
            </w:tcBorders>
            <w:shd w:val="clear" w:color="auto" w:fill="F2F2F2" w:themeFill="background1" w:themeFillShade="F2"/>
            <w:vAlign w:val="center"/>
          </w:tcPr>
          <w:p w14:paraId="613DDDB0" w14:textId="77777777" w:rsidR="005F4E12" w:rsidRDefault="005F4E12" w:rsidP="00A555F0">
            <w:pPr>
              <w:jc w:val="center"/>
              <w:rPr>
                <w:rFonts w:ascii="Arial" w:hAnsi="Arial" w:cs="Arial"/>
              </w:rPr>
            </w:pPr>
            <w:r>
              <w:rPr>
                <w:rFonts w:ascii="Arial" w:hAnsi="Arial" w:cs="Arial"/>
              </w:rPr>
              <w:t>12</w:t>
            </w:r>
          </w:p>
        </w:tc>
        <w:tc>
          <w:tcPr>
            <w:tcW w:w="3256" w:type="dxa"/>
            <w:tcBorders>
              <w:top w:val="single" w:sz="4" w:space="0" w:color="auto"/>
            </w:tcBorders>
            <w:shd w:val="clear" w:color="auto" w:fill="F2F2F2" w:themeFill="background1" w:themeFillShade="F2"/>
            <w:vAlign w:val="center"/>
          </w:tcPr>
          <w:p w14:paraId="1D6E8840" w14:textId="77777777" w:rsidR="005F4E12" w:rsidRDefault="005F4E12" w:rsidP="00A555F0">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346DB486" w14:textId="77777777" w:rsidR="005F4E12" w:rsidRDefault="005F4E12" w:rsidP="00A555F0">
            <w:pPr>
              <w:rPr>
                <w:rFonts w:ascii="Arial" w:hAnsi="Arial" w:cs="Arial"/>
              </w:rPr>
            </w:pPr>
          </w:p>
          <w:p w14:paraId="6FB35823" w14:textId="77777777" w:rsidR="005F4E12" w:rsidRDefault="005F4E12" w:rsidP="00A555F0">
            <w:pPr>
              <w:rPr>
                <w:rFonts w:ascii="Arial" w:hAnsi="Arial" w:cs="Arial"/>
              </w:rPr>
            </w:pPr>
          </w:p>
          <w:p w14:paraId="4E49204A" w14:textId="77777777" w:rsidR="005F4E12" w:rsidRPr="004C3A0B" w:rsidRDefault="005F4E12" w:rsidP="00A555F0">
            <w:pPr>
              <w:rPr>
                <w:rFonts w:ascii="Arial" w:hAnsi="Arial" w:cs="Arial"/>
              </w:rPr>
            </w:pPr>
          </w:p>
          <w:p w14:paraId="66688E2C" w14:textId="77777777" w:rsidR="005F4E12" w:rsidRPr="004C3A0B" w:rsidRDefault="005F4E12" w:rsidP="00A555F0">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273B2D8" w14:textId="77777777" w:rsidR="005F4E12" w:rsidRPr="00D71982" w:rsidRDefault="005F4E12" w:rsidP="005F4E12">
      <w:pPr>
        <w:rPr>
          <w:rFonts w:ascii="Arial" w:hAnsi="Arial" w:cs="Arial"/>
          <w:bCs/>
          <w:sz w:val="24"/>
          <w:szCs w:val="24"/>
        </w:rPr>
      </w:pPr>
    </w:p>
    <w:p w14:paraId="0BA0F053" w14:textId="77777777" w:rsidR="005F4E12" w:rsidRDefault="005F4E12" w:rsidP="005F4E12"/>
    <w:tbl>
      <w:tblPr>
        <w:tblStyle w:val="TableGrid"/>
        <w:tblW w:w="10485" w:type="dxa"/>
        <w:tblLook w:val="04A0" w:firstRow="1" w:lastRow="0" w:firstColumn="1" w:lastColumn="0" w:noHBand="0" w:noVBand="1"/>
      </w:tblPr>
      <w:tblGrid>
        <w:gridCol w:w="562"/>
        <w:gridCol w:w="7088"/>
        <w:gridCol w:w="992"/>
        <w:gridCol w:w="851"/>
        <w:gridCol w:w="992"/>
      </w:tblGrid>
      <w:tr w:rsidR="005F4E12" w:rsidRPr="004C3A0B" w14:paraId="077E9C61" w14:textId="77777777" w:rsidTr="00A555F0">
        <w:tc>
          <w:tcPr>
            <w:tcW w:w="562" w:type="dxa"/>
            <w:shd w:val="clear" w:color="auto" w:fill="F2F2F2" w:themeFill="background1" w:themeFillShade="F2"/>
            <w:vAlign w:val="center"/>
          </w:tcPr>
          <w:p w14:paraId="38304A30" w14:textId="77777777" w:rsidR="005F4E12" w:rsidRPr="002132F9" w:rsidRDefault="005F4E12" w:rsidP="00A555F0">
            <w:pPr>
              <w:autoSpaceDE w:val="0"/>
              <w:autoSpaceDN w:val="0"/>
              <w:adjustRightInd w:val="0"/>
              <w:jc w:val="center"/>
              <w:rPr>
                <w:rFonts w:ascii="Arial" w:hAnsi="Arial" w:cs="Arial"/>
                <w:bCs/>
              </w:rPr>
            </w:pPr>
          </w:p>
        </w:tc>
        <w:tc>
          <w:tcPr>
            <w:tcW w:w="7088" w:type="dxa"/>
            <w:shd w:val="clear" w:color="auto" w:fill="F2F2F2" w:themeFill="background1" w:themeFillShade="F2"/>
          </w:tcPr>
          <w:p w14:paraId="2F9AE975" w14:textId="77777777" w:rsidR="005F4E12" w:rsidRPr="004C3A0B" w:rsidRDefault="005F4E12" w:rsidP="00A555F0">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64FAF50F" w14:textId="77777777" w:rsidR="005F4E12" w:rsidRPr="004C3A0B" w:rsidRDefault="005F4E12" w:rsidP="00A555F0">
            <w:pPr>
              <w:autoSpaceDE w:val="0"/>
              <w:autoSpaceDN w:val="0"/>
              <w:adjustRightInd w:val="0"/>
              <w:jc w:val="center"/>
              <w:rPr>
                <w:rFonts w:ascii="Arial" w:hAnsi="Arial" w:cs="Arial"/>
                <w:b/>
                <w:bCs/>
                <w:sz w:val="16"/>
                <w:szCs w:val="16"/>
              </w:rPr>
            </w:pPr>
          </w:p>
          <w:p w14:paraId="0A982C33" w14:textId="77777777" w:rsidR="005F4E12" w:rsidRPr="004C3A0B" w:rsidRDefault="005F4E12" w:rsidP="00A555F0">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0AE45BA6" w14:textId="77777777" w:rsidR="005F4E12" w:rsidRPr="004C3A0B" w:rsidRDefault="005F4E12" w:rsidP="00A555F0">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759CAED7" w14:textId="77777777" w:rsidR="005F4E12" w:rsidRPr="004C3A0B" w:rsidRDefault="005F4E12" w:rsidP="00A555F0">
            <w:pPr>
              <w:autoSpaceDE w:val="0"/>
              <w:autoSpaceDN w:val="0"/>
              <w:adjustRightInd w:val="0"/>
              <w:jc w:val="center"/>
              <w:rPr>
                <w:rFonts w:ascii="Arial" w:hAnsi="Arial" w:cs="Arial"/>
                <w:b/>
                <w:bCs/>
                <w:sz w:val="16"/>
                <w:szCs w:val="16"/>
              </w:rPr>
            </w:pPr>
          </w:p>
          <w:p w14:paraId="16EC6F82" w14:textId="77777777" w:rsidR="005F4E12" w:rsidRPr="004C3A0B" w:rsidRDefault="005F4E12" w:rsidP="00A555F0">
            <w:pPr>
              <w:autoSpaceDE w:val="0"/>
              <w:autoSpaceDN w:val="0"/>
              <w:adjustRightInd w:val="0"/>
              <w:jc w:val="center"/>
              <w:rPr>
                <w:rFonts w:ascii="Arial" w:hAnsi="Arial" w:cs="Arial"/>
                <w:b/>
                <w:bCs/>
              </w:rPr>
            </w:pPr>
            <w:r w:rsidRPr="004C3A0B">
              <w:rPr>
                <w:rFonts w:ascii="Arial" w:hAnsi="Arial" w:cs="Arial"/>
                <w:b/>
                <w:bCs/>
              </w:rPr>
              <w:t>N/A</w:t>
            </w:r>
          </w:p>
        </w:tc>
      </w:tr>
      <w:tr w:rsidR="005F4E12" w:rsidRPr="004C3A0B" w14:paraId="2BEF29D0" w14:textId="77777777" w:rsidTr="00A555F0">
        <w:trPr>
          <w:trHeight w:val="439"/>
        </w:trPr>
        <w:tc>
          <w:tcPr>
            <w:tcW w:w="562" w:type="dxa"/>
            <w:shd w:val="clear" w:color="auto" w:fill="F2F2F2" w:themeFill="background1" w:themeFillShade="F2"/>
            <w:vAlign w:val="center"/>
          </w:tcPr>
          <w:p w14:paraId="1F41FA06" w14:textId="77777777" w:rsidR="005F4E12" w:rsidRPr="004C3A0B" w:rsidRDefault="005F4E12" w:rsidP="00A555F0">
            <w:pPr>
              <w:autoSpaceDE w:val="0"/>
              <w:autoSpaceDN w:val="0"/>
              <w:adjustRightInd w:val="0"/>
              <w:jc w:val="center"/>
              <w:rPr>
                <w:rFonts w:ascii="Arial" w:hAnsi="Arial" w:cs="Arial"/>
              </w:rPr>
            </w:pPr>
            <w:r>
              <w:rPr>
                <w:rFonts w:ascii="Arial" w:hAnsi="Arial" w:cs="Arial"/>
              </w:rPr>
              <w:lastRenderedPageBreak/>
              <w:t>13</w:t>
            </w:r>
          </w:p>
        </w:tc>
        <w:tc>
          <w:tcPr>
            <w:tcW w:w="7088" w:type="dxa"/>
            <w:shd w:val="clear" w:color="auto" w:fill="F2F2F2" w:themeFill="background1" w:themeFillShade="F2"/>
            <w:vAlign w:val="center"/>
          </w:tcPr>
          <w:p w14:paraId="41218847"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0"/>
                <w14:checkedState w14:val="2612" w14:font="MS Gothic"/>
                <w14:uncheckedState w14:val="2610" w14:font="MS Gothic"/>
              </w14:checkbox>
            </w:sdtPr>
            <w:sdtContent>
              <w:p w14:paraId="3E75EC4D"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4CF71E03"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1"/>
                <w14:checkedState w14:val="2612" w14:font="MS Gothic"/>
                <w14:uncheckedState w14:val="2610" w14:font="MS Gothic"/>
              </w14:checkbox>
            </w:sdtPr>
            <w:sdtContent>
              <w:p w14:paraId="3F474357"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4EE7BB17" w14:textId="77777777" w:rsidTr="00A555F0">
        <w:trPr>
          <w:trHeight w:val="403"/>
        </w:trPr>
        <w:tc>
          <w:tcPr>
            <w:tcW w:w="562" w:type="dxa"/>
            <w:shd w:val="clear" w:color="auto" w:fill="F2F2F2" w:themeFill="background1" w:themeFillShade="F2"/>
            <w:vAlign w:val="center"/>
          </w:tcPr>
          <w:p w14:paraId="1123D5CD" w14:textId="77777777" w:rsidR="005F4E12" w:rsidRPr="004C3A0B" w:rsidRDefault="005F4E12" w:rsidP="00A555F0">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14:paraId="26CDC6A8"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0"/>
                <w14:checkedState w14:val="2612" w14:font="MS Gothic"/>
                <w14:uncheckedState w14:val="2610" w14:font="MS Gothic"/>
              </w14:checkbox>
            </w:sdtPr>
            <w:sdtContent>
              <w:p w14:paraId="3F4AE2D0"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36EC1FDA"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1"/>
                <w14:checkedState w14:val="2612" w14:font="MS Gothic"/>
                <w14:uncheckedState w14:val="2610" w14:font="MS Gothic"/>
              </w14:checkbox>
            </w:sdtPr>
            <w:sdtContent>
              <w:p w14:paraId="1B8EC351"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2905CEFE" w14:textId="77777777" w:rsidTr="00A555F0">
        <w:trPr>
          <w:trHeight w:val="439"/>
        </w:trPr>
        <w:tc>
          <w:tcPr>
            <w:tcW w:w="562" w:type="dxa"/>
            <w:shd w:val="clear" w:color="auto" w:fill="F2F2F2" w:themeFill="background1" w:themeFillShade="F2"/>
            <w:vAlign w:val="center"/>
          </w:tcPr>
          <w:p w14:paraId="2B0131D4" w14:textId="77777777" w:rsidR="005F4E12" w:rsidRPr="004C3A0B" w:rsidRDefault="005F4E12" w:rsidP="00A555F0">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14:paraId="67E16F00"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14:paraId="4E6C3CCC"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29654A3C"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Content>
              <w:p w14:paraId="2DDD9765"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76EE02EA" w14:textId="77777777" w:rsidTr="00A555F0">
        <w:trPr>
          <w:trHeight w:val="403"/>
        </w:trPr>
        <w:tc>
          <w:tcPr>
            <w:tcW w:w="562" w:type="dxa"/>
            <w:shd w:val="clear" w:color="auto" w:fill="F2F2F2" w:themeFill="background1" w:themeFillShade="F2"/>
            <w:vAlign w:val="center"/>
          </w:tcPr>
          <w:p w14:paraId="5EE29CD2" w14:textId="77777777" w:rsidR="005F4E12" w:rsidRPr="004C3A0B" w:rsidRDefault="005F4E12" w:rsidP="00A555F0">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14:paraId="36A7071F"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40C8FA24"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793114A9"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Content>
              <w:p w14:paraId="6AF29293"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740BAC62" w14:textId="77777777" w:rsidTr="00A555F0">
        <w:trPr>
          <w:trHeight w:val="439"/>
        </w:trPr>
        <w:tc>
          <w:tcPr>
            <w:tcW w:w="562" w:type="dxa"/>
            <w:shd w:val="clear" w:color="auto" w:fill="F2F2F2" w:themeFill="background1" w:themeFillShade="F2"/>
            <w:vAlign w:val="center"/>
          </w:tcPr>
          <w:p w14:paraId="23F2D268" w14:textId="77777777" w:rsidR="005F4E12" w:rsidRPr="004C3A0B" w:rsidRDefault="005F4E12" w:rsidP="00A555F0">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14:paraId="357E9BF3"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55318DA5"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6913E102"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3AAC0369"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6457C190" w14:textId="77777777" w:rsidTr="00A555F0">
        <w:trPr>
          <w:trHeight w:val="403"/>
        </w:trPr>
        <w:tc>
          <w:tcPr>
            <w:tcW w:w="562" w:type="dxa"/>
            <w:shd w:val="clear" w:color="auto" w:fill="F2F2F2" w:themeFill="background1" w:themeFillShade="F2"/>
            <w:vAlign w:val="center"/>
          </w:tcPr>
          <w:p w14:paraId="7EE11240" w14:textId="77777777" w:rsidR="005F4E12" w:rsidRPr="004C3A0B" w:rsidRDefault="005F4E12" w:rsidP="00A555F0">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1B861BC3"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Content>
              <w:p w14:paraId="02E3BAB8"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757EE521"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1"/>
                <w14:checkedState w14:val="2612" w14:font="MS Gothic"/>
                <w14:uncheckedState w14:val="2610" w14:font="MS Gothic"/>
              </w14:checkbox>
            </w:sdtPr>
            <w:sdtContent>
              <w:p w14:paraId="20291D5A"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5BCACEB6" w14:textId="77777777" w:rsidTr="00A555F0">
        <w:trPr>
          <w:trHeight w:val="439"/>
        </w:trPr>
        <w:tc>
          <w:tcPr>
            <w:tcW w:w="562" w:type="dxa"/>
            <w:shd w:val="clear" w:color="auto" w:fill="F2F2F2" w:themeFill="background1" w:themeFillShade="F2"/>
            <w:vAlign w:val="center"/>
          </w:tcPr>
          <w:p w14:paraId="15A9902D" w14:textId="77777777" w:rsidR="005F4E12" w:rsidRPr="004C3A0B" w:rsidRDefault="005F4E12" w:rsidP="00A555F0">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250CC02D"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Content>
              <w:p w14:paraId="7535502B"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195168F3"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Content>
              <w:p w14:paraId="6333F855"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700E840E" w14:textId="77777777" w:rsidTr="00A555F0">
        <w:trPr>
          <w:trHeight w:val="403"/>
        </w:trPr>
        <w:tc>
          <w:tcPr>
            <w:tcW w:w="562" w:type="dxa"/>
            <w:shd w:val="clear" w:color="auto" w:fill="F2F2F2" w:themeFill="background1" w:themeFillShade="F2"/>
            <w:vAlign w:val="center"/>
          </w:tcPr>
          <w:p w14:paraId="0E69034C" w14:textId="77777777" w:rsidR="005F4E12" w:rsidRPr="004C3A0B" w:rsidRDefault="005F4E12" w:rsidP="00A555F0">
            <w:pPr>
              <w:autoSpaceDE w:val="0"/>
              <w:autoSpaceDN w:val="0"/>
              <w:adjustRightInd w:val="0"/>
              <w:jc w:val="center"/>
              <w:rPr>
                <w:rFonts w:ascii="Arial" w:hAnsi="Arial" w:cs="Arial"/>
              </w:rPr>
            </w:pPr>
            <w:r>
              <w:rPr>
                <w:rFonts w:ascii="Arial" w:hAnsi="Arial" w:cs="Arial"/>
              </w:rPr>
              <w:t>20</w:t>
            </w:r>
          </w:p>
        </w:tc>
        <w:tc>
          <w:tcPr>
            <w:tcW w:w="7088" w:type="dxa"/>
            <w:shd w:val="clear" w:color="auto" w:fill="F2F2F2" w:themeFill="background1" w:themeFillShade="F2"/>
            <w:vAlign w:val="center"/>
          </w:tcPr>
          <w:p w14:paraId="6DB032A7"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0"/>
                <w14:checkedState w14:val="2612" w14:font="MS Gothic"/>
                <w14:uncheckedState w14:val="2610" w14:font="MS Gothic"/>
              </w14:checkbox>
            </w:sdtPr>
            <w:sdtContent>
              <w:p w14:paraId="1B942BC7"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1E60358E"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1"/>
                <w14:checkedState w14:val="2612" w14:font="MS Gothic"/>
                <w14:uncheckedState w14:val="2610" w14:font="MS Gothic"/>
              </w14:checkbox>
            </w:sdtPr>
            <w:sdtContent>
              <w:p w14:paraId="6BF34E44"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6EA19995" w14:textId="77777777" w:rsidTr="00A555F0">
        <w:trPr>
          <w:trHeight w:val="439"/>
        </w:trPr>
        <w:tc>
          <w:tcPr>
            <w:tcW w:w="562" w:type="dxa"/>
            <w:shd w:val="clear" w:color="auto" w:fill="F2F2F2" w:themeFill="background1" w:themeFillShade="F2"/>
            <w:vAlign w:val="center"/>
          </w:tcPr>
          <w:p w14:paraId="77ED08F0" w14:textId="77777777" w:rsidR="005F4E12" w:rsidRPr="004C3A0B" w:rsidRDefault="005F4E12" w:rsidP="00A555F0">
            <w:pPr>
              <w:autoSpaceDE w:val="0"/>
              <w:autoSpaceDN w:val="0"/>
              <w:adjustRightInd w:val="0"/>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14:paraId="5B7CE921"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Content>
              <w:p w14:paraId="62088043"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7B2D6C0B"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Content>
              <w:p w14:paraId="1896DCCE"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367AFCB6" w14:textId="77777777" w:rsidTr="00A555F0">
        <w:trPr>
          <w:trHeight w:val="403"/>
        </w:trPr>
        <w:tc>
          <w:tcPr>
            <w:tcW w:w="562" w:type="dxa"/>
            <w:tcBorders>
              <w:bottom w:val="single" w:sz="4" w:space="0" w:color="auto"/>
            </w:tcBorders>
            <w:shd w:val="clear" w:color="auto" w:fill="F2F2F2" w:themeFill="background1" w:themeFillShade="F2"/>
            <w:vAlign w:val="center"/>
          </w:tcPr>
          <w:p w14:paraId="488DE5A9" w14:textId="77777777" w:rsidR="005F4E12" w:rsidRPr="004C3A0B" w:rsidRDefault="005F4E12" w:rsidP="00A555F0">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06B05A0B"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5F4E12" w:rsidRPr="004C3A0B" w14:paraId="783EF374" w14:textId="77777777" w:rsidTr="00A555F0">
        <w:trPr>
          <w:trHeight w:val="403"/>
        </w:trPr>
        <w:tc>
          <w:tcPr>
            <w:tcW w:w="562" w:type="dxa"/>
            <w:vAlign w:val="center"/>
          </w:tcPr>
          <w:p w14:paraId="273DAC1C" w14:textId="77777777" w:rsidR="005F4E12" w:rsidRDefault="005F4E12" w:rsidP="00A555F0">
            <w:pPr>
              <w:jc w:val="center"/>
              <w:rPr>
                <w:rFonts w:ascii="Arial" w:hAnsi="Arial" w:cs="Arial"/>
              </w:rPr>
            </w:pPr>
          </w:p>
        </w:tc>
        <w:tc>
          <w:tcPr>
            <w:tcW w:w="9923" w:type="dxa"/>
            <w:gridSpan w:val="4"/>
            <w:vAlign w:val="center"/>
          </w:tcPr>
          <w:p w14:paraId="0400676C" w14:textId="77777777" w:rsidR="005F4E12" w:rsidRPr="00AA34BD" w:rsidRDefault="005F4E12" w:rsidP="00A555F0">
            <w:pPr>
              <w:rPr>
                <w:rFonts w:ascii="Arial" w:hAnsi="Arial" w:cs="Arial"/>
                <w:color w:val="00B050"/>
                <w:sz w:val="24"/>
              </w:rPr>
            </w:pPr>
            <w:r w:rsidRPr="00AA34BD">
              <w:rPr>
                <w:rFonts w:ascii="Arial" w:hAnsi="Arial" w:cs="Arial"/>
                <w:color w:val="00B050"/>
              </w:rPr>
              <w:t xml:space="preserve">You should be able to tick YES for </w:t>
            </w:r>
            <w:proofErr w:type="gramStart"/>
            <w:r w:rsidRPr="00AA34BD">
              <w:rPr>
                <w:rFonts w:ascii="Arial" w:hAnsi="Arial" w:cs="Arial"/>
                <w:color w:val="00B050"/>
              </w:rPr>
              <w:t>all of</w:t>
            </w:r>
            <w:proofErr w:type="gramEnd"/>
            <w:r w:rsidRPr="00AA34BD">
              <w:rPr>
                <w:rFonts w:ascii="Arial" w:hAnsi="Arial" w:cs="Arial"/>
                <w:color w:val="00B050"/>
              </w:rPr>
              <w:t xml:space="preserve"> these</w:t>
            </w:r>
            <w:r>
              <w:rPr>
                <w:rFonts w:ascii="Arial" w:hAnsi="Arial" w:cs="Arial"/>
                <w:color w:val="00B050"/>
              </w:rPr>
              <w:t xml:space="preserve"> questions</w:t>
            </w:r>
            <w:r w:rsidRPr="00AA34BD">
              <w:rPr>
                <w:rFonts w:ascii="Arial" w:hAnsi="Arial" w:cs="Arial"/>
                <w:color w:val="00B050"/>
              </w:rPr>
              <w:t xml:space="preserve">. If not, then explain why not </w:t>
            </w:r>
            <w:r>
              <w:rPr>
                <w:rFonts w:ascii="Arial" w:hAnsi="Arial" w:cs="Arial"/>
                <w:color w:val="00B050"/>
              </w:rPr>
              <w:t>in this box.</w:t>
            </w:r>
          </w:p>
          <w:p w14:paraId="1E8C4505" w14:textId="77777777" w:rsidR="005F4E12" w:rsidRPr="004C3A0B" w:rsidRDefault="005F4E12" w:rsidP="00A555F0">
            <w:pPr>
              <w:rPr>
                <w:rFonts w:ascii="Arial" w:hAnsi="Arial" w:cs="Arial"/>
              </w:rPr>
            </w:pPr>
          </w:p>
          <w:p w14:paraId="06409FCB" w14:textId="77777777" w:rsidR="005F4E12" w:rsidRPr="004C3A0B" w:rsidRDefault="005F4E12" w:rsidP="00A555F0">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20E98A3" w14:textId="77777777" w:rsidR="005F4E12" w:rsidRPr="004C3A0B" w:rsidRDefault="005F4E12" w:rsidP="005F4E12"/>
    <w:tbl>
      <w:tblPr>
        <w:tblStyle w:val="TableGrid"/>
        <w:tblW w:w="10485" w:type="dxa"/>
        <w:tblLook w:val="04A0" w:firstRow="1" w:lastRow="0" w:firstColumn="1" w:lastColumn="0" w:noHBand="0" w:noVBand="1"/>
      </w:tblPr>
      <w:tblGrid>
        <w:gridCol w:w="562"/>
        <w:gridCol w:w="7088"/>
        <w:gridCol w:w="992"/>
        <w:gridCol w:w="851"/>
        <w:gridCol w:w="992"/>
      </w:tblGrid>
      <w:tr w:rsidR="005F4E12" w:rsidRPr="004C3A0B" w14:paraId="06D157DB" w14:textId="77777777" w:rsidTr="00A555F0">
        <w:tc>
          <w:tcPr>
            <w:tcW w:w="562" w:type="dxa"/>
            <w:shd w:val="clear" w:color="auto" w:fill="F2F2F2" w:themeFill="background1" w:themeFillShade="F2"/>
          </w:tcPr>
          <w:p w14:paraId="2502637B" w14:textId="77777777" w:rsidR="005F4E12" w:rsidRPr="002132F9" w:rsidRDefault="005F4E12" w:rsidP="00A555F0">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67AF3D59" w14:textId="77777777" w:rsidR="005F4E12" w:rsidRPr="004C3A0B" w:rsidRDefault="005F4E12" w:rsidP="00A555F0">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48D16D1A" w14:textId="77777777" w:rsidR="005F4E12" w:rsidRPr="004C3A0B" w:rsidRDefault="005F4E12" w:rsidP="00A555F0">
            <w:pPr>
              <w:autoSpaceDE w:val="0"/>
              <w:autoSpaceDN w:val="0"/>
              <w:adjustRightInd w:val="0"/>
              <w:jc w:val="center"/>
              <w:rPr>
                <w:rFonts w:ascii="Arial" w:hAnsi="Arial" w:cs="Arial"/>
                <w:b/>
                <w:bCs/>
                <w:sz w:val="16"/>
                <w:szCs w:val="16"/>
              </w:rPr>
            </w:pPr>
          </w:p>
          <w:p w14:paraId="25535C42" w14:textId="77777777" w:rsidR="005F4E12" w:rsidRPr="004C3A0B" w:rsidRDefault="005F4E12" w:rsidP="00A555F0">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0A071357" w14:textId="77777777" w:rsidR="005F4E12" w:rsidRPr="004C3A0B" w:rsidRDefault="005F4E12" w:rsidP="00A555F0">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4C7DAF65" w14:textId="77777777" w:rsidR="005F4E12" w:rsidRPr="004C3A0B" w:rsidRDefault="005F4E12" w:rsidP="00A555F0">
            <w:pPr>
              <w:autoSpaceDE w:val="0"/>
              <w:autoSpaceDN w:val="0"/>
              <w:adjustRightInd w:val="0"/>
              <w:jc w:val="center"/>
              <w:rPr>
                <w:rFonts w:ascii="Arial" w:hAnsi="Arial" w:cs="Arial"/>
                <w:b/>
                <w:bCs/>
                <w:sz w:val="16"/>
                <w:szCs w:val="16"/>
              </w:rPr>
            </w:pPr>
          </w:p>
          <w:p w14:paraId="0CBE97C7" w14:textId="77777777" w:rsidR="005F4E12" w:rsidRPr="004C3A0B" w:rsidRDefault="005F4E12" w:rsidP="00A555F0">
            <w:pPr>
              <w:autoSpaceDE w:val="0"/>
              <w:autoSpaceDN w:val="0"/>
              <w:adjustRightInd w:val="0"/>
              <w:jc w:val="center"/>
              <w:rPr>
                <w:rFonts w:ascii="Arial" w:hAnsi="Arial" w:cs="Arial"/>
                <w:b/>
                <w:bCs/>
              </w:rPr>
            </w:pPr>
            <w:r w:rsidRPr="004C3A0B">
              <w:rPr>
                <w:rFonts w:ascii="Arial" w:hAnsi="Arial" w:cs="Arial"/>
                <w:b/>
                <w:bCs/>
              </w:rPr>
              <w:t>N/A</w:t>
            </w:r>
          </w:p>
        </w:tc>
      </w:tr>
      <w:tr w:rsidR="005F4E12" w:rsidRPr="004C3A0B" w14:paraId="0099501C" w14:textId="77777777" w:rsidTr="00A555F0">
        <w:trPr>
          <w:trHeight w:val="439"/>
        </w:trPr>
        <w:tc>
          <w:tcPr>
            <w:tcW w:w="562" w:type="dxa"/>
            <w:shd w:val="clear" w:color="auto" w:fill="F2F2F2" w:themeFill="background1" w:themeFillShade="F2"/>
            <w:vAlign w:val="center"/>
          </w:tcPr>
          <w:p w14:paraId="282426A1" w14:textId="77777777" w:rsidR="005F4E12" w:rsidRPr="004C3A0B" w:rsidRDefault="005F4E12" w:rsidP="00A555F0">
            <w:pPr>
              <w:autoSpaceDE w:val="0"/>
              <w:autoSpaceDN w:val="0"/>
              <w:adjustRightInd w:val="0"/>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14:paraId="0DEABF90"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01C3BF53"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0"/>
                <w14:checkedState w14:val="2612" w14:font="MS Gothic"/>
                <w14:uncheckedState w14:val="2610" w14:font="MS Gothic"/>
              </w14:checkbox>
            </w:sdtPr>
            <w:sdtContent>
              <w:p w14:paraId="4D8F759E"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1"/>
                <w14:checkedState w14:val="2612" w14:font="MS Gothic"/>
                <w14:uncheckedState w14:val="2610" w14:font="MS Gothic"/>
              </w14:checkbox>
            </w:sdtPr>
            <w:sdtContent>
              <w:p w14:paraId="13A01D86"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1E80D53F" w14:textId="77777777" w:rsidTr="00A555F0">
        <w:trPr>
          <w:trHeight w:val="403"/>
        </w:trPr>
        <w:tc>
          <w:tcPr>
            <w:tcW w:w="562" w:type="dxa"/>
            <w:shd w:val="clear" w:color="auto" w:fill="F2F2F2" w:themeFill="background1" w:themeFillShade="F2"/>
            <w:vAlign w:val="center"/>
          </w:tcPr>
          <w:p w14:paraId="14A2FF04" w14:textId="77777777" w:rsidR="005F4E12" w:rsidRPr="004C3A0B" w:rsidRDefault="005F4E12" w:rsidP="00A555F0">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14:paraId="4C1E02D0"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365EBA0C"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Content>
              <w:p w14:paraId="6B141D4C"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1"/>
                <w14:checkedState w14:val="2612" w14:font="MS Gothic"/>
                <w14:uncheckedState w14:val="2610" w14:font="MS Gothic"/>
              </w14:checkbox>
            </w:sdtPr>
            <w:sdtContent>
              <w:p w14:paraId="7DB4DCA0"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251CE624" w14:textId="77777777" w:rsidTr="00A555F0">
        <w:trPr>
          <w:trHeight w:val="439"/>
        </w:trPr>
        <w:tc>
          <w:tcPr>
            <w:tcW w:w="562" w:type="dxa"/>
            <w:shd w:val="clear" w:color="auto" w:fill="F2F2F2" w:themeFill="background1" w:themeFillShade="F2"/>
            <w:vAlign w:val="center"/>
          </w:tcPr>
          <w:p w14:paraId="4F8193C0" w14:textId="77777777" w:rsidR="005F4E12" w:rsidRPr="004C3A0B" w:rsidRDefault="005F4E12" w:rsidP="00A555F0">
            <w:pPr>
              <w:autoSpaceDE w:val="0"/>
              <w:autoSpaceDN w:val="0"/>
              <w:adjustRightInd w:val="0"/>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14:paraId="390DF9A1"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682E56E6"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0"/>
                <w14:checkedState w14:val="2612" w14:font="MS Gothic"/>
                <w14:uncheckedState w14:val="2610" w14:font="MS Gothic"/>
              </w14:checkbox>
            </w:sdtPr>
            <w:sdtContent>
              <w:p w14:paraId="54C8A559"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1"/>
                <w14:checkedState w14:val="2612" w14:font="MS Gothic"/>
                <w14:uncheckedState w14:val="2610" w14:font="MS Gothic"/>
              </w14:checkbox>
            </w:sdtPr>
            <w:sdtContent>
              <w:p w14:paraId="307C2179"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709A2DB4" w14:textId="77777777" w:rsidTr="00A555F0">
        <w:trPr>
          <w:trHeight w:val="403"/>
        </w:trPr>
        <w:tc>
          <w:tcPr>
            <w:tcW w:w="562" w:type="dxa"/>
            <w:shd w:val="clear" w:color="auto" w:fill="F2F2F2" w:themeFill="background1" w:themeFillShade="F2"/>
            <w:vAlign w:val="center"/>
          </w:tcPr>
          <w:p w14:paraId="60B5BBFB" w14:textId="77777777" w:rsidR="005F4E12" w:rsidRPr="004C3A0B" w:rsidRDefault="005F4E12" w:rsidP="00A555F0">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36F98245"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1D077519"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0"/>
                <w14:checkedState w14:val="2612" w14:font="MS Gothic"/>
                <w14:uncheckedState w14:val="2610" w14:font="MS Gothic"/>
              </w14:checkbox>
            </w:sdtPr>
            <w:sdtContent>
              <w:p w14:paraId="4224065D"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1"/>
                <w14:checkedState w14:val="2612" w14:font="MS Gothic"/>
                <w14:uncheckedState w14:val="2610" w14:font="MS Gothic"/>
              </w14:checkbox>
            </w:sdtPr>
            <w:sdtContent>
              <w:p w14:paraId="7B150628"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55F9EDC7" w14:textId="77777777" w:rsidTr="00A555F0">
        <w:trPr>
          <w:trHeight w:val="403"/>
        </w:trPr>
        <w:tc>
          <w:tcPr>
            <w:tcW w:w="562" w:type="dxa"/>
            <w:shd w:val="clear" w:color="auto" w:fill="F2F2F2" w:themeFill="background1" w:themeFillShade="F2"/>
            <w:vAlign w:val="center"/>
          </w:tcPr>
          <w:p w14:paraId="65D85849" w14:textId="77777777" w:rsidR="005F4E12" w:rsidRPr="004C3A0B" w:rsidRDefault="005F4E12" w:rsidP="00A555F0">
            <w:pPr>
              <w:autoSpaceDE w:val="0"/>
              <w:autoSpaceDN w:val="0"/>
              <w:adjustRightInd w:val="0"/>
              <w:jc w:val="center"/>
              <w:rPr>
                <w:rFonts w:ascii="Arial" w:hAnsi="Arial" w:cs="Arial"/>
              </w:rPr>
            </w:pPr>
            <w:r>
              <w:rPr>
                <w:rFonts w:ascii="Arial" w:hAnsi="Arial" w:cs="Arial"/>
              </w:rPr>
              <w:t>28</w:t>
            </w:r>
          </w:p>
        </w:tc>
        <w:tc>
          <w:tcPr>
            <w:tcW w:w="9923" w:type="dxa"/>
            <w:gridSpan w:val="4"/>
            <w:shd w:val="clear" w:color="auto" w:fill="F2F2F2" w:themeFill="background1" w:themeFillShade="F2"/>
            <w:vAlign w:val="center"/>
          </w:tcPr>
          <w:p w14:paraId="37BFD923"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5F4E12" w:rsidRPr="004C3A0B" w14:paraId="5DE7F22F" w14:textId="77777777" w:rsidTr="00A555F0">
        <w:trPr>
          <w:trHeight w:val="403"/>
        </w:trPr>
        <w:tc>
          <w:tcPr>
            <w:tcW w:w="562" w:type="dxa"/>
            <w:vAlign w:val="center"/>
          </w:tcPr>
          <w:p w14:paraId="7023D1DE" w14:textId="77777777" w:rsidR="005F4E12" w:rsidRDefault="005F4E12" w:rsidP="00A555F0">
            <w:pPr>
              <w:jc w:val="center"/>
              <w:rPr>
                <w:rFonts w:ascii="Arial" w:hAnsi="Arial" w:cs="Arial"/>
              </w:rPr>
            </w:pPr>
          </w:p>
        </w:tc>
        <w:tc>
          <w:tcPr>
            <w:tcW w:w="9923" w:type="dxa"/>
            <w:gridSpan w:val="4"/>
            <w:vAlign w:val="center"/>
          </w:tcPr>
          <w:p w14:paraId="2937250A" w14:textId="77777777" w:rsidR="005F4E12" w:rsidRPr="00AA34BD" w:rsidRDefault="005F4E12" w:rsidP="00A555F0">
            <w:pPr>
              <w:rPr>
                <w:rFonts w:ascii="Arial" w:hAnsi="Arial" w:cs="Arial"/>
                <w:color w:val="00B050"/>
                <w:sz w:val="24"/>
              </w:rPr>
            </w:pPr>
            <w:r w:rsidRPr="00AA34BD">
              <w:rPr>
                <w:rFonts w:ascii="Arial" w:hAnsi="Arial" w:cs="Arial"/>
                <w:color w:val="00B050"/>
              </w:rPr>
              <w:t xml:space="preserve">You should be able to tick </w:t>
            </w:r>
            <w:r>
              <w:rPr>
                <w:rFonts w:ascii="Arial" w:hAnsi="Arial" w:cs="Arial"/>
                <w:color w:val="00B050"/>
              </w:rPr>
              <w:t>NO for most</w:t>
            </w:r>
            <w:r w:rsidRPr="00AA34BD">
              <w:rPr>
                <w:rFonts w:ascii="Arial" w:hAnsi="Arial" w:cs="Arial"/>
                <w:color w:val="00B050"/>
              </w:rPr>
              <w:t xml:space="preserve"> of these</w:t>
            </w:r>
            <w:r>
              <w:rPr>
                <w:rFonts w:ascii="Arial" w:hAnsi="Arial" w:cs="Arial"/>
                <w:color w:val="00B050"/>
              </w:rPr>
              <w:t xml:space="preserve"> questions</w:t>
            </w:r>
            <w:r w:rsidRPr="00AA34BD">
              <w:rPr>
                <w:rFonts w:ascii="Arial" w:hAnsi="Arial" w:cs="Arial"/>
                <w:color w:val="00B050"/>
              </w:rPr>
              <w:t>.</w:t>
            </w:r>
            <w:r>
              <w:rPr>
                <w:rFonts w:ascii="Arial" w:hAnsi="Arial" w:cs="Arial"/>
                <w:color w:val="00B050"/>
              </w:rPr>
              <w:t xml:space="preserve"> For any cases that you have ticked YES then provide details in this box.</w:t>
            </w:r>
            <w:r w:rsidRPr="00AA34BD">
              <w:rPr>
                <w:rFonts w:ascii="Arial" w:hAnsi="Arial" w:cs="Arial"/>
                <w:color w:val="00B050"/>
              </w:rPr>
              <w:t xml:space="preserve"> If </w:t>
            </w:r>
            <w:r>
              <w:rPr>
                <w:rFonts w:ascii="Arial" w:hAnsi="Arial" w:cs="Arial"/>
                <w:color w:val="00B050"/>
              </w:rPr>
              <w:t>you are using cameras/voice recorders to record interviews, then please state that</w:t>
            </w:r>
            <w:r w:rsidRPr="00AA34BD">
              <w:rPr>
                <w:rFonts w:ascii="Arial" w:hAnsi="Arial" w:cs="Arial"/>
                <w:color w:val="00B050"/>
              </w:rPr>
              <w:t xml:space="preserve"> </w:t>
            </w:r>
            <w:r>
              <w:rPr>
                <w:rFonts w:ascii="Arial" w:hAnsi="Arial" w:cs="Arial"/>
                <w:color w:val="00B050"/>
              </w:rPr>
              <w:t>in this box.</w:t>
            </w:r>
          </w:p>
          <w:p w14:paraId="4394BFFB" w14:textId="77777777" w:rsidR="005F4E12" w:rsidRPr="004C3A0B" w:rsidRDefault="005F4E12" w:rsidP="00A555F0">
            <w:pPr>
              <w:rPr>
                <w:rFonts w:ascii="Arial" w:hAnsi="Arial" w:cs="Arial"/>
              </w:rPr>
            </w:pPr>
          </w:p>
          <w:p w14:paraId="3C95E7BC" w14:textId="77777777" w:rsidR="005F4E12" w:rsidRPr="004C3A0B" w:rsidRDefault="005F4E12" w:rsidP="00A555F0">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642DB94" w14:textId="77777777" w:rsidR="005F4E12" w:rsidRPr="00354F34" w:rsidRDefault="005F4E12" w:rsidP="005F4E12">
      <w:pPr>
        <w:autoSpaceDE w:val="0"/>
        <w:autoSpaceDN w:val="0"/>
        <w:adjustRightInd w:val="0"/>
        <w:spacing w:after="240"/>
        <w:jc w:val="both"/>
        <w:rPr>
          <w:rFonts w:ascii="Arial" w:hAnsi="Arial" w:cs="Arial"/>
          <w:b/>
        </w:rPr>
      </w:pPr>
    </w:p>
    <w:p w14:paraId="6DEE82D2" w14:textId="77777777" w:rsidR="005F4E12" w:rsidRDefault="005F4E12" w:rsidP="005F4E12">
      <w:pPr>
        <w:rPr>
          <w:rFonts w:ascii="Arial" w:hAnsi="Arial" w:cs="Arial"/>
          <w:b/>
        </w:rPr>
      </w:pPr>
      <w:r w:rsidRPr="00354F34">
        <w:rPr>
          <w:rFonts w:ascii="Arial" w:hAnsi="Arial" w:cs="Arial"/>
          <w:b/>
        </w:rPr>
        <w:lastRenderedPageBreak/>
        <w:t xml:space="preserve">SECTION </w:t>
      </w:r>
      <w:r>
        <w:rPr>
          <w:rFonts w:ascii="Arial" w:hAnsi="Arial" w:cs="Arial"/>
          <w:b/>
        </w:rPr>
        <w:t>F</w:t>
      </w:r>
      <w:r w:rsidRPr="00354F34">
        <w:rPr>
          <w:rFonts w:ascii="Arial" w:hAnsi="Arial" w:cs="Arial"/>
          <w:b/>
        </w:rPr>
        <w:t>: Anticipated Risks</w:t>
      </w:r>
    </w:p>
    <w:p w14:paraId="721DAC1F" w14:textId="77777777" w:rsidR="005F4E12" w:rsidRPr="00354F34" w:rsidRDefault="005F4E12" w:rsidP="005F4E12">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5F4E12" w:rsidRPr="004C3A0B" w14:paraId="0E473A8E" w14:textId="77777777" w:rsidTr="00A555F0">
        <w:tc>
          <w:tcPr>
            <w:tcW w:w="596" w:type="dxa"/>
            <w:tcBorders>
              <w:bottom w:val="single" w:sz="4" w:space="0" w:color="auto"/>
            </w:tcBorders>
            <w:shd w:val="clear" w:color="auto" w:fill="F2F2F2" w:themeFill="background1" w:themeFillShade="F2"/>
          </w:tcPr>
          <w:p w14:paraId="77610896" w14:textId="77777777" w:rsidR="005F4E12" w:rsidRPr="002132F9" w:rsidRDefault="005F4E12" w:rsidP="005F4E12"/>
        </w:tc>
        <w:tc>
          <w:tcPr>
            <w:tcW w:w="9923" w:type="dxa"/>
            <w:gridSpan w:val="2"/>
            <w:tcBorders>
              <w:bottom w:val="single" w:sz="4" w:space="0" w:color="auto"/>
            </w:tcBorders>
            <w:shd w:val="clear" w:color="auto" w:fill="F2F2F2" w:themeFill="background1" w:themeFillShade="F2"/>
          </w:tcPr>
          <w:p w14:paraId="60934EE9" w14:textId="77777777" w:rsidR="005F4E12" w:rsidRPr="00204E14" w:rsidRDefault="005F4E12" w:rsidP="005F4E12">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r w:rsidRPr="00204E14">
              <w:t xml:space="preserve"> </w:t>
            </w:r>
          </w:p>
        </w:tc>
      </w:tr>
      <w:tr w:rsidR="005F4E12" w:rsidRPr="004C3A0B" w14:paraId="2670E3DD" w14:textId="77777777" w:rsidTr="00A555F0">
        <w:tc>
          <w:tcPr>
            <w:tcW w:w="596" w:type="dxa"/>
            <w:tcBorders>
              <w:bottom w:val="single" w:sz="4" w:space="0" w:color="auto"/>
            </w:tcBorders>
            <w:shd w:val="clear" w:color="auto" w:fill="F2F2F2" w:themeFill="background1" w:themeFillShade="F2"/>
            <w:vAlign w:val="center"/>
          </w:tcPr>
          <w:p w14:paraId="5D9E215E" w14:textId="77777777" w:rsidR="005F4E12" w:rsidRPr="002132F9" w:rsidRDefault="005F4E12" w:rsidP="00A555F0">
            <w:pPr>
              <w:jc w:val="center"/>
              <w:rPr>
                <w:rFonts w:ascii="Arial" w:hAnsi="Arial" w:cs="Arial"/>
              </w:rPr>
            </w:pPr>
            <w:r>
              <w:rPr>
                <w:rFonts w:ascii="Arial" w:hAnsi="Arial" w:cs="Arial"/>
              </w:rPr>
              <w:t>1</w:t>
            </w:r>
          </w:p>
        </w:tc>
        <w:tc>
          <w:tcPr>
            <w:tcW w:w="9923" w:type="dxa"/>
            <w:gridSpan w:val="2"/>
            <w:tcBorders>
              <w:bottom w:val="single" w:sz="4" w:space="0" w:color="auto"/>
            </w:tcBorders>
            <w:shd w:val="clear" w:color="auto" w:fill="F2F2F2" w:themeFill="background1" w:themeFillShade="F2"/>
          </w:tcPr>
          <w:p w14:paraId="1672ED71" w14:textId="77777777" w:rsidR="005F4E12" w:rsidRPr="004C3A0B" w:rsidRDefault="005F4E12" w:rsidP="00A555F0">
            <w:pPr>
              <w:rPr>
                <w:rFonts w:ascii="Arial" w:hAnsi="Arial" w:cs="Arial"/>
              </w:rPr>
            </w:pPr>
            <w:r w:rsidRPr="004C3A0B">
              <w:rPr>
                <w:rFonts w:ascii="Arial" w:hAnsi="Arial" w:cs="Arial"/>
                <w:b/>
              </w:rPr>
              <w:t>Risks to participants</w:t>
            </w:r>
          </w:p>
          <w:p w14:paraId="520BB6CE" w14:textId="77777777" w:rsidR="005F4E12" w:rsidRPr="004C3A0B" w:rsidRDefault="005F4E12" w:rsidP="00A555F0">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r>
              <w:rPr>
                <w:rFonts w:ascii="Arial" w:hAnsi="Arial" w:cs="Arial"/>
              </w:rPr>
              <w:t>. If you have identified in section D that there are no participants, then enter N/A and go skip to question 3.</w:t>
            </w:r>
          </w:p>
        </w:tc>
      </w:tr>
      <w:tr w:rsidR="005F4E12" w:rsidRPr="004C3A0B" w14:paraId="3AF89139" w14:textId="77777777" w:rsidTr="00A555F0">
        <w:tc>
          <w:tcPr>
            <w:tcW w:w="596" w:type="dxa"/>
            <w:tcBorders>
              <w:top w:val="single" w:sz="4" w:space="0" w:color="auto"/>
              <w:bottom w:val="single" w:sz="4" w:space="0" w:color="auto"/>
            </w:tcBorders>
            <w:vAlign w:val="center"/>
          </w:tcPr>
          <w:p w14:paraId="53E265C2" w14:textId="77777777" w:rsidR="005F4E12" w:rsidRPr="00CE0890" w:rsidRDefault="005F4E12" w:rsidP="00A555F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F66A077" w14:textId="77777777" w:rsidR="005F4E12" w:rsidRDefault="005F4E12" w:rsidP="00A555F0">
            <w:pPr>
              <w:autoSpaceDE w:val="0"/>
              <w:autoSpaceDN w:val="0"/>
              <w:adjustRightInd w:val="0"/>
              <w:rPr>
                <w:rFonts w:ascii="Arial" w:hAnsi="Arial" w:cs="Arial"/>
              </w:rPr>
            </w:pPr>
            <w:r>
              <w:rPr>
                <w:rFonts w:ascii="Arial" w:hAnsi="Arial" w:cs="Arial"/>
              </w:rPr>
              <w:t>Risk to participants:</w:t>
            </w:r>
          </w:p>
          <w:p w14:paraId="0F26B8AB" w14:textId="77777777" w:rsidR="005F4E12" w:rsidRPr="00B17110" w:rsidRDefault="005F4E12" w:rsidP="00A555F0">
            <w:pPr>
              <w:rPr>
                <w:rFonts w:ascii="Arial" w:hAnsi="Arial" w:cs="Arial"/>
                <w:color w:val="00B050"/>
              </w:rPr>
            </w:pPr>
            <w:r w:rsidRPr="00B17110">
              <w:rPr>
                <w:rFonts w:ascii="Arial" w:hAnsi="Arial" w:cs="Arial"/>
                <w:color w:val="00B050"/>
              </w:rPr>
              <w:t>Not applicable because no participants will be involved.</w:t>
            </w:r>
          </w:p>
          <w:p w14:paraId="5B873DE1" w14:textId="77777777" w:rsidR="005F4E12" w:rsidRPr="004C3A0B" w:rsidRDefault="005F4E12" w:rsidP="00A555F0">
            <w:pPr>
              <w:rPr>
                <w:rFonts w:ascii="Arial" w:hAnsi="Arial" w:cs="Arial"/>
              </w:rPr>
            </w:pPr>
          </w:p>
          <w:p w14:paraId="6E5DBEB2" w14:textId="77777777" w:rsidR="005F4E12" w:rsidRPr="004C3A0B" w:rsidRDefault="005F4E12" w:rsidP="00A555F0">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D69AA54" w14:textId="77777777" w:rsidR="005F4E12" w:rsidRDefault="005F4E12" w:rsidP="00A555F0">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79B80F23" w14:textId="77777777" w:rsidR="005F4E12" w:rsidRDefault="005F4E12" w:rsidP="00A555F0">
            <w:pPr>
              <w:rPr>
                <w:rFonts w:ascii="Arial" w:hAnsi="Arial" w:cs="Arial"/>
              </w:rPr>
            </w:pPr>
          </w:p>
          <w:p w14:paraId="25299B84" w14:textId="77777777" w:rsidR="005F4E12" w:rsidRPr="00B17110" w:rsidRDefault="005F4E12" w:rsidP="00A555F0">
            <w:pPr>
              <w:rPr>
                <w:rFonts w:ascii="Arial" w:hAnsi="Arial" w:cs="Arial"/>
              </w:rPr>
            </w:pPr>
            <w:r w:rsidRPr="00B17110">
              <w:rPr>
                <w:rFonts w:ascii="Arial" w:hAnsi="Arial" w:cs="Arial"/>
              </w:rPr>
              <w:t>Not applicable.</w:t>
            </w:r>
          </w:p>
          <w:p w14:paraId="483FDCB6" w14:textId="77777777" w:rsidR="005F4E12" w:rsidRDefault="005F4E12" w:rsidP="00A555F0">
            <w:pPr>
              <w:rPr>
                <w:rFonts w:ascii="Arial" w:hAnsi="Arial" w:cs="Arial"/>
              </w:rPr>
            </w:pPr>
          </w:p>
          <w:p w14:paraId="55031014" w14:textId="77777777" w:rsidR="005F4E12" w:rsidRPr="004C3A0B" w:rsidRDefault="005F4E12" w:rsidP="00A555F0">
            <w:pPr>
              <w:rPr>
                <w:rFonts w:ascii="Arial" w:hAnsi="Arial" w:cs="Arial"/>
              </w:rPr>
            </w:pPr>
          </w:p>
          <w:p w14:paraId="718CA08F" w14:textId="77777777" w:rsidR="005F4E12" w:rsidRPr="00354F34" w:rsidRDefault="005F4E12" w:rsidP="00A555F0">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5F4E12" w:rsidRPr="004C3A0B" w14:paraId="317452D4" w14:textId="77777777" w:rsidTr="00A555F0">
        <w:tc>
          <w:tcPr>
            <w:tcW w:w="596" w:type="dxa"/>
            <w:tcBorders>
              <w:bottom w:val="single" w:sz="4" w:space="0" w:color="auto"/>
            </w:tcBorders>
            <w:shd w:val="clear" w:color="auto" w:fill="F2F2F2" w:themeFill="background1" w:themeFillShade="F2"/>
            <w:vAlign w:val="center"/>
          </w:tcPr>
          <w:p w14:paraId="6CE81A89" w14:textId="77777777" w:rsidR="005F4E12" w:rsidRPr="00E32138" w:rsidRDefault="005F4E12" w:rsidP="00A555F0">
            <w:pPr>
              <w:jc w:val="center"/>
              <w:rPr>
                <w:rFonts w:ascii="Arial" w:hAnsi="Arial" w:cs="Arial"/>
              </w:rPr>
            </w:pPr>
            <w:r>
              <w:rPr>
                <w:rFonts w:ascii="Arial" w:hAnsi="Arial" w:cs="Arial"/>
              </w:rPr>
              <w:t>2</w:t>
            </w:r>
          </w:p>
        </w:tc>
        <w:tc>
          <w:tcPr>
            <w:tcW w:w="9923" w:type="dxa"/>
            <w:gridSpan w:val="2"/>
            <w:tcBorders>
              <w:bottom w:val="single" w:sz="4" w:space="0" w:color="auto"/>
            </w:tcBorders>
            <w:shd w:val="clear" w:color="auto" w:fill="F2F2F2" w:themeFill="background1" w:themeFillShade="F2"/>
          </w:tcPr>
          <w:p w14:paraId="1F4EEA04" w14:textId="77777777" w:rsidR="005F4E12" w:rsidRPr="004C3A0B" w:rsidRDefault="005F4E12" w:rsidP="00A555F0">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w:t>
            </w:r>
            <w:proofErr w:type="gramStart"/>
            <w:r w:rsidRPr="004C3A0B">
              <w:rPr>
                <w:rFonts w:ascii="Arial" w:hAnsi="Arial" w:cs="Arial"/>
                <w:color w:val="161616"/>
                <w:lang w:val="en-US" w:eastAsia="en-GB"/>
              </w:rPr>
              <w:t>in the course of</w:t>
            </w:r>
            <w:proofErr w:type="gramEnd"/>
            <w:r w:rsidRPr="004C3A0B">
              <w:rPr>
                <w:rFonts w:ascii="Arial" w:hAnsi="Arial" w:cs="Arial"/>
                <w:color w:val="161616"/>
                <w:lang w:val="en-US" w:eastAsia="en-GB"/>
              </w:rPr>
              <w:t xml:space="preserve"> a project, it may need to be disclosed to the proper authorities</w:t>
            </w:r>
          </w:p>
        </w:tc>
      </w:tr>
      <w:tr w:rsidR="005F4E12" w:rsidRPr="004C3A0B" w14:paraId="2A2D2585" w14:textId="77777777" w:rsidTr="00A555F0">
        <w:tc>
          <w:tcPr>
            <w:tcW w:w="596" w:type="dxa"/>
            <w:tcBorders>
              <w:top w:val="single" w:sz="4" w:space="0" w:color="auto"/>
              <w:bottom w:val="single" w:sz="4" w:space="0" w:color="auto"/>
            </w:tcBorders>
            <w:vAlign w:val="center"/>
          </w:tcPr>
          <w:p w14:paraId="569A4B68" w14:textId="77777777" w:rsidR="005F4E12" w:rsidRPr="00CE0890" w:rsidRDefault="005F4E12" w:rsidP="00A555F0">
            <w:pPr>
              <w:jc w:val="center"/>
              <w:rPr>
                <w:rFonts w:ascii="Arial" w:hAnsi="Arial" w:cs="Arial"/>
              </w:rPr>
            </w:pPr>
          </w:p>
        </w:tc>
        <w:tc>
          <w:tcPr>
            <w:tcW w:w="9923" w:type="dxa"/>
            <w:gridSpan w:val="2"/>
            <w:tcBorders>
              <w:top w:val="single" w:sz="4" w:space="0" w:color="auto"/>
              <w:bottom w:val="single" w:sz="4" w:space="0" w:color="auto"/>
            </w:tcBorders>
          </w:tcPr>
          <w:p w14:paraId="784BBE0D" w14:textId="77777777" w:rsidR="005F4E12" w:rsidRDefault="005F4E12" w:rsidP="00A555F0">
            <w:pPr>
              <w:rPr>
                <w:rFonts w:ascii="Arial" w:hAnsi="Arial" w:cs="Arial"/>
              </w:rPr>
            </w:pPr>
            <w:r w:rsidRPr="00B17110">
              <w:rPr>
                <w:rFonts w:ascii="Arial" w:hAnsi="Arial" w:cs="Arial"/>
              </w:rPr>
              <w:t>The study will not collect information directly from individuals and will not investigate sensitive, illegal or upsetting personal topics. Only published and publicly available secondary sources will be analysed.</w:t>
            </w:r>
          </w:p>
          <w:p w14:paraId="0CC700CC" w14:textId="77777777" w:rsidR="005F4E12" w:rsidRDefault="005F4E12" w:rsidP="00A555F0">
            <w:pPr>
              <w:rPr>
                <w:rFonts w:ascii="Arial" w:hAnsi="Arial" w:cs="Arial"/>
              </w:rPr>
            </w:pPr>
          </w:p>
          <w:p w14:paraId="49764031" w14:textId="77777777" w:rsidR="005F4E12" w:rsidRPr="004C3A0B" w:rsidRDefault="005F4E12" w:rsidP="00A555F0">
            <w:pPr>
              <w:rPr>
                <w:rFonts w:ascii="Arial" w:hAnsi="Arial" w:cs="Arial"/>
              </w:rPr>
            </w:pPr>
          </w:p>
          <w:p w14:paraId="58896679" w14:textId="77777777" w:rsidR="005F4E12" w:rsidRPr="004C3A0B" w:rsidRDefault="005F4E12" w:rsidP="00A555F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F4E12" w:rsidRPr="004C3A0B" w14:paraId="0201A8C7" w14:textId="77777777" w:rsidTr="00A555F0">
        <w:tc>
          <w:tcPr>
            <w:tcW w:w="596" w:type="dxa"/>
            <w:tcBorders>
              <w:top w:val="single" w:sz="4" w:space="0" w:color="auto"/>
              <w:bottom w:val="single" w:sz="4" w:space="0" w:color="auto"/>
            </w:tcBorders>
            <w:shd w:val="clear" w:color="auto" w:fill="F2F2F2" w:themeFill="background1" w:themeFillShade="F2"/>
            <w:vAlign w:val="center"/>
          </w:tcPr>
          <w:p w14:paraId="210538EF" w14:textId="77777777" w:rsidR="005F4E12" w:rsidRPr="002132F9" w:rsidRDefault="005F4E12" w:rsidP="00A555F0">
            <w:pPr>
              <w:jc w:val="center"/>
              <w:rPr>
                <w:rFonts w:ascii="Arial" w:hAnsi="Arial" w:cs="Arial"/>
              </w:rPr>
            </w:pPr>
            <w:r>
              <w:rPr>
                <w:rFonts w:ascii="Arial" w:hAnsi="Arial" w:cs="Arial"/>
              </w:rPr>
              <w:t>3</w:t>
            </w:r>
          </w:p>
        </w:tc>
        <w:tc>
          <w:tcPr>
            <w:tcW w:w="9923" w:type="dxa"/>
            <w:gridSpan w:val="2"/>
            <w:tcBorders>
              <w:top w:val="single" w:sz="4" w:space="0" w:color="auto"/>
              <w:bottom w:val="single" w:sz="4" w:space="0" w:color="auto"/>
            </w:tcBorders>
            <w:shd w:val="clear" w:color="auto" w:fill="F2F2F2" w:themeFill="background1" w:themeFillShade="F2"/>
          </w:tcPr>
          <w:p w14:paraId="6065E597" w14:textId="77777777" w:rsidR="005F4E12" w:rsidRPr="004C3A0B" w:rsidRDefault="005F4E12" w:rsidP="00A555F0">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4025B79C" w14:textId="77777777" w:rsidR="005F4E12" w:rsidRPr="004C3A0B" w:rsidRDefault="005F4E12" w:rsidP="00A555F0">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5F4E12" w:rsidRPr="004C3A0B" w14:paraId="0D455935" w14:textId="77777777" w:rsidTr="00A555F0">
        <w:tc>
          <w:tcPr>
            <w:tcW w:w="596" w:type="dxa"/>
            <w:tcBorders>
              <w:top w:val="single" w:sz="4" w:space="0" w:color="auto"/>
              <w:bottom w:val="single" w:sz="4" w:space="0" w:color="auto"/>
            </w:tcBorders>
            <w:vAlign w:val="center"/>
          </w:tcPr>
          <w:p w14:paraId="14B48A40" w14:textId="77777777" w:rsidR="005F4E12" w:rsidRPr="00CE0890" w:rsidRDefault="005F4E12" w:rsidP="00A555F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D287651" w14:textId="77777777" w:rsidR="005F4E12" w:rsidRDefault="005F4E12" w:rsidP="00A555F0">
            <w:pPr>
              <w:autoSpaceDE w:val="0"/>
              <w:autoSpaceDN w:val="0"/>
              <w:adjustRightInd w:val="0"/>
              <w:rPr>
                <w:rFonts w:ascii="Arial" w:hAnsi="Arial" w:cs="Arial"/>
              </w:rPr>
            </w:pPr>
            <w:r>
              <w:rPr>
                <w:rFonts w:ascii="Arial" w:hAnsi="Arial" w:cs="Arial"/>
              </w:rPr>
              <w:t>Risk to the investigator:</w:t>
            </w:r>
          </w:p>
          <w:p w14:paraId="444FF3B1" w14:textId="77777777" w:rsidR="005F4E12" w:rsidRDefault="005F4E12" w:rsidP="00A555F0">
            <w:pPr>
              <w:rPr>
                <w:rFonts w:ascii="Arial" w:hAnsi="Arial" w:cs="Arial"/>
              </w:rPr>
            </w:pPr>
            <w:r w:rsidRPr="00B17110">
              <w:rPr>
                <w:rFonts w:ascii="Arial" w:hAnsi="Arial" w:cs="Arial"/>
                <w:color w:val="00B050"/>
              </w:rPr>
              <w:t>The investigator may experience workload pressure, difficulty locating relevant sources, accidental loss of files or exposure to unreliable information. There is also a risk of incorrect interpretation or unintentional plagiarism.</w:t>
            </w:r>
          </w:p>
          <w:p w14:paraId="4A44A74A" w14:textId="77777777" w:rsidR="005F4E12" w:rsidRPr="004C3A0B" w:rsidRDefault="005F4E12" w:rsidP="00A555F0">
            <w:pPr>
              <w:rPr>
                <w:rFonts w:ascii="Arial" w:hAnsi="Arial" w:cs="Arial"/>
              </w:rPr>
            </w:pPr>
          </w:p>
          <w:p w14:paraId="46D2A17E" w14:textId="77777777" w:rsidR="005F4E12" w:rsidRPr="004C3A0B" w:rsidRDefault="005F4E12" w:rsidP="00A555F0">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98A2FEC" w14:textId="77777777" w:rsidR="005F4E12" w:rsidRPr="00354F34" w:rsidRDefault="005F4E12" w:rsidP="00A555F0">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655D3FB5" w14:textId="77777777" w:rsidR="005F4E12" w:rsidRDefault="005F4E12" w:rsidP="00A555F0">
            <w:pPr>
              <w:rPr>
                <w:rFonts w:ascii="Arial" w:hAnsi="Arial" w:cs="Arial"/>
              </w:rPr>
            </w:pPr>
          </w:p>
          <w:p w14:paraId="4561EDD4" w14:textId="77777777" w:rsidR="005F4E12" w:rsidRDefault="005F4E12" w:rsidP="00A555F0">
            <w:pPr>
              <w:rPr>
                <w:rFonts w:ascii="Arial" w:hAnsi="Arial" w:cs="Arial"/>
              </w:rPr>
            </w:pPr>
            <w:r w:rsidRPr="00B17110">
              <w:rPr>
                <w:rFonts w:ascii="Arial" w:hAnsi="Arial" w:cs="Arial"/>
              </w:rPr>
              <w:t>The researcher will follow a clear timetable, use University library databases and save files securely. All sources will be properly referenced. Findings will be checked carefully and discussed with the supervisor where necessary.</w:t>
            </w:r>
          </w:p>
          <w:p w14:paraId="58EDA725" w14:textId="77777777" w:rsidR="005F4E12" w:rsidRPr="004C3A0B" w:rsidRDefault="005F4E12" w:rsidP="00A555F0">
            <w:pPr>
              <w:rPr>
                <w:rFonts w:ascii="Arial" w:hAnsi="Arial" w:cs="Arial"/>
              </w:rPr>
            </w:pPr>
          </w:p>
          <w:p w14:paraId="30321B12" w14:textId="77777777" w:rsidR="005F4E12" w:rsidRPr="004C3A0B" w:rsidRDefault="005F4E12" w:rsidP="00A555F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F4E12" w:rsidRPr="004C3A0B" w14:paraId="521F8A30" w14:textId="77777777" w:rsidTr="00A555F0">
        <w:tc>
          <w:tcPr>
            <w:tcW w:w="596" w:type="dxa"/>
            <w:tcBorders>
              <w:top w:val="single" w:sz="4" w:space="0" w:color="auto"/>
              <w:bottom w:val="single" w:sz="4" w:space="0" w:color="auto"/>
            </w:tcBorders>
            <w:shd w:val="clear" w:color="auto" w:fill="F2F2F2" w:themeFill="background1" w:themeFillShade="F2"/>
            <w:vAlign w:val="center"/>
          </w:tcPr>
          <w:p w14:paraId="387C0DA9" w14:textId="77777777" w:rsidR="005F4E12" w:rsidRPr="002132F9" w:rsidRDefault="005F4E12" w:rsidP="00A555F0">
            <w:pPr>
              <w:jc w:val="center"/>
              <w:rPr>
                <w:rFonts w:ascii="Arial" w:hAnsi="Arial" w:cs="Arial"/>
              </w:rPr>
            </w:pPr>
            <w:r>
              <w:rPr>
                <w:rFonts w:ascii="Arial" w:hAnsi="Arial" w:cs="Arial"/>
              </w:rPr>
              <w:t>4</w:t>
            </w:r>
          </w:p>
        </w:tc>
        <w:tc>
          <w:tcPr>
            <w:tcW w:w="9923" w:type="dxa"/>
            <w:gridSpan w:val="2"/>
            <w:tcBorders>
              <w:top w:val="single" w:sz="4" w:space="0" w:color="auto"/>
              <w:bottom w:val="single" w:sz="4" w:space="0" w:color="auto"/>
            </w:tcBorders>
            <w:shd w:val="clear" w:color="auto" w:fill="F2F2F2" w:themeFill="background1" w:themeFillShade="F2"/>
          </w:tcPr>
          <w:p w14:paraId="0A24EA35" w14:textId="77777777" w:rsidR="005F4E12" w:rsidRPr="004C3A0B" w:rsidRDefault="005F4E12" w:rsidP="00A555F0">
            <w:pPr>
              <w:rPr>
                <w:rFonts w:ascii="Arial" w:hAnsi="Arial" w:cs="Arial"/>
              </w:rPr>
            </w:pPr>
            <w:r w:rsidRPr="004C3A0B">
              <w:rPr>
                <w:rFonts w:ascii="Arial" w:hAnsi="Arial" w:cs="Arial"/>
                <w:b/>
              </w:rPr>
              <w:t>University/institutional risks</w:t>
            </w:r>
          </w:p>
          <w:p w14:paraId="4539B69D" w14:textId="77777777" w:rsidR="005F4E12" w:rsidRPr="004C3A0B" w:rsidRDefault="005F4E12" w:rsidP="00A555F0">
            <w:pPr>
              <w:rPr>
                <w:rFonts w:ascii="Arial" w:hAnsi="Arial" w:cs="Arial"/>
              </w:rPr>
            </w:pPr>
            <w:r w:rsidRPr="004C3A0B">
              <w:rPr>
                <w:rFonts w:ascii="Arial" w:hAnsi="Arial" w:cs="Arial"/>
              </w:rPr>
              <w:t>For example: adverse publicity, financial loss, data protection</w:t>
            </w:r>
          </w:p>
        </w:tc>
      </w:tr>
      <w:tr w:rsidR="005F4E12" w:rsidRPr="004C3A0B" w14:paraId="7AF580A1" w14:textId="77777777" w:rsidTr="00A555F0">
        <w:tc>
          <w:tcPr>
            <w:tcW w:w="596" w:type="dxa"/>
            <w:tcBorders>
              <w:top w:val="single" w:sz="4" w:space="0" w:color="auto"/>
              <w:bottom w:val="single" w:sz="4" w:space="0" w:color="auto"/>
            </w:tcBorders>
            <w:vAlign w:val="center"/>
          </w:tcPr>
          <w:p w14:paraId="1F053585" w14:textId="77777777" w:rsidR="005F4E12" w:rsidRPr="00CE0890" w:rsidRDefault="005F4E12" w:rsidP="00A555F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5E3003E" w14:textId="77777777" w:rsidR="005F4E12" w:rsidRDefault="005F4E12" w:rsidP="00A555F0">
            <w:pPr>
              <w:autoSpaceDE w:val="0"/>
              <w:autoSpaceDN w:val="0"/>
              <w:adjustRightInd w:val="0"/>
              <w:rPr>
                <w:rFonts w:ascii="Arial" w:hAnsi="Arial" w:cs="Arial"/>
              </w:rPr>
            </w:pPr>
            <w:r>
              <w:rPr>
                <w:rFonts w:ascii="Arial" w:hAnsi="Arial" w:cs="Arial"/>
              </w:rPr>
              <w:t>Risk to the University:</w:t>
            </w:r>
          </w:p>
          <w:p w14:paraId="108D0499" w14:textId="77777777" w:rsidR="005F4E12" w:rsidRPr="00B17110" w:rsidRDefault="005F4E12" w:rsidP="00A555F0">
            <w:pPr>
              <w:rPr>
                <w:rFonts w:ascii="Arial" w:hAnsi="Arial" w:cs="Arial"/>
                <w:color w:val="00B050"/>
              </w:rPr>
            </w:pPr>
            <w:r w:rsidRPr="00B17110">
              <w:rPr>
                <w:rFonts w:ascii="Arial" w:hAnsi="Arial" w:cs="Arial"/>
                <w:color w:val="00B050"/>
              </w:rPr>
              <w:t>Possible risks include academic misconduct, inaccurate reporting, poor data management or reputational damage caused by unsupported conclusions.</w:t>
            </w:r>
          </w:p>
          <w:p w14:paraId="0CF60C4B" w14:textId="77777777" w:rsidR="005F4E12" w:rsidRDefault="005F4E12" w:rsidP="00A555F0">
            <w:pPr>
              <w:rPr>
                <w:rFonts w:ascii="Arial" w:hAnsi="Arial" w:cs="Arial"/>
              </w:rPr>
            </w:pPr>
          </w:p>
          <w:p w14:paraId="56426140" w14:textId="77777777" w:rsidR="005F4E12" w:rsidRPr="004C3A0B" w:rsidRDefault="005F4E12" w:rsidP="00A555F0">
            <w:pPr>
              <w:rPr>
                <w:rFonts w:ascii="Arial" w:hAnsi="Arial" w:cs="Arial"/>
              </w:rPr>
            </w:pPr>
          </w:p>
          <w:p w14:paraId="4B99C371" w14:textId="77777777" w:rsidR="005F4E12" w:rsidRPr="004C3A0B" w:rsidRDefault="005F4E12" w:rsidP="00A555F0">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4EBB52B" w14:textId="77777777" w:rsidR="005F4E12" w:rsidRPr="00354F34" w:rsidRDefault="005F4E12" w:rsidP="00A555F0">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41921AC6" w14:textId="77777777" w:rsidR="005F4E12" w:rsidRDefault="005F4E12" w:rsidP="00A555F0">
            <w:pPr>
              <w:rPr>
                <w:rFonts w:ascii="Arial" w:hAnsi="Arial" w:cs="Arial"/>
              </w:rPr>
            </w:pPr>
          </w:p>
          <w:p w14:paraId="1D19E3D7" w14:textId="77777777" w:rsidR="005F4E12" w:rsidRPr="004C3A0B" w:rsidRDefault="005F4E12" w:rsidP="00A555F0">
            <w:pPr>
              <w:rPr>
                <w:rFonts w:ascii="Arial" w:hAnsi="Arial" w:cs="Arial"/>
              </w:rPr>
            </w:pPr>
            <w:r w:rsidRPr="00B17110">
              <w:rPr>
                <w:rFonts w:ascii="Arial" w:hAnsi="Arial" w:cs="Arial"/>
              </w:rPr>
              <w:t>The researcher will follow UWTSD ethical, academic-integrity and data-management guidance. All sources will be properly acknowledged, and findings will be reported accurately, including limitations and conflicting evidence.</w:t>
            </w:r>
          </w:p>
          <w:p w14:paraId="054674A5" w14:textId="77777777" w:rsidR="005F4E12" w:rsidRPr="004C3A0B" w:rsidRDefault="005F4E12" w:rsidP="00A555F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F4E12" w:rsidRPr="004C3A0B" w14:paraId="4B02752E" w14:textId="77777777" w:rsidTr="00A555F0">
        <w:tc>
          <w:tcPr>
            <w:tcW w:w="596" w:type="dxa"/>
            <w:tcBorders>
              <w:top w:val="single" w:sz="4" w:space="0" w:color="auto"/>
              <w:bottom w:val="single" w:sz="4" w:space="0" w:color="auto"/>
            </w:tcBorders>
            <w:shd w:val="clear" w:color="auto" w:fill="F2F2F2" w:themeFill="background1" w:themeFillShade="F2"/>
            <w:vAlign w:val="center"/>
          </w:tcPr>
          <w:p w14:paraId="3754A483" w14:textId="77777777" w:rsidR="005F4E12" w:rsidRPr="002132F9" w:rsidRDefault="005F4E12" w:rsidP="00A555F0">
            <w:pPr>
              <w:jc w:val="center"/>
              <w:rPr>
                <w:rFonts w:ascii="Arial" w:hAnsi="Arial" w:cs="Arial"/>
              </w:rPr>
            </w:pPr>
            <w:r>
              <w:rPr>
                <w:rFonts w:ascii="Arial" w:hAnsi="Arial" w:cs="Arial"/>
              </w:rPr>
              <w:t>5</w:t>
            </w:r>
          </w:p>
        </w:tc>
        <w:tc>
          <w:tcPr>
            <w:tcW w:w="9923" w:type="dxa"/>
            <w:gridSpan w:val="2"/>
            <w:tcBorders>
              <w:top w:val="single" w:sz="4" w:space="0" w:color="auto"/>
              <w:bottom w:val="single" w:sz="4" w:space="0" w:color="auto"/>
            </w:tcBorders>
            <w:shd w:val="clear" w:color="auto" w:fill="F2F2F2" w:themeFill="background1" w:themeFillShade="F2"/>
          </w:tcPr>
          <w:p w14:paraId="45381187" w14:textId="77777777" w:rsidR="005F4E12" w:rsidRPr="004C3A0B" w:rsidRDefault="005F4E12" w:rsidP="00A555F0">
            <w:pPr>
              <w:rPr>
                <w:rFonts w:ascii="Arial" w:hAnsi="Arial" w:cs="Arial"/>
              </w:rPr>
            </w:pPr>
            <w:r>
              <w:rPr>
                <w:rFonts w:ascii="Arial" w:hAnsi="Arial" w:cs="Arial"/>
                <w:b/>
              </w:rPr>
              <w:t>Environmental</w:t>
            </w:r>
            <w:r w:rsidRPr="004C3A0B">
              <w:rPr>
                <w:rFonts w:ascii="Arial" w:hAnsi="Arial" w:cs="Arial"/>
                <w:b/>
              </w:rPr>
              <w:t xml:space="preserve"> risks</w:t>
            </w:r>
          </w:p>
          <w:p w14:paraId="13053D04" w14:textId="77777777" w:rsidR="005F4E12" w:rsidRPr="004C3A0B" w:rsidRDefault="005F4E12" w:rsidP="00A555F0">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5F4E12" w:rsidRPr="004C3A0B" w14:paraId="0C20BBBC" w14:textId="77777777" w:rsidTr="00A555F0">
        <w:tc>
          <w:tcPr>
            <w:tcW w:w="596" w:type="dxa"/>
            <w:tcBorders>
              <w:top w:val="single" w:sz="4" w:space="0" w:color="auto"/>
              <w:bottom w:val="single" w:sz="4" w:space="0" w:color="auto"/>
            </w:tcBorders>
            <w:vAlign w:val="center"/>
          </w:tcPr>
          <w:p w14:paraId="38563E6D" w14:textId="77777777" w:rsidR="005F4E12" w:rsidRPr="00CE0890" w:rsidRDefault="005F4E12" w:rsidP="00A555F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FA5B7D5" w14:textId="77777777" w:rsidR="005F4E12" w:rsidRDefault="005F4E12" w:rsidP="00A555F0">
            <w:pPr>
              <w:autoSpaceDE w:val="0"/>
              <w:autoSpaceDN w:val="0"/>
              <w:adjustRightInd w:val="0"/>
              <w:rPr>
                <w:rFonts w:ascii="Arial" w:hAnsi="Arial" w:cs="Arial"/>
              </w:rPr>
            </w:pPr>
            <w:r>
              <w:rPr>
                <w:rFonts w:ascii="Arial" w:hAnsi="Arial" w:cs="Arial"/>
              </w:rPr>
              <w:t>Risk to the environment:</w:t>
            </w:r>
          </w:p>
          <w:p w14:paraId="738A5738" w14:textId="77777777" w:rsidR="005F4E12" w:rsidRDefault="005F4E12" w:rsidP="00A555F0">
            <w:pPr>
              <w:rPr>
                <w:rFonts w:ascii="Arial" w:hAnsi="Arial" w:cs="Arial"/>
              </w:rPr>
            </w:pPr>
          </w:p>
          <w:p w14:paraId="1D40EE51" w14:textId="77777777" w:rsidR="005F4E12" w:rsidRDefault="005F4E12" w:rsidP="00A555F0">
            <w:pPr>
              <w:rPr>
                <w:rFonts w:ascii="Arial" w:hAnsi="Arial" w:cs="Arial"/>
              </w:rPr>
            </w:pPr>
            <w:r w:rsidRPr="00B17110">
              <w:rPr>
                <w:rFonts w:ascii="Arial" w:hAnsi="Arial" w:cs="Arial"/>
              </w:rPr>
              <w:t>The environmental risk is very low. Minor impacts may arise from electricity use, online searching, electronic storage and printing.</w:t>
            </w:r>
          </w:p>
          <w:p w14:paraId="5F034D59" w14:textId="77777777" w:rsidR="005F4E12" w:rsidRPr="004C3A0B" w:rsidRDefault="005F4E12" w:rsidP="00A555F0">
            <w:pPr>
              <w:rPr>
                <w:rFonts w:ascii="Arial" w:hAnsi="Arial" w:cs="Arial"/>
              </w:rPr>
            </w:pPr>
          </w:p>
          <w:p w14:paraId="1CBB4AD1" w14:textId="77777777" w:rsidR="005F4E12" w:rsidRPr="004C3A0B" w:rsidRDefault="005F4E12" w:rsidP="00A555F0">
            <w:pPr>
              <w:autoSpaceDE w:val="0"/>
              <w:autoSpaceDN w:val="0"/>
              <w:adjustRightInd w:val="0"/>
              <w:rPr>
                <w:rFonts w:ascii="Arial" w:hAnsi="Arial" w:cs="Arial"/>
              </w:rPr>
            </w:pPr>
            <w:r w:rsidRPr="003257BD">
              <w:rPr>
                <w:rFonts w:ascii="Arial" w:hAnsi="Arial" w:cs="Arial"/>
                <w:i/>
                <w:color w:val="808080"/>
                <w:sz w:val="18"/>
                <w:szCs w:val="18"/>
              </w:rPr>
              <w:lastRenderedPageBreak/>
              <w:t>(this box should expand as you type)</w:t>
            </w:r>
          </w:p>
        </w:tc>
        <w:tc>
          <w:tcPr>
            <w:tcW w:w="4932" w:type="dxa"/>
            <w:tcBorders>
              <w:top w:val="single" w:sz="4" w:space="0" w:color="auto"/>
              <w:bottom w:val="single" w:sz="4" w:space="0" w:color="auto"/>
            </w:tcBorders>
          </w:tcPr>
          <w:p w14:paraId="5831F496" w14:textId="77777777" w:rsidR="005F4E12" w:rsidRPr="00354F34" w:rsidRDefault="005F4E12" w:rsidP="00A555F0">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0F811555" w14:textId="77777777" w:rsidR="005F4E12" w:rsidRDefault="005F4E12" w:rsidP="00A555F0">
            <w:pPr>
              <w:rPr>
                <w:rFonts w:ascii="Arial" w:hAnsi="Arial" w:cs="Arial"/>
              </w:rPr>
            </w:pPr>
          </w:p>
          <w:p w14:paraId="661C1480" w14:textId="77777777" w:rsidR="005F4E12" w:rsidRPr="004C3A0B" w:rsidRDefault="005F4E12" w:rsidP="00A555F0">
            <w:pPr>
              <w:rPr>
                <w:rFonts w:ascii="Arial" w:hAnsi="Arial" w:cs="Arial"/>
              </w:rPr>
            </w:pPr>
            <w:r w:rsidRPr="00B17110">
              <w:rPr>
                <w:rFonts w:ascii="Arial" w:hAnsi="Arial" w:cs="Arial"/>
              </w:rPr>
              <w:t>The research will be completed electronically where possible. Unnecessary printing will be avoided, and duplicate files will be removed when no longer required.</w:t>
            </w:r>
          </w:p>
          <w:p w14:paraId="5E4B5C4C" w14:textId="77777777" w:rsidR="005F4E12" w:rsidRPr="004C3A0B" w:rsidRDefault="005F4E12" w:rsidP="00A555F0">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CED2E4" w14:textId="77777777" w:rsidR="005F4E12" w:rsidRDefault="005F4E12" w:rsidP="005F4E12"/>
    <w:p w14:paraId="3F7D6C7D" w14:textId="77777777" w:rsidR="005F4E12" w:rsidRDefault="005F4E12" w:rsidP="005F4E12">
      <w:pPr>
        <w:rPr>
          <w:rFonts w:ascii="Arial" w:hAnsi="Arial" w:cs="Arial"/>
          <w:b/>
        </w:rPr>
      </w:pPr>
      <w:r w:rsidRPr="00354F34">
        <w:rPr>
          <w:rFonts w:ascii="Arial" w:hAnsi="Arial" w:cs="Arial"/>
          <w:b/>
        </w:rPr>
        <w:t xml:space="preserve">SECTION </w:t>
      </w:r>
      <w:r>
        <w:rPr>
          <w:rFonts w:ascii="Arial" w:hAnsi="Arial" w:cs="Arial"/>
          <w:b/>
        </w:rPr>
        <w:t>G</w:t>
      </w:r>
      <w:r w:rsidRPr="00354F34">
        <w:rPr>
          <w:rFonts w:ascii="Arial" w:hAnsi="Arial" w:cs="Arial"/>
          <w:b/>
        </w:rPr>
        <w:t>: Feedback, Consent and Confidentiality</w:t>
      </w:r>
    </w:p>
    <w:p w14:paraId="49B7D452" w14:textId="77777777" w:rsidR="005F4E12" w:rsidRDefault="005F4E12" w:rsidP="005F4E12">
      <w:pPr>
        <w:rPr>
          <w:rFonts w:ascii="Arial" w:hAnsi="Arial" w:cs="Arial"/>
          <w:b/>
        </w:rPr>
      </w:pPr>
    </w:p>
    <w:p w14:paraId="2C59309F" w14:textId="77777777" w:rsidR="005F4E12" w:rsidRDefault="005F4E12" w:rsidP="005F4E12">
      <w:pPr>
        <w:rPr>
          <w:rFonts w:ascii="Arial" w:hAnsi="Arial" w:cs="Arial"/>
        </w:rPr>
      </w:pPr>
      <w:r>
        <w:rPr>
          <w:rFonts w:ascii="Arial" w:hAnsi="Arial" w:cs="Arial"/>
        </w:rPr>
        <w:t>If you have identified in section D that there are no participants, then enter skip this section and continue to section H.</w:t>
      </w:r>
    </w:p>
    <w:p w14:paraId="74AB0DA3" w14:textId="77777777" w:rsidR="005F4E12" w:rsidRPr="00354F34" w:rsidRDefault="005F4E12" w:rsidP="005F4E12">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5F4E12" w:rsidRPr="004C3A0B" w14:paraId="13A3A7B9" w14:textId="77777777" w:rsidTr="00A555F0">
        <w:tc>
          <w:tcPr>
            <w:tcW w:w="596" w:type="dxa"/>
            <w:tcBorders>
              <w:top w:val="single" w:sz="4" w:space="0" w:color="auto"/>
              <w:bottom w:val="single" w:sz="4" w:space="0" w:color="auto"/>
            </w:tcBorders>
            <w:shd w:val="clear" w:color="auto" w:fill="F2F2F2" w:themeFill="background1" w:themeFillShade="F2"/>
          </w:tcPr>
          <w:p w14:paraId="61372A29" w14:textId="77777777" w:rsidR="005F4E12" w:rsidRPr="002132F9" w:rsidRDefault="005F4E12" w:rsidP="00A555F0">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1C596227" w14:textId="77777777" w:rsidR="005F4E12" w:rsidRPr="004C3A0B" w:rsidRDefault="005F4E12" w:rsidP="00A555F0">
            <w:pPr>
              <w:rPr>
                <w:rFonts w:ascii="Arial" w:hAnsi="Arial" w:cs="Arial"/>
              </w:rPr>
            </w:pPr>
            <w:r w:rsidRPr="004C3A0B">
              <w:rPr>
                <w:rFonts w:ascii="Arial" w:hAnsi="Arial" w:cs="Arial"/>
                <w:b/>
              </w:rPr>
              <w:t>Feedback</w:t>
            </w:r>
          </w:p>
          <w:p w14:paraId="2C17444A" w14:textId="77777777" w:rsidR="005F4E12" w:rsidRPr="004C3A0B" w:rsidRDefault="005F4E12" w:rsidP="00A555F0">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5F4E12" w:rsidRPr="004C3A0B" w14:paraId="54F5DF7E" w14:textId="77777777" w:rsidTr="00A555F0">
        <w:tc>
          <w:tcPr>
            <w:tcW w:w="596" w:type="dxa"/>
            <w:tcBorders>
              <w:top w:val="single" w:sz="4" w:space="0" w:color="auto"/>
              <w:bottom w:val="single" w:sz="4" w:space="0" w:color="auto"/>
            </w:tcBorders>
          </w:tcPr>
          <w:p w14:paraId="086619B6" w14:textId="77777777" w:rsidR="005F4E12" w:rsidRPr="00E32138" w:rsidRDefault="005F4E12" w:rsidP="00A555F0">
            <w:pPr>
              <w:rPr>
                <w:rFonts w:ascii="Arial" w:hAnsi="Arial" w:cs="Arial"/>
                <w:bCs/>
              </w:rPr>
            </w:pPr>
          </w:p>
        </w:tc>
        <w:tc>
          <w:tcPr>
            <w:tcW w:w="9923" w:type="dxa"/>
            <w:tcBorders>
              <w:top w:val="single" w:sz="4" w:space="0" w:color="auto"/>
              <w:bottom w:val="single" w:sz="4" w:space="0" w:color="auto"/>
            </w:tcBorders>
          </w:tcPr>
          <w:p w14:paraId="4FF502C1" w14:textId="77777777" w:rsidR="005F4E12" w:rsidRPr="004C3A0B" w:rsidRDefault="005F4E12" w:rsidP="00A555F0">
            <w:pPr>
              <w:rPr>
                <w:rFonts w:ascii="Arial" w:hAnsi="Arial" w:cs="Arial"/>
              </w:rPr>
            </w:pPr>
          </w:p>
          <w:p w14:paraId="05778354" w14:textId="77777777" w:rsidR="005F4E12" w:rsidRPr="004C3A0B" w:rsidRDefault="005F4E12" w:rsidP="00A555F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F4E12" w:rsidRPr="004C3A0B" w14:paraId="54C93C8E" w14:textId="77777777" w:rsidTr="00A555F0">
        <w:tc>
          <w:tcPr>
            <w:tcW w:w="596" w:type="dxa"/>
            <w:tcBorders>
              <w:top w:val="single" w:sz="4" w:space="0" w:color="auto"/>
              <w:bottom w:val="single" w:sz="4" w:space="0" w:color="auto"/>
            </w:tcBorders>
            <w:shd w:val="clear" w:color="auto" w:fill="F2F2F2" w:themeFill="background1" w:themeFillShade="F2"/>
          </w:tcPr>
          <w:p w14:paraId="778BC487" w14:textId="77777777" w:rsidR="005F4E12" w:rsidRPr="002132F9" w:rsidRDefault="005F4E12" w:rsidP="00A555F0">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47FF747D" w14:textId="77777777" w:rsidR="005F4E12" w:rsidRPr="004C3A0B" w:rsidRDefault="005F4E12" w:rsidP="00A555F0">
            <w:pPr>
              <w:rPr>
                <w:rFonts w:ascii="Arial" w:hAnsi="Arial" w:cs="Arial"/>
              </w:rPr>
            </w:pPr>
            <w:r w:rsidRPr="004C3A0B">
              <w:rPr>
                <w:rFonts w:ascii="Arial" w:hAnsi="Arial" w:cs="Arial"/>
                <w:b/>
              </w:rPr>
              <w:t>Informed consent</w:t>
            </w:r>
          </w:p>
          <w:p w14:paraId="2E24CC95" w14:textId="77777777" w:rsidR="005F4E12" w:rsidRPr="004C3A0B" w:rsidRDefault="005F4E12" w:rsidP="00A555F0">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5F4E12" w:rsidRPr="004C3A0B" w14:paraId="2DF5E331" w14:textId="77777777" w:rsidTr="00A555F0">
        <w:tc>
          <w:tcPr>
            <w:tcW w:w="596" w:type="dxa"/>
            <w:tcBorders>
              <w:top w:val="single" w:sz="4" w:space="0" w:color="auto"/>
              <w:bottom w:val="single" w:sz="4" w:space="0" w:color="auto"/>
            </w:tcBorders>
          </w:tcPr>
          <w:p w14:paraId="4724F7EA" w14:textId="77777777" w:rsidR="005F4E12" w:rsidRPr="00E32138" w:rsidRDefault="005F4E12" w:rsidP="00A555F0">
            <w:pPr>
              <w:rPr>
                <w:rFonts w:ascii="Arial" w:hAnsi="Arial" w:cs="Arial"/>
                <w:bCs/>
              </w:rPr>
            </w:pPr>
          </w:p>
        </w:tc>
        <w:tc>
          <w:tcPr>
            <w:tcW w:w="9923" w:type="dxa"/>
            <w:tcBorders>
              <w:top w:val="single" w:sz="4" w:space="0" w:color="auto"/>
              <w:bottom w:val="single" w:sz="4" w:space="0" w:color="auto"/>
            </w:tcBorders>
          </w:tcPr>
          <w:p w14:paraId="7047AE29" w14:textId="77777777" w:rsidR="005F4E12" w:rsidRPr="004C3A0B" w:rsidRDefault="005F4E12" w:rsidP="00A555F0">
            <w:pPr>
              <w:rPr>
                <w:rFonts w:ascii="Arial" w:hAnsi="Arial" w:cs="Arial"/>
              </w:rPr>
            </w:pPr>
          </w:p>
          <w:p w14:paraId="08F15927" w14:textId="77777777" w:rsidR="005F4E12" w:rsidRPr="004C3A0B" w:rsidRDefault="005F4E12" w:rsidP="00A555F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F4E12" w:rsidRPr="004C3A0B" w14:paraId="53EFB31A" w14:textId="77777777" w:rsidTr="00A555F0">
        <w:tc>
          <w:tcPr>
            <w:tcW w:w="596" w:type="dxa"/>
            <w:tcBorders>
              <w:top w:val="single" w:sz="4" w:space="0" w:color="auto"/>
              <w:bottom w:val="single" w:sz="4" w:space="0" w:color="auto"/>
            </w:tcBorders>
            <w:shd w:val="clear" w:color="auto" w:fill="F2F2F2" w:themeFill="background1" w:themeFillShade="F2"/>
          </w:tcPr>
          <w:p w14:paraId="4D19A737" w14:textId="77777777" w:rsidR="005F4E12" w:rsidRPr="002132F9" w:rsidRDefault="005F4E12" w:rsidP="00A555F0">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6C30CFB4" w14:textId="77777777" w:rsidR="005F4E12" w:rsidRPr="004C3A0B" w:rsidRDefault="005F4E12" w:rsidP="00A555F0">
            <w:pPr>
              <w:rPr>
                <w:rFonts w:ascii="Arial" w:hAnsi="Arial" w:cs="Arial"/>
                <w:b/>
              </w:rPr>
            </w:pPr>
            <w:r w:rsidRPr="004C3A0B">
              <w:rPr>
                <w:rFonts w:ascii="Arial" w:hAnsi="Arial" w:cs="Arial"/>
                <w:b/>
              </w:rPr>
              <w:t>Confidentiality / Anonymity</w:t>
            </w:r>
          </w:p>
          <w:p w14:paraId="279D2DB8" w14:textId="77777777" w:rsidR="005F4E12" w:rsidRPr="004C3A0B" w:rsidRDefault="005F4E12" w:rsidP="00A555F0">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5F4E12" w:rsidRPr="004C3A0B" w14:paraId="3D9C1DBC" w14:textId="77777777" w:rsidTr="00A555F0">
        <w:tc>
          <w:tcPr>
            <w:tcW w:w="596" w:type="dxa"/>
            <w:tcBorders>
              <w:top w:val="single" w:sz="4" w:space="0" w:color="auto"/>
              <w:bottom w:val="single" w:sz="4" w:space="0" w:color="auto"/>
            </w:tcBorders>
          </w:tcPr>
          <w:p w14:paraId="2DB6BC52" w14:textId="77777777" w:rsidR="005F4E12" w:rsidRPr="00E32138" w:rsidRDefault="005F4E12" w:rsidP="00A555F0">
            <w:pPr>
              <w:rPr>
                <w:rFonts w:ascii="Arial" w:hAnsi="Arial" w:cs="Arial"/>
                <w:bCs/>
              </w:rPr>
            </w:pPr>
          </w:p>
        </w:tc>
        <w:tc>
          <w:tcPr>
            <w:tcW w:w="9923" w:type="dxa"/>
            <w:tcBorders>
              <w:top w:val="single" w:sz="4" w:space="0" w:color="auto"/>
              <w:bottom w:val="single" w:sz="4" w:space="0" w:color="auto"/>
            </w:tcBorders>
          </w:tcPr>
          <w:p w14:paraId="56636164" w14:textId="77777777" w:rsidR="005F4E12" w:rsidRPr="004C3A0B" w:rsidRDefault="005F4E12" w:rsidP="00A555F0">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92D780F" w14:textId="77777777" w:rsidR="005F4E12" w:rsidRPr="004C3A0B" w:rsidRDefault="005F4E12" w:rsidP="005F4E12">
      <w:pPr>
        <w:rPr>
          <w:rFonts w:ascii="Arial" w:hAnsi="Arial" w:cs="Arial"/>
        </w:rPr>
      </w:pPr>
    </w:p>
    <w:p w14:paraId="5063AB38" w14:textId="77777777" w:rsidR="005F4E12" w:rsidRDefault="005F4E12" w:rsidP="005F4E12">
      <w:pPr>
        <w:rPr>
          <w:rFonts w:ascii="Arial" w:hAnsi="Arial" w:cs="Arial"/>
          <w:b/>
        </w:rPr>
      </w:pPr>
      <w:r>
        <w:rPr>
          <w:rFonts w:ascii="Arial" w:hAnsi="Arial" w:cs="Arial"/>
          <w:b/>
        </w:rPr>
        <w:t>SECTION H</w:t>
      </w:r>
      <w:r w:rsidRPr="00354F34">
        <w:rPr>
          <w:rFonts w:ascii="Arial" w:hAnsi="Arial" w:cs="Arial"/>
          <w:b/>
        </w:rPr>
        <w:t>: Data Protection and Storage</w:t>
      </w:r>
    </w:p>
    <w:p w14:paraId="1AAC6008" w14:textId="77777777" w:rsidR="005F4E12" w:rsidRPr="00354F34" w:rsidRDefault="005F4E12" w:rsidP="005F4E12">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F4E12" w14:paraId="277CABF7" w14:textId="77777777" w:rsidTr="00A555F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ECE0D4" w14:textId="77777777" w:rsidR="005F4E12" w:rsidRDefault="005F4E12" w:rsidP="00A555F0">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77A219F" w14:textId="77777777" w:rsidR="005F4E12" w:rsidRDefault="005F4E12" w:rsidP="00A555F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68AD3A" w14:textId="77777777" w:rsidR="005F4E12" w:rsidRDefault="005F4E12" w:rsidP="00A555F0">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CA4317" w14:textId="77777777" w:rsidR="005F4E12" w:rsidRDefault="005F4E12" w:rsidP="00A555F0">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5F4E12" w14:paraId="04E00A01" w14:textId="77777777" w:rsidTr="00A555F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4DDD7B4" w14:textId="77777777" w:rsidR="005F4E12" w:rsidRPr="00CF6CA5" w:rsidRDefault="005F4E12" w:rsidP="00A555F0">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DA8FE56" w14:textId="77777777" w:rsidR="005F4E12" w:rsidRDefault="005F4E12" w:rsidP="00A555F0">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w:t>
            </w:r>
            <w:r w:rsidRPr="00354F34">
              <w:rPr>
                <w:rFonts w:ascii="Arial" w:hAnsi="Arial" w:cs="Arial"/>
                <w:i/>
                <w:iCs/>
                <w:color w:val="333333"/>
                <w:sz w:val="22"/>
                <w:shd w:val="clear" w:color="auto" w:fill="F2F2F2" w:themeFill="background1" w:themeFillShade="F2"/>
              </w:rPr>
              <w:lastRenderedPageBreak/>
              <w:t>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7322373" w14:textId="77777777" w:rsidR="005F4E12" w:rsidRPr="00B17110" w:rsidRDefault="005F4E12" w:rsidP="00A555F0">
            <w:pPr>
              <w:pStyle w:val="NormalWeb"/>
              <w:autoSpaceDE w:val="0"/>
              <w:autoSpaceDN w:val="0"/>
              <w:adjustRightInd w:val="0"/>
              <w:jc w:val="center"/>
              <w:rPr>
                <w:rFonts w:ascii="MS Gothic" w:eastAsia="MS Gothic" w:hAnsi="MS Gothic" w:cs="Arial"/>
                <w:b/>
                <w:bCs/>
                <w:sz w:val="22"/>
                <w:szCs w:val="22"/>
              </w:rPr>
            </w:pPr>
            <w:r w:rsidRPr="00B17110">
              <w:rPr>
                <w:rFonts w:ascii="MS Gothic" w:eastAsia="MS Gothic" w:hAnsi="MS Gothic" w:cs="Arial" w:hint="eastAsia"/>
                <w:b/>
                <w:bCs/>
                <w:sz w:val="22"/>
                <w:szCs w:val="22"/>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86D682" w14:textId="77777777" w:rsidR="005F4E12" w:rsidRDefault="005F4E12" w:rsidP="00A555F0">
            <w:pPr>
              <w:pStyle w:val="NormalWeb"/>
              <w:autoSpaceDE w:val="0"/>
              <w:autoSpaceDN w:val="0"/>
              <w:adjustRightInd w:val="0"/>
              <w:jc w:val="center"/>
              <w:rPr>
                <w:rFonts w:ascii="MS Gothic" w:eastAsia="MS Gothic" w:hAnsi="MS Gothic" w:cs="Arial"/>
                <w:b/>
                <w:bCs/>
                <w:sz w:val="22"/>
                <w:szCs w:val="22"/>
              </w:rPr>
            </w:pPr>
            <w:r w:rsidRPr="00B17110">
              <w:rPr>
                <w:rFonts w:ascii="MS Gothic" w:eastAsia="MS Gothic" w:hAnsi="MS Gothic" w:cs="Arial" w:hint="eastAsia"/>
                <w:b/>
                <w:bCs/>
                <w:sz w:val="22"/>
                <w:szCs w:val="22"/>
                <w:highlight w:val="yellow"/>
              </w:rPr>
              <w:t>☐</w:t>
            </w:r>
          </w:p>
        </w:tc>
      </w:tr>
      <w:tr w:rsidR="005F4E12" w14:paraId="7163FA65" w14:textId="77777777" w:rsidTr="00A555F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EC7480" w14:textId="77777777" w:rsidR="005F4E12" w:rsidRDefault="005F4E12" w:rsidP="00A555F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3E0574" w14:textId="77777777" w:rsidR="005F4E12" w:rsidRDefault="005F4E12" w:rsidP="00A555F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5F4E12" w14:paraId="09D8150A" w14:textId="77777777" w:rsidTr="00A555F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389EAEE" w14:textId="77777777" w:rsidR="005F4E12" w:rsidRDefault="005F4E12" w:rsidP="00A555F0">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D067836" w14:textId="77777777" w:rsidR="005F4E12" w:rsidRPr="004C3A0B" w:rsidRDefault="005F4E12" w:rsidP="00A555F0">
            <w:pPr>
              <w:rPr>
                <w:rFonts w:ascii="Arial" w:hAnsi="Arial" w:cs="Arial"/>
              </w:rPr>
            </w:pPr>
          </w:p>
          <w:p w14:paraId="7C3EA1F4" w14:textId="77777777" w:rsidR="005F4E12" w:rsidRPr="00354F34" w:rsidRDefault="005F4E12" w:rsidP="00A555F0">
            <w:pPr>
              <w:autoSpaceDE w:val="0"/>
              <w:autoSpaceDN w:val="0"/>
              <w:adjustRightInd w:val="0"/>
              <w:rPr>
                <w:i/>
              </w:rPr>
            </w:pPr>
            <w:r w:rsidRPr="003257BD">
              <w:rPr>
                <w:rFonts w:ascii="Arial" w:hAnsi="Arial" w:cs="Arial"/>
                <w:i/>
                <w:color w:val="808080"/>
                <w:sz w:val="18"/>
                <w:szCs w:val="18"/>
              </w:rPr>
              <w:t>(this box should expand as you type)</w:t>
            </w:r>
          </w:p>
        </w:tc>
      </w:tr>
      <w:tr w:rsidR="005F4E12" w14:paraId="1258343C" w14:textId="77777777" w:rsidTr="00A555F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1ABDCCD" w14:textId="77777777" w:rsidR="005F4E12" w:rsidRDefault="005F4E12" w:rsidP="00A555F0">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94278D7" w14:textId="77777777" w:rsidR="005F4E12" w:rsidRPr="00947984" w:rsidRDefault="005F4E12" w:rsidP="00A555F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2BE2E" w14:textId="77777777" w:rsidR="005F4E12" w:rsidRDefault="005F4E12" w:rsidP="00A555F0">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E697BD" w14:textId="77777777" w:rsidR="005F4E12" w:rsidRDefault="005F4E12" w:rsidP="00A555F0">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5F4E12" w14:paraId="5F917227" w14:textId="77777777" w:rsidTr="00A555F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D89DF6" w14:textId="77777777" w:rsidR="005F4E12" w:rsidRPr="00CF6CA5" w:rsidRDefault="005F4E12" w:rsidP="00A555F0">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30E119" w14:textId="77777777" w:rsidR="005F4E12" w:rsidRDefault="005F4E12" w:rsidP="00A555F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57386A27" w14:textId="77777777" w:rsidR="005F4E12" w:rsidRDefault="005F4E12" w:rsidP="00A555F0">
            <w:pPr>
              <w:pStyle w:val="NormalWeb"/>
              <w:spacing w:before="0" w:beforeAutospacing="0" w:after="0" w:afterAutospacing="0"/>
              <w:ind w:left="1134" w:right="567"/>
            </w:pPr>
            <w:r>
              <w:rPr>
                <w:rFonts w:ascii="Arial" w:hAnsi="Arial" w:cs="Arial"/>
                <w:i/>
                <w:iCs/>
                <w:color w:val="000000"/>
                <w:sz w:val="20"/>
                <w:szCs w:val="23"/>
              </w:rPr>
              <w:t>(a) racial or ethnic origin,</w:t>
            </w:r>
          </w:p>
          <w:p w14:paraId="2A4D2D91" w14:textId="77777777" w:rsidR="005F4E12" w:rsidRDefault="005F4E12" w:rsidP="00A555F0">
            <w:pPr>
              <w:pStyle w:val="NormalWeb"/>
              <w:spacing w:before="0" w:beforeAutospacing="0" w:after="0" w:afterAutospacing="0"/>
              <w:ind w:left="1134" w:right="567"/>
            </w:pPr>
            <w:r>
              <w:rPr>
                <w:rFonts w:ascii="Arial" w:hAnsi="Arial" w:cs="Arial"/>
                <w:i/>
                <w:iCs/>
                <w:color w:val="000000"/>
                <w:sz w:val="20"/>
                <w:szCs w:val="23"/>
              </w:rPr>
              <w:t>(b) political opinions,</w:t>
            </w:r>
          </w:p>
          <w:p w14:paraId="6DD9CD85" w14:textId="77777777" w:rsidR="005F4E12" w:rsidRDefault="005F4E12" w:rsidP="00A555F0">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7AE49D9" w14:textId="77777777" w:rsidR="005F4E12" w:rsidRDefault="005F4E12" w:rsidP="00A555F0">
            <w:pPr>
              <w:pStyle w:val="NormalWeb"/>
              <w:spacing w:before="0" w:beforeAutospacing="0" w:after="0" w:afterAutospacing="0"/>
              <w:ind w:left="1134" w:right="567"/>
            </w:pPr>
            <w:r>
              <w:rPr>
                <w:rFonts w:ascii="Arial" w:hAnsi="Arial" w:cs="Arial"/>
                <w:i/>
                <w:iCs/>
                <w:color w:val="000000"/>
                <w:sz w:val="20"/>
                <w:szCs w:val="23"/>
              </w:rPr>
              <w:t xml:space="preserve">(d) membership of a trade union (within the meaning of the Trade Union and </w:t>
            </w:r>
            <w:proofErr w:type="spellStart"/>
            <w:r>
              <w:rPr>
                <w:rFonts w:ascii="Arial" w:hAnsi="Arial" w:cs="Arial"/>
                <w:i/>
                <w:iCs/>
                <w:color w:val="000000"/>
                <w:sz w:val="20"/>
                <w:szCs w:val="23"/>
              </w:rPr>
              <w:t>Labour</w:t>
            </w:r>
            <w:proofErr w:type="spellEnd"/>
            <w:r>
              <w:rPr>
                <w:rFonts w:ascii="Arial" w:hAnsi="Arial" w:cs="Arial"/>
                <w:i/>
                <w:iCs/>
                <w:color w:val="000000"/>
                <w:sz w:val="20"/>
                <w:szCs w:val="23"/>
              </w:rPr>
              <w:t xml:space="preserve"> Relations (Consolidation) Act 1992),</w:t>
            </w:r>
          </w:p>
          <w:p w14:paraId="5453DE46" w14:textId="77777777" w:rsidR="005F4E12" w:rsidRDefault="005F4E12" w:rsidP="00A555F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0831878" w14:textId="77777777" w:rsidR="005F4E12" w:rsidRDefault="005F4E12" w:rsidP="00A555F0">
            <w:pPr>
              <w:pStyle w:val="NormalWeb"/>
              <w:spacing w:before="0" w:beforeAutospacing="0" w:after="0" w:afterAutospacing="0"/>
              <w:ind w:left="1134" w:right="567"/>
            </w:pPr>
            <w:r>
              <w:rPr>
                <w:rFonts w:ascii="Arial" w:hAnsi="Arial" w:cs="Arial"/>
                <w:i/>
                <w:iCs/>
                <w:color w:val="000000"/>
                <w:sz w:val="20"/>
                <w:szCs w:val="23"/>
              </w:rPr>
              <w:t>(f) sexual life,</w:t>
            </w:r>
          </w:p>
          <w:p w14:paraId="304E82CB" w14:textId="77777777" w:rsidR="005F4E12" w:rsidRDefault="005F4E12" w:rsidP="00A555F0">
            <w:pPr>
              <w:pStyle w:val="NormalWeb"/>
              <w:spacing w:before="0" w:beforeAutospacing="0" w:after="0" w:afterAutospacing="0"/>
              <w:ind w:left="1134" w:right="567"/>
            </w:pPr>
            <w:r>
              <w:rPr>
                <w:rFonts w:ascii="Arial" w:hAnsi="Arial" w:cs="Arial"/>
                <w:i/>
                <w:iCs/>
                <w:color w:val="000000"/>
                <w:sz w:val="20"/>
                <w:szCs w:val="23"/>
              </w:rPr>
              <w:t>(g) genetics,</w:t>
            </w:r>
          </w:p>
          <w:p w14:paraId="4EFC7F5C" w14:textId="77777777" w:rsidR="005F4E12" w:rsidRPr="00354F34" w:rsidRDefault="005F4E12" w:rsidP="00A555F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7AECF8D" w14:textId="77777777" w:rsidR="005F4E12" w:rsidRDefault="005F4E12" w:rsidP="00A555F0">
            <w:pPr>
              <w:pStyle w:val="NormalWeb"/>
              <w:autoSpaceDE w:val="0"/>
              <w:autoSpaceDN w:val="0"/>
              <w:adjustRightInd w:val="0"/>
              <w:jc w:val="center"/>
              <w:rPr>
                <w:rFonts w:ascii="MS Gothic" w:eastAsia="MS Gothic" w:hAnsi="MS Gothic" w:cs="Arial"/>
                <w:b/>
                <w:bCs/>
                <w:sz w:val="22"/>
                <w:szCs w:val="22"/>
              </w:rPr>
            </w:pPr>
          </w:p>
          <w:p w14:paraId="185D39FA" w14:textId="77777777" w:rsidR="005F4E12" w:rsidRDefault="005F4E12" w:rsidP="00A555F0">
            <w:pPr>
              <w:pStyle w:val="NormalWeb"/>
              <w:autoSpaceDE w:val="0"/>
              <w:autoSpaceDN w:val="0"/>
              <w:adjustRightInd w:val="0"/>
              <w:jc w:val="center"/>
            </w:pPr>
            <w:r>
              <w:rPr>
                <w:rFonts w:ascii="MS Gothic" w:eastAsia="MS Gothic" w:hAnsi="MS Gothic" w:cs="Arial" w:hint="eastAsia"/>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B85F8EC" w14:textId="77777777" w:rsidR="005F4E12" w:rsidRDefault="005F4E12" w:rsidP="00A555F0">
            <w:pPr>
              <w:pStyle w:val="NormalWeb"/>
              <w:autoSpaceDE w:val="0"/>
              <w:autoSpaceDN w:val="0"/>
              <w:adjustRightInd w:val="0"/>
              <w:jc w:val="center"/>
              <w:rPr>
                <w:rFonts w:ascii="MS Gothic" w:eastAsia="MS Gothic" w:hAnsi="MS Gothic" w:cs="Arial"/>
                <w:b/>
                <w:bCs/>
                <w:sz w:val="22"/>
                <w:szCs w:val="22"/>
              </w:rPr>
            </w:pPr>
          </w:p>
          <w:p w14:paraId="6DAB4C0D" w14:textId="77777777" w:rsidR="005F4E12" w:rsidRDefault="005F4E12" w:rsidP="00A555F0">
            <w:pPr>
              <w:pStyle w:val="NormalWeb"/>
              <w:autoSpaceDE w:val="0"/>
              <w:autoSpaceDN w:val="0"/>
              <w:adjustRightInd w:val="0"/>
              <w:jc w:val="center"/>
            </w:pPr>
            <w:r w:rsidRPr="00935A0E">
              <w:rPr>
                <w:rFonts w:ascii="MS Gothic" w:eastAsia="MS Gothic" w:hAnsi="MS Gothic" w:cs="Arial" w:hint="eastAsia"/>
                <w:b/>
                <w:bCs/>
                <w:sz w:val="22"/>
                <w:szCs w:val="22"/>
                <w:highlight w:val="yellow"/>
              </w:rPr>
              <w:t>☐</w:t>
            </w:r>
          </w:p>
        </w:tc>
      </w:tr>
      <w:tr w:rsidR="005F4E12" w14:paraId="50D34A42" w14:textId="77777777" w:rsidTr="00A555F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D51D81" w14:textId="77777777" w:rsidR="005F4E12" w:rsidRDefault="005F4E12" w:rsidP="00A555F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D9C7D0" w14:textId="77777777" w:rsidR="005F4E12" w:rsidRDefault="005F4E12" w:rsidP="00A555F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5F4E12" w14:paraId="5F2E8B61" w14:textId="77777777" w:rsidTr="00A555F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4D49BB2" w14:textId="77777777" w:rsidR="005F4E12" w:rsidRDefault="005F4E12" w:rsidP="00A555F0">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B65CDB5" w14:textId="77777777" w:rsidR="005F4E12" w:rsidRPr="004033FC" w:rsidRDefault="005F4E12" w:rsidP="00A555F0">
            <w:pPr>
              <w:rPr>
                <w:rFonts w:ascii="Arial" w:hAnsi="Arial" w:cs="Arial"/>
                <w:color w:val="00B050"/>
                <w:sz w:val="24"/>
              </w:rPr>
            </w:pPr>
            <w:r w:rsidRPr="004033FC">
              <w:rPr>
                <w:rFonts w:ascii="Arial" w:hAnsi="Arial" w:cs="Arial"/>
                <w:color w:val="00B050"/>
              </w:rPr>
              <w:t>What counts as ‘sensitive’ will differ between cultures. Any information on behaviour that is not in accordance with cultural norms would count as sensitive personal data.</w:t>
            </w:r>
          </w:p>
          <w:p w14:paraId="0B9194FD" w14:textId="77777777" w:rsidR="005F4E12" w:rsidRDefault="005F4E12" w:rsidP="00A555F0">
            <w:pPr>
              <w:rPr>
                <w:rFonts w:ascii="Arial" w:hAnsi="Arial" w:cs="Arial"/>
              </w:rPr>
            </w:pPr>
          </w:p>
          <w:p w14:paraId="6B0D67AD" w14:textId="77777777" w:rsidR="005F4E12" w:rsidRDefault="005F4E12" w:rsidP="00A555F0">
            <w:pPr>
              <w:rPr>
                <w:rFonts w:ascii="Arial" w:hAnsi="Arial" w:cs="Arial"/>
              </w:rPr>
            </w:pPr>
          </w:p>
          <w:p w14:paraId="7C4F59C5" w14:textId="77777777" w:rsidR="005F4E12" w:rsidRPr="004C3A0B" w:rsidRDefault="005F4E12" w:rsidP="00A555F0">
            <w:pPr>
              <w:rPr>
                <w:rFonts w:ascii="Arial" w:hAnsi="Arial" w:cs="Arial"/>
              </w:rPr>
            </w:pPr>
          </w:p>
          <w:p w14:paraId="0B33D993" w14:textId="77777777" w:rsidR="005F4E12" w:rsidRDefault="005F4E12" w:rsidP="00A555F0">
            <w:pPr>
              <w:autoSpaceDE w:val="0"/>
              <w:autoSpaceDN w:val="0"/>
              <w:adjustRightInd w:val="0"/>
            </w:pPr>
            <w:r w:rsidRPr="003257BD">
              <w:rPr>
                <w:rFonts w:ascii="Arial" w:hAnsi="Arial" w:cs="Arial"/>
                <w:i/>
                <w:color w:val="808080"/>
                <w:sz w:val="18"/>
                <w:szCs w:val="18"/>
              </w:rPr>
              <w:t>(this box should expand as you type)</w:t>
            </w:r>
          </w:p>
        </w:tc>
      </w:tr>
    </w:tbl>
    <w:p w14:paraId="17A6042C" w14:textId="77777777" w:rsidR="005F4E12" w:rsidRDefault="005F4E12" w:rsidP="005F4E12"/>
    <w:tbl>
      <w:tblPr>
        <w:tblStyle w:val="TableGrid"/>
        <w:tblW w:w="10485" w:type="dxa"/>
        <w:tblLook w:val="04A0" w:firstRow="1" w:lastRow="0" w:firstColumn="1" w:lastColumn="0" w:noHBand="0" w:noVBand="1"/>
      </w:tblPr>
      <w:tblGrid>
        <w:gridCol w:w="562"/>
        <w:gridCol w:w="7905"/>
        <w:gridCol w:w="992"/>
        <w:gridCol w:w="1026"/>
      </w:tblGrid>
      <w:tr w:rsidR="005F4E12" w:rsidRPr="004C3A0B" w14:paraId="7F50BBD1" w14:textId="77777777" w:rsidTr="00A555F0">
        <w:trPr>
          <w:trHeight w:val="439"/>
        </w:trPr>
        <w:tc>
          <w:tcPr>
            <w:tcW w:w="562" w:type="dxa"/>
            <w:shd w:val="clear" w:color="auto" w:fill="F2F2F2" w:themeFill="background1" w:themeFillShade="F2"/>
            <w:vAlign w:val="center"/>
          </w:tcPr>
          <w:p w14:paraId="56FAD018" w14:textId="77777777" w:rsidR="005F4E12" w:rsidRPr="002132F9" w:rsidRDefault="005F4E12" w:rsidP="00A555F0">
            <w:pPr>
              <w:autoSpaceDE w:val="0"/>
              <w:autoSpaceDN w:val="0"/>
              <w:adjustRightInd w:val="0"/>
              <w:jc w:val="center"/>
              <w:rPr>
                <w:rFonts w:ascii="Arial" w:hAnsi="Arial" w:cs="Arial"/>
              </w:rPr>
            </w:pPr>
          </w:p>
        </w:tc>
        <w:tc>
          <w:tcPr>
            <w:tcW w:w="7905" w:type="dxa"/>
            <w:shd w:val="clear" w:color="auto" w:fill="F2F2F2" w:themeFill="background1" w:themeFillShade="F2"/>
          </w:tcPr>
          <w:p w14:paraId="6F0E06D3" w14:textId="77777777" w:rsidR="005F4E12" w:rsidRPr="009563B2" w:rsidRDefault="005F4E12" w:rsidP="00A555F0">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92" w:type="dxa"/>
            <w:shd w:val="clear" w:color="auto" w:fill="F2F2F2" w:themeFill="background1" w:themeFillShade="F2"/>
          </w:tcPr>
          <w:p w14:paraId="0828D241" w14:textId="77777777" w:rsidR="005F4E12" w:rsidRPr="004C3A0B" w:rsidRDefault="005F4E12" w:rsidP="00A555F0">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2116B5FF" w14:textId="77777777" w:rsidR="005F4E12" w:rsidRPr="004C3A0B" w:rsidRDefault="005F4E12" w:rsidP="00A555F0">
            <w:pPr>
              <w:autoSpaceDE w:val="0"/>
              <w:autoSpaceDN w:val="0"/>
              <w:adjustRightInd w:val="0"/>
              <w:jc w:val="center"/>
              <w:rPr>
                <w:rFonts w:ascii="Arial" w:hAnsi="Arial" w:cs="Arial"/>
                <w:b/>
                <w:bCs/>
              </w:rPr>
            </w:pPr>
            <w:r w:rsidRPr="004C3A0B">
              <w:rPr>
                <w:rFonts w:ascii="Arial" w:hAnsi="Arial" w:cs="Arial"/>
                <w:b/>
                <w:bCs/>
              </w:rPr>
              <w:t>NO</w:t>
            </w:r>
          </w:p>
        </w:tc>
      </w:tr>
      <w:tr w:rsidR="005F4E12" w:rsidRPr="004C3A0B" w14:paraId="37CA4331" w14:textId="77777777" w:rsidTr="00A555F0">
        <w:trPr>
          <w:trHeight w:val="439"/>
        </w:trPr>
        <w:tc>
          <w:tcPr>
            <w:tcW w:w="562" w:type="dxa"/>
            <w:shd w:val="clear" w:color="auto" w:fill="F2F2F2" w:themeFill="background1" w:themeFillShade="F2"/>
            <w:vAlign w:val="center"/>
          </w:tcPr>
          <w:p w14:paraId="57424C5E" w14:textId="77777777" w:rsidR="005F4E12" w:rsidRPr="00903B3C" w:rsidRDefault="005F4E12" w:rsidP="00A555F0">
            <w:pPr>
              <w:autoSpaceDE w:val="0"/>
              <w:autoSpaceDN w:val="0"/>
              <w:adjustRightInd w:val="0"/>
              <w:jc w:val="center"/>
              <w:rPr>
                <w:rFonts w:ascii="Arial" w:hAnsi="Arial" w:cs="Arial"/>
              </w:rPr>
            </w:pPr>
            <w:r>
              <w:rPr>
                <w:rFonts w:ascii="Arial" w:hAnsi="Arial" w:cs="Arial"/>
              </w:rPr>
              <w:t>5</w:t>
            </w:r>
          </w:p>
        </w:tc>
        <w:tc>
          <w:tcPr>
            <w:tcW w:w="7905" w:type="dxa"/>
            <w:shd w:val="clear" w:color="auto" w:fill="F2F2F2" w:themeFill="background1" w:themeFillShade="F2"/>
            <w:vAlign w:val="center"/>
          </w:tcPr>
          <w:p w14:paraId="25788D57"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1CD2F842"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648AB18C"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39756EE6" w14:textId="77777777" w:rsidTr="00A555F0">
        <w:trPr>
          <w:trHeight w:val="403"/>
        </w:trPr>
        <w:tc>
          <w:tcPr>
            <w:tcW w:w="562" w:type="dxa"/>
            <w:shd w:val="clear" w:color="auto" w:fill="F2F2F2" w:themeFill="background1" w:themeFillShade="F2"/>
            <w:vAlign w:val="center"/>
          </w:tcPr>
          <w:p w14:paraId="658087E3" w14:textId="77777777" w:rsidR="005F4E12" w:rsidRPr="00903B3C" w:rsidRDefault="005F4E12" w:rsidP="00A555F0">
            <w:pPr>
              <w:autoSpaceDE w:val="0"/>
              <w:autoSpaceDN w:val="0"/>
              <w:adjustRightInd w:val="0"/>
              <w:jc w:val="center"/>
              <w:rPr>
                <w:rFonts w:ascii="Arial" w:hAnsi="Arial" w:cs="Arial"/>
              </w:rPr>
            </w:pPr>
            <w:r>
              <w:rPr>
                <w:rFonts w:ascii="Arial" w:hAnsi="Arial" w:cs="Arial"/>
              </w:rPr>
              <w:t>6</w:t>
            </w:r>
          </w:p>
        </w:tc>
        <w:tc>
          <w:tcPr>
            <w:tcW w:w="7905" w:type="dxa"/>
            <w:shd w:val="clear" w:color="auto" w:fill="F2F2F2" w:themeFill="background1" w:themeFillShade="F2"/>
            <w:vAlign w:val="center"/>
          </w:tcPr>
          <w:p w14:paraId="0EEA0E8C"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1"/>
                <w14:checkedState w14:val="2612" w14:font="MS Gothic"/>
                <w14:uncheckedState w14:val="2610" w14:font="MS Gothic"/>
              </w14:checkbox>
            </w:sdtPr>
            <w:sdtContent>
              <w:p w14:paraId="443CC6BC"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Content>
              <w:p w14:paraId="6AA0E4C6"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06787014" w14:textId="77777777" w:rsidTr="00A555F0">
        <w:trPr>
          <w:trHeight w:val="439"/>
        </w:trPr>
        <w:tc>
          <w:tcPr>
            <w:tcW w:w="562" w:type="dxa"/>
            <w:shd w:val="clear" w:color="auto" w:fill="F2F2F2" w:themeFill="background1" w:themeFillShade="F2"/>
            <w:vAlign w:val="center"/>
          </w:tcPr>
          <w:p w14:paraId="692C47C4" w14:textId="77777777" w:rsidR="005F4E12" w:rsidRPr="00903B3C" w:rsidRDefault="005F4E12" w:rsidP="00A555F0">
            <w:pPr>
              <w:autoSpaceDE w:val="0"/>
              <w:autoSpaceDN w:val="0"/>
              <w:adjustRightInd w:val="0"/>
              <w:jc w:val="center"/>
              <w:rPr>
                <w:rFonts w:ascii="Arial" w:hAnsi="Arial" w:cs="Arial"/>
              </w:rPr>
            </w:pPr>
            <w:r>
              <w:rPr>
                <w:rFonts w:ascii="Arial" w:hAnsi="Arial" w:cs="Arial"/>
              </w:rPr>
              <w:t>7</w:t>
            </w:r>
          </w:p>
        </w:tc>
        <w:tc>
          <w:tcPr>
            <w:tcW w:w="7905" w:type="dxa"/>
            <w:shd w:val="clear" w:color="auto" w:fill="F2F2F2" w:themeFill="background1" w:themeFillShade="F2"/>
            <w:vAlign w:val="center"/>
          </w:tcPr>
          <w:p w14:paraId="62CA1EB7"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7F093DA0"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208E1997"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68E96A59" w14:textId="77777777" w:rsidTr="00A555F0">
        <w:trPr>
          <w:trHeight w:val="403"/>
        </w:trPr>
        <w:tc>
          <w:tcPr>
            <w:tcW w:w="562" w:type="dxa"/>
            <w:shd w:val="clear" w:color="auto" w:fill="F2F2F2" w:themeFill="background1" w:themeFillShade="F2"/>
            <w:vAlign w:val="center"/>
          </w:tcPr>
          <w:p w14:paraId="557067E9" w14:textId="77777777" w:rsidR="005F4E12" w:rsidRPr="00903B3C" w:rsidRDefault="005F4E12" w:rsidP="00A555F0">
            <w:pPr>
              <w:autoSpaceDE w:val="0"/>
              <w:autoSpaceDN w:val="0"/>
              <w:adjustRightInd w:val="0"/>
              <w:jc w:val="center"/>
              <w:rPr>
                <w:rFonts w:ascii="Arial" w:hAnsi="Arial" w:cs="Arial"/>
              </w:rPr>
            </w:pPr>
            <w:r>
              <w:rPr>
                <w:rFonts w:ascii="Arial" w:hAnsi="Arial" w:cs="Arial"/>
              </w:rPr>
              <w:t>8</w:t>
            </w:r>
          </w:p>
        </w:tc>
        <w:tc>
          <w:tcPr>
            <w:tcW w:w="7905" w:type="dxa"/>
            <w:shd w:val="clear" w:color="auto" w:fill="F2F2F2" w:themeFill="background1" w:themeFillShade="F2"/>
            <w:vAlign w:val="center"/>
          </w:tcPr>
          <w:p w14:paraId="544F3BC5"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Content>
              <w:p w14:paraId="7EB4E481"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Content>
              <w:p w14:paraId="7CAF374C"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348E9287" w14:textId="77777777" w:rsidTr="00A555F0">
        <w:trPr>
          <w:trHeight w:val="403"/>
        </w:trPr>
        <w:tc>
          <w:tcPr>
            <w:tcW w:w="562" w:type="dxa"/>
            <w:shd w:val="clear" w:color="auto" w:fill="F2F2F2" w:themeFill="background1" w:themeFillShade="F2"/>
            <w:vAlign w:val="center"/>
          </w:tcPr>
          <w:p w14:paraId="5DA1CF64" w14:textId="77777777" w:rsidR="005F4E12" w:rsidRPr="00903B3C" w:rsidRDefault="005F4E12" w:rsidP="00A555F0">
            <w:pPr>
              <w:autoSpaceDE w:val="0"/>
              <w:autoSpaceDN w:val="0"/>
              <w:adjustRightInd w:val="0"/>
              <w:jc w:val="center"/>
              <w:rPr>
                <w:rFonts w:ascii="Arial" w:hAnsi="Arial" w:cs="Arial"/>
              </w:rPr>
            </w:pPr>
            <w:r>
              <w:rPr>
                <w:rFonts w:ascii="Arial" w:hAnsi="Arial" w:cs="Arial"/>
              </w:rPr>
              <w:t>9</w:t>
            </w:r>
          </w:p>
        </w:tc>
        <w:tc>
          <w:tcPr>
            <w:tcW w:w="7905" w:type="dxa"/>
            <w:shd w:val="clear" w:color="auto" w:fill="F2F2F2" w:themeFill="background1" w:themeFillShade="F2"/>
            <w:vAlign w:val="center"/>
          </w:tcPr>
          <w:p w14:paraId="239E2139"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14:paraId="046D3EC9"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6E0E4589"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243ACCF1" w14:textId="77777777" w:rsidTr="00A555F0">
        <w:trPr>
          <w:trHeight w:val="403"/>
        </w:trPr>
        <w:tc>
          <w:tcPr>
            <w:tcW w:w="562" w:type="dxa"/>
            <w:shd w:val="clear" w:color="auto" w:fill="F2F2F2" w:themeFill="background1" w:themeFillShade="F2"/>
            <w:vAlign w:val="center"/>
          </w:tcPr>
          <w:p w14:paraId="5C982553" w14:textId="77777777" w:rsidR="005F4E12" w:rsidRPr="00903B3C" w:rsidRDefault="005F4E12" w:rsidP="00A555F0">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7905" w:type="dxa"/>
            <w:shd w:val="clear" w:color="auto" w:fill="F2F2F2" w:themeFill="background1" w:themeFillShade="F2"/>
            <w:vAlign w:val="center"/>
          </w:tcPr>
          <w:p w14:paraId="53DCCAA7"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Content>
              <w:p w14:paraId="585738EA"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Content>
              <w:p w14:paraId="252F5774"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4F14B243" w14:textId="77777777" w:rsidTr="00A555F0">
        <w:trPr>
          <w:trHeight w:val="403"/>
        </w:trPr>
        <w:tc>
          <w:tcPr>
            <w:tcW w:w="562" w:type="dxa"/>
            <w:shd w:val="clear" w:color="auto" w:fill="F2F2F2" w:themeFill="background1" w:themeFillShade="F2"/>
            <w:vAlign w:val="center"/>
          </w:tcPr>
          <w:p w14:paraId="7ED4FE2E" w14:textId="77777777" w:rsidR="005F4E12" w:rsidRPr="00903B3C" w:rsidRDefault="005F4E12" w:rsidP="00A555F0">
            <w:pPr>
              <w:autoSpaceDE w:val="0"/>
              <w:autoSpaceDN w:val="0"/>
              <w:adjustRightInd w:val="0"/>
              <w:jc w:val="center"/>
              <w:rPr>
                <w:rFonts w:ascii="Arial" w:hAnsi="Arial" w:cs="Arial"/>
              </w:rPr>
            </w:pPr>
            <w:r w:rsidRPr="00E65973">
              <w:rPr>
                <w:rFonts w:ascii="Arial" w:hAnsi="Arial" w:cs="Arial"/>
              </w:rPr>
              <w:lastRenderedPageBreak/>
              <w:t>1</w:t>
            </w:r>
            <w:r>
              <w:rPr>
                <w:rFonts w:ascii="Arial" w:hAnsi="Arial" w:cs="Arial"/>
              </w:rPr>
              <w:t>1</w:t>
            </w:r>
          </w:p>
        </w:tc>
        <w:tc>
          <w:tcPr>
            <w:tcW w:w="7905" w:type="dxa"/>
            <w:shd w:val="clear" w:color="auto" w:fill="F2F2F2" w:themeFill="background1" w:themeFillShade="F2"/>
          </w:tcPr>
          <w:p w14:paraId="4C283999"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Other – specify:</w:t>
            </w:r>
          </w:p>
          <w:p w14:paraId="3E368B68" w14:textId="77777777" w:rsidR="005F4E12" w:rsidRPr="004C3A0B" w:rsidRDefault="005F4E12" w:rsidP="00A555F0">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556230815"/>
              <w14:checkbox>
                <w14:checked w14:val="0"/>
                <w14:checkedState w14:val="2612" w14:font="MS Gothic"/>
                <w14:uncheckedState w14:val="2610" w14:font="MS Gothic"/>
              </w14:checkbox>
            </w:sdtPr>
            <w:sdtContent>
              <w:p w14:paraId="4D8EF30A"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575544959"/>
              <w14:checkbox>
                <w14:checked w14:val="1"/>
                <w14:checkedState w14:val="2612" w14:font="MS Gothic"/>
                <w14:uncheckedState w14:val="2610" w14:font="MS Gothic"/>
              </w14:checkbox>
            </w:sdtPr>
            <w:sdtContent>
              <w:p w14:paraId="000EB3CF"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629A3625" w14:textId="77777777" w:rsidTr="00A555F0">
        <w:trPr>
          <w:trHeight w:val="403"/>
        </w:trPr>
        <w:tc>
          <w:tcPr>
            <w:tcW w:w="562" w:type="dxa"/>
            <w:shd w:val="clear" w:color="auto" w:fill="F2F2F2" w:themeFill="background1" w:themeFillShade="F2"/>
            <w:vAlign w:val="center"/>
          </w:tcPr>
          <w:p w14:paraId="680798AB" w14:textId="77777777" w:rsidR="005F4E12" w:rsidRPr="00903B3C" w:rsidRDefault="005F4E12" w:rsidP="00A555F0">
            <w:pPr>
              <w:autoSpaceDE w:val="0"/>
              <w:autoSpaceDN w:val="0"/>
              <w:adjustRightInd w:val="0"/>
              <w:jc w:val="center"/>
              <w:rPr>
                <w:rFonts w:ascii="Arial" w:hAnsi="Arial" w:cs="Arial"/>
                <w:bCs/>
              </w:rPr>
            </w:pPr>
            <w:r>
              <w:rPr>
                <w:rFonts w:ascii="Arial" w:hAnsi="Arial" w:cs="Arial"/>
              </w:rPr>
              <w:t>12</w:t>
            </w:r>
          </w:p>
        </w:tc>
        <w:tc>
          <w:tcPr>
            <w:tcW w:w="9923" w:type="dxa"/>
            <w:gridSpan w:val="3"/>
            <w:shd w:val="clear" w:color="auto" w:fill="F2F2F2" w:themeFill="background1" w:themeFillShade="F2"/>
          </w:tcPr>
          <w:p w14:paraId="0678C7EB" w14:textId="77777777" w:rsidR="005F4E12" w:rsidRDefault="005F4E12" w:rsidP="00A555F0">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5F4E12" w:rsidRPr="004C3A0B" w14:paraId="60F342E6" w14:textId="77777777" w:rsidTr="00A555F0">
        <w:trPr>
          <w:trHeight w:val="403"/>
        </w:trPr>
        <w:tc>
          <w:tcPr>
            <w:tcW w:w="562" w:type="dxa"/>
            <w:vAlign w:val="center"/>
          </w:tcPr>
          <w:p w14:paraId="511C16FC" w14:textId="77777777" w:rsidR="005F4E12" w:rsidRPr="00E65973" w:rsidRDefault="005F4E12" w:rsidP="00A555F0">
            <w:pPr>
              <w:jc w:val="center"/>
              <w:rPr>
                <w:rFonts w:ascii="Arial" w:hAnsi="Arial" w:cs="Arial"/>
              </w:rPr>
            </w:pPr>
          </w:p>
        </w:tc>
        <w:tc>
          <w:tcPr>
            <w:tcW w:w="9923" w:type="dxa"/>
            <w:gridSpan w:val="3"/>
          </w:tcPr>
          <w:p w14:paraId="3DAAB0D1" w14:textId="77777777" w:rsidR="005F4E12" w:rsidRPr="00935A0E" w:rsidRDefault="005F4E12" w:rsidP="00A555F0">
            <w:pPr>
              <w:rPr>
                <w:rFonts w:ascii="Arial" w:hAnsi="Arial" w:cs="Arial"/>
                <w:color w:val="00B050"/>
              </w:rPr>
            </w:pPr>
            <w:r w:rsidRPr="00935A0E">
              <w:rPr>
                <w:rFonts w:ascii="Arial" w:hAnsi="Arial" w:cs="Arial"/>
                <w:color w:val="00B050"/>
              </w:rPr>
              <w:t>All data will be stored securely in password-protected files on the University Office 365 system and, where necessary, on the researcher’s password-protected personal computer. Any portable storage device used will also be password protected. Data files will be organised so that any consent information or contact details are stored separately from questionnaire responses. Questionnaire data will be anonymised or pseudonymised wherever possible. Access will be limited to the principal researcher and supervisor. Data will be backed up securely on the University system. No data will be shared publicly in identifiable form.</w:t>
            </w:r>
          </w:p>
          <w:p w14:paraId="584E11A6" w14:textId="77777777" w:rsidR="005F4E12" w:rsidRPr="006C06BB" w:rsidRDefault="005F4E12" w:rsidP="00A555F0">
            <w:pPr>
              <w:autoSpaceDE w:val="0"/>
              <w:autoSpaceDN w:val="0"/>
              <w:adjustRightInd w:val="0"/>
              <w:rPr>
                <w:rFonts w:ascii="Arial" w:hAnsi="Arial" w:cs="Arial"/>
                <w:i/>
                <w:color w:val="7030A0"/>
                <w:lang w:eastAsia="en-GB"/>
              </w:rPr>
            </w:pPr>
          </w:p>
          <w:p w14:paraId="4607F155" w14:textId="77777777" w:rsidR="005F4E12" w:rsidRDefault="005F4E12" w:rsidP="00A555F0">
            <w:pPr>
              <w:rPr>
                <w:rFonts w:ascii="Arial" w:hAnsi="Arial" w:cs="Arial"/>
              </w:rPr>
            </w:pPr>
          </w:p>
          <w:p w14:paraId="39C23687" w14:textId="77777777" w:rsidR="005F4E12" w:rsidRPr="004C3A0B" w:rsidRDefault="005F4E12" w:rsidP="00A555F0">
            <w:pPr>
              <w:rPr>
                <w:rFonts w:ascii="Arial" w:hAnsi="Arial" w:cs="Arial"/>
              </w:rPr>
            </w:pPr>
          </w:p>
          <w:p w14:paraId="6AB29B0D" w14:textId="77777777" w:rsidR="005F4E12" w:rsidRDefault="005F4E12" w:rsidP="00A555F0">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bl>
    <w:p w14:paraId="6F5A5116" w14:textId="77777777" w:rsidR="005F4E12" w:rsidRDefault="005F4E12" w:rsidP="005F4E12"/>
    <w:tbl>
      <w:tblPr>
        <w:tblStyle w:val="TableGrid"/>
        <w:tblW w:w="10485" w:type="dxa"/>
        <w:tblLook w:val="04A0" w:firstRow="1" w:lastRow="0" w:firstColumn="1" w:lastColumn="0" w:noHBand="0" w:noVBand="1"/>
      </w:tblPr>
      <w:tblGrid>
        <w:gridCol w:w="562"/>
        <w:gridCol w:w="7905"/>
        <w:gridCol w:w="992"/>
        <w:gridCol w:w="1026"/>
      </w:tblGrid>
      <w:tr w:rsidR="005F4E12" w:rsidRPr="004C3A0B" w14:paraId="68C42BCC" w14:textId="77777777" w:rsidTr="00A555F0">
        <w:trPr>
          <w:trHeight w:val="439"/>
        </w:trPr>
        <w:tc>
          <w:tcPr>
            <w:tcW w:w="562" w:type="dxa"/>
            <w:shd w:val="clear" w:color="auto" w:fill="F2F2F2" w:themeFill="background1" w:themeFillShade="F2"/>
          </w:tcPr>
          <w:p w14:paraId="76E5A988" w14:textId="77777777" w:rsidR="005F4E12" w:rsidRPr="002132F9" w:rsidRDefault="005F4E12" w:rsidP="00A555F0">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63A5C003" w14:textId="77777777" w:rsidR="005F4E12" w:rsidRPr="004C3A0B" w:rsidRDefault="005F4E12" w:rsidP="00A555F0">
            <w:pPr>
              <w:autoSpaceDE w:val="0"/>
              <w:autoSpaceDN w:val="0"/>
              <w:adjustRightInd w:val="0"/>
              <w:rPr>
                <w:rFonts w:ascii="Arial" w:hAnsi="Arial" w:cs="Arial"/>
                <w:b/>
                <w:bCs/>
              </w:rPr>
            </w:pPr>
            <w:r>
              <w:rPr>
                <w:rFonts w:ascii="Arial" w:hAnsi="Arial" w:cs="Arial"/>
                <w:b/>
                <w:bCs/>
              </w:rPr>
              <w:t>Data Protection</w:t>
            </w:r>
          </w:p>
        </w:tc>
      </w:tr>
      <w:tr w:rsidR="005F4E12" w:rsidRPr="004C3A0B" w14:paraId="10B262CC" w14:textId="77777777" w:rsidTr="00A555F0">
        <w:trPr>
          <w:trHeight w:val="439"/>
        </w:trPr>
        <w:tc>
          <w:tcPr>
            <w:tcW w:w="562" w:type="dxa"/>
            <w:shd w:val="clear" w:color="auto" w:fill="F2F2F2" w:themeFill="background1" w:themeFillShade="F2"/>
            <w:vAlign w:val="center"/>
          </w:tcPr>
          <w:p w14:paraId="48D122DA" w14:textId="77777777" w:rsidR="005F4E12" w:rsidRPr="00842FC0" w:rsidRDefault="005F4E12" w:rsidP="00A555F0">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1A32D4B2" w14:textId="77777777" w:rsidR="005F4E12" w:rsidRPr="004C3A0B" w:rsidRDefault="005F4E12" w:rsidP="00A555F0">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2B167FCA" w14:textId="77777777" w:rsidR="005F4E12" w:rsidRPr="004C3A0B" w:rsidRDefault="005F4E12" w:rsidP="00A555F0">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19313B08" w14:textId="77777777" w:rsidR="005F4E12" w:rsidRPr="004C3A0B" w:rsidRDefault="005F4E12" w:rsidP="00A555F0">
            <w:pPr>
              <w:autoSpaceDE w:val="0"/>
              <w:autoSpaceDN w:val="0"/>
              <w:adjustRightInd w:val="0"/>
              <w:jc w:val="center"/>
              <w:rPr>
                <w:rFonts w:ascii="Arial" w:hAnsi="Arial" w:cs="Arial"/>
                <w:b/>
                <w:bCs/>
              </w:rPr>
            </w:pPr>
            <w:r w:rsidRPr="004C3A0B">
              <w:rPr>
                <w:rFonts w:ascii="Arial" w:hAnsi="Arial" w:cs="Arial"/>
                <w:b/>
                <w:bCs/>
              </w:rPr>
              <w:t>NO</w:t>
            </w:r>
          </w:p>
        </w:tc>
      </w:tr>
      <w:tr w:rsidR="005F4E12" w:rsidRPr="004C3A0B" w14:paraId="5345C0FC" w14:textId="77777777" w:rsidTr="00A555F0">
        <w:trPr>
          <w:trHeight w:val="439"/>
        </w:trPr>
        <w:tc>
          <w:tcPr>
            <w:tcW w:w="562" w:type="dxa"/>
            <w:shd w:val="clear" w:color="auto" w:fill="F2F2F2" w:themeFill="background1" w:themeFillShade="F2"/>
            <w:vAlign w:val="center"/>
          </w:tcPr>
          <w:p w14:paraId="2684EB20" w14:textId="77777777" w:rsidR="005F4E12" w:rsidRPr="00842FC0" w:rsidRDefault="005F4E12" w:rsidP="00A555F0">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905" w:type="dxa"/>
            <w:shd w:val="clear" w:color="auto" w:fill="F2F2F2" w:themeFill="background1" w:themeFillShade="F2"/>
            <w:vAlign w:val="center"/>
          </w:tcPr>
          <w:p w14:paraId="543CFB3F"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427F8ACF"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31FD08C2"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25EB9235" w14:textId="77777777" w:rsidTr="00A555F0">
        <w:trPr>
          <w:trHeight w:val="403"/>
        </w:trPr>
        <w:tc>
          <w:tcPr>
            <w:tcW w:w="562" w:type="dxa"/>
            <w:shd w:val="clear" w:color="auto" w:fill="F2F2F2" w:themeFill="background1" w:themeFillShade="F2"/>
            <w:vAlign w:val="center"/>
          </w:tcPr>
          <w:p w14:paraId="36095A77" w14:textId="77777777" w:rsidR="005F4E12" w:rsidRPr="00842FC0" w:rsidRDefault="005F4E12" w:rsidP="00A555F0">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905" w:type="dxa"/>
            <w:shd w:val="clear" w:color="auto" w:fill="F2F2F2" w:themeFill="background1" w:themeFillShade="F2"/>
            <w:vAlign w:val="center"/>
          </w:tcPr>
          <w:p w14:paraId="1FE055AF"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7C43D4DD"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514A2EA0"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0A8ED262" w14:textId="77777777" w:rsidTr="00A555F0">
        <w:trPr>
          <w:trHeight w:val="439"/>
        </w:trPr>
        <w:tc>
          <w:tcPr>
            <w:tcW w:w="562" w:type="dxa"/>
            <w:shd w:val="clear" w:color="auto" w:fill="F2F2F2" w:themeFill="background1" w:themeFillShade="F2"/>
            <w:vAlign w:val="center"/>
          </w:tcPr>
          <w:p w14:paraId="5954CC2D" w14:textId="77777777" w:rsidR="005F4E12" w:rsidRPr="00842FC0" w:rsidRDefault="005F4E12" w:rsidP="00A555F0">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7905" w:type="dxa"/>
            <w:shd w:val="clear" w:color="auto" w:fill="F2F2F2" w:themeFill="background1" w:themeFillShade="F2"/>
            <w:vAlign w:val="center"/>
          </w:tcPr>
          <w:p w14:paraId="2529BAC8"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4CEF5BBA"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159EDCF1"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51EF74B1" w14:textId="77777777" w:rsidTr="00A555F0">
        <w:trPr>
          <w:trHeight w:val="403"/>
        </w:trPr>
        <w:tc>
          <w:tcPr>
            <w:tcW w:w="562" w:type="dxa"/>
            <w:shd w:val="clear" w:color="auto" w:fill="F2F2F2" w:themeFill="background1" w:themeFillShade="F2"/>
            <w:vAlign w:val="center"/>
          </w:tcPr>
          <w:p w14:paraId="2429C25C" w14:textId="77777777" w:rsidR="005F4E12" w:rsidRPr="00842FC0" w:rsidRDefault="005F4E12" w:rsidP="00A555F0">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905" w:type="dxa"/>
            <w:shd w:val="clear" w:color="auto" w:fill="F2F2F2" w:themeFill="background1" w:themeFillShade="F2"/>
            <w:vAlign w:val="center"/>
          </w:tcPr>
          <w:p w14:paraId="71120535"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5B5EAE86"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5A5A36A6"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0B062E7D" w14:textId="77777777" w:rsidTr="00A555F0">
        <w:trPr>
          <w:trHeight w:val="403"/>
        </w:trPr>
        <w:tc>
          <w:tcPr>
            <w:tcW w:w="562" w:type="dxa"/>
            <w:shd w:val="clear" w:color="auto" w:fill="F2F2F2" w:themeFill="background1" w:themeFillShade="F2"/>
            <w:vAlign w:val="center"/>
          </w:tcPr>
          <w:p w14:paraId="6A5C83D6" w14:textId="77777777" w:rsidR="005F4E12" w:rsidRPr="00842FC0" w:rsidRDefault="005F4E12" w:rsidP="00A555F0">
            <w:pPr>
              <w:autoSpaceDE w:val="0"/>
              <w:autoSpaceDN w:val="0"/>
              <w:adjustRightInd w:val="0"/>
              <w:jc w:val="center"/>
              <w:rPr>
                <w:rFonts w:ascii="Arial" w:hAnsi="Arial" w:cs="Arial"/>
              </w:rPr>
            </w:pPr>
            <w:r>
              <w:rPr>
                <w:rFonts w:ascii="Arial" w:hAnsi="Arial" w:cs="Arial"/>
              </w:rPr>
              <w:t>17</w:t>
            </w:r>
          </w:p>
        </w:tc>
        <w:tc>
          <w:tcPr>
            <w:tcW w:w="7905" w:type="dxa"/>
            <w:shd w:val="clear" w:color="auto" w:fill="F2F2F2" w:themeFill="background1" w:themeFillShade="F2"/>
            <w:vAlign w:val="center"/>
          </w:tcPr>
          <w:p w14:paraId="7A3AAB44"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37C93994"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3DB2AF91"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43F1C882" w14:textId="77777777" w:rsidTr="00A555F0">
        <w:trPr>
          <w:trHeight w:val="403"/>
        </w:trPr>
        <w:tc>
          <w:tcPr>
            <w:tcW w:w="562" w:type="dxa"/>
            <w:shd w:val="clear" w:color="auto" w:fill="F2F2F2" w:themeFill="background1" w:themeFillShade="F2"/>
            <w:vAlign w:val="center"/>
          </w:tcPr>
          <w:p w14:paraId="0732189A" w14:textId="77777777" w:rsidR="005F4E12" w:rsidRPr="00842FC0" w:rsidRDefault="005F4E12" w:rsidP="00A555F0">
            <w:pPr>
              <w:autoSpaceDE w:val="0"/>
              <w:autoSpaceDN w:val="0"/>
              <w:adjustRightInd w:val="0"/>
              <w:jc w:val="center"/>
              <w:rPr>
                <w:rFonts w:ascii="Arial" w:hAnsi="Arial" w:cs="Arial"/>
              </w:rPr>
            </w:pPr>
            <w:r>
              <w:rPr>
                <w:rFonts w:ascii="Arial" w:hAnsi="Arial" w:cs="Arial"/>
              </w:rPr>
              <w:t>18</w:t>
            </w:r>
          </w:p>
        </w:tc>
        <w:tc>
          <w:tcPr>
            <w:tcW w:w="7905" w:type="dxa"/>
            <w:shd w:val="clear" w:color="auto" w:fill="F2F2F2" w:themeFill="background1" w:themeFillShade="F2"/>
            <w:vAlign w:val="center"/>
          </w:tcPr>
          <w:p w14:paraId="27E67F59" w14:textId="77777777" w:rsidR="005F4E12" w:rsidRPr="004C3A0B" w:rsidRDefault="005F4E12" w:rsidP="00A555F0">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50B04409" w14:textId="77777777" w:rsidR="005F4E12" w:rsidRPr="004C3A0B" w:rsidRDefault="005F4E12" w:rsidP="00A555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152EEAC8" w14:textId="77777777" w:rsidR="005F4E12" w:rsidRPr="004C3A0B" w:rsidRDefault="005F4E12" w:rsidP="00A555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F4E12" w:rsidRPr="004C3A0B" w14:paraId="20E479A4" w14:textId="77777777" w:rsidTr="00A555F0">
        <w:trPr>
          <w:trHeight w:val="403"/>
        </w:trPr>
        <w:tc>
          <w:tcPr>
            <w:tcW w:w="562" w:type="dxa"/>
            <w:shd w:val="clear" w:color="auto" w:fill="F2F2F2" w:themeFill="background1" w:themeFillShade="F2"/>
            <w:vAlign w:val="center"/>
          </w:tcPr>
          <w:p w14:paraId="2DA5F281" w14:textId="77777777" w:rsidR="005F4E12" w:rsidRPr="00842FC0" w:rsidRDefault="005F4E12" w:rsidP="00A555F0">
            <w:pPr>
              <w:spacing w:before="120" w:after="120"/>
              <w:jc w:val="center"/>
              <w:rPr>
                <w:rFonts w:ascii="Arial" w:hAnsi="Arial" w:cs="Arial"/>
              </w:rPr>
            </w:pPr>
            <w:r>
              <w:rPr>
                <w:rFonts w:ascii="Arial" w:hAnsi="Arial" w:cs="Arial"/>
              </w:rPr>
              <w:t>19</w:t>
            </w:r>
          </w:p>
        </w:tc>
        <w:tc>
          <w:tcPr>
            <w:tcW w:w="9923" w:type="dxa"/>
            <w:gridSpan w:val="3"/>
            <w:shd w:val="clear" w:color="auto" w:fill="F2F2F2" w:themeFill="background1" w:themeFillShade="F2"/>
            <w:vAlign w:val="center"/>
          </w:tcPr>
          <w:p w14:paraId="5254F915" w14:textId="77777777" w:rsidR="005F4E12" w:rsidRPr="004C3A0B" w:rsidRDefault="005F4E12" w:rsidP="00A555F0">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w:t>
            </w:r>
            <w:r w:rsidRPr="004C3A0B">
              <w:rPr>
                <w:rFonts w:ascii="Arial" w:hAnsi="Arial" w:cs="Arial"/>
                <w:bCs/>
              </w:rPr>
              <w:t xml:space="preserve"> (and/or any international equivalent):</w:t>
            </w:r>
          </w:p>
        </w:tc>
      </w:tr>
      <w:tr w:rsidR="005F4E12" w:rsidRPr="004C3A0B" w14:paraId="565212C5" w14:textId="77777777" w:rsidTr="00A555F0">
        <w:trPr>
          <w:trHeight w:val="403"/>
        </w:trPr>
        <w:tc>
          <w:tcPr>
            <w:tcW w:w="562" w:type="dxa"/>
            <w:vAlign w:val="center"/>
          </w:tcPr>
          <w:p w14:paraId="781B4857" w14:textId="77777777" w:rsidR="005F4E12" w:rsidRPr="00E65973" w:rsidRDefault="005F4E12" w:rsidP="00A555F0">
            <w:pPr>
              <w:autoSpaceDE w:val="0"/>
              <w:autoSpaceDN w:val="0"/>
              <w:adjustRightInd w:val="0"/>
              <w:jc w:val="center"/>
              <w:rPr>
                <w:rFonts w:ascii="Arial" w:hAnsi="Arial" w:cs="Arial"/>
              </w:rPr>
            </w:pPr>
          </w:p>
        </w:tc>
        <w:tc>
          <w:tcPr>
            <w:tcW w:w="9923" w:type="dxa"/>
            <w:gridSpan w:val="3"/>
            <w:vAlign w:val="center"/>
          </w:tcPr>
          <w:p w14:paraId="49B3218C" w14:textId="77777777" w:rsidR="005F4E12" w:rsidRPr="00B17110" w:rsidRDefault="005F4E12" w:rsidP="00A555F0">
            <w:pPr>
              <w:autoSpaceDE w:val="0"/>
              <w:autoSpaceDN w:val="0"/>
              <w:adjustRightInd w:val="0"/>
              <w:rPr>
                <w:rFonts w:ascii="Arial" w:hAnsi="Arial" w:cs="Arial"/>
                <w:color w:val="00B050"/>
              </w:rPr>
            </w:pPr>
            <w:r w:rsidRPr="00B17110">
              <w:rPr>
                <w:rFonts w:ascii="Arial" w:hAnsi="Arial" w:cs="Arial"/>
                <w:color w:val="00B050"/>
              </w:rPr>
              <w:t xml:space="preserve">Research drafts and documents may be shared electronically with the supervisor, second marker or external examiner through </w:t>
            </w:r>
            <w:proofErr w:type="gramStart"/>
            <w:r w:rsidRPr="00B17110">
              <w:rPr>
                <w:rFonts w:ascii="Arial" w:hAnsi="Arial" w:cs="Arial"/>
                <w:color w:val="00B050"/>
              </w:rPr>
              <w:t>University</w:t>
            </w:r>
            <w:proofErr w:type="gramEnd"/>
            <w:r w:rsidRPr="00B17110">
              <w:rPr>
                <w:rFonts w:ascii="Arial" w:hAnsi="Arial" w:cs="Arial"/>
                <w:color w:val="00B050"/>
              </w:rPr>
              <w:t>-managed systems. No personal participant data will be included.</w:t>
            </w:r>
          </w:p>
          <w:p w14:paraId="781AE015" w14:textId="77777777" w:rsidR="005F4E12" w:rsidRPr="00B17110" w:rsidRDefault="005F4E12" w:rsidP="00A555F0">
            <w:pPr>
              <w:autoSpaceDE w:val="0"/>
              <w:autoSpaceDN w:val="0"/>
              <w:adjustRightInd w:val="0"/>
              <w:rPr>
                <w:rFonts w:ascii="Arial" w:hAnsi="Arial" w:cs="Arial"/>
                <w:color w:val="00B050"/>
              </w:rPr>
            </w:pPr>
            <w:r w:rsidRPr="00B17110">
              <w:rPr>
                <w:rFonts w:ascii="Arial" w:hAnsi="Arial" w:cs="Arial"/>
                <w:color w:val="00B050"/>
              </w:rPr>
              <w:t>Files will be stored in password-protected University Office 365 storage. Research materials will not be shared with external organisations.</w:t>
            </w:r>
          </w:p>
          <w:p w14:paraId="3A1378DF" w14:textId="77777777" w:rsidR="005F4E12" w:rsidRPr="00354F34" w:rsidRDefault="005F4E12" w:rsidP="00A555F0">
            <w:pPr>
              <w:autoSpaceDE w:val="0"/>
              <w:autoSpaceDN w:val="0"/>
              <w:adjustRightInd w:val="0"/>
              <w:rPr>
                <w:rFonts w:ascii="Arial" w:hAnsi="Arial" w:cs="Arial"/>
              </w:rPr>
            </w:pPr>
          </w:p>
          <w:p w14:paraId="1810C494" w14:textId="77777777" w:rsidR="005F4E12" w:rsidRPr="004C3A0B" w:rsidRDefault="005F4E12" w:rsidP="00A555F0">
            <w:pPr>
              <w:autoSpaceDE w:val="0"/>
              <w:autoSpaceDN w:val="0"/>
              <w:adjustRightInd w:val="0"/>
              <w:rPr>
                <w:rFonts w:cs="Arial"/>
              </w:rPr>
            </w:pPr>
            <w:r w:rsidRPr="00354F34">
              <w:rPr>
                <w:rFonts w:ascii="Arial" w:hAnsi="Arial" w:cs="Arial"/>
                <w:i/>
                <w:color w:val="808080"/>
                <w:sz w:val="18"/>
                <w:szCs w:val="18"/>
              </w:rPr>
              <w:lastRenderedPageBreak/>
              <w:t>(this box should expand as you type)</w:t>
            </w:r>
          </w:p>
        </w:tc>
      </w:tr>
      <w:tr w:rsidR="005F4E12" w:rsidRPr="004C3A0B" w14:paraId="23A3BF1F" w14:textId="77777777" w:rsidTr="00A555F0">
        <w:trPr>
          <w:trHeight w:val="403"/>
        </w:trPr>
        <w:tc>
          <w:tcPr>
            <w:tcW w:w="562" w:type="dxa"/>
            <w:shd w:val="clear" w:color="auto" w:fill="F2F2F2" w:themeFill="background1" w:themeFillShade="F2"/>
            <w:vAlign w:val="center"/>
          </w:tcPr>
          <w:p w14:paraId="25A6E177" w14:textId="77777777" w:rsidR="005F4E12" w:rsidRPr="00842FC0" w:rsidRDefault="005F4E12" w:rsidP="00A555F0">
            <w:pPr>
              <w:autoSpaceDE w:val="0"/>
              <w:autoSpaceDN w:val="0"/>
              <w:adjustRightInd w:val="0"/>
              <w:jc w:val="center"/>
              <w:rPr>
                <w:rFonts w:ascii="Arial" w:hAnsi="Arial" w:cs="Arial"/>
                <w:bCs/>
              </w:rPr>
            </w:pPr>
            <w:r>
              <w:rPr>
                <w:rFonts w:ascii="Arial" w:hAnsi="Arial" w:cs="Arial"/>
              </w:rPr>
              <w:lastRenderedPageBreak/>
              <w:t>20</w:t>
            </w:r>
          </w:p>
        </w:tc>
        <w:tc>
          <w:tcPr>
            <w:tcW w:w="9923" w:type="dxa"/>
            <w:gridSpan w:val="3"/>
            <w:shd w:val="clear" w:color="auto" w:fill="F2F2F2" w:themeFill="background1" w:themeFillShade="F2"/>
            <w:vAlign w:val="center"/>
          </w:tcPr>
          <w:p w14:paraId="0E245A2A" w14:textId="77777777" w:rsidR="005F4E12" w:rsidRPr="004C3A0B" w:rsidRDefault="005F4E12" w:rsidP="00A555F0">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5F4E12" w:rsidRPr="004C3A0B" w14:paraId="0FA96211" w14:textId="77777777" w:rsidTr="00A555F0">
        <w:trPr>
          <w:trHeight w:val="403"/>
        </w:trPr>
        <w:tc>
          <w:tcPr>
            <w:tcW w:w="562" w:type="dxa"/>
            <w:vAlign w:val="center"/>
          </w:tcPr>
          <w:p w14:paraId="5BE7D523" w14:textId="77777777" w:rsidR="005F4E12" w:rsidRPr="00E65973" w:rsidRDefault="005F4E12" w:rsidP="00A555F0">
            <w:pPr>
              <w:autoSpaceDE w:val="0"/>
              <w:autoSpaceDN w:val="0"/>
              <w:adjustRightInd w:val="0"/>
              <w:jc w:val="center"/>
              <w:rPr>
                <w:rFonts w:ascii="Arial" w:hAnsi="Arial" w:cs="Arial"/>
              </w:rPr>
            </w:pPr>
          </w:p>
        </w:tc>
        <w:tc>
          <w:tcPr>
            <w:tcW w:w="9923" w:type="dxa"/>
            <w:gridSpan w:val="3"/>
            <w:vAlign w:val="center"/>
          </w:tcPr>
          <w:p w14:paraId="67E8877D" w14:textId="77777777" w:rsidR="005F4E12" w:rsidRPr="00B17110" w:rsidRDefault="005F4E12" w:rsidP="005F4E12">
            <w:pPr>
              <w:numPr>
                <w:ilvl w:val="0"/>
                <w:numId w:val="36"/>
              </w:numPr>
              <w:autoSpaceDE w:val="0"/>
              <w:autoSpaceDN w:val="0"/>
              <w:adjustRightInd w:val="0"/>
              <w:spacing w:line="240" w:lineRule="auto"/>
              <w:rPr>
                <w:rFonts w:ascii="Arial" w:hAnsi="Arial" w:cs="Arial"/>
                <w:color w:val="00B050"/>
              </w:rPr>
            </w:pPr>
            <w:r w:rsidRPr="00B17110">
              <w:rPr>
                <w:rFonts w:ascii="Arial" w:hAnsi="Arial" w:cs="Arial"/>
                <w:color w:val="00B050"/>
              </w:rPr>
              <w:t>Roshan Lal, principal researcher;</w:t>
            </w:r>
          </w:p>
          <w:p w14:paraId="5EA2B634" w14:textId="77777777" w:rsidR="005F4E12" w:rsidRPr="00B17110" w:rsidRDefault="005F4E12" w:rsidP="005F4E12">
            <w:pPr>
              <w:numPr>
                <w:ilvl w:val="0"/>
                <w:numId w:val="36"/>
              </w:numPr>
              <w:autoSpaceDE w:val="0"/>
              <w:autoSpaceDN w:val="0"/>
              <w:adjustRightInd w:val="0"/>
              <w:spacing w:line="240" w:lineRule="auto"/>
              <w:rPr>
                <w:rFonts w:ascii="Arial" w:hAnsi="Arial" w:cs="Arial"/>
                <w:color w:val="00B050"/>
              </w:rPr>
            </w:pPr>
            <w:r w:rsidRPr="00B17110">
              <w:rPr>
                <w:rFonts w:ascii="Arial" w:hAnsi="Arial" w:cs="Arial"/>
                <w:color w:val="00B050"/>
              </w:rPr>
              <w:t>Shahrukh Irfan, supervisor;</w:t>
            </w:r>
          </w:p>
          <w:p w14:paraId="2334C308" w14:textId="77777777" w:rsidR="005F4E12" w:rsidRPr="00B17110" w:rsidRDefault="005F4E12" w:rsidP="005F4E12">
            <w:pPr>
              <w:numPr>
                <w:ilvl w:val="0"/>
                <w:numId w:val="36"/>
              </w:numPr>
              <w:autoSpaceDE w:val="0"/>
              <w:autoSpaceDN w:val="0"/>
              <w:adjustRightInd w:val="0"/>
              <w:spacing w:line="240" w:lineRule="auto"/>
              <w:rPr>
                <w:rFonts w:ascii="Arial" w:hAnsi="Arial" w:cs="Arial"/>
                <w:color w:val="00B050"/>
              </w:rPr>
            </w:pPr>
            <w:r w:rsidRPr="00B17110">
              <w:rPr>
                <w:rFonts w:ascii="Arial" w:hAnsi="Arial" w:cs="Arial"/>
                <w:color w:val="00B050"/>
              </w:rPr>
              <w:t>authorised second markers or external examiners, where required; and</w:t>
            </w:r>
          </w:p>
          <w:p w14:paraId="3A2AD117" w14:textId="77777777" w:rsidR="005F4E12" w:rsidRPr="00B17110" w:rsidRDefault="005F4E12" w:rsidP="005F4E12">
            <w:pPr>
              <w:numPr>
                <w:ilvl w:val="0"/>
                <w:numId w:val="36"/>
              </w:numPr>
              <w:autoSpaceDE w:val="0"/>
              <w:autoSpaceDN w:val="0"/>
              <w:adjustRightInd w:val="0"/>
              <w:spacing w:line="240" w:lineRule="auto"/>
              <w:rPr>
                <w:rFonts w:ascii="Arial" w:hAnsi="Arial" w:cs="Arial"/>
                <w:color w:val="00B050"/>
              </w:rPr>
            </w:pPr>
            <w:r w:rsidRPr="00B17110">
              <w:rPr>
                <w:rFonts w:ascii="Arial" w:hAnsi="Arial" w:cs="Arial"/>
                <w:color w:val="00B050"/>
              </w:rPr>
              <w:t>authorised UWTSD staff where required for assessment or academic-integrity purposes.</w:t>
            </w:r>
          </w:p>
          <w:p w14:paraId="17A42843" w14:textId="77777777" w:rsidR="005F4E12" w:rsidRPr="004C3A0B" w:rsidRDefault="005F4E12" w:rsidP="00A555F0">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5F4E12" w:rsidRPr="004C3A0B" w14:paraId="15ABFD47" w14:textId="77777777" w:rsidTr="00A555F0">
        <w:trPr>
          <w:trHeight w:val="403"/>
        </w:trPr>
        <w:tc>
          <w:tcPr>
            <w:tcW w:w="562" w:type="dxa"/>
            <w:shd w:val="clear" w:color="auto" w:fill="F2F2F2" w:themeFill="background1" w:themeFillShade="F2"/>
            <w:vAlign w:val="center"/>
          </w:tcPr>
          <w:p w14:paraId="7023E3D7" w14:textId="77777777" w:rsidR="005F4E12" w:rsidRPr="00842FC0" w:rsidRDefault="005F4E12" w:rsidP="00A555F0">
            <w:pPr>
              <w:autoSpaceDE w:val="0"/>
              <w:autoSpaceDN w:val="0"/>
              <w:adjustRightInd w:val="0"/>
              <w:jc w:val="center"/>
              <w:rPr>
                <w:rFonts w:ascii="Arial" w:hAnsi="Arial" w:cs="Arial"/>
                <w:bCs/>
              </w:rPr>
            </w:pPr>
            <w:r>
              <w:rPr>
                <w:rFonts w:ascii="Arial" w:hAnsi="Arial" w:cs="Arial"/>
              </w:rPr>
              <w:t>21</w:t>
            </w:r>
          </w:p>
        </w:tc>
        <w:tc>
          <w:tcPr>
            <w:tcW w:w="9923" w:type="dxa"/>
            <w:gridSpan w:val="3"/>
            <w:shd w:val="clear" w:color="auto" w:fill="F2F2F2" w:themeFill="background1" w:themeFillShade="F2"/>
          </w:tcPr>
          <w:p w14:paraId="2BE89BC1" w14:textId="77777777" w:rsidR="005F4E12" w:rsidRPr="004C3A0B" w:rsidRDefault="005F4E12" w:rsidP="00A555F0">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5F4E12" w:rsidRPr="004C3A0B" w14:paraId="241E6CC2" w14:textId="77777777" w:rsidTr="00A555F0">
        <w:trPr>
          <w:trHeight w:val="403"/>
        </w:trPr>
        <w:tc>
          <w:tcPr>
            <w:tcW w:w="562" w:type="dxa"/>
            <w:vAlign w:val="center"/>
          </w:tcPr>
          <w:p w14:paraId="02204F2F" w14:textId="77777777" w:rsidR="005F4E12" w:rsidRPr="00E65973" w:rsidRDefault="005F4E12" w:rsidP="00A555F0">
            <w:pPr>
              <w:autoSpaceDE w:val="0"/>
              <w:autoSpaceDN w:val="0"/>
              <w:adjustRightInd w:val="0"/>
              <w:jc w:val="center"/>
              <w:rPr>
                <w:rFonts w:ascii="Arial" w:hAnsi="Arial" w:cs="Arial"/>
              </w:rPr>
            </w:pPr>
          </w:p>
        </w:tc>
        <w:tc>
          <w:tcPr>
            <w:tcW w:w="9923" w:type="dxa"/>
            <w:gridSpan w:val="3"/>
          </w:tcPr>
          <w:p w14:paraId="2C8A6F01" w14:textId="77777777" w:rsidR="005F4E12" w:rsidRPr="00794815" w:rsidRDefault="005F4E12" w:rsidP="00A555F0">
            <w:pPr>
              <w:autoSpaceDE w:val="0"/>
              <w:autoSpaceDN w:val="0"/>
              <w:adjustRightInd w:val="0"/>
              <w:rPr>
                <w:rFonts w:ascii="Arial" w:hAnsi="Arial" w:cs="Arial"/>
                <w:color w:val="00B050"/>
              </w:rPr>
            </w:pPr>
            <w:r w:rsidRPr="00B17110">
              <w:rPr>
                <w:rFonts w:ascii="Arial" w:hAnsi="Arial" w:cs="Arial"/>
                <w:color w:val="00B050"/>
              </w:rPr>
              <w:t xml:space="preserve">Roshan Lal, principal </w:t>
            </w:r>
            <w:proofErr w:type="gramStart"/>
            <w:r w:rsidRPr="00B17110">
              <w:rPr>
                <w:rFonts w:ascii="Arial" w:hAnsi="Arial" w:cs="Arial"/>
                <w:color w:val="00B050"/>
              </w:rPr>
              <w:t>researcher.</w:t>
            </w:r>
            <w:r w:rsidRPr="00794815">
              <w:rPr>
                <w:rFonts w:ascii="Arial" w:hAnsi="Arial" w:cs="Arial"/>
                <w:color w:val="00B050"/>
              </w:rPr>
              <w:t>.</w:t>
            </w:r>
            <w:proofErr w:type="gramEnd"/>
          </w:p>
          <w:p w14:paraId="55D1444B" w14:textId="77777777" w:rsidR="005F4E12" w:rsidRPr="00354F34" w:rsidRDefault="005F4E12" w:rsidP="00A555F0">
            <w:pPr>
              <w:autoSpaceDE w:val="0"/>
              <w:autoSpaceDN w:val="0"/>
              <w:adjustRightInd w:val="0"/>
              <w:rPr>
                <w:rFonts w:ascii="Arial" w:hAnsi="Arial" w:cs="Arial"/>
              </w:rPr>
            </w:pPr>
          </w:p>
          <w:p w14:paraId="5835D44D" w14:textId="77777777" w:rsidR="005F4E12" w:rsidRPr="004C3A0B" w:rsidRDefault="005F4E12" w:rsidP="00A555F0">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5F4E12" w:rsidRPr="004C3A0B" w14:paraId="75FC700B" w14:textId="77777777" w:rsidTr="00A555F0">
        <w:trPr>
          <w:trHeight w:val="403"/>
        </w:trPr>
        <w:tc>
          <w:tcPr>
            <w:tcW w:w="562" w:type="dxa"/>
            <w:shd w:val="clear" w:color="auto" w:fill="F2F2F2" w:themeFill="background1" w:themeFillShade="F2"/>
            <w:vAlign w:val="center"/>
          </w:tcPr>
          <w:p w14:paraId="3E3F1FB3" w14:textId="77777777" w:rsidR="005F4E12" w:rsidRPr="00842FC0" w:rsidRDefault="005F4E12" w:rsidP="00A555F0">
            <w:pPr>
              <w:autoSpaceDE w:val="0"/>
              <w:autoSpaceDN w:val="0"/>
              <w:adjustRightInd w:val="0"/>
              <w:jc w:val="center"/>
              <w:rPr>
                <w:rFonts w:ascii="Arial" w:hAnsi="Arial" w:cs="Arial"/>
                <w:bCs/>
              </w:rPr>
            </w:pPr>
            <w:r>
              <w:rPr>
                <w:rFonts w:ascii="Arial" w:hAnsi="Arial" w:cs="Arial"/>
              </w:rPr>
              <w:t>22</w:t>
            </w:r>
          </w:p>
        </w:tc>
        <w:tc>
          <w:tcPr>
            <w:tcW w:w="9923" w:type="dxa"/>
            <w:gridSpan w:val="3"/>
            <w:shd w:val="clear" w:color="auto" w:fill="F2F2F2" w:themeFill="background1" w:themeFillShade="F2"/>
          </w:tcPr>
          <w:p w14:paraId="16AFEBF9" w14:textId="77777777" w:rsidR="005F4E12" w:rsidRPr="004C3A0B" w:rsidRDefault="005F4E12" w:rsidP="00A555F0">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t>
            </w:r>
          </w:p>
        </w:tc>
      </w:tr>
      <w:tr w:rsidR="005F4E12" w:rsidRPr="004C3A0B" w14:paraId="49226430" w14:textId="77777777" w:rsidTr="00A555F0">
        <w:trPr>
          <w:trHeight w:val="403"/>
        </w:trPr>
        <w:tc>
          <w:tcPr>
            <w:tcW w:w="562" w:type="dxa"/>
            <w:vAlign w:val="center"/>
          </w:tcPr>
          <w:p w14:paraId="706345DD" w14:textId="77777777" w:rsidR="005F4E12" w:rsidRPr="00E65973" w:rsidRDefault="005F4E12" w:rsidP="00A555F0">
            <w:pPr>
              <w:autoSpaceDE w:val="0"/>
              <w:autoSpaceDN w:val="0"/>
              <w:adjustRightInd w:val="0"/>
              <w:jc w:val="center"/>
              <w:rPr>
                <w:rFonts w:ascii="Arial" w:hAnsi="Arial" w:cs="Arial"/>
              </w:rPr>
            </w:pPr>
          </w:p>
        </w:tc>
        <w:tc>
          <w:tcPr>
            <w:tcW w:w="9923" w:type="dxa"/>
            <w:gridSpan w:val="3"/>
          </w:tcPr>
          <w:p w14:paraId="2B7C1078" w14:textId="77777777" w:rsidR="005F4E12" w:rsidRPr="00B17110" w:rsidRDefault="005F4E12" w:rsidP="00A555F0">
            <w:pPr>
              <w:autoSpaceDE w:val="0"/>
              <w:autoSpaceDN w:val="0"/>
              <w:adjustRightInd w:val="0"/>
              <w:rPr>
                <w:rFonts w:ascii="Arial" w:hAnsi="Arial" w:cs="Arial"/>
                <w:i/>
                <w:color w:val="7030A0"/>
                <w:lang w:eastAsia="en-GB"/>
              </w:rPr>
            </w:pPr>
            <w:r w:rsidRPr="00B17110">
              <w:rPr>
                <w:rFonts w:ascii="Arial" w:hAnsi="Arial" w:cs="Arial"/>
                <w:i/>
                <w:color w:val="7030A0"/>
                <w:lang w:eastAsia="en-GB"/>
              </w:rPr>
              <w:t>All research notes, literature-review tables, downloaded articles, drafts and analysis documents will be stored electronically in password-protected University Office 365 or OneDrive storage.</w:t>
            </w:r>
          </w:p>
          <w:p w14:paraId="519095B2" w14:textId="77777777" w:rsidR="005F4E12" w:rsidRPr="00B17110" w:rsidRDefault="005F4E12" w:rsidP="00A555F0">
            <w:pPr>
              <w:autoSpaceDE w:val="0"/>
              <w:autoSpaceDN w:val="0"/>
              <w:adjustRightInd w:val="0"/>
              <w:rPr>
                <w:rFonts w:ascii="Arial" w:hAnsi="Arial" w:cs="Arial"/>
                <w:i/>
                <w:color w:val="7030A0"/>
                <w:lang w:eastAsia="en-GB"/>
              </w:rPr>
            </w:pPr>
            <w:r w:rsidRPr="00B17110">
              <w:rPr>
                <w:rFonts w:ascii="Arial" w:hAnsi="Arial" w:cs="Arial"/>
                <w:i/>
                <w:color w:val="7030A0"/>
                <w:lang w:eastAsia="en-GB"/>
              </w:rPr>
              <w:t>The data will be retained until the research has been completed and assessed and for any additional period required by UWTSD policy. It will then be securely deleted.</w:t>
            </w:r>
          </w:p>
          <w:p w14:paraId="32CBC028" w14:textId="77777777" w:rsidR="005F4E12" w:rsidRPr="00354F34" w:rsidRDefault="005F4E12" w:rsidP="00A555F0">
            <w:pPr>
              <w:autoSpaceDE w:val="0"/>
              <w:autoSpaceDN w:val="0"/>
              <w:adjustRightInd w:val="0"/>
              <w:rPr>
                <w:rFonts w:ascii="Arial" w:hAnsi="Arial" w:cs="Arial"/>
              </w:rPr>
            </w:pPr>
          </w:p>
          <w:p w14:paraId="4D9786FD" w14:textId="77777777" w:rsidR="005F4E12" w:rsidRPr="004C3A0B" w:rsidRDefault="005F4E12" w:rsidP="00A555F0">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5F4E12" w:rsidRPr="004C3A0B" w14:paraId="197F26AA" w14:textId="77777777" w:rsidTr="00A555F0">
        <w:trPr>
          <w:trHeight w:val="600"/>
        </w:trPr>
        <w:tc>
          <w:tcPr>
            <w:tcW w:w="562" w:type="dxa"/>
            <w:shd w:val="clear" w:color="auto" w:fill="F2F2F2" w:themeFill="background1" w:themeFillShade="F2"/>
            <w:vAlign w:val="center"/>
          </w:tcPr>
          <w:p w14:paraId="476A5BD4" w14:textId="77777777" w:rsidR="005F4E12" w:rsidRPr="00842FC0" w:rsidRDefault="005F4E12" w:rsidP="00A555F0">
            <w:pPr>
              <w:autoSpaceDE w:val="0"/>
              <w:autoSpaceDN w:val="0"/>
              <w:adjustRightInd w:val="0"/>
              <w:jc w:val="center"/>
              <w:rPr>
                <w:rFonts w:ascii="Arial" w:hAnsi="Arial" w:cs="Arial"/>
                <w:bCs/>
              </w:rPr>
            </w:pPr>
            <w:r w:rsidRPr="00E65973">
              <w:rPr>
                <w:rFonts w:ascii="Arial" w:hAnsi="Arial" w:cs="Arial"/>
                <w:bCs/>
              </w:rPr>
              <w:t>2</w:t>
            </w:r>
            <w:r>
              <w:rPr>
                <w:rFonts w:ascii="Arial" w:hAnsi="Arial" w:cs="Arial"/>
                <w:bCs/>
              </w:rPr>
              <w:t>2</w:t>
            </w:r>
          </w:p>
        </w:tc>
        <w:tc>
          <w:tcPr>
            <w:tcW w:w="7905" w:type="dxa"/>
            <w:shd w:val="clear" w:color="auto" w:fill="F2F2F2" w:themeFill="background1" w:themeFillShade="F2"/>
          </w:tcPr>
          <w:p w14:paraId="5651BE6A" w14:textId="77777777" w:rsidR="005F4E12" w:rsidRPr="009563B2" w:rsidRDefault="005F4E12" w:rsidP="00A555F0">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72"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2018" w:type="dxa"/>
            <w:gridSpan w:val="2"/>
            <w:vAlign w:val="center"/>
          </w:tcPr>
          <w:p w14:paraId="1902BFA7" w14:textId="77777777" w:rsidR="005F4E12" w:rsidRPr="0092487B" w:rsidRDefault="00000000" w:rsidP="00A555F0">
            <w:pPr>
              <w:autoSpaceDE w:val="0"/>
              <w:autoSpaceDN w:val="0"/>
              <w:adjustRightInd w:val="0"/>
              <w:jc w:val="center"/>
              <w:rPr>
                <w:rFonts w:ascii="Arial" w:hAnsi="Arial" w:cs="Arial"/>
              </w:rPr>
            </w:pPr>
            <w:sdt>
              <w:sdtPr>
                <w:rPr>
                  <w:rFonts w:ascii="Arial" w:hAnsi="Arial" w:cs="Arial"/>
                  <w:b/>
                  <w:bCs/>
                </w:rPr>
                <w:id w:val="1821611795"/>
                <w14:checkbox>
                  <w14:checked w14:val="1"/>
                  <w14:checkedState w14:val="2612" w14:font="MS Gothic"/>
                  <w14:uncheckedState w14:val="2610" w14:font="MS Gothic"/>
                </w14:checkbox>
              </w:sdtPr>
              <w:sdtContent>
                <w:r w:rsidR="005F4E12">
                  <w:rPr>
                    <w:rFonts w:ascii="MS Gothic" w:eastAsia="MS Gothic" w:hAnsi="MS Gothic" w:cs="Arial" w:hint="eastAsia"/>
                    <w:b/>
                    <w:bCs/>
                  </w:rPr>
                  <w:t>☒</w:t>
                </w:r>
              </w:sdtContent>
            </w:sdt>
          </w:p>
        </w:tc>
      </w:tr>
      <w:tr w:rsidR="005F4E12" w:rsidRPr="004C3A0B" w14:paraId="0EBFD4C5" w14:textId="77777777" w:rsidTr="00A555F0">
        <w:trPr>
          <w:trHeight w:val="632"/>
        </w:trPr>
        <w:tc>
          <w:tcPr>
            <w:tcW w:w="562" w:type="dxa"/>
            <w:shd w:val="clear" w:color="auto" w:fill="F2F2F2" w:themeFill="background1" w:themeFillShade="F2"/>
            <w:vAlign w:val="center"/>
          </w:tcPr>
          <w:p w14:paraId="3DFAF5B0" w14:textId="77777777" w:rsidR="005F4E12" w:rsidRPr="00842FC0" w:rsidRDefault="005F4E12" w:rsidP="00A555F0">
            <w:pPr>
              <w:autoSpaceDE w:val="0"/>
              <w:autoSpaceDN w:val="0"/>
              <w:adjustRightInd w:val="0"/>
              <w:jc w:val="center"/>
              <w:rPr>
                <w:rFonts w:ascii="Arial" w:hAnsi="Arial" w:cs="Arial"/>
                <w:bCs/>
              </w:rPr>
            </w:pPr>
            <w:r>
              <w:rPr>
                <w:rFonts w:ascii="Arial" w:hAnsi="Arial" w:cs="Arial"/>
                <w:bCs/>
              </w:rPr>
              <w:t>23</w:t>
            </w:r>
          </w:p>
        </w:tc>
        <w:tc>
          <w:tcPr>
            <w:tcW w:w="7905" w:type="dxa"/>
            <w:shd w:val="clear" w:color="auto" w:fill="F2F2F2" w:themeFill="background1" w:themeFillShade="F2"/>
          </w:tcPr>
          <w:p w14:paraId="5FB0480A" w14:textId="77777777" w:rsidR="005F4E12" w:rsidRPr="0092487B" w:rsidRDefault="005F4E12" w:rsidP="00A555F0">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2018" w:type="dxa"/>
            <w:gridSpan w:val="2"/>
            <w:vAlign w:val="center"/>
          </w:tcPr>
          <w:p w14:paraId="08C87F14" w14:textId="77777777" w:rsidR="005F4E12" w:rsidRPr="0092487B" w:rsidRDefault="00000000" w:rsidP="00A555F0">
            <w:pPr>
              <w:autoSpaceDE w:val="0"/>
              <w:autoSpaceDN w:val="0"/>
              <w:adjustRightInd w:val="0"/>
              <w:jc w:val="center"/>
              <w:rPr>
                <w:rFonts w:ascii="Arial" w:hAnsi="Arial" w:cs="Arial"/>
              </w:rPr>
            </w:pPr>
            <w:sdt>
              <w:sdtPr>
                <w:rPr>
                  <w:rFonts w:ascii="Arial" w:hAnsi="Arial" w:cs="Arial"/>
                  <w:b/>
                  <w:bCs/>
                </w:rPr>
                <w:id w:val="767737168"/>
                <w14:checkbox>
                  <w14:checked w14:val="1"/>
                  <w14:checkedState w14:val="2612" w14:font="MS Gothic"/>
                  <w14:uncheckedState w14:val="2610" w14:font="MS Gothic"/>
                </w14:checkbox>
              </w:sdtPr>
              <w:sdtContent>
                <w:r w:rsidR="005F4E12">
                  <w:rPr>
                    <w:rFonts w:ascii="MS Gothic" w:eastAsia="MS Gothic" w:hAnsi="MS Gothic" w:cs="Arial" w:hint="eastAsia"/>
                    <w:b/>
                    <w:bCs/>
                  </w:rPr>
                  <w:t>☒</w:t>
                </w:r>
              </w:sdtContent>
            </w:sdt>
          </w:p>
        </w:tc>
      </w:tr>
    </w:tbl>
    <w:p w14:paraId="70524D60" w14:textId="77777777" w:rsidR="005F4E12" w:rsidRDefault="005F4E12" w:rsidP="005F4E12">
      <w:pPr>
        <w:rPr>
          <w:rFonts w:ascii="Arial" w:hAnsi="Arial" w:cs="Arial"/>
          <w:b/>
          <w:bCs/>
        </w:rPr>
      </w:pPr>
    </w:p>
    <w:p w14:paraId="206F447A" w14:textId="77777777" w:rsidR="005F4E12" w:rsidRDefault="005F4E12" w:rsidP="005F4E12">
      <w:pPr>
        <w:autoSpaceDE w:val="0"/>
        <w:autoSpaceDN w:val="0"/>
        <w:adjustRightInd w:val="0"/>
        <w:spacing w:after="240"/>
        <w:jc w:val="both"/>
        <w:rPr>
          <w:rFonts w:ascii="Arial" w:hAnsi="Arial" w:cs="Arial"/>
          <w:b/>
        </w:rPr>
      </w:pPr>
    </w:p>
    <w:p w14:paraId="67A2C5AC" w14:textId="77777777" w:rsidR="005F4E12" w:rsidRPr="001B41AD" w:rsidRDefault="005F4E12" w:rsidP="005F4E12">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I</w:t>
      </w:r>
      <w:r w:rsidRPr="00354F34">
        <w:rPr>
          <w:rFonts w:ascii="Arial" w:hAnsi="Arial" w:cs="Arial"/>
          <w:b/>
        </w:rPr>
        <w:t>:</w:t>
      </w:r>
      <w:r>
        <w:rPr>
          <w:rFonts w:ascii="Arial" w:hAnsi="Arial" w:cs="Arial"/>
          <w:b/>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5F4E12" w:rsidRPr="003C7DED" w14:paraId="7B9190AF" w14:textId="77777777" w:rsidTr="00A555F0">
        <w:tc>
          <w:tcPr>
            <w:tcW w:w="7392" w:type="dxa"/>
            <w:gridSpan w:val="2"/>
            <w:shd w:val="clear" w:color="auto" w:fill="F2F2F2" w:themeFill="background1" w:themeFillShade="F2"/>
          </w:tcPr>
          <w:p w14:paraId="6A865104" w14:textId="77777777" w:rsidR="005F4E12" w:rsidRPr="003C7DED" w:rsidRDefault="005F4E12" w:rsidP="00A555F0">
            <w:pPr>
              <w:autoSpaceDE w:val="0"/>
              <w:autoSpaceDN w:val="0"/>
              <w:adjustRightInd w:val="0"/>
              <w:jc w:val="both"/>
              <w:rPr>
                <w:rFonts w:ascii="Arial" w:hAnsi="Arial" w:cs="Arial"/>
                <w:b/>
              </w:rPr>
            </w:pPr>
            <w:r>
              <w:rPr>
                <w:rFonts w:ascii="Arial" w:hAnsi="Arial" w:cs="Arial"/>
                <w:b/>
              </w:rPr>
              <w:t>Use of generative AI and other AI-based tools</w:t>
            </w:r>
          </w:p>
          <w:p w14:paraId="3DDEF81F" w14:textId="77777777" w:rsidR="005F4E12" w:rsidRDefault="005F4E12" w:rsidP="00A555F0">
            <w:pPr>
              <w:autoSpaceDE w:val="0"/>
              <w:autoSpaceDN w:val="0"/>
              <w:adjustRightInd w:val="0"/>
              <w:jc w:val="both"/>
              <w:rPr>
                <w:rFonts w:ascii="Arial" w:hAnsi="Arial" w:cs="Arial"/>
                <w:bCs/>
              </w:rPr>
            </w:pPr>
            <w:r>
              <w:rPr>
                <w:rFonts w:ascii="Arial" w:hAnsi="Arial" w:cs="Arial"/>
                <w:bCs/>
              </w:rPr>
              <w:t xml:space="preserve">There are </w:t>
            </w:r>
            <w:proofErr w:type="gramStart"/>
            <w:r>
              <w:rPr>
                <w:rFonts w:ascii="Arial" w:hAnsi="Arial" w:cs="Arial"/>
                <w:bCs/>
              </w:rPr>
              <w:t>a number of</w:t>
            </w:r>
            <w:proofErr w:type="gramEnd"/>
            <w:r>
              <w:rPr>
                <w:rFonts w:ascii="Arial" w:hAnsi="Arial" w:cs="Arial"/>
                <w:bCs/>
              </w:rPr>
              <w:t xml:space="preserve"> ethical issues relating to the use of generative AI and other AI-based tools, including data security, output bias, and output errors. In </w:t>
            </w:r>
            <w:proofErr w:type="gramStart"/>
            <w:r>
              <w:rPr>
                <w:rFonts w:ascii="Arial" w:hAnsi="Arial" w:cs="Arial"/>
                <w:bCs/>
              </w:rPr>
              <w:t>general</w:t>
            </w:r>
            <w:proofErr w:type="gramEnd"/>
            <w:r>
              <w:rPr>
                <w:rFonts w:ascii="Arial" w:hAnsi="Arial" w:cs="Arial"/>
                <w:bCs/>
              </w:rPr>
              <w:t xml:space="preserve"> you should assume that any generative AI or other AI-based tool that you pay to use is more secure and accurate than one which is free to use.</w:t>
            </w:r>
          </w:p>
          <w:p w14:paraId="2DE185CB" w14:textId="77777777" w:rsidR="005F4E12" w:rsidRDefault="005F4E12" w:rsidP="00A555F0">
            <w:pPr>
              <w:autoSpaceDE w:val="0"/>
              <w:autoSpaceDN w:val="0"/>
              <w:adjustRightInd w:val="0"/>
              <w:jc w:val="both"/>
              <w:rPr>
                <w:rFonts w:ascii="Arial" w:hAnsi="Arial" w:cs="Arial"/>
                <w:bCs/>
              </w:rPr>
            </w:pPr>
          </w:p>
          <w:p w14:paraId="3FD68FFE" w14:textId="77777777" w:rsidR="005F4E12" w:rsidRPr="00F11B19" w:rsidRDefault="005F4E12" w:rsidP="00A555F0">
            <w:pPr>
              <w:autoSpaceDE w:val="0"/>
              <w:autoSpaceDN w:val="0"/>
              <w:adjustRightInd w:val="0"/>
              <w:jc w:val="both"/>
              <w:rPr>
                <w:rFonts w:ascii="Arial" w:hAnsi="Arial" w:cs="Arial"/>
                <w:bCs/>
              </w:rPr>
            </w:pPr>
            <w:r>
              <w:rPr>
                <w:rFonts w:ascii="Arial" w:hAnsi="Arial" w:cs="Arial"/>
                <w:bCs/>
              </w:rPr>
              <w:t>Will the research use AI tools to do any of the following:</w:t>
            </w:r>
          </w:p>
        </w:tc>
        <w:tc>
          <w:tcPr>
            <w:tcW w:w="980" w:type="dxa"/>
            <w:shd w:val="clear" w:color="auto" w:fill="F2F2F2" w:themeFill="background1" w:themeFillShade="F2"/>
            <w:vAlign w:val="center"/>
          </w:tcPr>
          <w:p w14:paraId="255ED58C" w14:textId="77777777" w:rsidR="005F4E12" w:rsidRPr="003C7DED" w:rsidRDefault="005F4E12" w:rsidP="00A555F0">
            <w:pPr>
              <w:autoSpaceDE w:val="0"/>
              <w:autoSpaceDN w:val="0"/>
              <w:adjustRightInd w:val="0"/>
              <w:jc w:val="center"/>
              <w:rPr>
                <w:rFonts w:ascii="Arial" w:hAnsi="Arial" w:cs="Arial"/>
                <w:b/>
                <w:bCs/>
              </w:rPr>
            </w:pPr>
            <w:r w:rsidRPr="003C7DED">
              <w:rPr>
                <w:rFonts w:ascii="Arial" w:hAnsi="Arial" w:cs="Arial"/>
                <w:b/>
                <w:bCs/>
              </w:rPr>
              <w:t>YES</w:t>
            </w:r>
          </w:p>
        </w:tc>
        <w:tc>
          <w:tcPr>
            <w:tcW w:w="1109" w:type="dxa"/>
            <w:shd w:val="clear" w:color="auto" w:fill="F2F2F2" w:themeFill="background1" w:themeFillShade="F2"/>
            <w:vAlign w:val="center"/>
          </w:tcPr>
          <w:p w14:paraId="42332045" w14:textId="77777777" w:rsidR="005F4E12" w:rsidRPr="003C7DED" w:rsidRDefault="005F4E12" w:rsidP="00A555F0">
            <w:pPr>
              <w:autoSpaceDE w:val="0"/>
              <w:autoSpaceDN w:val="0"/>
              <w:adjustRightInd w:val="0"/>
              <w:jc w:val="center"/>
              <w:rPr>
                <w:rFonts w:ascii="Arial" w:hAnsi="Arial" w:cs="Arial"/>
                <w:b/>
                <w:bCs/>
              </w:rPr>
            </w:pPr>
            <w:r w:rsidRPr="003C7DED">
              <w:rPr>
                <w:rFonts w:ascii="Arial" w:hAnsi="Arial" w:cs="Arial"/>
                <w:b/>
                <w:bCs/>
              </w:rPr>
              <w:t>NO</w:t>
            </w:r>
          </w:p>
        </w:tc>
        <w:tc>
          <w:tcPr>
            <w:tcW w:w="1006" w:type="dxa"/>
            <w:shd w:val="clear" w:color="auto" w:fill="F2F2F2" w:themeFill="background1" w:themeFillShade="F2"/>
            <w:vAlign w:val="center"/>
          </w:tcPr>
          <w:p w14:paraId="3E69CAB0" w14:textId="77777777" w:rsidR="005F4E12" w:rsidRPr="003C7DED" w:rsidRDefault="005F4E12" w:rsidP="00A555F0">
            <w:pPr>
              <w:autoSpaceDE w:val="0"/>
              <w:autoSpaceDN w:val="0"/>
              <w:adjustRightInd w:val="0"/>
              <w:jc w:val="center"/>
              <w:rPr>
                <w:rFonts w:ascii="Arial" w:hAnsi="Arial" w:cs="Arial"/>
                <w:b/>
                <w:bCs/>
              </w:rPr>
            </w:pPr>
            <w:r w:rsidRPr="003C7DED">
              <w:rPr>
                <w:rFonts w:ascii="Arial" w:hAnsi="Arial" w:cs="Arial"/>
                <w:b/>
                <w:bCs/>
              </w:rPr>
              <w:t>N/A</w:t>
            </w:r>
          </w:p>
        </w:tc>
      </w:tr>
      <w:tr w:rsidR="005F4E12" w:rsidRPr="003C7DED" w14:paraId="7342868E" w14:textId="77777777" w:rsidTr="00A555F0">
        <w:trPr>
          <w:trHeight w:val="439"/>
        </w:trPr>
        <w:tc>
          <w:tcPr>
            <w:tcW w:w="551" w:type="dxa"/>
            <w:shd w:val="clear" w:color="auto" w:fill="F2F2F2" w:themeFill="background1" w:themeFillShade="F2"/>
            <w:vAlign w:val="center"/>
          </w:tcPr>
          <w:p w14:paraId="1A68861C" w14:textId="77777777" w:rsidR="005F4E12" w:rsidRPr="003C7DED" w:rsidRDefault="005F4E12" w:rsidP="00A555F0">
            <w:pPr>
              <w:autoSpaceDE w:val="0"/>
              <w:autoSpaceDN w:val="0"/>
              <w:adjustRightInd w:val="0"/>
              <w:jc w:val="center"/>
              <w:rPr>
                <w:rFonts w:ascii="Arial" w:hAnsi="Arial" w:cs="Arial"/>
              </w:rPr>
            </w:pPr>
            <w:r w:rsidRPr="003C7DED">
              <w:rPr>
                <w:rFonts w:ascii="Arial" w:hAnsi="Arial" w:cs="Arial"/>
              </w:rPr>
              <w:t>1</w:t>
            </w:r>
          </w:p>
        </w:tc>
        <w:tc>
          <w:tcPr>
            <w:tcW w:w="6841" w:type="dxa"/>
            <w:shd w:val="clear" w:color="auto" w:fill="F2F2F2" w:themeFill="background1" w:themeFillShade="F2"/>
            <w:vAlign w:val="center"/>
          </w:tcPr>
          <w:p w14:paraId="36ED8F74" w14:textId="77777777" w:rsidR="005F4E12" w:rsidRPr="003C7DED" w:rsidRDefault="005F4E12" w:rsidP="00A555F0">
            <w:pPr>
              <w:autoSpaceDE w:val="0"/>
              <w:autoSpaceDN w:val="0"/>
              <w:adjustRightInd w:val="0"/>
              <w:rPr>
                <w:rFonts w:ascii="Arial" w:hAnsi="Arial" w:cs="Arial"/>
              </w:rPr>
            </w:pPr>
            <w:r>
              <w:rPr>
                <w:rFonts w:ascii="Arial" w:hAnsi="Arial" w:cs="Arial"/>
              </w:rPr>
              <w:t>Capture data?</w:t>
            </w:r>
          </w:p>
        </w:tc>
        <w:tc>
          <w:tcPr>
            <w:tcW w:w="980" w:type="dxa"/>
            <w:shd w:val="clear" w:color="auto" w:fill="BFBFBF" w:themeFill="background1" w:themeFillShade="BF"/>
            <w:vAlign w:val="center"/>
          </w:tcPr>
          <w:sdt>
            <w:sdtPr>
              <w:rPr>
                <w:rFonts w:ascii="Arial" w:hAnsi="Arial" w:cs="Arial"/>
              </w:rPr>
              <w:id w:val="1926216434"/>
              <w14:checkbox>
                <w14:checked w14:val="0"/>
                <w14:checkedState w14:val="2612" w14:font="MS Gothic"/>
                <w14:uncheckedState w14:val="2610" w14:font="MS Gothic"/>
              </w14:checkbox>
            </w:sdtPr>
            <w:sdtContent>
              <w:p w14:paraId="52A52038" w14:textId="77777777" w:rsidR="005F4E12" w:rsidRPr="003C7DED" w:rsidRDefault="005F4E12" w:rsidP="00A555F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09" w:type="dxa"/>
            <w:shd w:val="clear" w:color="auto" w:fill="BFBFBF" w:themeFill="background1" w:themeFillShade="BF"/>
            <w:vAlign w:val="center"/>
          </w:tcPr>
          <w:sdt>
            <w:sdtPr>
              <w:rPr>
                <w:rFonts w:ascii="Arial" w:hAnsi="Arial" w:cs="Arial"/>
              </w:rPr>
              <w:id w:val="707373964"/>
              <w14:checkbox>
                <w14:checked w14:val="0"/>
                <w14:checkedState w14:val="2612" w14:font="MS Gothic"/>
                <w14:uncheckedState w14:val="2610" w14:font="MS Gothic"/>
              </w14:checkbox>
            </w:sdtPr>
            <w:sdtContent>
              <w:p w14:paraId="23D1DE56" w14:textId="77777777" w:rsidR="005F4E12" w:rsidRPr="003C7DED" w:rsidRDefault="005F4E12" w:rsidP="00A555F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006" w:type="dxa"/>
            <w:shd w:val="clear" w:color="auto" w:fill="BFBFBF" w:themeFill="background1" w:themeFillShade="BF"/>
            <w:vAlign w:val="center"/>
          </w:tcPr>
          <w:sdt>
            <w:sdtPr>
              <w:rPr>
                <w:rFonts w:ascii="Arial" w:hAnsi="Arial" w:cs="Arial"/>
              </w:rPr>
              <w:id w:val="-1946218528"/>
              <w14:checkbox>
                <w14:checked w14:val="1"/>
                <w14:checkedState w14:val="2612" w14:font="MS Gothic"/>
                <w14:uncheckedState w14:val="2610" w14:font="MS Gothic"/>
              </w14:checkbox>
            </w:sdtPr>
            <w:sdtContent>
              <w:p w14:paraId="454B427D" w14:textId="77777777" w:rsidR="005F4E12" w:rsidRPr="003C7DED" w:rsidRDefault="005F4E12" w:rsidP="00A555F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4E12" w:rsidRPr="003C7DED" w14:paraId="35D1A251" w14:textId="77777777" w:rsidTr="00A555F0">
        <w:trPr>
          <w:trHeight w:val="403"/>
        </w:trPr>
        <w:tc>
          <w:tcPr>
            <w:tcW w:w="551" w:type="dxa"/>
            <w:shd w:val="clear" w:color="auto" w:fill="F2F2F2" w:themeFill="background1" w:themeFillShade="F2"/>
            <w:vAlign w:val="center"/>
          </w:tcPr>
          <w:p w14:paraId="5A30EAEC" w14:textId="77777777" w:rsidR="005F4E12" w:rsidRPr="003C7DED" w:rsidRDefault="005F4E12" w:rsidP="00A555F0">
            <w:pPr>
              <w:autoSpaceDE w:val="0"/>
              <w:autoSpaceDN w:val="0"/>
              <w:adjustRightInd w:val="0"/>
              <w:jc w:val="center"/>
              <w:rPr>
                <w:rFonts w:ascii="Arial" w:hAnsi="Arial" w:cs="Arial"/>
              </w:rPr>
            </w:pPr>
            <w:r>
              <w:rPr>
                <w:rFonts w:ascii="Arial" w:hAnsi="Arial" w:cs="Arial"/>
              </w:rPr>
              <w:t>2</w:t>
            </w:r>
          </w:p>
        </w:tc>
        <w:tc>
          <w:tcPr>
            <w:tcW w:w="6841" w:type="dxa"/>
            <w:shd w:val="clear" w:color="auto" w:fill="F2F2F2" w:themeFill="background1" w:themeFillShade="F2"/>
            <w:vAlign w:val="center"/>
          </w:tcPr>
          <w:p w14:paraId="21B14AF5" w14:textId="77777777" w:rsidR="005F4E12" w:rsidRDefault="005F4E12" w:rsidP="00A555F0">
            <w:pPr>
              <w:autoSpaceDE w:val="0"/>
              <w:autoSpaceDN w:val="0"/>
              <w:adjustRightInd w:val="0"/>
              <w:rPr>
                <w:rFonts w:ascii="Arial" w:hAnsi="Arial" w:cs="Arial"/>
              </w:rPr>
            </w:pPr>
            <w:r>
              <w:rPr>
                <w:rFonts w:ascii="Arial" w:hAnsi="Arial" w:cs="Arial"/>
              </w:rPr>
              <w:t>Generate and/or edit text?</w:t>
            </w:r>
          </w:p>
        </w:tc>
        <w:tc>
          <w:tcPr>
            <w:tcW w:w="980" w:type="dxa"/>
            <w:shd w:val="clear" w:color="auto" w:fill="BFBFBF" w:themeFill="background1" w:themeFillShade="BF"/>
            <w:vAlign w:val="center"/>
          </w:tcPr>
          <w:sdt>
            <w:sdtPr>
              <w:rPr>
                <w:rFonts w:ascii="Arial" w:hAnsi="Arial" w:cs="Arial"/>
              </w:rPr>
              <w:id w:val="-1976356530"/>
              <w14:checkbox>
                <w14:checked w14:val="0"/>
                <w14:checkedState w14:val="2612" w14:font="MS Gothic"/>
                <w14:uncheckedState w14:val="2610" w14:font="MS Gothic"/>
              </w14:checkbox>
            </w:sdtPr>
            <w:sdtContent>
              <w:p w14:paraId="29957013" w14:textId="77777777" w:rsidR="005F4E12" w:rsidRDefault="005F4E12" w:rsidP="00A555F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09" w:type="dxa"/>
            <w:shd w:val="clear" w:color="auto" w:fill="BFBFBF" w:themeFill="background1" w:themeFillShade="BF"/>
            <w:vAlign w:val="center"/>
          </w:tcPr>
          <w:sdt>
            <w:sdtPr>
              <w:rPr>
                <w:rFonts w:ascii="Arial" w:hAnsi="Arial" w:cs="Arial"/>
              </w:rPr>
              <w:id w:val="-1124915725"/>
              <w14:checkbox>
                <w14:checked w14:val="1"/>
                <w14:checkedState w14:val="2612" w14:font="MS Gothic"/>
                <w14:uncheckedState w14:val="2610" w14:font="MS Gothic"/>
              </w14:checkbox>
            </w:sdtPr>
            <w:sdtContent>
              <w:p w14:paraId="64F93EEC" w14:textId="77777777" w:rsidR="005F4E12" w:rsidRDefault="005F4E12" w:rsidP="00A555F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BFBFBF" w:themeFill="background1" w:themeFillShade="BF"/>
            <w:vAlign w:val="center"/>
          </w:tcPr>
          <w:sdt>
            <w:sdtPr>
              <w:rPr>
                <w:rFonts w:ascii="Arial" w:hAnsi="Arial" w:cs="Arial"/>
              </w:rPr>
              <w:id w:val="830252064"/>
              <w14:checkbox>
                <w14:checked w14:val="0"/>
                <w14:checkedState w14:val="2612" w14:font="MS Gothic"/>
                <w14:uncheckedState w14:val="2610" w14:font="MS Gothic"/>
              </w14:checkbox>
            </w:sdtPr>
            <w:sdtContent>
              <w:p w14:paraId="48EFE283" w14:textId="77777777" w:rsidR="005F4E12" w:rsidRDefault="005F4E12" w:rsidP="00A555F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5F4E12" w:rsidRPr="003C7DED" w14:paraId="32CB1A8E" w14:textId="77777777" w:rsidTr="00A555F0">
        <w:trPr>
          <w:trHeight w:val="403"/>
        </w:trPr>
        <w:tc>
          <w:tcPr>
            <w:tcW w:w="551" w:type="dxa"/>
            <w:shd w:val="clear" w:color="auto" w:fill="F2F2F2" w:themeFill="background1" w:themeFillShade="F2"/>
            <w:vAlign w:val="center"/>
          </w:tcPr>
          <w:p w14:paraId="464CD863" w14:textId="77777777" w:rsidR="005F4E12" w:rsidRPr="003C7DED" w:rsidRDefault="005F4E12" w:rsidP="00A555F0">
            <w:pPr>
              <w:autoSpaceDE w:val="0"/>
              <w:autoSpaceDN w:val="0"/>
              <w:adjustRightInd w:val="0"/>
              <w:jc w:val="center"/>
              <w:rPr>
                <w:rFonts w:ascii="Arial" w:hAnsi="Arial" w:cs="Arial"/>
              </w:rPr>
            </w:pPr>
            <w:r>
              <w:rPr>
                <w:rFonts w:ascii="Arial" w:hAnsi="Arial" w:cs="Arial"/>
              </w:rPr>
              <w:lastRenderedPageBreak/>
              <w:t>3</w:t>
            </w:r>
          </w:p>
        </w:tc>
        <w:tc>
          <w:tcPr>
            <w:tcW w:w="6841" w:type="dxa"/>
            <w:shd w:val="clear" w:color="auto" w:fill="F2F2F2" w:themeFill="background1" w:themeFillShade="F2"/>
            <w:vAlign w:val="center"/>
          </w:tcPr>
          <w:p w14:paraId="0D163B70" w14:textId="77777777" w:rsidR="005F4E12" w:rsidRDefault="005F4E12" w:rsidP="00A555F0">
            <w:pPr>
              <w:autoSpaceDE w:val="0"/>
              <w:autoSpaceDN w:val="0"/>
              <w:adjustRightInd w:val="0"/>
              <w:rPr>
                <w:rFonts w:ascii="Arial" w:hAnsi="Arial" w:cs="Arial"/>
              </w:rPr>
            </w:pPr>
            <w:r>
              <w:rPr>
                <w:rFonts w:ascii="Arial" w:hAnsi="Arial" w:cs="Arial"/>
              </w:rPr>
              <w:t>Generate graphics?</w:t>
            </w:r>
          </w:p>
        </w:tc>
        <w:tc>
          <w:tcPr>
            <w:tcW w:w="980" w:type="dxa"/>
            <w:shd w:val="clear" w:color="auto" w:fill="BFBFBF" w:themeFill="background1" w:themeFillShade="BF"/>
            <w:vAlign w:val="center"/>
          </w:tcPr>
          <w:sdt>
            <w:sdtPr>
              <w:rPr>
                <w:rFonts w:ascii="Arial" w:hAnsi="Arial" w:cs="Arial"/>
              </w:rPr>
              <w:id w:val="-489091387"/>
              <w14:checkbox>
                <w14:checked w14:val="0"/>
                <w14:checkedState w14:val="2612" w14:font="MS Gothic"/>
                <w14:uncheckedState w14:val="2610" w14:font="MS Gothic"/>
              </w14:checkbox>
            </w:sdtPr>
            <w:sdtContent>
              <w:p w14:paraId="28F2F9A0" w14:textId="77777777" w:rsidR="005F4E12" w:rsidRDefault="005F4E12" w:rsidP="00A555F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09" w:type="dxa"/>
            <w:shd w:val="clear" w:color="auto" w:fill="BFBFBF" w:themeFill="background1" w:themeFillShade="BF"/>
            <w:vAlign w:val="center"/>
          </w:tcPr>
          <w:sdt>
            <w:sdtPr>
              <w:rPr>
                <w:rFonts w:ascii="Arial" w:hAnsi="Arial" w:cs="Arial"/>
              </w:rPr>
              <w:id w:val="-190683493"/>
              <w14:checkbox>
                <w14:checked w14:val="1"/>
                <w14:checkedState w14:val="2612" w14:font="MS Gothic"/>
                <w14:uncheckedState w14:val="2610" w14:font="MS Gothic"/>
              </w14:checkbox>
            </w:sdtPr>
            <w:sdtContent>
              <w:p w14:paraId="0C5F42F9" w14:textId="77777777" w:rsidR="005F4E12" w:rsidRDefault="005F4E12" w:rsidP="00A555F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BFBFBF" w:themeFill="background1" w:themeFillShade="BF"/>
            <w:vAlign w:val="center"/>
          </w:tcPr>
          <w:sdt>
            <w:sdtPr>
              <w:rPr>
                <w:rFonts w:ascii="Arial" w:hAnsi="Arial" w:cs="Arial"/>
              </w:rPr>
              <w:id w:val="-1396882234"/>
              <w14:checkbox>
                <w14:checked w14:val="0"/>
                <w14:checkedState w14:val="2612" w14:font="MS Gothic"/>
                <w14:uncheckedState w14:val="2610" w14:font="MS Gothic"/>
              </w14:checkbox>
            </w:sdtPr>
            <w:sdtContent>
              <w:p w14:paraId="3D9907C0" w14:textId="77777777" w:rsidR="005F4E12" w:rsidRDefault="005F4E12" w:rsidP="00A555F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5F4E12" w:rsidRPr="003C7DED" w14:paraId="45621FCF" w14:textId="77777777" w:rsidTr="00A555F0">
        <w:trPr>
          <w:trHeight w:val="403"/>
        </w:trPr>
        <w:tc>
          <w:tcPr>
            <w:tcW w:w="551" w:type="dxa"/>
            <w:shd w:val="clear" w:color="auto" w:fill="F2F2F2" w:themeFill="background1" w:themeFillShade="F2"/>
            <w:vAlign w:val="center"/>
          </w:tcPr>
          <w:p w14:paraId="34C69034" w14:textId="77777777" w:rsidR="005F4E12" w:rsidRPr="003C7DED" w:rsidRDefault="005F4E12" w:rsidP="00A555F0">
            <w:pPr>
              <w:autoSpaceDE w:val="0"/>
              <w:autoSpaceDN w:val="0"/>
              <w:adjustRightInd w:val="0"/>
              <w:jc w:val="center"/>
              <w:rPr>
                <w:rFonts w:ascii="Arial" w:hAnsi="Arial" w:cs="Arial"/>
              </w:rPr>
            </w:pPr>
            <w:r>
              <w:rPr>
                <w:rFonts w:ascii="Arial" w:hAnsi="Arial" w:cs="Arial"/>
              </w:rPr>
              <w:t>4</w:t>
            </w:r>
          </w:p>
        </w:tc>
        <w:tc>
          <w:tcPr>
            <w:tcW w:w="6841" w:type="dxa"/>
            <w:shd w:val="clear" w:color="auto" w:fill="F2F2F2" w:themeFill="background1" w:themeFillShade="F2"/>
            <w:vAlign w:val="center"/>
          </w:tcPr>
          <w:p w14:paraId="4096F3D5" w14:textId="77777777" w:rsidR="005F4E12" w:rsidRDefault="005F4E12" w:rsidP="00A555F0">
            <w:pPr>
              <w:autoSpaceDE w:val="0"/>
              <w:autoSpaceDN w:val="0"/>
              <w:adjustRightInd w:val="0"/>
              <w:rPr>
                <w:rFonts w:ascii="Arial" w:hAnsi="Arial" w:cs="Arial"/>
              </w:rPr>
            </w:pPr>
            <w:r>
              <w:rPr>
                <w:rFonts w:ascii="Arial" w:hAnsi="Arial" w:cs="Arial"/>
              </w:rPr>
              <w:t>Generate video?</w:t>
            </w:r>
          </w:p>
        </w:tc>
        <w:tc>
          <w:tcPr>
            <w:tcW w:w="980" w:type="dxa"/>
            <w:shd w:val="clear" w:color="auto" w:fill="BFBFBF" w:themeFill="background1" w:themeFillShade="BF"/>
            <w:vAlign w:val="center"/>
          </w:tcPr>
          <w:sdt>
            <w:sdtPr>
              <w:rPr>
                <w:rFonts w:ascii="Arial" w:hAnsi="Arial" w:cs="Arial"/>
              </w:rPr>
              <w:id w:val="-1245803632"/>
              <w14:checkbox>
                <w14:checked w14:val="0"/>
                <w14:checkedState w14:val="2612" w14:font="MS Gothic"/>
                <w14:uncheckedState w14:val="2610" w14:font="MS Gothic"/>
              </w14:checkbox>
            </w:sdtPr>
            <w:sdtContent>
              <w:p w14:paraId="7A14FD27" w14:textId="77777777" w:rsidR="005F4E12" w:rsidRDefault="005F4E12" w:rsidP="00A555F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09" w:type="dxa"/>
            <w:shd w:val="clear" w:color="auto" w:fill="BFBFBF" w:themeFill="background1" w:themeFillShade="BF"/>
            <w:vAlign w:val="center"/>
          </w:tcPr>
          <w:sdt>
            <w:sdtPr>
              <w:rPr>
                <w:rFonts w:ascii="Arial" w:hAnsi="Arial" w:cs="Arial"/>
              </w:rPr>
              <w:id w:val="2043635272"/>
              <w14:checkbox>
                <w14:checked w14:val="1"/>
                <w14:checkedState w14:val="2612" w14:font="MS Gothic"/>
                <w14:uncheckedState w14:val="2610" w14:font="MS Gothic"/>
              </w14:checkbox>
            </w:sdtPr>
            <w:sdtContent>
              <w:p w14:paraId="1240CC03" w14:textId="77777777" w:rsidR="005F4E12" w:rsidRDefault="005F4E12" w:rsidP="00A555F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BFBFBF" w:themeFill="background1" w:themeFillShade="BF"/>
            <w:vAlign w:val="center"/>
          </w:tcPr>
          <w:sdt>
            <w:sdtPr>
              <w:rPr>
                <w:rFonts w:ascii="Arial" w:hAnsi="Arial" w:cs="Arial"/>
              </w:rPr>
              <w:id w:val="523134186"/>
              <w14:checkbox>
                <w14:checked w14:val="0"/>
                <w14:checkedState w14:val="2612" w14:font="MS Gothic"/>
                <w14:uncheckedState w14:val="2610" w14:font="MS Gothic"/>
              </w14:checkbox>
            </w:sdtPr>
            <w:sdtContent>
              <w:p w14:paraId="5ADF58E5" w14:textId="77777777" w:rsidR="005F4E12" w:rsidRDefault="005F4E12" w:rsidP="00A555F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5F4E12" w:rsidRPr="003C7DED" w14:paraId="158AAD63" w14:textId="77777777" w:rsidTr="00A555F0">
        <w:trPr>
          <w:trHeight w:val="403"/>
        </w:trPr>
        <w:tc>
          <w:tcPr>
            <w:tcW w:w="551" w:type="dxa"/>
            <w:shd w:val="clear" w:color="auto" w:fill="F2F2F2" w:themeFill="background1" w:themeFillShade="F2"/>
            <w:vAlign w:val="center"/>
          </w:tcPr>
          <w:p w14:paraId="606B2123" w14:textId="77777777" w:rsidR="005F4E12" w:rsidRPr="003C7DED" w:rsidRDefault="005F4E12" w:rsidP="00A555F0">
            <w:pPr>
              <w:autoSpaceDE w:val="0"/>
              <w:autoSpaceDN w:val="0"/>
              <w:adjustRightInd w:val="0"/>
              <w:jc w:val="center"/>
              <w:rPr>
                <w:rFonts w:ascii="Arial" w:hAnsi="Arial" w:cs="Arial"/>
              </w:rPr>
            </w:pPr>
            <w:r>
              <w:rPr>
                <w:rFonts w:ascii="Arial" w:hAnsi="Arial" w:cs="Arial"/>
              </w:rPr>
              <w:t>5</w:t>
            </w:r>
          </w:p>
        </w:tc>
        <w:tc>
          <w:tcPr>
            <w:tcW w:w="6841" w:type="dxa"/>
            <w:shd w:val="clear" w:color="auto" w:fill="F2F2F2" w:themeFill="background1" w:themeFillShade="F2"/>
            <w:vAlign w:val="center"/>
          </w:tcPr>
          <w:p w14:paraId="08E32CDC" w14:textId="77777777" w:rsidR="005F4E12" w:rsidRDefault="005F4E12" w:rsidP="00A555F0">
            <w:pPr>
              <w:autoSpaceDE w:val="0"/>
              <w:autoSpaceDN w:val="0"/>
              <w:adjustRightInd w:val="0"/>
              <w:rPr>
                <w:rFonts w:ascii="Arial" w:hAnsi="Arial" w:cs="Arial"/>
              </w:rPr>
            </w:pPr>
            <w:r>
              <w:rPr>
                <w:rFonts w:ascii="Arial" w:hAnsi="Arial" w:cs="Arial"/>
              </w:rPr>
              <w:t>Generate sound/music?</w:t>
            </w:r>
          </w:p>
        </w:tc>
        <w:tc>
          <w:tcPr>
            <w:tcW w:w="980" w:type="dxa"/>
            <w:shd w:val="clear" w:color="auto" w:fill="BFBFBF" w:themeFill="background1" w:themeFillShade="BF"/>
            <w:vAlign w:val="center"/>
          </w:tcPr>
          <w:sdt>
            <w:sdtPr>
              <w:rPr>
                <w:rFonts w:ascii="Arial" w:hAnsi="Arial" w:cs="Arial"/>
              </w:rPr>
              <w:id w:val="-405153558"/>
              <w14:checkbox>
                <w14:checked w14:val="0"/>
                <w14:checkedState w14:val="2612" w14:font="MS Gothic"/>
                <w14:uncheckedState w14:val="2610" w14:font="MS Gothic"/>
              </w14:checkbox>
            </w:sdtPr>
            <w:sdtContent>
              <w:p w14:paraId="0E3CB20A" w14:textId="77777777" w:rsidR="005F4E12" w:rsidRDefault="005F4E12" w:rsidP="00A555F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09" w:type="dxa"/>
            <w:shd w:val="clear" w:color="auto" w:fill="BFBFBF" w:themeFill="background1" w:themeFillShade="BF"/>
            <w:vAlign w:val="center"/>
          </w:tcPr>
          <w:sdt>
            <w:sdtPr>
              <w:rPr>
                <w:rFonts w:ascii="Arial" w:hAnsi="Arial" w:cs="Arial"/>
              </w:rPr>
              <w:id w:val="-115911874"/>
              <w14:checkbox>
                <w14:checked w14:val="1"/>
                <w14:checkedState w14:val="2612" w14:font="MS Gothic"/>
                <w14:uncheckedState w14:val="2610" w14:font="MS Gothic"/>
              </w14:checkbox>
            </w:sdtPr>
            <w:sdtContent>
              <w:p w14:paraId="4986F35D" w14:textId="77777777" w:rsidR="005F4E12" w:rsidRDefault="005F4E12" w:rsidP="00A555F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BFBFBF" w:themeFill="background1" w:themeFillShade="BF"/>
            <w:vAlign w:val="center"/>
          </w:tcPr>
          <w:sdt>
            <w:sdtPr>
              <w:rPr>
                <w:rFonts w:ascii="Arial" w:hAnsi="Arial" w:cs="Arial"/>
              </w:rPr>
              <w:id w:val="-930580053"/>
              <w14:checkbox>
                <w14:checked w14:val="0"/>
                <w14:checkedState w14:val="2612" w14:font="MS Gothic"/>
                <w14:uncheckedState w14:val="2610" w14:font="MS Gothic"/>
              </w14:checkbox>
            </w:sdtPr>
            <w:sdtContent>
              <w:p w14:paraId="5933066F" w14:textId="77777777" w:rsidR="005F4E12" w:rsidRDefault="005F4E12" w:rsidP="00A555F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5F4E12" w:rsidRPr="003C7DED" w14:paraId="6B3476E1" w14:textId="77777777" w:rsidTr="00A555F0">
        <w:trPr>
          <w:trHeight w:val="439"/>
        </w:trPr>
        <w:tc>
          <w:tcPr>
            <w:tcW w:w="551" w:type="dxa"/>
            <w:shd w:val="clear" w:color="auto" w:fill="F2F2F2" w:themeFill="background1" w:themeFillShade="F2"/>
            <w:vAlign w:val="center"/>
          </w:tcPr>
          <w:p w14:paraId="042A795F" w14:textId="77777777" w:rsidR="005F4E12" w:rsidRPr="003C7DED" w:rsidRDefault="005F4E12" w:rsidP="00A555F0">
            <w:pPr>
              <w:autoSpaceDE w:val="0"/>
              <w:autoSpaceDN w:val="0"/>
              <w:adjustRightInd w:val="0"/>
              <w:jc w:val="center"/>
              <w:rPr>
                <w:rFonts w:ascii="Arial" w:hAnsi="Arial" w:cs="Arial"/>
              </w:rPr>
            </w:pPr>
            <w:r>
              <w:rPr>
                <w:rFonts w:ascii="Arial" w:hAnsi="Arial" w:cs="Arial"/>
              </w:rPr>
              <w:t>6</w:t>
            </w:r>
          </w:p>
        </w:tc>
        <w:tc>
          <w:tcPr>
            <w:tcW w:w="6841" w:type="dxa"/>
            <w:shd w:val="clear" w:color="auto" w:fill="F2F2F2" w:themeFill="background1" w:themeFillShade="F2"/>
            <w:vAlign w:val="center"/>
          </w:tcPr>
          <w:p w14:paraId="6C7EF326" w14:textId="77777777" w:rsidR="005F4E12" w:rsidRPr="003C7DED" w:rsidRDefault="005F4E12" w:rsidP="00A555F0">
            <w:pPr>
              <w:autoSpaceDE w:val="0"/>
              <w:autoSpaceDN w:val="0"/>
              <w:adjustRightInd w:val="0"/>
              <w:rPr>
                <w:rFonts w:ascii="Arial" w:hAnsi="Arial" w:cs="Arial"/>
              </w:rPr>
            </w:pPr>
            <w:r>
              <w:rPr>
                <w:rFonts w:ascii="Arial" w:hAnsi="Arial" w:cs="Arial"/>
              </w:rPr>
              <w:t>Generate code?</w:t>
            </w:r>
          </w:p>
        </w:tc>
        <w:tc>
          <w:tcPr>
            <w:tcW w:w="980" w:type="dxa"/>
            <w:shd w:val="clear" w:color="auto" w:fill="BFBFBF" w:themeFill="background1" w:themeFillShade="BF"/>
            <w:vAlign w:val="center"/>
          </w:tcPr>
          <w:sdt>
            <w:sdtPr>
              <w:rPr>
                <w:rFonts w:ascii="Arial" w:hAnsi="Arial" w:cs="Arial"/>
              </w:rPr>
              <w:id w:val="1457459209"/>
              <w14:checkbox>
                <w14:checked w14:val="0"/>
                <w14:checkedState w14:val="2612" w14:font="MS Gothic"/>
                <w14:uncheckedState w14:val="2610" w14:font="MS Gothic"/>
              </w14:checkbox>
            </w:sdtPr>
            <w:sdtContent>
              <w:p w14:paraId="5D42D723" w14:textId="77777777" w:rsidR="005F4E12" w:rsidRPr="003C7DED" w:rsidRDefault="005F4E12" w:rsidP="00A555F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09" w:type="dxa"/>
            <w:shd w:val="clear" w:color="auto" w:fill="BFBFBF" w:themeFill="background1" w:themeFillShade="BF"/>
            <w:vAlign w:val="center"/>
          </w:tcPr>
          <w:sdt>
            <w:sdtPr>
              <w:rPr>
                <w:rFonts w:ascii="Arial" w:hAnsi="Arial" w:cs="Arial"/>
              </w:rPr>
              <w:id w:val="-2044195477"/>
              <w14:checkbox>
                <w14:checked w14:val="1"/>
                <w14:checkedState w14:val="2612" w14:font="MS Gothic"/>
                <w14:uncheckedState w14:val="2610" w14:font="MS Gothic"/>
              </w14:checkbox>
            </w:sdtPr>
            <w:sdtContent>
              <w:p w14:paraId="68444DED" w14:textId="77777777" w:rsidR="005F4E12" w:rsidRPr="003C7DED" w:rsidRDefault="005F4E12" w:rsidP="00A555F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BFBFBF" w:themeFill="background1" w:themeFillShade="BF"/>
            <w:vAlign w:val="center"/>
          </w:tcPr>
          <w:sdt>
            <w:sdtPr>
              <w:rPr>
                <w:rFonts w:ascii="Arial" w:hAnsi="Arial" w:cs="Arial"/>
              </w:rPr>
              <w:id w:val="-42519630"/>
              <w14:checkbox>
                <w14:checked w14:val="0"/>
                <w14:checkedState w14:val="2612" w14:font="MS Gothic"/>
                <w14:uncheckedState w14:val="2610" w14:font="MS Gothic"/>
              </w14:checkbox>
            </w:sdtPr>
            <w:sdtContent>
              <w:p w14:paraId="1F6E72BD" w14:textId="77777777" w:rsidR="005F4E12" w:rsidRPr="003C7DED" w:rsidRDefault="005F4E12" w:rsidP="00A555F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5F4E12" w:rsidRPr="003C7DED" w14:paraId="2A88F991" w14:textId="77777777" w:rsidTr="00A555F0">
        <w:trPr>
          <w:trHeight w:val="403"/>
        </w:trPr>
        <w:tc>
          <w:tcPr>
            <w:tcW w:w="551" w:type="dxa"/>
            <w:shd w:val="clear" w:color="auto" w:fill="F2F2F2" w:themeFill="background1" w:themeFillShade="F2"/>
            <w:vAlign w:val="center"/>
          </w:tcPr>
          <w:p w14:paraId="56C174BF" w14:textId="77777777" w:rsidR="005F4E12" w:rsidRPr="003C7DED" w:rsidRDefault="005F4E12" w:rsidP="00A555F0">
            <w:pPr>
              <w:autoSpaceDE w:val="0"/>
              <w:autoSpaceDN w:val="0"/>
              <w:adjustRightInd w:val="0"/>
              <w:jc w:val="center"/>
              <w:rPr>
                <w:rFonts w:ascii="Arial" w:hAnsi="Arial" w:cs="Arial"/>
              </w:rPr>
            </w:pPr>
            <w:r>
              <w:rPr>
                <w:rFonts w:ascii="Arial" w:hAnsi="Arial" w:cs="Arial"/>
              </w:rPr>
              <w:t>7</w:t>
            </w:r>
          </w:p>
        </w:tc>
        <w:tc>
          <w:tcPr>
            <w:tcW w:w="6841" w:type="dxa"/>
            <w:shd w:val="clear" w:color="auto" w:fill="F2F2F2" w:themeFill="background1" w:themeFillShade="F2"/>
            <w:vAlign w:val="center"/>
          </w:tcPr>
          <w:p w14:paraId="56A8A983" w14:textId="77777777" w:rsidR="005F4E12" w:rsidRPr="003C7DED" w:rsidRDefault="005F4E12" w:rsidP="00A555F0">
            <w:pPr>
              <w:autoSpaceDE w:val="0"/>
              <w:autoSpaceDN w:val="0"/>
              <w:adjustRightInd w:val="0"/>
              <w:rPr>
                <w:rFonts w:ascii="Arial" w:hAnsi="Arial" w:cs="Arial"/>
              </w:rPr>
            </w:pPr>
            <w:r>
              <w:rPr>
                <w:rFonts w:ascii="Arial" w:hAnsi="Arial" w:cs="Arial"/>
              </w:rPr>
              <w:t>Generate synthetic data?</w:t>
            </w:r>
          </w:p>
        </w:tc>
        <w:tc>
          <w:tcPr>
            <w:tcW w:w="980" w:type="dxa"/>
            <w:shd w:val="clear" w:color="auto" w:fill="BFBFBF" w:themeFill="background1" w:themeFillShade="BF"/>
            <w:vAlign w:val="center"/>
          </w:tcPr>
          <w:sdt>
            <w:sdtPr>
              <w:rPr>
                <w:rFonts w:ascii="Arial" w:hAnsi="Arial" w:cs="Arial"/>
              </w:rPr>
              <w:id w:val="2016112145"/>
              <w14:checkbox>
                <w14:checked w14:val="0"/>
                <w14:checkedState w14:val="2612" w14:font="MS Gothic"/>
                <w14:uncheckedState w14:val="2610" w14:font="MS Gothic"/>
              </w14:checkbox>
            </w:sdtPr>
            <w:sdtContent>
              <w:p w14:paraId="1F7BF689" w14:textId="77777777" w:rsidR="005F4E12" w:rsidRPr="003C7DED" w:rsidRDefault="005F4E12" w:rsidP="00A555F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09" w:type="dxa"/>
            <w:shd w:val="clear" w:color="auto" w:fill="BFBFBF" w:themeFill="background1" w:themeFillShade="BF"/>
            <w:vAlign w:val="center"/>
          </w:tcPr>
          <w:sdt>
            <w:sdtPr>
              <w:rPr>
                <w:rFonts w:ascii="Arial" w:hAnsi="Arial" w:cs="Arial"/>
              </w:rPr>
              <w:id w:val="-305010608"/>
              <w14:checkbox>
                <w14:checked w14:val="1"/>
                <w14:checkedState w14:val="2612" w14:font="MS Gothic"/>
                <w14:uncheckedState w14:val="2610" w14:font="MS Gothic"/>
              </w14:checkbox>
            </w:sdtPr>
            <w:sdtContent>
              <w:p w14:paraId="71ADA77B" w14:textId="77777777" w:rsidR="005F4E12" w:rsidRPr="003C7DED" w:rsidRDefault="005F4E12" w:rsidP="00A555F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BFBFBF" w:themeFill="background1" w:themeFillShade="BF"/>
            <w:vAlign w:val="center"/>
          </w:tcPr>
          <w:sdt>
            <w:sdtPr>
              <w:rPr>
                <w:rFonts w:ascii="Arial" w:hAnsi="Arial" w:cs="Arial"/>
              </w:rPr>
              <w:id w:val="-1567940934"/>
              <w14:checkbox>
                <w14:checked w14:val="0"/>
                <w14:checkedState w14:val="2612" w14:font="MS Gothic"/>
                <w14:uncheckedState w14:val="2610" w14:font="MS Gothic"/>
              </w14:checkbox>
            </w:sdtPr>
            <w:sdtContent>
              <w:p w14:paraId="2DFEFEFD" w14:textId="77777777" w:rsidR="005F4E12" w:rsidRPr="003C7DED" w:rsidRDefault="005F4E12" w:rsidP="00A555F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5F4E12" w:rsidRPr="003C7DED" w14:paraId="6261BA94" w14:textId="77777777" w:rsidTr="00A555F0">
        <w:trPr>
          <w:trHeight w:val="403"/>
        </w:trPr>
        <w:tc>
          <w:tcPr>
            <w:tcW w:w="551" w:type="dxa"/>
            <w:shd w:val="clear" w:color="auto" w:fill="F2F2F2" w:themeFill="background1" w:themeFillShade="F2"/>
            <w:vAlign w:val="center"/>
          </w:tcPr>
          <w:p w14:paraId="63DAF85B" w14:textId="77777777" w:rsidR="005F4E12" w:rsidRPr="003C7DED" w:rsidRDefault="005F4E12" w:rsidP="00A555F0">
            <w:pPr>
              <w:autoSpaceDE w:val="0"/>
              <w:autoSpaceDN w:val="0"/>
              <w:adjustRightInd w:val="0"/>
              <w:jc w:val="center"/>
              <w:rPr>
                <w:rFonts w:ascii="Arial" w:hAnsi="Arial" w:cs="Arial"/>
              </w:rPr>
            </w:pPr>
            <w:r>
              <w:rPr>
                <w:rFonts w:ascii="Arial" w:hAnsi="Arial" w:cs="Arial"/>
              </w:rPr>
              <w:t>8</w:t>
            </w:r>
          </w:p>
        </w:tc>
        <w:tc>
          <w:tcPr>
            <w:tcW w:w="6841" w:type="dxa"/>
            <w:shd w:val="clear" w:color="auto" w:fill="F2F2F2" w:themeFill="background1" w:themeFillShade="F2"/>
            <w:vAlign w:val="center"/>
          </w:tcPr>
          <w:p w14:paraId="62769C3D" w14:textId="77777777" w:rsidR="005F4E12" w:rsidRPr="003C7DED" w:rsidRDefault="005F4E12" w:rsidP="00A555F0">
            <w:pPr>
              <w:autoSpaceDE w:val="0"/>
              <w:autoSpaceDN w:val="0"/>
              <w:adjustRightInd w:val="0"/>
              <w:rPr>
                <w:rFonts w:ascii="Arial" w:hAnsi="Arial" w:cs="Arial"/>
              </w:rPr>
            </w:pPr>
            <w:r>
              <w:rPr>
                <w:rFonts w:ascii="Arial" w:hAnsi="Arial" w:cs="Arial"/>
              </w:rPr>
              <w:t>Analyse data?</w:t>
            </w:r>
          </w:p>
        </w:tc>
        <w:tc>
          <w:tcPr>
            <w:tcW w:w="980" w:type="dxa"/>
            <w:shd w:val="clear" w:color="auto" w:fill="BFBFBF" w:themeFill="background1" w:themeFillShade="BF"/>
            <w:vAlign w:val="center"/>
          </w:tcPr>
          <w:sdt>
            <w:sdtPr>
              <w:rPr>
                <w:rFonts w:ascii="Arial" w:hAnsi="Arial" w:cs="Arial"/>
              </w:rPr>
              <w:id w:val="-1294974624"/>
              <w14:checkbox>
                <w14:checked w14:val="0"/>
                <w14:checkedState w14:val="2612" w14:font="MS Gothic"/>
                <w14:uncheckedState w14:val="2610" w14:font="MS Gothic"/>
              </w14:checkbox>
            </w:sdtPr>
            <w:sdtContent>
              <w:p w14:paraId="7B54C08D" w14:textId="77777777" w:rsidR="005F4E12" w:rsidRPr="003C7DED" w:rsidRDefault="005F4E12" w:rsidP="00A555F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09" w:type="dxa"/>
            <w:shd w:val="clear" w:color="auto" w:fill="BFBFBF" w:themeFill="background1" w:themeFillShade="BF"/>
            <w:vAlign w:val="center"/>
          </w:tcPr>
          <w:sdt>
            <w:sdtPr>
              <w:rPr>
                <w:rFonts w:ascii="Arial" w:hAnsi="Arial" w:cs="Arial"/>
              </w:rPr>
              <w:id w:val="1502082000"/>
              <w14:checkbox>
                <w14:checked w14:val="1"/>
                <w14:checkedState w14:val="2612" w14:font="MS Gothic"/>
                <w14:uncheckedState w14:val="2610" w14:font="MS Gothic"/>
              </w14:checkbox>
            </w:sdtPr>
            <w:sdtContent>
              <w:p w14:paraId="7D6BCCBE" w14:textId="77777777" w:rsidR="005F4E12" w:rsidRPr="003C7DED" w:rsidRDefault="005F4E12" w:rsidP="00A555F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BFBFBF" w:themeFill="background1" w:themeFillShade="BF"/>
            <w:vAlign w:val="center"/>
          </w:tcPr>
          <w:sdt>
            <w:sdtPr>
              <w:rPr>
                <w:rFonts w:ascii="Arial" w:hAnsi="Arial" w:cs="Arial"/>
              </w:rPr>
              <w:id w:val="-733089734"/>
              <w14:checkbox>
                <w14:checked w14:val="0"/>
                <w14:checkedState w14:val="2612" w14:font="MS Gothic"/>
                <w14:uncheckedState w14:val="2610" w14:font="MS Gothic"/>
              </w14:checkbox>
            </w:sdtPr>
            <w:sdtContent>
              <w:p w14:paraId="2B9A880A" w14:textId="77777777" w:rsidR="005F4E12" w:rsidRPr="003C7DED" w:rsidRDefault="005F4E12" w:rsidP="00A555F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5F4E12" w:rsidRPr="003C7DED" w14:paraId="68F92EDA" w14:textId="77777777" w:rsidTr="00A555F0">
        <w:trPr>
          <w:trHeight w:val="403"/>
        </w:trPr>
        <w:tc>
          <w:tcPr>
            <w:tcW w:w="551" w:type="dxa"/>
            <w:shd w:val="clear" w:color="auto" w:fill="F2F2F2" w:themeFill="background1" w:themeFillShade="F2"/>
            <w:vAlign w:val="center"/>
          </w:tcPr>
          <w:p w14:paraId="5A3F9C87" w14:textId="77777777" w:rsidR="005F4E12" w:rsidRPr="003C7DED" w:rsidRDefault="005F4E12" w:rsidP="00A555F0">
            <w:pPr>
              <w:autoSpaceDE w:val="0"/>
              <w:autoSpaceDN w:val="0"/>
              <w:adjustRightInd w:val="0"/>
              <w:jc w:val="center"/>
              <w:rPr>
                <w:rFonts w:ascii="Arial" w:hAnsi="Arial" w:cs="Arial"/>
              </w:rPr>
            </w:pPr>
            <w:r>
              <w:rPr>
                <w:rFonts w:ascii="Arial" w:hAnsi="Arial" w:cs="Arial"/>
              </w:rPr>
              <w:t>9</w:t>
            </w:r>
          </w:p>
        </w:tc>
        <w:tc>
          <w:tcPr>
            <w:tcW w:w="6841" w:type="dxa"/>
            <w:shd w:val="clear" w:color="auto" w:fill="F2F2F2" w:themeFill="background1" w:themeFillShade="F2"/>
            <w:vAlign w:val="center"/>
          </w:tcPr>
          <w:p w14:paraId="5564BBF0" w14:textId="77777777" w:rsidR="005F4E12" w:rsidRPr="003C7DED" w:rsidRDefault="005F4E12" w:rsidP="00A555F0">
            <w:pPr>
              <w:autoSpaceDE w:val="0"/>
              <w:autoSpaceDN w:val="0"/>
              <w:adjustRightInd w:val="0"/>
              <w:rPr>
                <w:rFonts w:ascii="Arial" w:hAnsi="Arial" w:cs="Arial"/>
              </w:rPr>
            </w:pPr>
            <w:r>
              <w:rPr>
                <w:rFonts w:ascii="Arial" w:hAnsi="Arial" w:cs="Arial"/>
              </w:rPr>
              <w:t>Analyse personal or sensitive data?</w:t>
            </w:r>
          </w:p>
        </w:tc>
        <w:tc>
          <w:tcPr>
            <w:tcW w:w="980" w:type="dxa"/>
            <w:shd w:val="clear" w:color="auto" w:fill="BFBFBF" w:themeFill="background1" w:themeFillShade="BF"/>
            <w:vAlign w:val="center"/>
          </w:tcPr>
          <w:sdt>
            <w:sdtPr>
              <w:rPr>
                <w:rFonts w:ascii="Arial" w:hAnsi="Arial" w:cs="Arial"/>
              </w:rPr>
              <w:id w:val="1608620116"/>
              <w14:checkbox>
                <w14:checked w14:val="0"/>
                <w14:checkedState w14:val="2612" w14:font="MS Gothic"/>
                <w14:uncheckedState w14:val="2610" w14:font="MS Gothic"/>
              </w14:checkbox>
            </w:sdtPr>
            <w:sdtContent>
              <w:p w14:paraId="148AB850" w14:textId="77777777" w:rsidR="005F4E12" w:rsidRPr="003C7DED" w:rsidRDefault="005F4E12" w:rsidP="00A555F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09" w:type="dxa"/>
            <w:shd w:val="clear" w:color="auto" w:fill="BFBFBF" w:themeFill="background1" w:themeFillShade="BF"/>
            <w:vAlign w:val="center"/>
          </w:tcPr>
          <w:sdt>
            <w:sdtPr>
              <w:rPr>
                <w:rFonts w:ascii="Arial" w:hAnsi="Arial" w:cs="Arial"/>
              </w:rPr>
              <w:id w:val="559057466"/>
              <w14:checkbox>
                <w14:checked w14:val="1"/>
                <w14:checkedState w14:val="2612" w14:font="MS Gothic"/>
                <w14:uncheckedState w14:val="2610" w14:font="MS Gothic"/>
              </w14:checkbox>
            </w:sdtPr>
            <w:sdtContent>
              <w:p w14:paraId="28CD8B8A" w14:textId="77777777" w:rsidR="005F4E12" w:rsidRPr="003C7DED" w:rsidRDefault="005F4E12" w:rsidP="00A555F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BFBFBF" w:themeFill="background1" w:themeFillShade="BF"/>
            <w:vAlign w:val="center"/>
          </w:tcPr>
          <w:sdt>
            <w:sdtPr>
              <w:rPr>
                <w:rFonts w:ascii="Arial" w:hAnsi="Arial" w:cs="Arial"/>
              </w:rPr>
              <w:id w:val="644392904"/>
              <w14:checkbox>
                <w14:checked w14:val="0"/>
                <w14:checkedState w14:val="2612" w14:font="MS Gothic"/>
                <w14:uncheckedState w14:val="2610" w14:font="MS Gothic"/>
              </w14:checkbox>
            </w:sdtPr>
            <w:sdtContent>
              <w:p w14:paraId="706EE2A1" w14:textId="77777777" w:rsidR="005F4E12" w:rsidRPr="003C7DED" w:rsidRDefault="005F4E12" w:rsidP="00A555F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5F4E12" w:rsidRPr="003C7DED" w14:paraId="35ACA7ED" w14:textId="77777777" w:rsidTr="00A555F0">
        <w:trPr>
          <w:trHeight w:val="439"/>
        </w:trPr>
        <w:tc>
          <w:tcPr>
            <w:tcW w:w="551" w:type="dxa"/>
            <w:shd w:val="clear" w:color="auto" w:fill="F2F2F2" w:themeFill="background1" w:themeFillShade="F2"/>
            <w:vAlign w:val="center"/>
          </w:tcPr>
          <w:p w14:paraId="3A873E7B" w14:textId="77777777" w:rsidR="005F4E12" w:rsidRPr="003C7DED" w:rsidRDefault="005F4E12" w:rsidP="00A555F0">
            <w:pPr>
              <w:autoSpaceDE w:val="0"/>
              <w:autoSpaceDN w:val="0"/>
              <w:adjustRightInd w:val="0"/>
              <w:jc w:val="center"/>
              <w:rPr>
                <w:rFonts w:ascii="Arial" w:hAnsi="Arial" w:cs="Arial"/>
              </w:rPr>
            </w:pPr>
            <w:r>
              <w:rPr>
                <w:rFonts w:ascii="Arial" w:hAnsi="Arial" w:cs="Arial"/>
              </w:rPr>
              <w:t>10</w:t>
            </w:r>
          </w:p>
        </w:tc>
        <w:tc>
          <w:tcPr>
            <w:tcW w:w="6841" w:type="dxa"/>
            <w:shd w:val="clear" w:color="auto" w:fill="F2F2F2" w:themeFill="background1" w:themeFillShade="F2"/>
            <w:vAlign w:val="center"/>
          </w:tcPr>
          <w:p w14:paraId="7174D3FD" w14:textId="77777777" w:rsidR="005F4E12" w:rsidRPr="003C7DED" w:rsidRDefault="005F4E12" w:rsidP="00A555F0">
            <w:pPr>
              <w:autoSpaceDE w:val="0"/>
              <w:autoSpaceDN w:val="0"/>
              <w:adjustRightInd w:val="0"/>
              <w:rPr>
                <w:rFonts w:ascii="Arial" w:hAnsi="Arial" w:cs="Arial"/>
              </w:rPr>
            </w:pPr>
            <w:r>
              <w:rPr>
                <w:rFonts w:ascii="Arial" w:hAnsi="Arial" w:cs="Arial"/>
              </w:rPr>
              <w:t>Classify data?</w:t>
            </w:r>
          </w:p>
        </w:tc>
        <w:tc>
          <w:tcPr>
            <w:tcW w:w="980" w:type="dxa"/>
            <w:shd w:val="clear" w:color="auto" w:fill="BFBFBF" w:themeFill="background1" w:themeFillShade="BF"/>
            <w:vAlign w:val="center"/>
          </w:tcPr>
          <w:sdt>
            <w:sdtPr>
              <w:rPr>
                <w:rFonts w:ascii="Arial" w:hAnsi="Arial" w:cs="Arial"/>
              </w:rPr>
              <w:id w:val="324639604"/>
              <w14:checkbox>
                <w14:checked w14:val="0"/>
                <w14:checkedState w14:val="2612" w14:font="MS Gothic"/>
                <w14:uncheckedState w14:val="2610" w14:font="MS Gothic"/>
              </w14:checkbox>
            </w:sdtPr>
            <w:sdtContent>
              <w:p w14:paraId="29F592EA" w14:textId="77777777" w:rsidR="005F4E12" w:rsidRPr="003C7DED" w:rsidRDefault="005F4E12" w:rsidP="00A555F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09" w:type="dxa"/>
            <w:shd w:val="clear" w:color="auto" w:fill="BFBFBF" w:themeFill="background1" w:themeFillShade="BF"/>
            <w:vAlign w:val="center"/>
          </w:tcPr>
          <w:sdt>
            <w:sdtPr>
              <w:rPr>
                <w:rFonts w:ascii="Arial" w:hAnsi="Arial" w:cs="Arial"/>
              </w:rPr>
              <w:id w:val="116349551"/>
              <w14:checkbox>
                <w14:checked w14:val="1"/>
                <w14:checkedState w14:val="2612" w14:font="MS Gothic"/>
                <w14:uncheckedState w14:val="2610" w14:font="MS Gothic"/>
              </w14:checkbox>
            </w:sdtPr>
            <w:sdtContent>
              <w:p w14:paraId="4D11D42D" w14:textId="77777777" w:rsidR="005F4E12" w:rsidRPr="003C7DED" w:rsidRDefault="005F4E12" w:rsidP="00A555F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BFBFBF" w:themeFill="background1" w:themeFillShade="BF"/>
            <w:vAlign w:val="center"/>
          </w:tcPr>
          <w:sdt>
            <w:sdtPr>
              <w:rPr>
                <w:rFonts w:ascii="Arial" w:hAnsi="Arial" w:cs="Arial"/>
              </w:rPr>
              <w:id w:val="-1465344194"/>
              <w14:checkbox>
                <w14:checked w14:val="0"/>
                <w14:checkedState w14:val="2612" w14:font="MS Gothic"/>
                <w14:uncheckedState w14:val="2610" w14:font="MS Gothic"/>
              </w14:checkbox>
            </w:sdtPr>
            <w:sdtContent>
              <w:p w14:paraId="4005B2E4" w14:textId="77777777" w:rsidR="005F4E12" w:rsidRPr="003C7DED" w:rsidRDefault="005F4E12" w:rsidP="00A555F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5F4E12" w:rsidRPr="003C7DED" w14:paraId="7526790A" w14:textId="77777777" w:rsidTr="00A555F0">
        <w:trPr>
          <w:trHeight w:val="439"/>
        </w:trPr>
        <w:tc>
          <w:tcPr>
            <w:tcW w:w="551" w:type="dxa"/>
            <w:shd w:val="clear" w:color="auto" w:fill="F2F2F2" w:themeFill="background1" w:themeFillShade="F2"/>
            <w:vAlign w:val="center"/>
          </w:tcPr>
          <w:p w14:paraId="3BB2F36F" w14:textId="77777777" w:rsidR="005F4E12" w:rsidRPr="003C7DED" w:rsidRDefault="005F4E12" w:rsidP="00A555F0">
            <w:pPr>
              <w:autoSpaceDE w:val="0"/>
              <w:autoSpaceDN w:val="0"/>
              <w:adjustRightInd w:val="0"/>
              <w:jc w:val="center"/>
              <w:rPr>
                <w:rFonts w:ascii="Arial" w:hAnsi="Arial" w:cs="Arial"/>
              </w:rPr>
            </w:pPr>
            <w:r>
              <w:rPr>
                <w:rFonts w:ascii="Arial" w:hAnsi="Arial" w:cs="Arial"/>
              </w:rPr>
              <w:t>11</w:t>
            </w:r>
          </w:p>
        </w:tc>
        <w:tc>
          <w:tcPr>
            <w:tcW w:w="6841" w:type="dxa"/>
            <w:shd w:val="clear" w:color="auto" w:fill="F2F2F2" w:themeFill="background1" w:themeFillShade="F2"/>
            <w:vAlign w:val="center"/>
          </w:tcPr>
          <w:p w14:paraId="5B31B5F9" w14:textId="77777777" w:rsidR="005F4E12" w:rsidRDefault="005F4E12" w:rsidP="00A555F0">
            <w:pPr>
              <w:autoSpaceDE w:val="0"/>
              <w:autoSpaceDN w:val="0"/>
              <w:adjustRightInd w:val="0"/>
              <w:rPr>
                <w:rFonts w:ascii="Arial" w:hAnsi="Arial" w:cs="Arial"/>
              </w:rPr>
            </w:pPr>
            <w:r>
              <w:rPr>
                <w:rFonts w:ascii="Arial" w:hAnsi="Arial" w:cs="Arial"/>
              </w:rPr>
              <w:t>Do you intend to use the free version of any AI tools?</w:t>
            </w:r>
          </w:p>
        </w:tc>
        <w:tc>
          <w:tcPr>
            <w:tcW w:w="980" w:type="dxa"/>
            <w:shd w:val="clear" w:color="auto" w:fill="BFBFBF" w:themeFill="background1" w:themeFillShade="BF"/>
            <w:vAlign w:val="center"/>
          </w:tcPr>
          <w:sdt>
            <w:sdtPr>
              <w:rPr>
                <w:rFonts w:ascii="Arial" w:hAnsi="Arial" w:cs="Arial"/>
              </w:rPr>
              <w:id w:val="1717616931"/>
              <w14:checkbox>
                <w14:checked w14:val="0"/>
                <w14:checkedState w14:val="2612" w14:font="MS Gothic"/>
                <w14:uncheckedState w14:val="2610" w14:font="MS Gothic"/>
              </w14:checkbox>
            </w:sdtPr>
            <w:sdtContent>
              <w:p w14:paraId="1D1F0AB2" w14:textId="77777777" w:rsidR="005F4E12" w:rsidRDefault="005F4E12" w:rsidP="00A555F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09" w:type="dxa"/>
            <w:shd w:val="clear" w:color="auto" w:fill="BFBFBF" w:themeFill="background1" w:themeFillShade="BF"/>
            <w:vAlign w:val="center"/>
          </w:tcPr>
          <w:sdt>
            <w:sdtPr>
              <w:rPr>
                <w:rFonts w:ascii="Arial" w:hAnsi="Arial" w:cs="Arial"/>
              </w:rPr>
              <w:id w:val="-767925130"/>
              <w14:checkbox>
                <w14:checked w14:val="1"/>
                <w14:checkedState w14:val="2612" w14:font="MS Gothic"/>
                <w14:uncheckedState w14:val="2610" w14:font="MS Gothic"/>
              </w14:checkbox>
            </w:sdtPr>
            <w:sdtContent>
              <w:p w14:paraId="4AE9FE18" w14:textId="77777777" w:rsidR="005F4E12" w:rsidRDefault="005F4E12" w:rsidP="00A555F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BFBFBF" w:themeFill="background1" w:themeFillShade="BF"/>
            <w:vAlign w:val="center"/>
          </w:tcPr>
          <w:sdt>
            <w:sdtPr>
              <w:rPr>
                <w:rFonts w:ascii="Arial" w:hAnsi="Arial" w:cs="Arial"/>
              </w:rPr>
              <w:id w:val="1748227023"/>
              <w14:checkbox>
                <w14:checked w14:val="0"/>
                <w14:checkedState w14:val="2612" w14:font="MS Gothic"/>
                <w14:uncheckedState w14:val="2610" w14:font="MS Gothic"/>
              </w14:checkbox>
            </w:sdtPr>
            <w:sdtContent>
              <w:p w14:paraId="0DC5B7BD" w14:textId="77777777" w:rsidR="005F4E12" w:rsidRDefault="005F4E12" w:rsidP="00A555F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5F4E12" w:rsidRPr="003C7DED" w14:paraId="40CF1C50" w14:textId="77777777" w:rsidTr="00A555F0">
        <w:trPr>
          <w:trHeight w:val="403"/>
        </w:trPr>
        <w:tc>
          <w:tcPr>
            <w:tcW w:w="10487" w:type="dxa"/>
            <w:gridSpan w:val="5"/>
            <w:shd w:val="clear" w:color="auto" w:fill="F2F2F2" w:themeFill="background1" w:themeFillShade="F2"/>
            <w:vAlign w:val="center"/>
          </w:tcPr>
          <w:p w14:paraId="5FFE7B5A" w14:textId="77777777" w:rsidR="005F4E12" w:rsidRPr="003C7DED" w:rsidRDefault="005F4E12" w:rsidP="00A555F0">
            <w:pPr>
              <w:autoSpaceDE w:val="0"/>
              <w:autoSpaceDN w:val="0"/>
              <w:adjustRightInd w:val="0"/>
              <w:rPr>
                <w:rFonts w:ascii="Arial" w:hAnsi="Arial" w:cs="Arial"/>
              </w:rPr>
            </w:pPr>
            <w:r w:rsidRPr="003C7DED">
              <w:rPr>
                <w:rFonts w:ascii="Arial" w:hAnsi="Arial" w:cs="Arial"/>
              </w:rPr>
              <w:t xml:space="preserve">If you have answered </w:t>
            </w:r>
            <w:r w:rsidRPr="006E7E24">
              <w:rPr>
                <w:rFonts w:ascii="Arial" w:hAnsi="Arial" w:cs="Arial"/>
                <w:b/>
                <w:bCs/>
              </w:rPr>
              <w:t>YES</w:t>
            </w:r>
            <w:r w:rsidRPr="003C7DED">
              <w:rPr>
                <w:rFonts w:ascii="Arial" w:hAnsi="Arial" w:cs="Arial"/>
              </w:rPr>
              <w:t xml:space="preserve"> to any of questions </w:t>
            </w:r>
            <w:r>
              <w:rPr>
                <w:rFonts w:ascii="Arial" w:hAnsi="Arial" w:cs="Arial"/>
              </w:rPr>
              <w:t>O</w:t>
            </w:r>
            <w:r w:rsidRPr="003C7DED">
              <w:rPr>
                <w:rFonts w:ascii="Arial" w:hAnsi="Arial" w:cs="Arial"/>
              </w:rPr>
              <w:t>1-</w:t>
            </w:r>
            <w:r>
              <w:rPr>
                <w:rFonts w:ascii="Arial" w:hAnsi="Arial" w:cs="Arial"/>
              </w:rPr>
              <w:t>O11</w:t>
            </w:r>
            <w:r w:rsidRPr="003C7DED">
              <w:rPr>
                <w:rFonts w:ascii="Arial" w:hAnsi="Arial" w:cs="Arial"/>
              </w:rPr>
              <w:t xml:space="preserve">, please provide justification detailing why this is necessary for the research.  </w:t>
            </w:r>
          </w:p>
        </w:tc>
      </w:tr>
      <w:tr w:rsidR="005F4E12" w:rsidRPr="003C7DED" w14:paraId="6AA22464" w14:textId="77777777" w:rsidTr="00A555F0">
        <w:trPr>
          <w:trHeight w:val="403"/>
        </w:trPr>
        <w:tc>
          <w:tcPr>
            <w:tcW w:w="551" w:type="dxa"/>
            <w:vAlign w:val="center"/>
          </w:tcPr>
          <w:p w14:paraId="647E0320" w14:textId="77777777" w:rsidR="005F4E12" w:rsidRPr="003C7DED" w:rsidRDefault="005F4E12" w:rsidP="00A555F0">
            <w:pPr>
              <w:jc w:val="center"/>
              <w:rPr>
                <w:rFonts w:ascii="Arial" w:hAnsi="Arial" w:cs="Arial"/>
              </w:rPr>
            </w:pPr>
            <w:r>
              <w:rPr>
                <w:rFonts w:ascii="Arial" w:hAnsi="Arial" w:cs="Arial"/>
              </w:rPr>
              <w:t>12</w:t>
            </w:r>
          </w:p>
        </w:tc>
        <w:tc>
          <w:tcPr>
            <w:tcW w:w="9936" w:type="dxa"/>
            <w:gridSpan w:val="4"/>
            <w:vAlign w:val="center"/>
          </w:tcPr>
          <w:p w14:paraId="514AC933" w14:textId="77777777" w:rsidR="005F4E12" w:rsidRPr="001B41AD" w:rsidRDefault="005F4E12" w:rsidP="00A555F0">
            <w:pPr>
              <w:rPr>
                <w:rFonts w:ascii="Arial" w:hAnsi="Arial" w:cs="Arial"/>
                <w:color w:val="00B050"/>
              </w:rPr>
            </w:pPr>
            <w:r w:rsidRPr="001B41AD">
              <w:rPr>
                <w:rFonts w:ascii="Arial" w:hAnsi="Arial" w:cs="Arial"/>
                <w:color w:val="00B050"/>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rPr>
              <w:t>Copilot</w:t>
            </w:r>
            <w:proofErr w:type="gramEnd"/>
            <w:r w:rsidRPr="001B41AD">
              <w:rPr>
                <w:rFonts w:ascii="Arial" w:hAnsi="Arial" w:cs="Arial"/>
                <w:color w:val="00B050"/>
              </w:rPr>
              <w:t xml:space="preserve"> then say if you’re using the UWTSD version of it or the public version. You should also show how you are complying with current UWTSD guidance/policy of the use of AI.</w:t>
            </w:r>
          </w:p>
          <w:p w14:paraId="3D159CEB" w14:textId="77777777" w:rsidR="005F4E12" w:rsidRDefault="005F4E12" w:rsidP="00A555F0">
            <w:pPr>
              <w:autoSpaceDE w:val="0"/>
              <w:autoSpaceDN w:val="0"/>
              <w:adjustRightInd w:val="0"/>
              <w:rPr>
                <w:rFonts w:ascii="Arial" w:hAnsi="Arial" w:cs="Arial"/>
                <w:i/>
                <w:color w:val="808080"/>
                <w:sz w:val="18"/>
                <w:szCs w:val="18"/>
              </w:rPr>
            </w:pPr>
          </w:p>
          <w:p w14:paraId="0131B2B9" w14:textId="77777777" w:rsidR="005F4E12" w:rsidRPr="003C7DED" w:rsidRDefault="005F4E12" w:rsidP="00A555F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95B1194" w14:textId="77777777" w:rsidR="005F4E12" w:rsidRDefault="005F4E12" w:rsidP="005F4E12">
      <w:pPr>
        <w:rPr>
          <w:rFonts w:ascii="Arial" w:hAnsi="Arial" w:cs="Arial"/>
          <w:b/>
          <w:bCs/>
        </w:rPr>
      </w:pPr>
    </w:p>
    <w:p w14:paraId="65BE4CBB" w14:textId="77777777" w:rsidR="005F4E12" w:rsidRDefault="005F4E12" w:rsidP="005F4E12">
      <w:pPr>
        <w:rPr>
          <w:rFonts w:ascii="Arial" w:hAnsi="Arial" w:cs="Arial"/>
          <w:b/>
          <w:bCs/>
        </w:rPr>
      </w:pPr>
    </w:p>
    <w:p w14:paraId="50928656" w14:textId="77777777" w:rsidR="005F4E12" w:rsidRPr="00354F34" w:rsidRDefault="005F4E12" w:rsidP="005F4E12">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J</w:t>
      </w:r>
      <w:r w:rsidRPr="00354F34">
        <w:rPr>
          <w:rFonts w:ascii="Arial" w:hAnsi="Arial" w:cs="Arial"/>
          <w:b/>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5F4E12" w:rsidRPr="004C3A0B" w14:paraId="4EC4CD1E" w14:textId="77777777" w:rsidTr="00A555F0">
        <w:trPr>
          <w:gridBefore w:val="1"/>
          <w:wBefore w:w="8" w:type="dxa"/>
          <w:trHeight w:val="1807"/>
        </w:trPr>
        <w:tc>
          <w:tcPr>
            <w:tcW w:w="554" w:type="dxa"/>
            <w:shd w:val="clear" w:color="auto" w:fill="F2F2F2" w:themeFill="background1" w:themeFillShade="F2"/>
            <w:vAlign w:val="center"/>
          </w:tcPr>
          <w:p w14:paraId="20387A5E" w14:textId="77777777" w:rsidR="005F4E12" w:rsidRPr="004C3A0B" w:rsidRDefault="005F4E12" w:rsidP="00A555F0">
            <w:pPr>
              <w:jc w:val="center"/>
              <w:rPr>
                <w:rFonts w:ascii="Arial" w:hAnsi="Arial" w:cs="Arial"/>
              </w:rPr>
            </w:pPr>
          </w:p>
        </w:tc>
        <w:tc>
          <w:tcPr>
            <w:tcW w:w="9923" w:type="dxa"/>
            <w:gridSpan w:val="5"/>
            <w:shd w:val="clear" w:color="auto" w:fill="F2F2F2" w:themeFill="background1" w:themeFillShade="F2"/>
            <w:vAlign w:val="center"/>
          </w:tcPr>
          <w:p w14:paraId="31BB3BEB" w14:textId="77777777" w:rsidR="005F4E12" w:rsidRPr="004C3A0B" w:rsidRDefault="005F4E12" w:rsidP="00A555F0">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76F6830E" w14:textId="77777777" w:rsidR="005F4E12" w:rsidRPr="004C3A0B" w:rsidRDefault="005F4E12" w:rsidP="00A555F0">
            <w:pPr>
              <w:jc w:val="both"/>
              <w:rPr>
                <w:rFonts w:ascii="Arial" w:hAnsi="Arial" w:cs="Arial"/>
                <w:b/>
                <w:bCs/>
                <w:color w:val="000000"/>
              </w:rPr>
            </w:pPr>
          </w:p>
          <w:p w14:paraId="6A0EA45F" w14:textId="77777777" w:rsidR="005F4E12" w:rsidRPr="004C3A0B" w:rsidRDefault="005F4E12" w:rsidP="00A555F0">
            <w:pPr>
              <w:jc w:val="both"/>
              <w:rPr>
                <w:rFonts w:ascii="Arial" w:hAnsi="Arial" w:cs="Arial"/>
                <w:color w:val="000080"/>
              </w:rPr>
            </w:pPr>
            <w:r w:rsidRPr="004C3A0B">
              <w:rPr>
                <w:rFonts w:ascii="Arial" w:hAnsi="Arial" w:cs="Arial"/>
              </w:rPr>
              <w:t xml:space="preserve">In submitting this </w:t>
            </w:r>
            <w:proofErr w:type="gramStart"/>
            <w:r w:rsidRPr="004C3A0B">
              <w:rPr>
                <w:rFonts w:ascii="Arial" w:hAnsi="Arial" w:cs="Arial"/>
              </w:rPr>
              <w:t>application</w:t>
            </w:r>
            <w:proofErr w:type="gramEnd"/>
            <w:r w:rsidRPr="004C3A0B">
              <w:rPr>
                <w:rFonts w:ascii="Arial" w:hAnsi="Arial" w:cs="Arial"/>
              </w:rPr>
              <w:t xml:space="preserve"> I hereby confirm that I undertake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73" w:history="1">
              <w:r w:rsidRPr="00100C35">
                <w:rPr>
                  <w:rStyle w:val="Hyperlink"/>
                  <w:rFonts w:ascii="Arial" w:hAnsi="Arial" w:cs="Arial"/>
                </w:rPr>
                <w:t>https://www.uwtsd.ac.uk/research/research-ethics/</w:t>
              </w:r>
            </w:hyperlink>
            <w:r>
              <w:rPr>
                <w:rFonts w:ascii="Arial" w:hAnsi="Arial" w:cs="Arial"/>
              </w:rPr>
              <w:t xml:space="preserve"> </w:t>
            </w:r>
          </w:p>
        </w:tc>
      </w:tr>
      <w:tr w:rsidR="005F4E12" w:rsidRPr="004C3A0B" w14:paraId="791B62FA" w14:textId="77777777" w:rsidTr="00A555F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FDD45B" w14:textId="77777777" w:rsidR="005F4E12" w:rsidRPr="00BC301B" w:rsidRDefault="005F4E12" w:rsidP="00A555F0">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C8ACCF" w14:textId="77777777" w:rsidR="005F4E12" w:rsidRPr="004C3A0B" w:rsidRDefault="005F4E12" w:rsidP="00A555F0">
            <w:pPr>
              <w:spacing w:before="100" w:beforeAutospacing="1" w:after="100" w:afterAutospacing="1"/>
              <w:rPr>
                <w:rFonts w:ascii="Arial" w:hAnsi="Arial" w:cs="Arial"/>
              </w:rPr>
            </w:pPr>
            <w:r w:rsidRPr="004C3A0B">
              <w:rPr>
                <w:rFonts w:ascii="Arial" w:hAnsi="Arial" w:cs="Arial"/>
                <w:b/>
                <w:bCs/>
              </w:rPr>
              <w:t>Signature of applicant:</w:t>
            </w:r>
          </w:p>
        </w:tc>
        <w:tc>
          <w:tcPr>
            <w:tcW w:w="4949" w:type="dxa"/>
            <w:tcBorders>
              <w:left w:val="single" w:sz="4" w:space="0" w:color="auto"/>
            </w:tcBorders>
            <w:vAlign w:val="center"/>
          </w:tcPr>
          <w:p w14:paraId="1F9A3D85" w14:textId="77777777" w:rsidR="005F4E12" w:rsidRPr="004C3A0B" w:rsidRDefault="005F4E12" w:rsidP="00A555F0">
            <w:pPr>
              <w:spacing w:before="100" w:beforeAutospacing="1" w:after="100" w:afterAutospacing="1"/>
              <w:rPr>
                <w:rFonts w:ascii="Arial" w:hAnsi="Arial" w:cs="Arial"/>
              </w:rPr>
            </w:pPr>
            <w:r>
              <w:rPr>
                <w:rFonts w:ascii="Arial" w:hAnsi="Arial" w:cs="Arial"/>
              </w:rPr>
              <w:t>Roshan Lal</w:t>
            </w:r>
          </w:p>
        </w:tc>
        <w:tc>
          <w:tcPr>
            <w:tcW w:w="2139" w:type="dxa"/>
            <w:gridSpan w:val="3"/>
            <w:vAlign w:val="center"/>
          </w:tcPr>
          <w:p w14:paraId="7B36D341" w14:textId="77777777" w:rsidR="005F4E12" w:rsidRDefault="005F4E12" w:rsidP="00A555F0">
            <w:pPr>
              <w:spacing w:before="100" w:beforeAutospacing="1" w:after="100" w:afterAutospacing="1"/>
              <w:rPr>
                <w:rFonts w:ascii="Arial" w:hAnsi="Arial" w:cs="Arial"/>
                <w:b/>
                <w:bCs/>
              </w:rPr>
            </w:pPr>
            <w:r w:rsidRPr="004C3A0B">
              <w:rPr>
                <w:rFonts w:ascii="Arial" w:hAnsi="Arial" w:cs="Arial"/>
                <w:b/>
                <w:bCs/>
              </w:rPr>
              <w:t>Date:</w:t>
            </w:r>
          </w:p>
          <w:p w14:paraId="015370CF" w14:textId="77777777" w:rsidR="005F4E12" w:rsidRPr="004C3A0B" w:rsidRDefault="005F4E12" w:rsidP="00A555F0">
            <w:pPr>
              <w:spacing w:before="100" w:beforeAutospacing="1" w:after="100" w:afterAutospacing="1"/>
              <w:rPr>
                <w:rFonts w:ascii="Arial" w:hAnsi="Arial" w:cs="Arial"/>
              </w:rPr>
            </w:pPr>
            <w:r>
              <w:rPr>
                <w:rFonts w:ascii="Arial" w:hAnsi="Arial" w:cs="Arial"/>
              </w:rPr>
              <w:t>16-07-2026</w:t>
            </w:r>
          </w:p>
        </w:tc>
      </w:tr>
      <w:tr w:rsidR="005F4E12" w:rsidRPr="004C3A0B" w14:paraId="2CBD4B81" w14:textId="77777777" w:rsidTr="00A555F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2AB1105A" w14:textId="77777777" w:rsidR="005F4E12" w:rsidRPr="004C3A0B" w:rsidRDefault="005F4E12" w:rsidP="005F4E12">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65CD118D" w14:textId="77777777" w:rsidR="005F4E12" w:rsidRPr="004C3A0B" w:rsidRDefault="005F4E12" w:rsidP="005F4E12">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07274BA8" w14:textId="39C3352F" w:rsidR="005F4E12" w:rsidRPr="0068244A" w:rsidRDefault="0068244A" w:rsidP="0068244A">
            <w:pPr>
              <w:rPr>
                <w:rFonts w:ascii="Arial" w:hAnsi="Arial" w:cs="Arial"/>
              </w:rPr>
            </w:pPr>
            <w:r w:rsidRPr="0068244A">
              <w:rPr>
                <w:rFonts w:ascii="Arial" w:hAnsi="Arial" w:cs="Arial"/>
              </w:rPr>
              <w:t>Shahrukh Irfan</w:t>
            </w:r>
          </w:p>
        </w:tc>
        <w:tc>
          <w:tcPr>
            <w:tcW w:w="2123" w:type="dxa"/>
            <w:vMerge w:val="restart"/>
          </w:tcPr>
          <w:p w14:paraId="098E220F" w14:textId="3E9930D5" w:rsidR="005F4E12" w:rsidRPr="004C3A0B" w:rsidRDefault="005F4E12" w:rsidP="0068244A">
            <w:pPr>
              <w:pStyle w:val="ListParagraph"/>
              <w:ind w:left="0"/>
              <w:rPr>
                <w:rFonts w:ascii="Arial" w:hAnsi="Arial" w:cs="Arial"/>
              </w:rPr>
            </w:pPr>
            <w:r w:rsidRPr="004C3A0B">
              <w:rPr>
                <w:rFonts w:ascii="Arial" w:hAnsi="Arial" w:cs="Arial"/>
                <w:b/>
                <w:bCs/>
              </w:rPr>
              <w:t>Date:</w:t>
            </w:r>
            <w:r>
              <w:rPr>
                <w:rFonts w:ascii="Arial" w:hAnsi="Arial" w:cs="Arial"/>
                <w:b/>
                <w:bCs/>
              </w:rPr>
              <w:t xml:space="preserve"> </w:t>
            </w:r>
            <w:r w:rsidR="0068244A" w:rsidRPr="0068244A">
              <w:rPr>
                <w:rFonts w:ascii="Arial" w:hAnsi="Arial" w:cs="Arial"/>
              </w:rPr>
              <w:t>24/09/2026</w:t>
            </w:r>
          </w:p>
        </w:tc>
      </w:tr>
      <w:tr w:rsidR="005F4E12" w:rsidRPr="004C3A0B" w14:paraId="0FFF78DD" w14:textId="77777777" w:rsidTr="00A555F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5065439" w14:textId="77777777" w:rsidR="005F4E12" w:rsidRPr="004C3A0B" w:rsidRDefault="005F4E12" w:rsidP="005F4E12">
            <w:pPr>
              <w:pStyle w:val="ListParagraph"/>
              <w:ind w:left="0"/>
              <w:jc w:val="center"/>
              <w:rPr>
                <w:rFonts w:ascii="Arial" w:hAnsi="Arial" w:cs="Arial"/>
              </w:rPr>
            </w:pPr>
            <w:r>
              <w:rPr>
                <w:rFonts w:ascii="Arial" w:hAnsi="Arial" w:cs="Arial"/>
              </w:rPr>
              <w:lastRenderedPageBreak/>
              <w:t>3</w:t>
            </w:r>
          </w:p>
        </w:tc>
        <w:tc>
          <w:tcPr>
            <w:tcW w:w="2835" w:type="dxa"/>
            <w:shd w:val="clear" w:color="auto" w:fill="F2F2F2" w:themeFill="background1" w:themeFillShade="F2"/>
            <w:vAlign w:val="center"/>
          </w:tcPr>
          <w:p w14:paraId="0EDA1009" w14:textId="77777777" w:rsidR="005F4E12" w:rsidRPr="004C3A0B" w:rsidRDefault="005F4E12" w:rsidP="005F4E12">
            <w:pPr>
              <w:pStyle w:val="ListParagraph"/>
              <w:ind w:left="0"/>
              <w:rPr>
                <w:rFonts w:ascii="Arial" w:hAnsi="Arial" w:cs="Arial"/>
              </w:rPr>
            </w:pPr>
            <w:r w:rsidRPr="004C3A0B">
              <w:rPr>
                <w:rFonts w:ascii="Arial" w:hAnsi="Arial" w:cs="Arial"/>
              </w:rPr>
              <w:t>Signature:</w:t>
            </w:r>
          </w:p>
        </w:tc>
        <w:tc>
          <w:tcPr>
            <w:tcW w:w="4959" w:type="dxa"/>
            <w:gridSpan w:val="2"/>
            <w:vAlign w:val="center"/>
          </w:tcPr>
          <w:p w14:paraId="5EA5F086" w14:textId="79B3E476" w:rsidR="005F4E12" w:rsidRPr="004C3A0B" w:rsidRDefault="0068244A" w:rsidP="005F4E12">
            <w:pPr>
              <w:pStyle w:val="ListParagraph"/>
              <w:ind w:left="0"/>
              <w:rPr>
                <w:rFonts w:ascii="Arial" w:hAnsi="Arial" w:cs="Arial"/>
              </w:rPr>
            </w:pPr>
            <w:r>
              <w:rPr>
                <w:noProof/>
              </w:rPr>
              <w:drawing>
                <wp:inline distT="0" distB="0" distL="0" distR="0" wp14:anchorId="05508668" wp14:editId="7D40EE90">
                  <wp:extent cx="914400" cy="673100"/>
                  <wp:effectExtent l="0" t="0" r="0" b="0"/>
                  <wp:docPr id="719775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775975" name="Picture 1"/>
                          <pic:cNvPicPr>
                            <a:picLocks noChangeAspect="1"/>
                          </pic:cNvPicPr>
                        </pic:nvPicPr>
                        <pic:blipFill>
                          <a:blip r:embed="rId74"/>
                          <a:stretch>
                            <a:fillRect/>
                          </a:stretch>
                        </pic:blipFill>
                        <pic:spPr>
                          <a:xfrm>
                            <a:off x="0" y="0"/>
                            <a:ext cx="914400" cy="673100"/>
                          </a:xfrm>
                          <a:prstGeom prst="rect">
                            <a:avLst/>
                          </a:prstGeom>
                        </pic:spPr>
                      </pic:pic>
                    </a:graphicData>
                  </a:graphic>
                </wp:inline>
              </w:drawing>
            </w:r>
          </w:p>
          <w:p w14:paraId="1F093AEB" w14:textId="77777777" w:rsidR="005F4E12" w:rsidRPr="004C3A0B" w:rsidRDefault="005F4E12" w:rsidP="005F4E12">
            <w:pPr>
              <w:pStyle w:val="ListParagraph"/>
              <w:ind w:left="0"/>
              <w:rPr>
                <w:rFonts w:ascii="Arial" w:hAnsi="Arial" w:cs="Arial"/>
              </w:rPr>
            </w:pPr>
          </w:p>
        </w:tc>
        <w:tc>
          <w:tcPr>
            <w:tcW w:w="2123" w:type="dxa"/>
            <w:vMerge/>
            <w:vAlign w:val="center"/>
          </w:tcPr>
          <w:p w14:paraId="402614F9" w14:textId="77777777" w:rsidR="005F4E12" w:rsidRPr="004C3A0B" w:rsidRDefault="005F4E12" w:rsidP="005F4E12">
            <w:pPr>
              <w:pStyle w:val="ListParagraph"/>
              <w:ind w:left="0"/>
              <w:rPr>
                <w:rFonts w:ascii="Arial" w:hAnsi="Arial" w:cs="Arial"/>
              </w:rPr>
            </w:pPr>
          </w:p>
        </w:tc>
      </w:tr>
    </w:tbl>
    <w:p w14:paraId="56CC790C" w14:textId="77777777" w:rsidR="005F4E12" w:rsidRDefault="005F4E12" w:rsidP="005F4E12">
      <w:pPr>
        <w:rPr>
          <w:rFonts w:ascii="Arial" w:hAnsi="Arial" w:cs="Arial"/>
        </w:rPr>
      </w:pPr>
    </w:p>
    <w:p w14:paraId="6B6EF7F6" w14:textId="77777777" w:rsidR="00004062" w:rsidRPr="00BC19F4" w:rsidRDefault="00004062" w:rsidP="00004062">
      <w:pPr>
        <w:rPr>
          <w:sz w:val="16"/>
          <w:szCs w:val="16"/>
        </w:rPr>
      </w:pPr>
    </w:p>
    <w:sectPr w:rsidR="00004062" w:rsidRPr="00BC19F4">
      <w:headerReference w:type="even" r:id="rId75"/>
      <w:headerReference w:type="default" r:id="rId76"/>
      <w:footerReference w:type="even" r:id="rId77"/>
      <w:footerReference w:type="default" r:id="rId78"/>
      <w:headerReference w:type="first" r:id="rId79"/>
      <w:footerReference w:type="first" r:id="rId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3E9E8E" w14:textId="77777777" w:rsidR="00E57339" w:rsidRDefault="00E57339" w:rsidP="008136A6">
      <w:pPr>
        <w:spacing w:after="0" w:line="240" w:lineRule="auto"/>
      </w:pPr>
      <w:r>
        <w:separator/>
      </w:r>
    </w:p>
  </w:endnote>
  <w:endnote w:type="continuationSeparator" w:id="0">
    <w:p w14:paraId="15BA09EC" w14:textId="77777777" w:rsidR="00E57339" w:rsidRDefault="00E57339" w:rsidP="008136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FACF91" w14:textId="77777777" w:rsidR="00563C7F" w:rsidRDefault="00563C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6676728"/>
      <w:docPartObj>
        <w:docPartGallery w:val="Page Numbers (Bottom of Page)"/>
        <w:docPartUnique/>
      </w:docPartObj>
    </w:sdtPr>
    <w:sdtEndPr>
      <w:rPr>
        <w:noProof/>
      </w:rPr>
    </w:sdtEndPr>
    <w:sdtContent>
      <w:p w14:paraId="47331B25" w14:textId="33466B66" w:rsidR="00563C7F" w:rsidRDefault="00563C7F">
        <w:pPr>
          <w:pStyle w:val="Footer"/>
          <w:jc w:val="center"/>
        </w:pPr>
        <w:r>
          <w:fldChar w:fldCharType="begin"/>
        </w:r>
        <w:r>
          <w:instrText xml:space="preserve"> PAGE   \* MERGEFORMAT </w:instrText>
        </w:r>
        <w:r>
          <w:fldChar w:fldCharType="separate"/>
        </w:r>
        <w:r w:rsidR="00AB3742">
          <w:rPr>
            <w:noProof/>
          </w:rPr>
          <w:t>2</w:t>
        </w:r>
        <w:r>
          <w:rPr>
            <w:noProof/>
          </w:rPr>
          <w:fldChar w:fldCharType="end"/>
        </w:r>
      </w:p>
    </w:sdtContent>
  </w:sdt>
  <w:p w14:paraId="37C07736" w14:textId="77777777" w:rsidR="00563C7F" w:rsidRDefault="00563C7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0C63E3" w14:textId="77777777" w:rsidR="00563C7F" w:rsidRDefault="00563C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2A4C3B" w14:textId="77777777" w:rsidR="00E57339" w:rsidRDefault="00E57339" w:rsidP="008136A6">
      <w:pPr>
        <w:spacing w:after="0" w:line="240" w:lineRule="auto"/>
      </w:pPr>
      <w:r>
        <w:separator/>
      </w:r>
    </w:p>
  </w:footnote>
  <w:footnote w:type="continuationSeparator" w:id="0">
    <w:p w14:paraId="0CB5D1EF" w14:textId="77777777" w:rsidR="00E57339" w:rsidRDefault="00E57339" w:rsidP="008136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61AC6B" w14:textId="77777777" w:rsidR="00563C7F" w:rsidRDefault="00563C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36804E" w14:textId="77777777" w:rsidR="00563C7F" w:rsidRDefault="00563C7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5A8A55" w14:textId="77777777" w:rsidR="00563C7F" w:rsidRDefault="00563C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11D3E"/>
    <w:multiLevelType w:val="multilevel"/>
    <w:tmpl w:val="1DCA13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A00E85"/>
    <w:multiLevelType w:val="multilevel"/>
    <w:tmpl w:val="582ABE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6F6285"/>
    <w:multiLevelType w:val="hybridMultilevel"/>
    <w:tmpl w:val="A1689A3E"/>
    <w:lvl w:ilvl="0" w:tplc="08090005">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35426A"/>
    <w:multiLevelType w:val="multilevel"/>
    <w:tmpl w:val="4596E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FD10FD"/>
    <w:multiLevelType w:val="multilevel"/>
    <w:tmpl w:val="C9DEE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6F5930"/>
    <w:multiLevelType w:val="multilevel"/>
    <w:tmpl w:val="B3D6C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1F2796B"/>
    <w:multiLevelType w:val="multilevel"/>
    <w:tmpl w:val="A5AC23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47906B2"/>
    <w:multiLevelType w:val="hybridMultilevel"/>
    <w:tmpl w:val="1038AE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AEC12A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089690365">
    <w:abstractNumId w:val="32"/>
  </w:num>
  <w:num w:numId="2" w16cid:durableId="1315069273">
    <w:abstractNumId w:val="8"/>
  </w:num>
  <w:num w:numId="3" w16cid:durableId="1230001191">
    <w:abstractNumId w:val="34"/>
  </w:num>
  <w:num w:numId="4" w16cid:durableId="548079137">
    <w:abstractNumId w:val="13"/>
  </w:num>
  <w:num w:numId="5" w16cid:durableId="1876387007">
    <w:abstractNumId w:val="26"/>
  </w:num>
  <w:num w:numId="6" w16cid:durableId="966281650">
    <w:abstractNumId w:val="4"/>
  </w:num>
  <w:num w:numId="7" w16cid:durableId="608397184">
    <w:abstractNumId w:val="31"/>
  </w:num>
  <w:num w:numId="8" w16cid:durableId="158718063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22449951">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29899488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228462825">
    <w:abstractNumId w:val="5"/>
  </w:num>
  <w:num w:numId="12" w16cid:durableId="1087070072">
    <w:abstractNumId w:val="10"/>
  </w:num>
  <w:num w:numId="13" w16cid:durableId="1643198124">
    <w:abstractNumId w:val="11"/>
  </w:num>
  <w:num w:numId="14" w16cid:durableId="1094789016">
    <w:abstractNumId w:val="29"/>
  </w:num>
  <w:num w:numId="15" w16cid:durableId="201676574">
    <w:abstractNumId w:val="27"/>
  </w:num>
  <w:num w:numId="16" w16cid:durableId="189995854">
    <w:abstractNumId w:val="28"/>
  </w:num>
  <w:num w:numId="17" w16cid:durableId="1611931583">
    <w:abstractNumId w:val="2"/>
  </w:num>
  <w:num w:numId="18" w16cid:durableId="1659993470">
    <w:abstractNumId w:val="7"/>
  </w:num>
  <w:num w:numId="19" w16cid:durableId="1659309094">
    <w:abstractNumId w:val="9"/>
  </w:num>
  <w:num w:numId="20" w16cid:durableId="1338845257">
    <w:abstractNumId w:val="14"/>
  </w:num>
  <w:num w:numId="21" w16cid:durableId="1662150999">
    <w:abstractNumId w:val="18"/>
  </w:num>
  <w:num w:numId="22" w16cid:durableId="48265336">
    <w:abstractNumId w:val="30"/>
  </w:num>
  <w:num w:numId="23" w16cid:durableId="211818222">
    <w:abstractNumId w:val="6"/>
  </w:num>
  <w:num w:numId="24" w16cid:durableId="613946751">
    <w:abstractNumId w:val="19"/>
  </w:num>
  <w:num w:numId="25" w16cid:durableId="1399202975">
    <w:abstractNumId w:val="25"/>
  </w:num>
  <w:num w:numId="26" w16cid:durableId="1519847789">
    <w:abstractNumId w:val="3"/>
  </w:num>
  <w:num w:numId="27" w16cid:durableId="807361496">
    <w:abstractNumId w:val="12"/>
  </w:num>
  <w:num w:numId="28" w16cid:durableId="1316760866">
    <w:abstractNumId w:val="17"/>
  </w:num>
  <w:num w:numId="29" w16cid:durableId="1190681930">
    <w:abstractNumId w:val="33"/>
  </w:num>
  <w:num w:numId="30" w16cid:durableId="965308682">
    <w:abstractNumId w:val="24"/>
  </w:num>
  <w:num w:numId="31" w16cid:durableId="292828687">
    <w:abstractNumId w:val="0"/>
  </w:num>
  <w:num w:numId="32" w16cid:durableId="440296666">
    <w:abstractNumId w:val="20"/>
  </w:num>
  <w:num w:numId="33" w16cid:durableId="11536397">
    <w:abstractNumId w:val="1"/>
  </w:num>
  <w:num w:numId="34" w16cid:durableId="435174250">
    <w:abstractNumId w:val="21"/>
  </w:num>
  <w:num w:numId="35" w16cid:durableId="2027360261">
    <w:abstractNumId w:val="16"/>
  </w:num>
  <w:num w:numId="36" w16cid:durableId="157466108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7AE8"/>
    <w:rsid w:val="00004062"/>
    <w:rsid w:val="00017080"/>
    <w:rsid w:val="00055CD1"/>
    <w:rsid w:val="000E238B"/>
    <w:rsid w:val="00112E75"/>
    <w:rsid w:val="00137AE8"/>
    <w:rsid w:val="001A036C"/>
    <w:rsid w:val="001A4F3D"/>
    <w:rsid w:val="001C76AD"/>
    <w:rsid w:val="00261A1D"/>
    <w:rsid w:val="003E2027"/>
    <w:rsid w:val="00432DD8"/>
    <w:rsid w:val="004F565E"/>
    <w:rsid w:val="00533D87"/>
    <w:rsid w:val="0054251E"/>
    <w:rsid w:val="00563C7F"/>
    <w:rsid w:val="005906A5"/>
    <w:rsid w:val="005A481C"/>
    <w:rsid w:val="005F4E12"/>
    <w:rsid w:val="0068244A"/>
    <w:rsid w:val="00690656"/>
    <w:rsid w:val="00782545"/>
    <w:rsid w:val="007B1A3E"/>
    <w:rsid w:val="007E5045"/>
    <w:rsid w:val="008136A6"/>
    <w:rsid w:val="009202A8"/>
    <w:rsid w:val="0097285E"/>
    <w:rsid w:val="00986860"/>
    <w:rsid w:val="00990396"/>
    <w:rsid w:val="009D0313"/>
    <w:rsid w:val="00AA4EC9"/>
    <w:rsid w:val="00AA68BC"/>
    <w:rsid w:val="00AB3742"/>
    <w:rsid w:val="00AC1C53"/>
    <w:rsid w:val="00AE4068"/>
    <w:rsid w:val="00B1589B"/>
    <w:rsid w:val="00B25783"/>
    <w:rsid w:val="00B3592E"/>
    <w:rsid w:val="00BC19F4"/>
    <w:rsid w:val="00C50FE2"/>
    <w:rsid w:val="00C92E65"/>
    <w:rsid w:val="00D41112"/>
    <w:rsid w:val="00D815F4"/>
    <w:rsid w:val="00E10238"/>
    <w:rsid w:val="00E37881"/>
    <w:rsid w:val="00E40A9B"/>
    <w:rsid w:val="00E57339"/>
    <w:rsid w:val="00EE2CCF"/>
    <w:rsid w:val="00F658A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F27F9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0396"/>
    <w:pPr>
      <w:spacing w:line="360" w:lineRule="auto"/>
    </w:pPr>
    <w:rPr>
      <w:rFonts w:asciiTheme="minorBidi" w:hAnsiTheme="minorBidi"/>
    </w:rPr>
  </w:style>
  <w:style w:type="paragraph" w:styleId="Heading1">
    <w:name w:val="heading 1"/>
    <w:basedOn w:val="Normal"/>
    <w:next w:val="Normal"/>
    <w:link w:val="Heading1Char"/>
    <w:uiPriority w:val="99"/>
    <w:qFormat/>
    <w:rsid w:val="00990396"/>
    <w:pPr>
      <w:keepNext/>
      <w:keepLines/>
      <w:numPr>
        <w:numId w:val="3"/>
      </w:numPr>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990396"/>
    <w:pPr>
      <w:keepNext/>
      <w:keepLines/>
      <w:numPr>
        <w:ilvl w:val="1"/>
        <w:numId w:val="3"/>
      </w:numPr>
      <w:spacing w:before="160" w:after="80"/>
      <w:outlineLvl w:val="1"/>
    </w:pPr>
    <w:rPr>
      <w:rFonts w:eastAsiaTheme="majorEastAsia" w:cstheme="majorBidi"/>
      <w:b/>
      <w:sz w:val="24"/>
      <w:szCs w:val="32"/>
    </w:rPr>
  </w:style>
  <w:style w:type="paragraph" w:styleId="Heading3">
    <w:name w:val="heading 3"/>
    <w:basedOn w:val="Normal"/>
    <w:next w:val="Normal"/>
    <w:link w:val="Heading3Char"/>
    <w:uiPriority w:val="9"/>
    <w:unhideWhenUsed/>
    <w:qFormat/>
    <w:rsid w:val="00990396"/>
    <w:pPr>
      <w:keepNext/>
      <w:keepLines/>
      <w:numPr>
        <w:ilvl w:val="2"/>
        <w:numId w:val="3"/>
      </w:numPr>
      <w:spacing w:before="160" w:after="80"/>
      <w:outlineLvl w:val="2"/>
    </w:pPr>
    <w:rPr>
      <w:rFonts w:eastAsiaTheme="majorEastAsia" w:cstheme="majorBidi"/>
      <w:b/>
      <w:szCs w:val="28"/>
    </w:rPr>
  </w:style>
  <w:style w:type="paragraph" w:styleId="Heading4">
    <w:name w:val="heading 4"/>
    <w:basedOn w:val="Normal"/>
    <w:next w:val="Normal"/>
    <w:link w:val="Heading4Char"/>
    <w:uiPriority w:val="99"/>
    <w:unhideWhenUsed/>
    <w:qFormat/>
    <w:rsid w:val="00137AE8"/>
    <w:pPr>
      <w:keepNext/>
      <w:keepLines/>
      <w:numPr>
        <w:ilvl w:val="3"/>
        <w:numId w:val="3"/>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37AE8"/>
    <w:pPr>
      <w:keepNext/>
      <w:keepLines/>
      <w:numPr>
        <w:ilvl w:val="4"/>
        <w:numId w:val="3"/>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37AE8"/>
    <w:pPr>
      <w:keepNext/>
      <w:keepLines/>
      <w:numPr>
        <w:ilvl w:val="5"/>
        <w:numId w:val="3"/>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7AE8"/>
    <w:pPr>
      <w:keepNext/>
      <w:keepLines/>
      <w:numPr>
        <w:ilvl w:val="6"/>
        <w:numId w:val="3"/>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7AE8"/>
    <w:pPr>
      <w:keepNext/>
      <w:keepLines/>
      <w:numPr>
        <w:ilvl w:val="7"/>
        <w:numId w:val="3"/>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7AE8"/>
    <w:pPr>
      <w:keepNext/>
      <w:keepLines/>
      <w:numPr>
        <w:ilvl w:val="8"/>
        <w:numId w:val="3"/>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90396"/>
    <w:rPr>
      <w:rFonts w:asciiTheme="minorBidi" w:eastAsiaTheme="majorEastAsia" w:hAnsiTheme="minorBidi" w:cstheme="majorBidi"/>
      <w:b/>
      <w:sz w:val="32"/>
      <w:szCs w:val="40"/>
    </w:rPr>
  </w:style>
  <w:style w:type="character" w:customStyle="1" w:styleId="Heading2Char">
    <w:name w:val="Heading 2 Char"/>
    <w:basedOn w:val="DefaultParagraphFont"/>
    <w:link w:val="Heading2"/>
    <w:uiPriority w:val="9"/>
    <w:rsid w:val="00990396"/>
    <w:rPr>
      <w:rFonts w:asciiTheme="minorBidi" w:eastAsiaTheme="majorEastAsia" w:hAnsiTheme="minorBidi" w:cstheme="majorBidi"/>
      <w:b/>
      <w:sz w:val="24"/>
      <w:szCs w:val="32"/>
    </w:rPr>
  </w:style>
  <w:style w:type="character" w:customStyle="1" w:styleId="Heading3Char">
    <w:name w:val="Heading 3 Char"/>
    <w:basedOn w:val="DefaultParagraphFont"/>
    <w:link w:val="Heading3"/>
    <w:uiPriority w:val="9"/>
    <w:rsid w:val="00990396"/>
    <w:rPr>
      <w:rFonts w:asciiTheme="minorBidi" w:eastAsiaTheme="majorEastAsia" w:hAnsiTheme="minorBidi" w:cstheme="majorBidi"/>
      <w:b/>
      <w:szCs w:val="28"/>
    </w:rPr>
  </w:style>
  <w:style w:type="character" w:customStyle="1" w:styleId="Heading4Char">
    <w:name w:val="Heading 4 Char"/>
    <w:basedOn w:val="DefaultParagraphFont"/>
    <w:link w:val="Heading4"/>
    <w:uiPriority w:val="99"/>
    <w:semiHidden/>
    <w:rsid w:val="00137AE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37AE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37A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7A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7A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7AE8"/>
    <w:rPr>
      <w:rFonts w:eastAsiaTheme="majorEastAsia" w:cstheme="majorBidi"/>
      <w:color w:val="272727" w:themeColor="text1" w:themeTint="D8"/>
    </w:rPr>
  </w:style>
  <w:style w:type="paragraph" w:styleId="Title">
    <w:name w:val="Title"/>
    <w:basedOn w:val="Normal"/>
    <w:next w:val="Normal"/>
    <w:link w:val="TitleChar"/>
    <w:uiPriority w:val="10"/>
    <w:qFormat/>
    <w:rsid w:val="00137A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7A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7A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7A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7AE8"/>
    <w:pPr>
      <w:spacing w:before="160"/>
      <w:jc w:val="center"/>
    </w:pPr>
    <w:rPr>
      <w:i/>
      <w:iCs/>
      <w:color w:val="404040" w:themeColor="text1" w:themeTint="BF"/>
    </w:rPr>
  </w:style>
  <w:style w:type="character" w:customStyle="1" w:styleId="QuoteChar">
    <w:name w:val="Quote Char"/>
    <w:basedOn w:val="DefaultParagraphFont"/>
    <w:link w:val="Quote"/>
    <w:uiPriority w:val="29"/>
    <w:rsid w:val="00137AE8"/>
    <w:rPr>
      <w:i/>
      <w:iCs/>
      <w:color w:val="404040" w:themeColor="text1" w:themeTint="BF"/>
    </w:rPr>
  </w:style>
  <w:style w:type="paragraph" w:styleId="ListParagraph">
    <w:name w:val="List Paragraph"/>
    <w:basedOn w:val="Normal"/>
    <w:uiPriority w:val="34"/>
    <w:qFormat/>
    <w:rsid w:val="00137AE8"/>
    <w:pPr>
      <w:ind w:left="720"/>
      <w:contextualSpacing/>
    </w:pPr>
  </w:style>
  <w:style w:type="character" w:styleId="IntenseEmphasis">
    <w:name w:val="Intense Emphasis"/>
    <w:basedOn w:val="DefaultParagraphFont"/>
    <w:uiPriority w:val="21"/>
    <w:qFormat/>
    <w:rsid w:val="00137AE8"/>
    <w:rPr>
      <w:i/>
      <w:iCs/>
      <w:color w:val="2F5496" w:themeColor="accent1" w:themeShade="BF"/>
    </w:rPr>
  </w:style>
  <w:style w:type="paragraph" w:styleId="IntenseQuote">
    <w:name w:val="Intense Quote"/>
    <w:basedOn w:val="Normal"/>
    <w:next w:val="Normal"/>
    <w:link w:val="IntenseQuoteChar"/>
    <w:uiPriority w:val="30"/>
    <w:qFormat/>
    <w:rsid w:val="00137AE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37AE8"/>
    <w:rPr>
      <w:i/>
      <w:iCs/>
      <w:color w:val="2F5496" w:themeColor="accent1" w:themeShade="BF"/>
    </w:rPr>
  </w:style>
  <w:style w:type="character" w:styleId="IntenseReference">
    <w:name w:val="Intense Reference"/>
    <w:basedOn w:val="DefaultParagraphFont"/>
    <w:uiPriority w:val="32"/>
    <w:qFormat/>
    <w:rsid w:val="00137AE8"/>
    <w:rPr>
      <w:b/>
      <w:bCs/>
      <w:smallCaps/>
      <w:color w:val="2F5496" w:themeColor="accent1" w:themeShade="BF"/>
      <w:spacing w:val="5"/>
    </w:rPr>
  </w:style>
  <w:style w:type="character" w:styleId="Hyperlink">
    <w:name w:val="Hyperlink"/>
    <w:basedOn w:val="DefaultParagraphFont"/>
    <w:uiPriority w:val="99"/>
    <w:unhideWhenUsed/>
    <w:rsid w:val="00137AE8"/>
    <w:rPr>
      <w:color w:val="0563C1" w:themeColor="hyperlink"/>
      <w:u w:val="single"/>
    </w:rPr>
  </w:style>
  <w:style w:type="character" w:customStyle="1" w:styleId="UnresolvedMention1">
    <w:name w:val="Unresolved Mention1"/>
    <w:basedOn w:val="DefaultParagraphFont"/>
    <w:uiPriority w:val="99"/>
    <w:semiHidden/>
    <w:unhideWhenUsed/>
    <w:rsid w:val="00137AE8"/>
    <w:rPr>
      <w:color w:val="605E5C"/>
      <w:shd w:val="clear" w:color="auto" w:fill="E1DFDD"/>
    </w:rPr>
  </w:style>
  <w:style w:type="paragraph" w:styleId="Header">
    <w:name w:val="header"/>
    <w:basedOn w:val="Normal"/>
    <w:link w:val="HeaderChar"/>
    <w:uiPriority w:val="99"/>
    <w:unhideWhenUsed/>
    <w:rsid w:val="008136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36A6"/>
  </w:style>
  <w:style w:type="paragraph" w:styleId="Footer">
    <w:name w:val="footer"/>
    <w:basedOn w:val="Normal"/>
    <w:link w:val="FooterChar"/>
    <w:uiPriority w:val="99"/>
    <w:unhideWhenUsed/>
    <w:rsid w:val="008136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36A6"/>
  </w:style>
  <w:style w:type="paragraph" w:styleId="NoSpacing">
    <w:name w:val="No Spacing"/>
    <w:uiPriority w:val="1"/>
    <w:qFormat/>
    <w:rsid w:val="001A4F3D"/>
    <w:pPr>
      <w:spacing w:after="0" w:line="240" w:lineRule="auto"/>
    </w:pPr>
  </w:style>
  <w:style w:type="table" w:styleId="TableGrid">
    <w:name w:val="Table Grid"/>
    <w:basedOn w:val="TableNormal"/>
    <w:uiPriority w:val="39"/>
    <w:rsid w:val="001A4F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A4F3D"/>
    <w:pPr>
      <w:spacing w:after="200" w:line="240" w:lineRule="auto"/>
    </w:pPr>
    <w:rPr>
      <w:i/>
      <w:iCs/>
      <w:color w:val="44546A" w:themeColor="text2"/>
      <w:sz w:val="18"/>
      <w:szCs w:val="18"/>
    </w:rPr>
  </w:style>
  <w:style w:type="paragraph" w:styleId="NormalWeb">
    <w:name w:val="Normal (Web)"/>
    <w:basedOn w:val="Normal"/>
    <w:uiPriority w:val="99"/>
    <w:unhideWhenUsed/>
    <w:rsid w:val="00055CD1"/>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055CD1"/>
    <w:rPr>
      <w:b/>
      <w:bCs/>
    </w:rPr>
  </w:style>
  <w:style w:type="paragraph" w:styleId="TOCHeading">
    <w:name w:val="TOC Heading"/>
    <w:basedOn w:val="Heading1"/>
    <w:next w:val="Normal"/>
    <w:uiPriority w:val="39"/>
    <w:unhideWhenUsed/>
    <w:qFormat/>
    <w:rsid w:val="00055CD1"/>
    <w:pPr>
      <w:numPr>
        <w:numId w:val="0"/>
      </w:numPr>
      <w:spacing w:before="240" w:after="0"/>
      <w:outlineLvl w:val="9"/>
    </w:pPr>
    <w:rPr>
      <w:szCs w:val="32"/>
      <w:lang w:val="en-US"/>
    </w:rPr>
  </w:style>
  <w:style w:type="paragraph" w:styleId="TOC1">
    <w:name w:val="toc 1"/>
    <w:basedOn w:val="Normal"/>
    <w:next w:val="Normal"/>
    <w:autoRedefine/>
    <w:uiPriority w:val="39"/>
    <w:unhideWhenUsed/>
    <w:rsid w:val="00055CD1"/>
    <w:pPr>
      <w:spacing w:after="100"/>
    </w:pPr>
  </w:style>
  <w:style w:type="paragraph" w:styleId="TOC2">
    <w:name w:val="toc 2"/>
    <w:basedOn w:val="Normal"/>
    <w:next w:val="Normal"/>
    <w:autoRedefine/>
    <w:uiPriority w:val="39"/>
    <w:unhideWhenUsed/>
    <w:rsid w:val="00055CD1"/>
    <w:pPr>
      <w:spacing w:after="100"/>
      <w:ind w:left="220"/>
    </w:pPr>
  </w:style>
  <w:style w:type="paragraph" w:styleId="TOC3">
    <w:name w:val="toc 3"/>
    <w:basedOn w:val="Normal"/>
    <w:next w:val="Normal"/>
    <w:autoRedefine/>
    <w:uiPriority w:val="39"/>
    <w:unhideWhenUsed/>
    <w:rsid w:val="00055CD1"/>
    <w:pPr>
      <w:spacing w:after="100"/>
      <w:ind w:left="440"/>
    </w:pPr>
  </w:style>
  <w:style w:type="paragraph" w:styleId="TableofFigures">
    <w:name w:val="table of figures"/>
    <w:basedOn w:val="Normal"/>
    <w:next w:val="Normal"/>
    <w:uiPriority w:val="99"/>
    <w:unhideWhenUsed/>
    <w:rsid w:val="00055CD1"/>
    <w:pPr>
      <w:spacing w:after="0"/>
    </w:pPr>
  </w:style>
  <w:style w:type="character" w:styleId="UnresolvedMention">
    <w:name w:val="Unresolved Mention"/>
    <w:basedOn w:val="DefaultParagraphFont"/>
    <w:uiPriority w:val="99"/>
    <w:semiHidden/>
    <w:unhideWhenUsed/>
    <w:rsid w:val="00990396"/>
    <w:rPr>
      <w:color w:val="605E5C"/>
      <w:shd w:val="clear" w:color="auto" w:fill="E1DFDD"/>
    </w:rPr>
  </w:style>
  <w:style w:type="paragraph" w:styleId="BodyText2">
    <w:name w:val="Body Text 2"/>
    <w:basedOn w:val="Normal"/>
    <w:link w:val="BodyText2Char"/>
    <w:uiPriority w:val="99"/>
    <w:rsid w:val="005F4E12"/>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5F4E12"/>
    <w:rPr>
      <w:rFonts w:ascii="Times New Roman" w:eastAsia="Times New Roman" w:hAnsi="Times New Roman" w:cs="Times New Roman"/>
      <w:b/>
      <w:bCs/>
    </w:rPr>
  </w:style>
  <w:style w:type="paragraph" w:customStyle="1" w:styleId="deannah1">
    <w:name w:val="deannah1"/>
    <w:basedOn w:val="Normal"/>
    <w:uiPriority w:val="99"/>
    <w:rsid w:val="005F4E12"/>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5F4E12"/>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F4E12"/>
    <w:rPr>
      <w:rFonts w:ascii="Tahoma" w:eastAsia="Times New Roman" w:hAnsi="Tahoma" w:cs="Tahoma"/>
      <w:sz w:val="16"/>
      <w:szCs w:val="16"/>
    </w:rPr>
  </w:style>
  <w:style w:type="character" w:styleId="FollowedHyperlink">
    <w:name w:val="FollowedHyperlink"/>
    <w:uiPriority w:val="99"/>
    <w:semiHidden/>
    <w:rsid w:val="005F4E12"/>
    <w:rPr>
      <w:color w:val="800080"/>
      <w:u w:val="single"/>
    </w:rPr>
  </w:style>
  <w:style w:type="character" w:customStyle="1" w:styleId="Hyperlink1">
    <w:name w:val="Hyperlink1"/>
    <w:uiPriority w:val="99"/>
    <w:rsid w:val="005F4E12"/>
    <w:rPr>
      <w:color w:val="535353"/>
      <w:u w:val="single"/>
      <w:effect w:val="none"/>
    </w:rPr>
  </w:style>
  <w:style w:type="paragraph" w:customStyle="1" w:styleId="NormalWeb1">
    <w:name w:val="Normal (Web)1"/>
    <w:basedOn w:val="Normal"/>
    <w:uiPriority w:val="99"/>
    <w:rsid w:val="005F4E12"/>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5F4E12"/>
  </w:style>
  <w:style w:type="character" w:styleId="CommentReference">
    <w:name w:val="annotation reference"/>
    <w:uiPriority w:val="99"/>
    <w:semiHidden/>
    <w:unhideWhenUsed/>
    <w:rsid w:val="005F4E12"/>
    <w:rPr>
      <w:sz w:val="16"/>
      <w:szCs w:val="16"/>
    </w:rPr>
  </w:style>
  <w:style w:type="paragraph" w:styleId="CommentText">
    <w:name w:val="annotation text"/>
    <w:basedOn w:val="Normal"/>
    <w:link w:val="CommentTextChar"/>
    <w:uiPriority w:val="99"/>
    <w:unhideWhenUsed/>
    <w:rsid w:val="005F4E12"/>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5F4E12"/>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F4E12"/>
    <w:rPr>
      <w:b/>
      <w:bCs/>
    </w:rPr>
  </w:style>
  <w:style w:type="character" w:customStyle="1" w:styleId="CommentSubjectChar">
    <w:name w:val="Comment Subject Char"/>
    <w:basedOn w:val="CommentTextChar"/>
    <w:link w:val="CommentSubject"/>
    <w:uiPriority w:val="99"/>
    <w:semiHidden/>
    <w:rsid w:val="005F4E12"/>
    <w:rPr>
      <w:rFonts w:ascii="Times New Roman" w:eastAsia="Times New Roman" w:hAnsi="Times New Roman"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1261740">
      <w:bodyDiv w:val="1"/>
      <w:marLeft w:val="0"/>
      <w:marRight w:val="0"/>
      <w:marTop w:val="0"/>
      <w:marBottom w:val="0"/>
      <w:divBdr>
        <w:top w:val="none" w:sz="0" w:space="0" w:color="auto"/>
        <w:left w:val="none" w:sz="0" w:space="0" w:color="auto"/>
        <w:bottom w:val="none" w:sz="0" w:space="0" w:color="auto"/>
        <w:right w:val="none" w:sz="0" w:space="0" w:color="auto"/>
      </w:divBdr>
      <w:divsChild>
        <w:div w:id="1887594740">
          <w:marLeft w:val="0"/>
          <w:marRight w:val="0"/>
          <w:marTop w:val="0"/>
          <w:marBottom w:val="0"/>
          <w:divBdr>
            <w:top w:val="none" w:sz="0" w:space="0" w:color="auto"/>
            <w:left w:val="none" w:sz="0" w:space="0" w:color="auto"/>
            <w:bottom w:val="none" w:sz="0" w:space="0" w:color="auto"/>
            <w:right w:val="none" w:sz="0" w:space="0" w:color="auto"/>
          </w:divBdr>
          <w:divsChild>
            <w:div w:id="1535079015">
              <w:marLeft w:val="0"/>
              <w:marRight w:val="0"/>
              <w:marTop w:val="0"/>
              <w:marBottom w:val="0"/>
              <w:divBdr>
                <w:top w:val="none" w:sz="0" w:space="0" w:color="auto"/>
                <w:left w:val="none" w:sz="0" w:space="0" w:color="auto"/>
                <w:bottom w:val="none" w:sz="0" w:space="0" w:color="auto"/>
                <w:right w:val="none" w:sz="0" w:space="0" w:color="auto"/>
              </w:divBdr>
              <w:divsChild>
                <w:div w:id="1590386880">
                  <w:marLeft w:val="0"/>
                  <w:marRight w:val="0"/>
                  <w:marTop w:val="0"/>
                  <w:marBottom w:val="0"/>
                  <w:divBdr>
                    <w:top w:val="none" w:sz="0" w:space="0" w:color="auto"/>
                    <w:left w:val="none" w:sz="0" w:space="0" w:color="auto"/>
                    <w:bottom w:val="none" w:sz="0" w:space="0" w:color="auto"/>
                    <w:right w:val="none" w:sz="0" w:space="0" w:color="auto"/>
                  </w:divBdr>
                  <w:divsChild>
                    <w:div w:id="1342272746">
                      <w:marLeft w:val="0"/>
                      <w:marRight w:val="0"/>
                      <w:marTop w:val="0"/>
                      <w:marBottom w:val="0"/>
                      <w:divBdr>
                        <w:top w:val="none" w:sz="0" w:space="0" w:color="auto"/>
                        <w:left w:val="none" w:sz="0" w:space="0" w:color="auto"/>
                        <w:bottom w:val="none" w:sz="0" w:space="0" w:color="auto"/>
                        <w:right w:val="none" w:sz="0" w:space="0" w:color="auto"/>
                      </w:divBdr>
                      <w:divsChild>
                        <w:div w:id="863205033">
                          <w:marLeft w:val="0"/>
                          <w:marRight w:val="0"/>
                          <w:marTop w:val="0"/>
                          <w:marBottom w:val="0"/>
                          <w:divBdr>
                            <w:top w:val="none" w:sz="0" w:space="0" w:color="auto"/>
                            <w:left w:val="none" w:sz="0" w:space="0" w:color="auto"/>
                            <w:bottom w:val="none" w:sz="0" w:space="0" w:color="auto"/>
                            <w:right w:val="none" w:sz="0" w:space="0" w:color="auto"/>
                          </w:divBdr>
                          <w:divsChild>
                            <w:div w:id="1812401444">
                              <w:marLeft w:val="0"/>
                              <w:marRight w:val="0"/>
                              <w:marTop w:val="0"/>
                              <w:marBottom w:val="0"/>
                              <w:divBdr>
                                <w:top w:val="none" w:sz="0" w:space="0" w:color="auto"/>
                                <w:left w:val="none" w:sz="0" w:space="0" w:color="auto"/>
                                <w:bottom w:val="none" w:sz="0" w:space="0" w:color="auto"/>
                                <w:right w:val="none" w:sz="0" w:space="0" w:color="auto"/>
                              </w:divBdr>
                              <w:divsChild>
                                <w:div w:id="1886519933">
                                  <w:marLeft w:val="0"/>
                                  <w:marRight w:val="0"/>
                                  <w:marTop w:val="0"/>
                                  <w:marBottom w:val="0"/>
                                  <w:divBdr>
                                    <w:top w:val="none" w:sz="0" w:space="0" w:color="auto"/>
                                    <w:left w:val="none" w:sz="0" w:space="0" w:color="auto"/>
                                    <w:bottom w:val="none" w:sz="0" w:space="0" w:color="auto"/>
                                    <w:right w:val="none" w:sz="0" w:space="0" w:color="auto"/>
                                  </w:divBdr>
                                  <w:divsChild>
                                    <w:div w:id="265774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2826510">
      <w:bodyDiv w:val="1"/>
      <w:marLeft w:val="0"/>
      <w:marRight w:val="0"/>
      <w:marTop w:val="0"/>
      <w:marBottom w:val="0"/>
      <w:divBdr>
        <w:top w:val="none" w:sz="0" w:space="0" w:color="auto"/>
        <w:left w:val="none" w:sz="0" w:space="0" w:color="auto"/>
        <w:bottom w:val="none" w:sz="0" w:space="0" w:color="auto"/>
        <w:right w:val="none" w:sz="0" w:space="0" w:color="auto"/>
      </w:divBdr>
      <w:divsChild>
        <w:div w:id="1982952553">
          <w:marLeft w:val="0"/>
          <w:marRight w:val="0"/>
          <w:marTop w:val="0"/>
          <w:marBottom w:val="0"/>
          <w:divBdr>
            <w:top w:val="none" w:sz="0" w:space="0" w:color="auto"/>
            <w:left w:val="none" w:sz="0" w:space="0" w:color="auto"/>
            <w:bottom w:val="none" w:sz="0" w:space="0" w:color="auto"/>
            <w:right w:val="none" w:sz="0" w:space="0" w:color="auto"/>
          </w:divBdr>
          <w:divsChild>
            <w:div w:id="66408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400461">
      <w:bodyDiv w:val="1"/>
      <w:marLeft w:val="0"/>
      <w:marRight w:val="0"/>
      <w:marTop w:val="0"/>
      <w:marBottom w:val="0"/>
      <w:divBdr>
        <w:top w:val="none" w:sz="0" w:space="0" w:color="auto"/>
        <w:left w:val="none" w:sz="0" w:space="0" w:color="auto"/>
        <w:bottom w:val="none" w:sz="0" w:space="0" w:color="auto"/>
        <w:right w:val="none" w:sz="0" w:space="0" w:color="auto"/>
      </w:divBdr>
      <w:divsChild>
        <w:div w:id="1081219316">
          <w:marLeft w:val="0"/>
          <w:marRight w:val="0"/>
          <w:marTop w:val="0"/>
          <w:marBottom w:val="0"/>
          <w:divBdr>
            <w:top w:val="none" w:sz="0" w:space="0" w:color="auto"/>
            <w:left w:val="none" w:sz="0" w:space="0" w:color="auto"/>
            <w:bottom w:val="none" w:sz="0" w:space="0" w:color="auto"/>
            <w:right w:val="none" w:sz="0" w:space="0" w:color="auto"/>
          </w:divBdr>
          <w:divsChild>
            <w:div w:id="1060176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533143">
      <w:bodyDiv w:val="1"/>
      <w:marLeft w:val="0"/>
      <w:marRight w:val="0"/>
      <w:marTop w:val="0"/>
      <w:marBottom w:val="0"/>
      <w:divBdr>
        <w:top w:val="none" w:sz="0" w:space="0" w:color="auto"/>
        <w:left w:val="none" w:sz="0" w:space="0" w:color="auto"/>
        <w:bottom w:val="none" w:sz="0" w:space="0" w:color="auto"/>
        <w:right w:val="none" w:sz="0" w:space="0" w:color="auto"/>
      </w:divBdr>
      <w:divsChild>
        <w:div w:id="1560633991">
          <w:marLeft w:val="0"/>
          <w:marRight w:val="0"/>
          <w:marTop w:val="0"/>
          <w:marBottom w:val="0"/>
          <w:divBdr>
            <w:top w:val="none" w:sz="0" w:space="0" w:color="auto"/>
            <w:left w:val="none" w:sz="0" w:space="0" w:color="auto"/>
            <w:bottom w:val="none" w:sz="0" w:space="0" w:color="auto"/>
            <w:right w:val="none" w:sz="0" w:space="0" w:color="auto"/>
          </w:divBdr>
          <w:divsChild>
            <w:div w:id="628365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8070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econmod.2024.106896" TargetMode="External"/><Relationship Id="rId21" Type="http://schemas.openxmlformats.org/officeDocument/2006/relationships/hyperlink" Target="https://doi.org/10.1177/03063070211063310" TargetMode="External"/><Relationship Id="rId42" Type="http://schemas.openxmlformats.org/officeDocument/2006/relationships/hyperlink" Target="https://doi.org/10.1007/s13198-021-01569-y" TargetMode="External"/><Relationship Id="rId47" Type="http://schemas.openxmlformats.org/officeDocument/2006/relationships/hyperlink" Target="https://doi.org/10.3390/risks10070135" TargetMode="External"/><Relationship Id="rId63" Type="http://schemas.openxmlformats.org/officeDocument/2006/relationships/image" Target="media/image18.png"/><Relationship Id="rId68" Type="http://schemas.openxmlformats.org/officeDocument/2006/relationships/image" Target="media/image23.png"/><Relationship Id="rId16" Type="http://schemas.openxmlformats.org/officeDocument/2006/relationships/hyperlink" Target="https://doi.org/10.1002/ijfe.2352" TargetMode="External"/><Relationship Id="rId11" Type="http://schemas.openxmlformats.org/officeDocument/2006/relationships/image" Target="media/image4.png"/><Relationship Id="rId32" Type="http://schemas.openxmlformats.org/officeDocument/2006/relationships/hyperlink" Target="https://doi.org/10.1016/j.jcae.2019.100178" TargetMode="External"/><Relationship Id="rId37" Type="http://schemas.openxmlformats.org/officeDocument/2006/relationships/hyperlink" Target="https://doi.org/10.1177/1609406917733847" TargetMode="External"/><Relationship Id="rId53" Type="http://schemas.openxmlformats.org/officeDocument/2006/relationships/image" Target="media/image8.png"/><Relationship Id="rId58" Type="http://schemas.openxmlformats.org/officeDocument/2006/relationships/image" Target="media/image13.png"/><Relationship Id="rId74" Type="http://schemas.openxmlformats.org/officeDocument/2006/relationships/image" Target="media/image25.png"/><Relationship Id="rId79" Type="http://schemas.openxmlformats.org/officeDocument/2006/relationships/header" Target="header3.xml"/><Relationship Id="rId5" Type="http://schemas.openxmlformats.org/officeDocument/2006/relationships/webSettings" Target="webSettings.xml"/><Relationship Id="rId61" Type="http://schemas.openxmlformats.org/officeDocument/2006/relationships/image" Target="media/image16.png"/><Relationship Id="rId82" Type="http://schemas.openxmlformats.org/officeDocument/2006/relationships/theme" Target="theme/theme1.xml"/><Relationship Id="rId19" Type="http://schemas.openxmlformats.org/officeDocument/2006/relationships/hyperlink" Target="https://doi.org/10.1007/s11187-021-00510-8" TargetMode="External"/><Relationship Id="rId14" Type="http://schemas.openxmlformats.org/officeDocument/2006/relationships/hyperlink" Target="https://doi.org/10.3390/risks11010016" TargetMode="External"/><Relationship Id="rId22" Type="http://schemas.openxmlformats.org/officeDocument/2006/relationships/hyperlink" Target="https://doi.org/10.1111/jbfa.12554" TargetMode="External"/><Relationship Id="rId27" Type="http://schemas.openxmlformats.org/officeDocument/2006/relationships/hyperlink" Target="https://doi.org/10.1016/j.bir.2024.03.004" TargetMode="External"/><Relationship Id="rId30" Type="http://schemas.openxmlformats.org/officeDocument/2006/relationships/hyperlink" Target="https://doi.org/10.1371/journal.pone.0287135" TargetMode="External"/><Relationship Id="rId35" Type="http://schemas.openxmlformats.org/officeDocument/2006/relationships/hyperlink" Target="https://doi.org/10.3390/risks10090173" TargetMode="External"/><Relationship Id="rId43" Type="http://schemas.openxmlformats.org/officeDocument/2006/relationships/hyperlink" Target="https://doi.org/10.1016/j.jbusres.2019.07.039" TargetMode="External"/><Relationship Id="rId48" Type="http://schemas.openxmlformats.org/officeDocument/2006/relationships/hyperlink" Target="https://doi.org/10.1111/poms.13269" TargetMode="External"/><Relationship Id="rId56" Type="http://schemas.openxmlformats.org/officeDocument/2006/relationships/image" Target="media/image11.png"/><Relationship Id="rId64" Type="http://schemas.openxmlformats.org/officeDocument/2006/relationships/image" Target="media/image19.png"/><Relationship Id="rId69" Type="http://schemas.openxmlformats.org/officeDocument/2006/relationships/image" Target="media/image24.png"/><Relationship Id="rId77"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6.png"/><Relationship Id="rId7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0" Type="http://schemas.openxmlformats.org/officeDocument/2006/relationships/footer" Target="footer3.xml"/><Relationship Id="rId3" Type="http://schemas.openxmlformats.org/officeDocument/2006/relationships/styles" Target="styles.xml"/><Relationship Id="rId12" Type="http://schemas.openxmlformats.org/officeDocument/2006/relationships/hyperlink" Target="https://doi.org/10.3390/economies11040121" TargetMode="External"/><Relationship Id="rId17" Type="http://schemas.openxmlformats.org/officeDocument/2006/relationships/hyperlink" Target="https://doi.org/10.1177/014920639101700108" TargetMode="External"/><Relationship Id="rId25" Type="http://schemas.openxmlformats.org/officeDocument/2006/relationships/hyperlink" Target="https://doi.org/10.1080/23311975.2022.2141090" TargetMode="External"/><Relationship Id="rId33" Type="http://schemas.openxmlformats.org/officeDocument/2006/relationships/hyperlink" Target="https://doi.org/10.22610/imbr.v16i2(I)S.3683" TargetMode="External"/><Relationship Id="rId38" Type="http://schemas.openxmlformats.org/officeDocument/2006/relationships/hyperlink" Target="https://doi.org/10.1016/j.joitmc.2024.100320" TargetMode="External"/><Relationship Id="rId46" Type="http://schemas.openxmlformats.org/officeDocument/2006/relationships/hyperlink" Target="https://doi.org/10.3390/economies14050149" TargetMode="External"/><Relationship Id="rId59" Type="http://schemas.openxmlformats.org/officeDocument/2006/relationships/image" Target="media/image14.png"/><Relationship Id="rId67" Type="http://schemas.openxmlformats.org/officeDocument/2006/relationships/image" Target="media/image22.png"/><Relationship Id="rId20" Type="http://schemas.openxmlformats.org/officeDocument/2006/relationships/hyperlink" Target="https://www.british-business-bank.co.uk/about/research-and-publications/small-business-finance-markets-report-2026" TargetMode="External"/><Relationship Id="rId41" Type="http://schemas.openxmlformats.org/officeDocument/2006/relationships/hyperlink" Target="https://doi.org/10.1136/bmj.n71" TargetMode="External"/><Relationship Id="rId54" Type="http://schemas.openxmlformats.org/officeDocument/2006/relationships/image" Target="media/image9.png"/><Relationship Id="rId62" Type="http://schemas.openxmlformats.org/officeDocument/2006/relationships/image" Target="media/image17.png"/><Relationship Id="rId70" Type="http://schemas.openxmlformats.org/officeDocument/2006/relationships/hyperlink" Target="mailto:2430265@student.uwtsd.ac.uk" TargetMode="External"/><Relationship Id="rId75"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3390/jrfm14010009" TargetMode="External"/><Relationship Id="rId23" Type="http://schemas.openxmlformats.org/officeDocument/2006/relationships/hyperlink" Target="https://www.gov.uk/government/statistics/business-population-estimates-2025/business-population-estimates-for-the-uk-and-regions-2025-statistical-release" TargetMode="External"/><Relationship Id="rId28" Type="http://schemas.openxmlformats.org/officeDocument/2006/relationships/hyperlink" Target="https://doi.org/10.1177/21582440241242552" TargetMode="External"/><Relationship Id="rId36" Type="http://schemas.openxmlformats.org/officeDocument/2006/relationships/hyperlink" Target="https://doi.org/10.1111/j.1745-6622.2006.00106.x" TargetMode="External"/><Relationship Id="rId49" Type="http://schemas.openxmlformats.org/officeDocument/2006/relationships/hyperlink" Target="https://doi.org/10.1108/EBR-09-2022-0173" TargetMode="External"/><Relationship Id="rId57" Type="http://schemas.openxmlformats.org/officeDocument/2006/relationships/image" Target="media/image12.png"/><Relationship Id="rId10" Type="http://schemas.openxmlformats.org/officeDocument/2006/relationships/image" Target="media/image3.png"/><Relationship Id="rId31" Type="http://schemas.openxmlformats.org/officeDocument/2006/relationships/hyperlink" Target="https://doi.org/10.1007/s11365-023-00871-4" TargetMode="External"/><Relationship Id="rId44" Type="http://schemas.openxmlformats.org/officeDocument/2006/relationships/hyperlink" Target="https://doi.org/10.1057/s41283-022-00107-9" TargetMode="External"/><Relationship Id="rId52" Type="http://schemas.openxmlformats.org/officeDocument/2006/relationships/image" Target="media/image7.png"/><Relationship Id="rId60" Type="http://schemas.openxmlformats.org/officeDocument/2006/relationships/image" Target="media/image15.png"/><Relationship Id="rId65" Type="http://schemas.openxmlformats.org/officeDocument/2006/relationships/image" Target="media/image20.png"/><Relationship Id="rId73" Type="http://schemas.openxmlformats.org/officeDocument/2006/relationships/hyperlink" Target="https://www.uwtsd.ac.uk/research/research-ethics/" TargetMode="External"/><Relationship Id="rId78" Type="http://schemas.openxmlformats.org/officeDocument/2006/relationships/footer" Target="footer2.xml"/><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doi.org/10.3390/risks9110201" TargetMode="External"/><Relationship Id="rId18" Type="http://schemas.openxmlformats.org/officeDocument/2006/relationships/hyperlink" Target="https://doi.org/10.1016/j.qref.2021.03.002" TargetMode="External"/><Relationship Id="rId39" Type="http://schemas.openxmlformats.org/officeDocument/2006/relationships/hyperlink" Target="https://doi.org/10.1108/XJM-09-2023-0192" TargetMode="External"/><Relationship Id="rId34" Type="http://schemas.openxmlformats.org/officeDocument/2006/relationships/hyperlink" Target="https://doi.org/10.3390/risks10030063" TargetMode="External"/><Relationship Id="rId50" Type="http://schemas.openxmlformats.org/officeDocument/2006/relationships/image" Target="media/image5.png"/><Relationship Id="rId55" Type="http://schemas.openxmlformats.org/officeDocument/2006/relationships/image" Target="media/image10.png"/><Relationship Id="rId76" Type="http://schemas.openxmlformats.org/officeDocument/2006/relationships/header" Target="header2.xml"/><Relationship Id="rId7" Type="http://schemas.openxmlformats.org/officeDocument/2006/relationships/endnotes" Target="endnotes.xml"/><Relationship Id="rId71" Type="http://schemas.openxmlformats.org/officeDocument/2006/relationships/hyperlink" Target="file:///C:\Users\c.lohmann-hancock\AppData\Local\Microsoft\Windows\INetCache\REICoP-17-20-v3-Final.pdf" TargetMode="External"/><Relationship Id="rId2" Type="http://schemas.openxmlformats.org/officeDocument/2006/relationships/numbering" Target="numbering.xml"/><Relationship Id="rId29" Type="http://schemas.openxmlformats.org/officeDocument/2006/relationships/hyperlink" Target="https://doi.org/10.3390/info11060297" TargetMode="External"/><Relationship Id="rId24" Type="http://schemas.openxmlformats.org/officeDocument/2006/relationships/hyperlink" Target="https://doi.org/10.1016/j.irfa.2025.104418" TargetMode="External"/><Relationship Id="rId40" Type="http://schemas.openxmlformats.org/officeDocument/2006/relationships/hyperlink" Target="https://doi.org/10.4102/sajbm.v54i1.3831" TargetMode="External"/><Relationship Id="rId45" Type="http://schemas.openxmlformats.org/officeDocument/2006/relationships/hyperlink" Target="https://doi.org/10.1108/JAOC-11-2020-0181" TargetMode="External"/><Relationship Id="rId66"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39842F-0B78-4600-A138-DAC27F18EC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81</Pages>
  <Words>27943</Words>
  <Characters>159277</Characters>
  <Application>Microsoft Office Word</Application>
  <DocSecurity>0</DocSecurity>
  <Lines>1327</Lines>
  <Paragraphs>373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2026-09-23T14:19:00Z</dcterms:created>
  <dcterms:modified xsi:type="dcterms:W3CDTF">2026-09-25T07:32:00Z</dcterms:modified>
</cp:coreProperties>
</file>