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197B2E" w14:textId="79126340" w:rsidR="00E34108" w:rsidRDefault="00B93CC7" w:rsidP="00E34108">
      <w:pPr>
        <w:pStyle w:val="Title"/>
        <w:rPr>
          <w:b/>
          <w:bCs/>
          <w:sz w:val="42"/>
          <w:szCs w:val="42"/>
        </w:rPr>
      </w:pPr>
      <w:r>
        <w:rPr>
          <w:rFonts w:cs="Times New Roman"/>
          <w:noProof/>
          <w:szCs w:val="24"/>
        </w:rPr>
        <w:drawing>
          <wp:inline distT="0" distB="0" distL="0" distR="0" wp14:anchorId="51768F2A" wp14:editId="4C5F18B2">
            <wp:extent cx="3170942" cy="1051560"/>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2803" cy="1062126"/>
                    </a:xfrm>
                    <a:prstGeom prst="rect">
                      <a:avLst/>
                    </a:prstGeom>
                    <a:noFill/>
                    <a:ln>
                      <a:noFill/>
                    </a:ln>
                  </pic:spPr>
                </pic:pic>
              </a:graphicData>
            </a:graphic>
          </wp:inline>
        </w:drawing>
      </w:r>
    </w:p>
    <w:p w14:paraId="39C5E198" w14:textId="77777777" w:rsidR="00CC2424" w:rsidRDefault="00CC2424" w:rsidP="00CC2424">
      <w:pPr>
        <w:jc w:val="center"/>
        <w:rPr>
          <w:b/>
          <w:bCs/>
        </w:rPr>
      </w:pPr>
    </w:p>
    <w:p w14:paraId="776C46AD" w14:textId="77777777" w:rsidR="00CC2424" w:rsidRPr="009B3D9A" w:rsidRDefault="00CC2424" w:rsidP="00CC2424">
      <w:pPr>
        <w:jc w:val="center"/>
        <w:rPr>
          <w:b/>
          <w:bCs/>
        </w:rPr>
      </w:pPr>
      <w:r w:rsidRPr="009B3D9A">
        <w:rPr>
          <w:b/>
          <w:bCs/>
        </w:rPr>
        <w:t>BA BUSINESS MANAGEMENT</w:t>
      </w:r>
    </w:p>
    <w:p w14:paraId="0FE05F79" w14:textId="77777777" w:rsidR="00CC2424" w:rsidRDefault="00CC2424" w:rsidP="00CC2424">
      <w:pPr>
        <w:jc w:val="center"/>
        <w:rPr>
          <w:b/>
          <w:bCs/>
        </w:rPr>
      </w:pPr>
      <w:r w:rsidRPr="009B3D9A">
        <w:rPr>
          <w:b/>
          <w:bCs/>
        </w:rPr>
        <w:t xml:space="preserve">Assignment </w:t>
      </w:r>
      <w:r>
        <w:rPr>
          <w:b/>
          <w:bCs/>
        </w:rPr>
        <w:t>1</w:t>
      </w:r>
    </w:p>
    <w:p w14:paraId="2DBB6BEA" w14:textId="77777777" w:rsidR="00CC2424" w:rsidRDefault="00CC2424" w:rsidP="00CC2424">
      <w:pPr>
        <w:jc w:val="center"/>
        <w:rPr>
          <w:b/>
          <w:bCs/>
        </w:rPr>
      </w:pPr>
    </w:p>
    <w:p w14:paraId="0A27CA60" w14:textId="77777777" w:rsidR="00CC2424" w:rsidRDefault="00CC2424" w:rsidP="00CC2424">
      <w:pPr>
        <w:jc w:val="center"/>
        <w:rPr>
          <w:b/>
          <w:bCs/>
        </w:rPr>
      </w:pPr>
    </w:p>
    <w:p w14:paraId="338B7A9A" w14:textId="77777777" w:rsidR="00CC2424" w:rsidRDefault="00CC2424" w:rsidP="00CC2424">
      <w:pPr>
        <w:jc w:val="center"/>
        <w:rPr>
          <w:b/>
          <w:bCs/>
        </w:rPr>
      </w:pPr>
    </w:p>
    <w:p w14:paraId="08EB227E" w14:textId="77777777" w:rsidR="00CC2424" w:rsidRDefault="00CC2424" w:rsidP="00CC2424">
      <w:pPr>
        <w:rPr>
          <w:b/>
          <w:bCs/>
        </w:rPr>
      </w:pPr>
    </w:p>
    <w:p w14:paraId="3F96E642" w14:textId="77777777" w:rsidR="00CC2424" w:rsidRDefault="00CC2424" w:rsidP="00CC2424">
      <w:pPr>
        <w:rPr>
          <w:b/>
          <w:bCs/>
        </w:rPr>
      </w:pPr>
    </w:p>
    <w:p w14:paraId="1B0C4B72" w14:textId="77777777" w:rsidR="00CC2424" w:rsidRDefault="00CC2424" w:rsidP="00CC2424">
      <w:pPr>
        <w:rPr>
          <w:b/>
          <w:bCs/>
        </w:rPr>
      </w:pPr>
    </w:p>
    <w:p w14:paraId="41B7033F" w14:textId="7B85BD2D" w:rsidR="00CC2424" w:rsidRPr="009B3D9A" w:rsidRDefault="00CC2424" w:rsidP="00CC2424">
      <w:r w:rsidRPr="009B3D9A">
        <w:rPr>
          <w:b/>
          <w:bCs/>
        </w:rPr>
        <w:t>Module</w:t>
      </w:r>
      <w:r w:rsidRPr="009B3D9A">
        <w:t>:</w:t>
      </w:r>
      <w:r>
        <w:t xml:space="preserve"> </w:t>
      </w:r>
      <w:r>
        <w:t>Project Management</w:t>
      </w:r>
    </w:p>
    <w:p w14:paraId="25044F85" w14:textId="18D61786" w:rsidR="00CC2424" w:rsidRPr="004F7AB2" w:rsidRDefault="00CC2424" w:rsidP="00CC2424">
      <w:r w:rsidRPr="00E50DC2">
        <w:rPr>
          <w:b/>
          <w:bCs/>
        </w:rPr>
        <w:t>Code:</w:t>
      </w:r>
      <w:r w:rsidRPr="004F7AB2">
        <w:t xml:space="preserve"> LCBB</w:t>
      </w:r>
      <w:r>
        <w:t>500</w:t>
      </w:r>
      <w:r>
        <w:t>5</w:t>
      </w:r>
    </w:p>
    <w:p w14:paraId="316B6DAB" w14:textId="68BD6AAA" w:rsidR="00CC2424" w:rsidRPr="00E50DC2" w:rsidRDefault="00CC2424" w:rsidP="00CC2424">
      <w:r w:rsidRPr="009B3D9A">
        <w:rPr>
          <w:b/>
          <w:bCs/>
        </w:rPr>
        <w:t>Lecturer</w:t>
      </w:r>
      <w:r w:rsidRPr="009B3D9A">
        <w:t>:</w:t>
      </w:r>
      <w:r>
        <w:t xml:space="preserve"> </w:t>
      </w:r>
      <w:r>
        <w:t xml:space="preserve">MD </w:t>
      </w:r>
      <w:proofErr w:type="spellStart"/>
      <w:r w:rsidR="00F72070">
        <w:t>Sedeque</w:t>
      </w:r>
      <w:proofErr w:type="spellEnd"/>
      <w:r w:rsidR="00F72070">
        <w:t xml:space="preserve"> Imam Sha</w:t>
      </w:r>
      <w:r w:rsidR="00B66485">
        <w:t>ikh</w:t>
      </w:r>
    </w:p>
    <w:p w14:paraId="015B167C" w14:textId="77777777" w:rsidR="00CC2424" w:rsidRPr="00F82ABD" w:rsidRDefault="00CC2424" w:rsidP="00CC2424">
      <w:pPr>
        <w:tabs>
          <w:tab w:val="left" w:pos="1224"/>
        </w:tabs>
      </w:pPr>
      <w:r w:rsidRPr="009B3D9A">
        <w:rPr>
          <w:b/>
          <w:bCs/>
        </w:rPr>
        <w:t xml:space="preserve">Name: </w:t>
      </w:r>
      <w:r w:rsidRPr="00051A60">
        <w:t>Tanya Garabinska</w:t>
      </w:r>
    </w:p>
    <w:p w14:paraId="1E7A52F7" w14:textId="77777777" w:rsidR="00CC2424" w:rsidRPr="009B3D9A" w:rsidRDefault="00CC2424" w:rsidP="00CC2424">
      <w:pPr>
        <w:rPr>
          <w:b/>
          <w:bCs/>
        </w:rPr>
      </w:pPr>
      <w:r w:rsidRPr="009B3D9A">
        <w:rPr>
          <w:b/>
          <w:bCs/>
        </w:rPr>
        <w:t>Student ID:</w:t>
      </w:r>
      <w:r w:rsidRPr="00F82ABD">
        <w:t>2129044</w:t>
      </w:r>
    </w:p>
    <w:p w14:paraId="55CD7EE2" w14:textId="77777777" w:rsidR="00CC2424" w:rsidRDefault="00CC2424" w:rsidP="00CC2424">
      <w:pPr>
        <w:spacing w:line="480" w:lineRule="auto"/>
        <w:jc w:val="center"/>
      </w:pPr>
    </w:p>
    <w:p w14:paraId="47898F70" w14:textId="77777777" w:rsidR="00CC2424" w:rsidRDefault="00CC2424" w:rsidP="00CC2424">
      <w:pPr>
        <w:spacing w:line="480" w:lineRule="auto"/>
        <w:jc w:val="center"/>
      </w:pPr>
    </w:p>
    <w:p w14:paraId="03508A11" w14:textId="77777777" w:rsidR="00CC2424" w:rsidRDefault="00CC2424" w:rsidP="00CC2424">
      <w:pPr>
        <w:spacing w:line="480" w:lineRule="auto"/>
        <w:jc w:val="center"/>
      </w:pPr>
    </w:p>
    <w:p w14:paraId="5CEE1BEE" w14:textId="4351C5B1" w:rsidR="00E34108" w:rsidRPr="00B66485" w:rsidRDefault="00B66485" w:rsidP="00CC2424">
      <w:pPr>
        <w:pStyle w:val="Title"/>
        <w:rPr>
          <w:b/>
          <w:bCs/>
          <w:sz w:val="28"/>
          <w:szCs w:val="28"/>
        </w:rPr>
      </w:pPr>
      <w:r>
        <w:rPr>
          <w:b/>
          <w:bCs/>
          <w:sz w:val="28"/>
          <w:szCs w:val="28"/>
        </w:rPr>
        <w:t xml:space="preserve">                                     </w:t>
      </w:r>
      <w:r w:rsidR="00CC2424" w:rsidRPr="00B66485">
        <w:rPr>
          <w:b/>
          <w:bCs/>
          <w:sz w:val="28"/>
          <w:szCs w:val="28"/>
        </w:rPr>
        <w:t xml:space="preserve">SUBMITTED ON THE </w:t>
      </w:r>
      <w:r>
        <w:rPr>
          <w:b/>
          <w:bCs/>
          <w:sz w:val="24"/>
          <w:szCs w:val="24"/>
        </w:rPr>
        <w:t>6th</w:t>
      </w:r>
      <w:r w:rsidR="00CC2424" w:rsidRPr="00B66485">
        <w:rPr>
          <w:b/>
          <w:bCs/>
          <w:sz w:val="24"/>
          <w:szCs w:val="24"/>
        </w:rPr>
        <w:t xml:space="preserve"> of </w:t>
      </w:r>
      <w:r w:rsidR="00CE24DE">
        <w:rPr>
          <w:b/>
          <w:bCs/>
          <w:sz w:val="24"/>
          <w:szCs w:val="24"/>
        </w:rPr>
        <w:t xml:space="preserve">April </w:t>
      </w:r>
      <w:r w:rsidR="00CC2424" w:rsidRPr="00B66485">
        <w:rPr>
          <w:b/>
          <w:bCs/>
          <w:sz w:val="24"/>
          <w:szCs w:val="24"/>
        </w:rPr>
        <w:t>202</w:t>
      </w:r>
      <w:r w:rsidR="00CE24DE">
        <w:rPr>
          <w:b/>
          <w:bCs/>
          <w:sz w:val="24"/>
          <w:szCs w:val="24"/>
        </w:rPr>
        <w:t>4</w:t>
      </w:r>
    </w:p>
    <w:p w14:paraId="16F8AE37" w14:textId="77777777" w:rsidR="00E34108" w:rsidRDefault="00E34108" w:rsidP="00E34108">
      <w:pPr>
        <w:pStyle w:val="Title"/>
        <w:rPr>
          <w:b/>
          <w:bCs/>
          <w:sz w:val="42"/>
          <w:szCs w:val="42"/>
        </w:rPr>
      </w:pPr>
    </w:p>
    <w:p w14:paraId="08EEFB48" w14:textId="532AB8EB" w:rsidR="00264E8C" w:rsidRDefault="00264E8C" w:rsidP="00264E8C"/>
    <w:p w14:paraId="2904FF51" w14:textId="77777777" w:rsidR="00264E8C" w:rsidRPr="00264E8C" w:rsidRDefault="00264E8C" w:rsidP="00264E8C"/>
    <w:sdt>
      <w:sdtPr>
        <w:id w:val="-1081448237"/>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3EBB6B8A" w14:textId="1E6D3CE2" w:rsidR="006030A1" w:rsidRDefault="006030A1">
          <w:pPr>
            <w:pStyle w:val="TOCHeading"/>
          </w:pPr>
          <w:r>
            <w:t>Contents</w:t>
          </w:r>
        </w:p>
        <w:p w14:paraId="25C11193" w14:textId="54921C44" w:rsidR="006030A1" w:rsidRPr="002444ED" w:rsidRDefault="006030A1" w:rsidP="006030A1">
          <w:pPr>
            <w:rPr>
              <w:rFonts w:ascii="Arial" w:hAnsi="Arial" w:cs="Arial"/>
              <w:lang w:val="en-US"/>
            </w:rPr>
          </w:pPr>
          <w:r w:rsidRPr="002444ED">
            <w:rPr>
              <w:rFonts w:ascii="Arial" w:hAnsi="Arial" w:cs="Arial"/>
              <w:lang w:val="en-US"/>
            </w:rPr>
            <w:t>Introduction………………………………………………………………………………………3</w:t>
          </w:r>
        </w:p>
        <w:p w14:paraId="08999613" w14:textId="472635B7" w:rsidR="006030A1" w:rsidRPr="002444ED" w:rsidRDefault="006030A1" w:rsidP="006030A1">
          <w:pPr>
            <w:rPr>
              <w:rFonts w:ascii="Arial" w:hAnsi="Arial" w:cs="Arial"/>
              <w:lang w:val="en-US"/>
            </w:rPr>
          </w:pPr>
          <w:r w:rsidRPr="002444ED">
            <w:rPr>
              <w:rFonts w:ascii="Arial" w:hAnsi="Arial" w:cs="Arial"/>
              <w:lang w:val="en-US"/>
            </w:rPr>
            <w:t>Budget</w:t>
          </w:r>
          <w:r w:rsidR="00ED76BD" w:rsidRPr="002444ED">
            <w:rPr>
              <w:rFonts w:ascii="Arial" w:hAnsi="Arial" w:cs="Arial"/>
              <w:lang w:val="en-US"/>
            </w:rPr>
            <w:t>……………………………………………………………………………………………3</w:t>
          </w:r>
        </w:p>
        <w:p w14:paraId="1BE97068" w14:textId="4E6B0590" w:rsidR="00ED76BD" w:rsidRPr="002444ED" w:rsidRDefault="00ED76BD" w:rsidP="00ED76BD">
          <w:pPr>
            <w:spacing w:line="360" w:lineRule="auto"/>
            <w:jc w:val="both"/>
            <w:rPr>
              <w:rFonts w:ascii="Arial" w:hAnsi="Arial" w:cs="Arial"/>
              <w:szCs w:val="24"/>
            </w:rPr>
          </w:pPr>
          <w:r w:rsidRPr="002444ED">
            <w:rPr>
              <w:rFonts w:ascii="Arial" w:hAnsi="Arial" w:cs="Arial"/>
              <w:szCs w:val="24"/>
            </w:rPr>
            <w:t>Timeline and schedule</w:t>
          </w:r>
          <w:r w:rsidRPr="002444ED">
            <w:rPr>
              <w:rFonts w:ascii="Arial" w:hAnsi="Arial" w:cs="Arial"/>
              <w:szCs w:val="24"/>
            </w:rPr>
            <w:t>…………………………………………………………………………4</w:t>
          </w:r>
        </w:p>
        <w:p w14:paraId="663E2332" w14:textId="53B1048C" w:rsidR="00ED76BD" w:rsidRPr="002444ED" w:rsidRDefault="00ED76BD" w:rsidP="00ED76BD">
          <w:pPr>
            <w:spacing w:line="360" w:lineRule="auto"/>
            <w:jc w:val="both"/>
            <w:rPr>
              <w:rFonts w:ascii="Arial" w:hAnsi="Arial" w:cs="Arial"/>
              <w:szCs w:val="24"/>
            </w:rPr>
          </w:pPr>
          <w:r w:rsidRPr="002444ED">
            <w:rPr>
              <w:rFonts w:ascii="Arial" w:hAnsi="Arial" w:cs="Arial"/>
              <w:szCs w:val="24"/>
            </w:rPr>
            <w:t>Performance and standards</w:t>
          </w:r>
          <w:r w:rsidRPr="002444ED">
            <w:rPr>
              <w:rFonts w:ascii="Arial" w:hAnsi="Arial" w:cs="Arial"/>
              <w:szCs w:val="24"/>
            </w:rPr>
            <w:t>…………………………………………………………………...5</w:t>
          </w:r>
        </w:p>
        <w:p w14:paraId="606C0F15" w14:textId="32B0C578" w:rsidR="00ED76BD" w:rsidRPr="002444ED" w:rsidRDefault="00ED76BD" w:rsidP="00ED76BD">
          <w:pPr>
            <w:spacing w:line="360" w:lineRule="auto"/>
            <w:jc w:val="both"/>
            <w:rPr>
              <w:rFonts w:ascii="Arial" w:hAnsi="Arial" w:cs="Arial"/>
              <w:szCs w:val="24"/>
            </w:rPr>
          </w:pPr>
          <w:r w:rsidRPr="002444ED">
            <w:rPr>
              <w:rFonts w:ascii="Arial" w:hAnsi="Arial" w:cs="Arial"/>
              <w:szCs w:val="24"/>
            </w:rPr>
            <w:t xml:space="preserve">Stakeholders’ concerns </w:t>
          </w:r>
          <w:r w:rsidRPr="002444ED">
            <w:rPr>
              <w:rFonts w:ascii="Arial" w:hAnsi="Arial" w:cs="Arial"/>
              <w:szCs w:val="24"/>
            </w:rPr>
            <w:t>………………………………………………………………………..6</w:t>
          </w:r>
        </w:p>
        <w:p w14:paraId="0DA72457" w14:textId="532640B4" w:rsidR="00ED76BD" w:rsidRPr="002444ED" w:rsidRDefault="00ED76BD" w:rsidP="006030A1">
          <w:pPr>
            <w:rPr>
              <w:rFonts w:ascii="Arial" w:hAnsi="Arial" w:cs="Arial"/>
              <w:lang w:val="en-US"/>
            </w:rPr>
          </w:pPr>
          <w:r w:rsidRPr="002444ED">
            <w:rPr>
              <w:rFonts w:ascii="Arial" w:hAnsi="Arial" w:cs="Arial"/>
              <w:lang w:val="en-US"/>
            </w:rPr>
            <w:t>Risk……………………………………………………………………………………………….7</w:t>
          </w:r>
        </w:p>
        <w:p w14:paraId="26B7A0A9" w14:textId="44726C7C" w:rsidR="00ED76BD" w:rsidRPr="002444ED" w:rsidRDefault="002444ED" w:rsidP="006030A1">
          <w:pPr>
            <w:rPr>
              <w:rFonts w:ascii="Arial" w:hAnsi="Arial" w:cs="Arial"/>
              <w:lang w:val="en-US"/>
            </w:rPr>
          </w:pPr>
          <w:r w:rsidRPr="002444ED">
            <w:rPr>
              <w:rFonts w:ascii="Arial" w:hAnsi="Arial" w:cs="Arial"/>
              <w:lang w:val="en-US"/>
            </w:rPr>
            <w:t>Conclusion……………………………………………………………………………………….9</w:t>
          </w:r>
        </w:p>
        <w:p w14:paraId="28781DD2" w14:textId="05DA4025" w:rsidR="006030A1" w:rsidRPr="002444ED" w:rsidRDefault="006030A1">
          <w:pPr>
            <w:pStyle w:val="TOC1"/>
            <w:tabs>
              <w:tab w:val="right" w:leader="dot" w:pos="9350"/>
            </w:tabs>
            <w:rPr>
              <w:rFonts w:ascii="Arial" w:eastAsiaTheme="minorEastAsia" w:hAnsi="Arial" w:cs="Arial"/>
              <w:noProof/>
              <w:kern w:val="2"/>
              <w:szCs w:val="24"/>
              <w:lang w:eastAsia="en-GB"/>
              <w14:ligatures w14:val="standardContextual"/>
            </w:rPr>
          </w:pPr>
          <w:r w:rsidRPr="002444ED">
            <w:rPr>
              <w:rFonts w:ascii="Arial" w:hAnsi="Arial" w:cs="Arial"/>
            </w:rPr>
            <w:fldChar w:fldCharType="begin"/>
          </w:r>
          <w:r w:rsidRPr="002444ED">
            <w:rPr>
              <w:rFonts w:ascii="Arial" w:hAnsi="Arial" w:cs="Arial"/>
            </w:rPr>
            <w:instrText xml:space="preserve"> TOC \o "1-3" \h \z \u </w:instrText>
          </w:r>
          <w:r w:rsidRPr="002444ED">
            <w:rPr>
              <w:rFonts w:ascii="Arial" w:hAnsi="Arial" w:cs="Arial"/>
            </w:rPr>
            <w:fldChar w:fldCharType="separate"/>
          </w:r>
          <w:hyperlink w:anchor="_Toc163124567" w:history="1">
            <w:r w:rsidRPr="002444ED">
              <w:rPr>
                <w:rStyle w:val="Hyperlink"/>
                <w:rFonts w:ascii="Arial" w:eastAsia="Times New Roman" w:hAnsi="Arial" w:cs="Arial"/>
                <w:noProof/>
                <w:lang w:eastAsia="en-GB"/>
              </w:rPr>
              <w:t>References</w:t>
            </w:r>
            <w:r w:rsidRPr="002444ED">
              <w:rPr>
                <w:rFonts w:ascii="Arial" w:hAnsi="Arial" w:cs="Arial"/>
                <w:noProof/>
                <w:webHidden/>
              </w:rPr>
              <w:tab/>
            </w:r>
            <w:r w:rsidRPr="002444ED">
              <w:rPr>
                <w:rFonts w:ascii="Arial" w:hAnsi="Arial" w:cs="Arial"/>
                <w:noProof/>
                <w:webHidden/>
              </w:rPr>
              <w:fldChar w:fldCharType="begin"/>
            </w:r>
            <w:r w:rsidRPr="002444ED">
              <w:rPr>
                <w:rFonts w:ascii="Arial" w:hAnsi="Arial" w:cs="Arial"/>
                <w:noProof/>
                <w:webHidden/>
              </w:rPr>
              <w:instrText xml:space="preserve"> PAGEREF _Toc163124567 \h </w:instrText>
            </w:r>
            <w:r w:rsidRPr="002444ED">
              <w:rPr>
                <w:rFonts w:ascii="Arial" w:hAnsi="Arial" w:cs="Arial"/>
                <w:noProof/>
                <w:webHidden/>
              </w:rPr>
            </w:r>
            <w:r w:rsidRPr="002444ED">
              <w:rPr>
                <w:rFonts w:ascii="Arial" w:hAnsi="Arial" w:cs="Arial"/>
                <w:noProof/>
                <w:webHidden/>
              </w:rPr>
              <w:fldChar w:fldCharType="separate"/>
            </w:r>
            <w:r w:rsidRPr="002444ED">
              <w:rPr>
                <w:rFonts w:ascii="Arial" w:hAnsi="Arial" w:cs="Arial"/>
                <w:noProof/>
                <w:webHidden/>
              </w:rPr>
              <w:t>10</w:t>
            </w:r>
            <w:r w:rsidRPr="002444ED">
              <w:rPr>
                <w:rFonts w:ascii="Arial" w:hAnsi="Arial" w:cs="Arial"/>
                <w:noProof/>
                <w:webHidden/>
              </w:rPr>
              <w:fldChar w:fldCharType="end"/>
            </w:r>
          </w:hyperlink>
        </w:p>
        <w:p w14:paraId="371952AB" w14:textId="20DB76E7" w:rsidR="006030A1" w:rsidRDefault="006030A1">
          <w:r w:rsidRPr="002444ED">
            <w:rPr>
              <w:rFonts w:ascii="Arial" w:hAnsi="Arial" w:cs="Arial"/>
              <w:b/>
              <w:bCs/>
              <w:noProof/>
            </w:rPr>
            <w:fldChar w:fldCharType="end"/>
          </w:r>
        </w:p>
      </w:sdtContent>
    </w:sdt>
    <w:p w14:paraId="2F68A9ED" w14:textId="77777777" w:rsidR="00264E8C" w:rsidRDefault="00264E8C" w:rsidP="00264E8C">
      <w:pPr>
        <w:pStyle w:val="Title"/>
        <w:jc w:val="center"/>
        <w:rPr>
          <w:b/>
          <w:bCs/>
        </w:rPr>
      </w:pPr>
    </w:p>
    <w:p w14:paraId="0DC33876" w14:textId="77777777" w:rsidR="00E34108" w:rsidRDefault="00E34108" w:rsidP="00E34108">
      <w:pPr>
        <w:pStyle w:val="Title"/>
        <w:rPr>
          <w:b/>
          <w:bCs/>
          <w:sz w:val="42"/>
          <w:szCs w:val="42"/>
        </w:rPr>
      </w:pPr>
    </w:p>
    <w:p w14:paraId="3025FE6F" w14:textId="77777777" w:rsidR="00E34108" w:rsidRDefault="00E34108" w:rsidP="00E34108">
      <w:pPr>
        <w:pStyle w:val="Title"/>
        <w:rPr>
          <w:b/>
          <w:bCs/>
          <w:sz w:val="42"/>
          <w:szCs w:val="42"/>
        </w:rPr>
      </w:pPr>
    </w:p>
    <w:p w14:paraId="1F7AED64" w14:textId="77777777" w:rsidR="00264E8C" w:rsidRDefault="00264E8C" w:rsidP="00E34108">
      <w:pPr>
        <w:pStyle w:val="Title"/>
        <w:rPr>
          <w:b/>
          <w:bCs/>
          <w:sz w:val="42"/>
          <w:szCs w:val="42"/>
        </w:rPr>
      </w:pPr>
    </w:p>
    <w:p w14:paraId="463EAC2F" w14:textId="65EC13F6" w:rsidR="00E34108" w:rsidRPr="000B18C4" w:rsidRDefault="00E34108">
      <w:pPr>
        <w:rPr>
          <w:rFonts w:eastAsiaTheme="majorEastAsia" w:cstheme="majorBidi"/>
          <w:b/>
          <w:bCs/>
          <w:spacing w:val="-10"/>
          <w:kern w:val="28"/>
          <w:sz w:val="42"/>
          <w:szCs w:val="42"/>
        </w:rPr>
      </w:pPr>
      <w:r>
        <w:br w:type="page"/>
      </w:r>
    </w:p>
    <w:p w14:paraId="720CFCA7" w14:textId="77777777" w:rsidR="00D50C59" w:rsidRDefault="00D50C59" w:rsidP="00D50C59">
      <w:pPr>
        <w:spacing w:line="360" w:lineRule="auto"/>
        <w:jc w:val="both"/>
        <w:rPr>
          <w:rFonts w:ascii="Arial" w:hAnsi="Arial" w:cs="Arial"/>
          <w:sz w:val="22"/>
        </w:rPr>
      </w:pPr>
    </w:p>
    <w:p w14:paraId="737DA31F" w14:textId="32A13336" w:rsidR="00D50C59" w:rsidRPr="00D50C59" w:rsidRDefault="00D50C59" w:rsidP="00D50C59">
      <w:pPr>
        <w:spacing w:line="360" w:lineRule="auto"/>
        <w:jc w:val="both"/>
        <w:rPr>
          <w:rFonts w:ascii="Arial" w:hAnsi="Arial" w:cs="Arial"/>
          <w:b/>
          <w:bCs/>
          <w:sz w:val="32"/>
          <w:szCs w:val="32"/>
        </w:rPr>
      </w:pPr>
      <w:r w:rsidRPr="00D50C59">
        <w:rPr>
          <w:rFonts w:ascii="Arial" w:hAnsi="Arial" w:cs="Arial"/>
          <w:b/>
          <w:bCs/>
          <w:sz w:val="32"/>
          <w:szCs w:val="32"/>
        </w:rPr>
        <w:t xml:space="preserve">Introduction   </w:t>
      </w:r>
    </w:p>
    <w:p w14:paraId="3AA0FBDF" w14:textId="127564B4" w:rsidR="00BB3F02" w:rsidRPr="00D50C59" w:rsidRDefault="00D50C59" w:rsidP="00D50C59">
      <w:pPr>
        <w:spacing w:line="360" w:lineRule="auto"/>
        <w:jc w:val="both"/>
        <w:rPr>
          <w:rFonts w:ascii="Arial" w:hAnsi="Arial" w:cs="Arial"/>
          <w:sz w:val="22"/>
        </w:rPr>
      </w:pPr>
      <w:r>
        <w:rPr>
          <w:rFonts w:ascii="Arial" w:hAnsi="Arial" w:cs="Arial"/>
          <w:sz w:val="22"/>
        </w:rPr>
        <w:t xml:space="preserve">     </w:t>
      </w:r>
      <w:r w:rsidR="00F05138" w:rsidRPr="00D50C59">
        <w:rPr>
          <w:rFonts w:ascii="Arial" w:hAnsi="Arial" w:cs="Arial"/>
          <w:sz w:val="22"/>
        </w:rPr>
        <w:t xml:space="preserve">Google's commitment to invest £1 billion for the new offices in the King's Cross, Central London, indicates one of the most challenging and complex projects the tech company has embarked on. </w:t>
      </w:r>
      <w:r w:rsidR="001F41EF" w:rsidRPr="00D50C59">
        <w:rPr>
          <w:rFonts w:ascii="Arial" w:hAnsi="Arial" w:cs="Arial"/>
          <w:sz w:val="22"/>
        </w:rPr>
        <w:t>T</w:t>
      </w:r>
      <w:r w:rsidR="00F05138" w:rsidRPr="00D50C59">
        <w:rPr>
          <w:rFonts w:ascii="Arial" w:hAnsi="Arial" w:cs="Arial"/>
          <w:sz w:val="22"/>
        </w:rPr>
        <w:t>his</w:t>
      </w:r>
      <w:r w:rsidR="001F41EF" w:rsidRPr="00D50C59">
        <w:rPr>
          <w:rFonts w:ascii="Arial" w:hAnsi="Arial" w:cs="Arial"/>
          <w:sz w:val="22"/>
        </w:rPr>
        <w:t xml:space="preserve"> </w:t>
      </w:r>
      <w:r w:rsidR="00F05138" w:rsidRPr="00D50C59">
        <w:rPr>
          <w:rFonts w:ascii="Arial" w:hAnsi="Arial" w:cs="Arial"/>
          <w:sz w:val="22"/>
        </w:rPr>
        <w:t xml:space="preserve">essay will consider the key components </w:t>
      </w:r>
      <w:r w:rsidR="001154A7" w:rsidRPr="00D50C59">
        <w:rPr>
          <w:rFonts w:ascii="Arial" w:hAnsi="Arial" w:cs="Arial"/>
          <w:sz w:val="22"/>
        </w:rPr>
        <w:t>of</w:t>
      </w:r>
      <w:r w:rsidR="00F05138" w:rsidRPr="00D50C59">
        <w:rPr>
          <w:rFonts w:ascii="Arial" w:hAnsi="Arial" w:cs="Arial"/>
          <w:sz w:val="22"/>
        </w:rPr>
        <w:t xml:space="preserve"> the project plan, such as budget allocation, timeline and schedule, performance standards, stakeholders' </w:t>
      </w:r>
      <w:r w:rsidRPr="00D50C59">
        <w:rPr>
          <w:rFonts w:ascii="Arial" w:hAnsi="Arial" w:cs="Arial"/>
          <w:sz w:val="22"/>
        </w:rPr>
        <w:t>concerns,</w:t>
      </w:r>
      <w:r w:rsidR="00F05138" w:rsidRPr="00D50C59">
        <w:rPr>
          <w:rFonts w:ascii="Arial" w:hAnsi="Arial" w:cs="Arial"/>
          <w:sz w:val="22"/>
        </w:rPr>
        <w:t xml:space="preserve"> and risk mitigation efforts. </w:t>
      </w:r>
      <w:r w:rsidR="001154A7" w:rsidRPr="00D50C59">
        <w:rPr>
          <w:rFonts w:ascii="Arial" w:hAnsi="Arial" w:cs="Arial"/>
          <w:sz w:val="22"/>
        </w:rPr>
        <w:t>For</w:t>
      </w:r>
      <w:r w:rsidR="00F05138" w:rsidRPr="00D50C59">
        <w:rPr>
          <w:rFonts w:ascii="Arial" w:hAnsi="Arial" w:cs="Arial"/>
          <w:sz w:val="22"/>
        </w:rPr>
        <w:t xml:space="preserve"> such a large-scale and high-profile development, not </w:t>
      </w:r>
      <w:r w:rsidR="001154A7" w:rsidRPr="00D50C59">
        <w:rPr>
          <w:rFonts w:ascii="Arial" w:hAnsi="Arial" w:cs="Arial"/>
          <w:sz w:val="22"/>
        </w:rPr>
        <w:t xml:space="preserve">only </w:t>
      </w:r>
      <w:r w:rsidR="00F05138" w:rsidRPr="00D50C59">
        <w:rPr>
          <w:rFonts w:ascii="Arial" w:hAnsi="Arial" w:cs="Arial"/>
          <w:sz w:val="22"/>
        </w:rPr>
        <w:t xml:space="preserve">for the world's leading technology company, but for the company's reputation, the appropriate preparation and implementation cannot be overstated Having a well-defined strategy together with robust budget allocations, respect </w:t>
      </w:r>
      <w:r w:rsidR="001154A7" w:rsidRPr="00D50C59">
        <w:rPr>
          <w:rFonts w:ascii="Arial" w:hAnsi="Arial" w:cs="Arial"/>
          <w:sz w:val="22"/>
        </w:rPr>
        <w:t>for</w:t>
      </w:r>
      <w:r w:rsidR="00F05138" w:rsidRPr="00D50C59">
        <w:rPr>
          <w:rFonts w:ascii="Arial" w:hAnsi="Arial" w:cs="Arial"/>
          <w:sz w:val="22"/>
        </w:rPr>
        <w:t xml:space="preserve"> timelines, utmost quality assurance, smoother </w:t>
      </w:r>
      <w:r w:rsidR="0066794F" w:rsidRPr="00D50C59">
        <w:rPr>
          <w:rFonts w:ascii="Arial" w:hAnsi="Arial" w:cs="Arial"/>
          <w:sz w:val="22"/>
        </w:rPr>
        <w:t>collaboration</w:t>
      </w:r>
      <w:r w:rsidR="00F05138" w:rsidRPr="00D50C59">
        <w:rPr>
          <w:rFonts w:ascii="Arial" w:hAnsi="Arial" w:cs="Arial"/>
          <w:sz w:val="22"/>
        </w:rPr>
        <w:t xml:space="preserve"> with the internal/external stakeholders, and </w:t>
      </w:r>
      <w:r w:rsidR="0066794F" w:rsidRPr="00D50C59">
        <w:rPr>
          <w:rFonts w:ascii="Arial" w:hAnsi="Arial" w:cs="Arial"/>
          <w:sz w:val="22"/>
        </w:rPr>
        <w:t>pre-emptive</w:t>
      </w:r>
      <w:r w:rsidR="00F05138" w:rsidRPr="00D50C59">
        <w:rPr>
          <w:rFonts w:ascii="Arial" w:hAnsi="Arial" w:cs="Arial"/>
          <w:sz w:val="22"/>
        </w:rPr>
        <w:t xml:space="preserve"> risk management are all crucial elements for a successful project delivery. The massive 60,400 square meter building, going up from the ground, will be constructed to Google’s specific requirements and custom</w:t>
      </w:r>
      <w:r w:rsidR="00D45AEA" w:rsidRPr="00D50C59">
        <w:rPr>
          <w:rFonts w:ascii="Arial" w:hAnsi="Arial" w:cs="Arial"/>
          <w:sz w:val="22"/>
        </w:rPr>
        <w:t>is</w:t>
      </w:r>
      <w:r w:rsidR="00F05138" w:rsidRPr="00D50C59">
        <w:rPr>
          <w:rFonts w:ascii="Arial" w:hAnsi="Arial" w:cs="Arial"/>
          <w:sz w:val="22"/>
        </w:rPr>
        <w:t xml:space="preserve">ed design. </w:t>
      </w:r>
      <w:r w:rsidR="00ED749A" w:rsidRPr="00D50C59">
        <w:rPr>
          <w:rFonts w:ascii="Arial" w:hAnsi="Arial" w:cs="Arial"/>
          <w:sz w:val="22"/>
        </w:rPr>
        <w:t>Google’s</w:t>
      </w:r>
      <w:r w:rsidR="00F05138" w:rsidRPr="00D50C59">
        <w:rPr>
          <w:rFonts w:ascii="Arial" w:hAnsi="Arial" w:cs="Arial"/>
          <w:sz w:val="22"/>
        </w:rPr>
        <w:t xml:space="preserve"> first wholly owned and designed corporate facility outside the US is of immense significance for </w:t>
      </w:r>
      <w:r w:rsidR="00ED749A" w:rsidRPr="00D50C59">
        <w:rPr>
          <w:rFonts w:ascii="Arial" w:hAnsi="Arial" w:cs="Arial"/>
          <w:sz w:val="22"/>
        </w:rPr>
        <w:t>the company</w:t>
      </w:r>
      <w:r w:rsidR="00F05138" w:rsidRPr="00D50C59">
        <w:rPr>
          <w:rFonts w:ascii="Arial" w:hAnsi="Arial" w:cs="Arial"/>
          <w:sz w:val="22"/>
        </w:rPr>
        <w:t xml:space="preserve"> because it will serve as a tangible architectural landmark that translates the brand identity and values of Google like environmental sustainability.</w:t>
      </w:r>
      <w:r w:rsidR="002D3BAA" w:rsidRPr="00D50C59">
        <w:rPr>
          <w:rFonts w:ascii="Arial" w:hAnsi="Arial" w:cs="Arial"/>
          <w:sz w:val="22"/>
        </w:rPr>
        <w:t xml:space="preserve"> It</w:t>
      </w:r>
      <w:r w:rsidR="00F05138" w:rsidRPr="00D50C59">
        <w:rPr>
          <w:rFonts w:ascii="Arial" w:hAnsi="Arial" w:cs="Arial"/>
          <w:sz w:val="22"/>
        </w:rPr>
        <w:t xml:space="preserve"> present</w:t>
      </w:r>
      <w:r w:rsidR="002D3BAA" w:rsidRPr="00D50C59">
        <w:rPr>
          <w:rFonts w:ascii="Arial" w:hAnsi="Arial" w:cs="Arial"/>
          <w:sz w:val="22"/>
        </w:rPr>
        <w:t>s a</w:t>
      </w:r>
      <w:r w:rsidR="00F05138" w:rsidRPr="00D50C59">
        <w:rPr>
          <w:rFonts w:ascii="Arial" w:hAnsi="Arial" w:cs="Arial"/>
          <w:sz w:val="22"/>
        </w:rPr>
        <w:t xml:space="preserve"> state-of-the-art facility that is designed to accommodate up to 4,500 staff members and to offer an advanced office environment that is </w:t>
      </w:r>
      <w:r w:rsidR="0066794F" w:rsidRPr="00D50C59">
        <w:rPr>
          <w:rFonts w:ascii="Arial" w:hAnsi="Arial" w:cs="Arial"/>
          <w:sz w:val="22"/>
        </w:rPr>
        <w:t>favourable</w:t>
      </w:r>
      <w:r w:rsidR="00F05138" w:rsidRPr="00D50C59">
        <w:rPr>
          <w:rFonts w:ascii="Arial" w:hAnsi="Arial" w:cs="Arial"/>
          <w:sz w:val="22"/>
        </w:rPr>
        <w:t xml:space="preserve"> for increased productivity, better </w:t>
      </w:r>
      <w:r w:rsidR="0066794F" w:rsidRPr="00D50C59">
        <w:rPr>
          <w:rFonts w:ascii="Arial" w:hAnsi="Arial" w:cs="Arial"/>
          <w:sz w:val="22"/>
        </w:rPr>
        <w:t>collaboration</w:t>
      </w:r>
      <w:r w:rsidR="00F05138" w:rsidRPr="00D50C59">
        <w:rPr>
          <w:rFonts w:ascii="Arial" w:hAnsi="Arial" w:cs="Arial"/>
          <w:sz w:val="22"/>
        </w:rPr>
        <w:t xml:space="preserve"> and employee engagement. This evaluation will be conducted through a logical analysis of the financial management, construction scheduling, quality assurance measures, stakeholder engagement and communication strategy, risk mitigation planning and other important aspects of the project. The areas of weakness or deficiency will be pointed out and </w:t>
      </w:r>
      <w:r w:rsidR="0066794F" w:rsidRPr="00D50C59">
        <w:rPr>
          <w:rFonts w:ascii="Arial" w:hAnsi="Arial" w:cs="Arial"/>
          <w:sz w:val="22"/>
        </w:rPr>
        <w:t>their</w:t>
      </w:r>
      <w:r w:rsidR="00F05138" w:rsidRPr="00D50C59">
        <w:rPr>
          <w:rFonts w:ascii="Arial" w:hAnsi="Arial" w:cs="Arial"/>
          <w:sz w:val="22"/>
        </w:rPr>
        <w:t xml:space="preserve"> recommendations on how to improve the planning accuracy and execution for the next cycle.</w:t>
      </w:r>
    </w:p>
    <w:p w14:paraId="752956A9" w14:textId="77777777" w:rsidR="00D50C59" w:rsidRDefault="00D50C59" w:rsidP="00D50C59">
      <w:pPr>
        <w:spacing w:line="360" w:lineRule="auto"/>
        <w:jc w:val="both"/>
        <w:rPr>
          <w:rFonts w:ascii="Arial" w:hAnsi="Arial" w:cs="Arial"/>
          <w:sz w:val="22"/>
        </w:rPr>
      </w:pPr>
    </w:p>
    <w:p w14:paraId="52AAFF78" w14:textId="74071A25" w:rsidR="00D50C59" w:rsidRPr="00110949" w:rsidRDefault="00D50C59" w:rsidP="00D50C59">
      <w:pPr>
        <w:spacing w:line="360" w:lineRule="auto"/>
        <w:jc w:val="both"/>
        <w:rPr>
          <w:rFonts w:ascii="Arial" w:hAnsi="Arial" w:cs="Arial"/>
          <w:b/>
          <w:bCs/>
          <w:sz w:val="32"/>
          <w:szCs w:val="32"/>
        </w:rPr>
      </w:pPr>
      <w:r w:rsidRPr="00110949">
        <w:rPr>
          <w:rFonts w:ascii="Arial" w:hAnsi="Arial" w:cs="Arial"/>
          <w:b/>
          <w:bCs/>
          <w:sz w:val="32"/>
          <w:szCs w:val="32"/>
        </w:rPr>
        <w:t>B</w:t>
      </w:r>
      <w:r w:rsidR="00110949" w:rsidRPr="00110949">
        <w:rPr>
          <w:rFonts w:ascii="Arial" w:hAnsi="Arial" w:cs="Arial"/>
          <w:b/>
          <w:bCs/>
          <w:sz w:val="32"/>
          <w:szCs w:val="32"/>
        </w:rPr>
        <w:t>udget</w:t>
      </w:r>
    </w:p>
    <w:p w14:paraId="7F1D4E2A" w14:textId="40F51D7E" w:rsidR="00BB3F02" w:rsidRPr="00D50C59" w:rsidRDefault="00D50C59" w:rsidP="00D50C59">
      <w:pPr>
        <w:spacing w:line="360" w:lineRule="auto"/>
        <w:jc w:val="both"/>
        <w:rPr>
          <w:rFonts w:ascii="Arial" w:hAnsi="Arial" w:cs="Arial"/>
          <w:sz w:val="22"/>
        </w:rPr>
      </w:pPr>
      <w:r>
        <w:rPr>
          <w:rFonts w:ascii="Arial" w:hAnsi="Arial" w:cs="Arial"/>
          <w:sz w:val="22"/>
        </w:rPr>
        <w:t xml:space="preserve">      </w:t>
      </w:r>
      <w:r w:rsidR="00F05138" w:rsidRPr="00D50C59">
        <w:rPr>
          <w:rFonts w:ascii="Arial" w:hAnsi="Arial" w:cs="Arial"/>
          <w:sz w:val="22"/>
        </w:rPr>
        <w:t xml:space="preserve">A total of £1 billion is expected to be spent on the construction of the new London headquarters, which is a reason why effective financial administration and stringent cost management </w:t>
      </w:r>
      <w:r w:rsidR="00D45AEA" w:rsidRPr="00D50C59">
        <w:rPr>
          <w:rFonts w:ascii="Arial" w:hAnsi="Arial" w:cs="Arial"/>
          <w:sz w:val="22"/>
        </w:rPr>
        <w:t>come</w:t>
      </w:r>
      <w:r w:rsidR="00F05138" w:rsidRPr="00D50C59">
        <w:rPr>
          <w:rFonts w:ascii="Arial" w:hAnsi="Arial" w:cs="Arial"/>
          <w:sz w:val="22"/>
        </w:rPr>
        <w:t xml:space="preserve"> as a vital part of the overall project control</w:t>
      </w:r>
      <w:r w:rsidR="00656978" w:rsidRPr="00D50C59">
        <w:rPr>
          <w:rFonts w:ascii="Arial" w:hAnsi="Arial" w:cs="Arial"/>
          <w:sz w:val="22"/>
        </w:rPr>
        <w:t xml:space="preserve"> (</w:t>
      </w:r>
      <w:proofErr w:type="spellStart"/>
      <w:r w:rsidR="00656978" w:rsidRPr="00D50C59">
        <w:rPr>
          <w:rFonts w:ascii="Arial" w:hAnsi="Arial" w:cs="Arial"/>
          <w:sz w:val="22"/>
        </w:rPr>
        <w:t>Gillespies</w:t>
      </w:r>
      <w:proofErr w:type="spellEnd"/>
      <w:r w:rsidR="00656978" w:rsidRPr="00D50C59">
        <w:rPr>
          <w:rFonts w:ascii="Arial" w:hAnsi="Arial" w:cs="Arial"/>
          <w:sz w:val="22"/>
        </w:rPr>
        <w:t>, 2024)</w:t>
      </w:r>
      <w:r w:rsidR="00F05138" w:rsidRPr="00D50C59">
        <w:rPr>
          <w:rFonts w:ascii="Arial" w:hAnsi="Arial" w:cs="Arial"/>
          <w:sz w:val="22"/>
        </w:rPr>
        <w:t xml:space="preserve">. The billions of dollars in investment which invariably occur during the process of construction, design and engineering, land/site acquisition, and outfitting of modern workplace amenities like cafes, gyms, and other recreational facilities are areas that must be painstakingly addressed from the project’s </w:t>
      </w:r>
      <w:r w:rsidR="00F05138" w:rsidRPr="00D50C59">
        <w:rPr>
          <w:rFonts w:ascii="Arial" w:hAnsi="Arial" w:cs="Arial"/>
          <w:sz w:val="22"/>
        </w:rPr>
        <w:lastRenderedPageBreak/>
        <w:t xml:space="preserve">onset. </w:t>
      </w:r>
      <w:r w:rsidR="001154A7" w:rsidRPr="00D50C59">
        <w:rPr>
          <w:rFonts w:ascii="Arial" w:hAnsi="Arial" w:cs="Arial"/>
          <w:sz w:val="22"/>
        </w:rPr>
        <w:t>Following</w:t>
      </w:r>
      <w:r w:rsidR="00F05138" w:rsidRPr="00D50C59">
        <w:rPr>
          <w:rFonts w:ascii="Arial" w:hAnsi="Arial" w:cs="Arial"/>
          <w:sz w:val="22"/>
        </w:rPr>
        <w:t xml:space="preserve"> the proven to be effective practices for construction projects of this magnitude, the plan is most probably providing for a contingency reserve, ranging from 5% to 10% of the total expenses to handle the unexpected events and uncertainties that are likely to occur during the implementation</w:t>
      </w:r>
      <w:r w:rsidR="00656978" w:rsidRPr="00D50C59">
        <w:rPr>
          <w:rFonts w:ascii="Arial" w:hAnsi="Arial" w:cs="Arial"/>
          <w:sz w:val="22"/>
        </w:rPr>
        <w:t xml:space="preserve"> (</w:t>
      </w:r>
      <w:proofErr w:type="spellStart"/>
      <w:r w:rsidR="00656978" w:rsidRPr="00D50C59">
        <w:rPr>
          <w:rFonts w:ascii="Arial" w:hAnsi="Arial" w:cs="Arial"/>
          <w:sz w:val="22"/>
        </w:rPr>
        <w:t>Gillespies</w:t>
      </w:r>
      <w:proofErr w:type="spellEnd"/>
      <w:r w:rsidR="00656978" w:rsidRPr="00D50C59">
        <w:rPr>
          <w:rFonts w:ascii="Arial" w:hAnsi="Arial" w:cs="Arial"/>
          <w:sz w:val="22"/>
        </w:rPr>
        <w:t>, 2024)</w:t>
      </w:r>
      <w:r w:rsidR="00F05138" w:rsidRPr="00D50C59">
        <w:rPr>
          <w:rFonts w:ascii="Arial" w:hAnsi="Arial" w:cs="Arial"/>
          <w:sz w:val="22"/>
        </w:rPr>
        <w:t xml:space="preserve">. The budgeting process seems to have been given the necessary resources to allow the budget to be as all-encompassing as possible which ensures that the major cost categories and line items have been adequately captured. Nevertheless, the main assumptions and risk areas of the budget baseline </w:t>
      </w:r>
      <w:r w:rsidR="001154A7" w:rsidRPr="00D50C59">
        <w:rPr>
          <w:rFonts w:ascii="Arial" w:hAnsi="Arial" w:cs="Arial"/>
          <w:sz w:val="22"/>
        </w:rPr>
        <w:t>need</w:t>
      </w:r>
      <w:r w:rsidR="00F05138" w:rsidRPr="00D50C59">
        <w:rPr>
          <w:rFonts w:ascii="Arial" w:hAnsi="Arial" w:cs="Arial"/>
          <w:sz w:val="22"/>
        </w:rPr>
        <w:t xml:space="preserve"> to be carefully scrutin</w:t>
      </w:r>
      <w:r w:rsidR="00D45AEA" w:rsidRPr="00D50C59">
        <w:rPr>
          <w:rFonts w:ascii="Arial" w:hAnsi="Arial" w:cs="Arial"/>
          <w:sz w:val="22"/>
        </w:rPr>
        <w:t>is</w:t>
      </w:r>
      <w:r w:rsidR="00F05138" w:rsidRPr="00D50C59">
        <w:rPr>
          <w:rFonts w:ascii="Arial" w:hAnsi="Arial" w:cs="Arial"/>
          <w:sz w:val="22"/>
        </w:rPr>
        <w:t>ed and given wary attention because of their potential to cause cost fluctuation if not properly managed</w:t>
      </w:r>
      <w:r w:rsidR="00656978" w:rsidRPr="00D50C59">
        <w:rPr>
          <w:rFonts w:ascii="Arial" w:hAnsi="Arial" w:cs="Arial"/>
          <w:sz w:val="22"/>
        </w:rPr>
        <w:t>.</w:t>
      </w:r>
      <w:r w:rsidR="00F05138" w:rsidRPr="00D50C59">
        <w:rPr>
          <w:rFonts w:ascii="Arial" w:hAnsi="Arial" w:cs="Arial"/>
          <w:sz w:val="22"/>
        </w:rPr>
        <w:t xml:space="preserve"> One of the largest spending buckets will be the construction cost category. Thus, there is a certain exposure of the investors to the variable inputs for the materials and the </w:t>
      </w:r>
      <w:r w:rsidR="0066794F" w:rsidRPr="00D50C59">
        <w:rPr>
          <w:rFonts w:ascii="Arial" w:hAnsi="Arial" w:cs="Arial"/>
          <w:sz w:val="22"/>
        </w:rPr>
        <w:t>labour</w:t>
      </w:r>
      <w:r w:rsidR="00F05138" w:rsidRPr="00D50C59">
        <w:rPr>
          <w:rFonts w:ascii="Arial" w:hAnsi="Arial" w:cs="Arial"/>
          <w:sz w:val="22"/>
        </w:rPr>
        <w:t xml:space="preserve">. The project team might have done a very thorough due diligence on the quotations of construction subcontractors and materials/machinery costs before the budget </w:t>
      </w:r>
      <w:r w:rsidR="001154A7" w:rsidRPr="00D50C59">
        <w:rPr>
          <w:rFonts w:ascii="Arial" w:hAnsi="Arial" w:cs="Arial"/>
          <w:sz w:val="22"/>
        </w:rPr>
        <w:t>was</w:t>
      </w:r>
      <w:r w:rsidR="00F05138" w:rsidRPr="00D50C59">
        <w:rPr>
          <w:rFonts w:ascii="Arial" w:hAnsi="Arial" w:cs="Arial"/>
          <w:sz w:val="22"/>
        </w:rPr>
        <w:t xml:space="preserve"> created. However, these costs are still susceptible to broader market dynamics such as the imbalance ratio between supply and demand, commodity prices, and the tight </w:t>
      </w:r>
      <w:r w:rsidR="0066794F" w:rsidRPr="00D50C59">
        <w:rPr>
          <w:rFonts w:ascii="Arial" w:hAnsi="Arial" w:cs="Arial"/>
          <w:sz w:val="22"/>
        </w:rPr>
        <w:t>labour</w:t>
      </w:r>
      <w:r w:rsidR="00F05138" w:rsidRPr="00D50C59">
        <w:rPr>
          <w:rFonts w:ascii="Arial" w:hAnsi="Arial" w:cs="Arial"/>
          <w:sz w:val="22"/>
        </w:rPr>
        <w:t xml:space="preserve"> market for skilled tradesmen</w:t>
      </w:r>
      <w:r w:rsidR="00656978" w:rsidRPr="00D50C59">
        <w:rPr>
          <w:rFonts w:ascii="Arial" w:hAnsi="Arial" w:cs="Arial"/>
          <w:sz w:val="22"/>
        </w:rPr>
        <w:t xml:space="preserve"> (Deng </w:t>
      </w:r>
      <w:r w:rsidR="001154A7" w:rsidRPr="00D50C59">
        <w:rPr>
          <w:rFonts w:ascii="Arial" w:hAnsi="Arial" w:cs="Arial"/>
          <w:i/>
          <w:iCs/>
          <w:sz w:val="22"/>
        </w:rPr>
        <w:t>et al.,</w:t>
      </w:r>
      <w:r w:rsidR="00656978" w:rsidRPr="00D50C59">
        <w:rPr>
          <w:rFonts w:ascii="Arial" w:hAnsi="Arial" w:cs="Arial"/>
          <w:sz w:val="22"/>
        </w:rPr>
        <w:t xml:space="preserve"> 2021)</w:t>
      </w:r>
      <w:r w:rsidR="00F05138" w:rsidRPr="00D50C59">
        <w:rPr>
          <w:rFonts w:ascii="Arial" w:hAnsi="Arial" w:cs="Arial"/>
          <w:sz w:val="22"/>
        </w:rPr>
        <w:t xml:space="preserve">. The tracking and management of these attributes and suppliers/subcontractors must be of </w:t>
      </w:r>
      <w:r w:rsidR="001154A7" w:rsidRPr="00D50C59">
        <w:rPr>
          <w:rFonts w:ascii="Arial" w:hAnsi="Arial" w:cs="Arial"/>
          <w:sz w:val="22"/>
        </w:rPr>
        <w:t xml:space="preserve">the </w:t>
      </w:r>
      <w:r w:rsidR="00F05138" w:rsidRPr="00D50C59">
        <w:rPr>
          <w:rFonts w:ascii="Arial" w:hAnsi="Arial" w:cs="Arial"/>
          <w:sz w:val="22"/>
        </w:rPr>
        <w:t xml:space="preserve">highest standards for the entire construction period </w:t>
      </w:r>
      <w:r w:rsidR="001154A7" w:rsidRPr="00D50C59">
        <w:rPr>
          <w:rFonts w:ascii="Arial" w:hAnsi="Arial" w:cs="Arial"/>
          <w:sz w:val="22"/>
        </w:rPr>
        <w:t>to</w:t>
      </w:r>
      <w:r w:rsidR="00F05138" w:rsidRPr="00D50C59">
        <w:rPr>
          <w:rFonts w:ascii="Arial" w:hAnsi="Arial" w:cs="Arial"/>
          <w:sz w:val="22"/>
        </w:rPr>
        <w:t xml:space="preserve"> avoid additional expenses. Against the backdrop of grand ambitions to make the property the company’s iconic corporate landmark in Europe that incorporates innovation in future workplace designs, the project team would be unwise to overlook or to be cheap on these essential professional services. The budget earmarked for design costs should be kept reasonably reserved </w:t>
      </w:r>
      <w:r w:rsidR="001154A7" w:rsidRPr="00D50C59">
        <w:rPr>
          <w:rFonts w:ascii="Arial" w:hAnsi="Arial" w:cs="Arial"/>
          <w:sz w:val="22"/>
        </w:rPr>
        <w:t>to</w:t>
      </w:r>
      <w:r w:rsidR="00F05138" w:rsidRPr="00D50C59">
        <w:rPr>
          <w:rFonts w:ascii="Arial" w:hAnsi="Arial" w:cs="Arial"/>
          <w:sz w:val="22"/>
        </w:rPr>
        <w:t xml:space="preserve"> remain attractive to the requisite class of specialists, even if costs escalate beyond the original estimates</w:t>
      </w:r>
      <w:r w:rsidR="00656978" w:rsidRPr="00D50C59">
        <w:rPr>
          <w:rFonts w:ascii="Arial" w:hAnsi="Arial" w:cs="Arial"/>
          <w:sz w:val="22"/>
        </w:rPr>
        <w:t xml:space="preserve"> (Fan and Sharma, 2021)</w:t>
      </w:r>
      <w:r w:rsidR="00F05138" w:rsidRPr="00D50C59">
        <w:rPr>
          <w:rFonts w:ascii="Arial" w:hAnsi="Arial" w:cs="Arial"/>
          <w:sz w:val="22"/>
        </w:rPr>
        <w:t>. As the process of acquiring land/site and associated permitting or regulatory fees, we can consider it very well that the project site was carefully researched with correct forecasted information. Nevertheless, any undisclosed zoning issues, hazardous substances removal, or other unexpected site complexities might cause the budget to be overrun, which is why a contingency fund will be needed to compensate.</w:t>
      </w:r>
    </w:p>
    <w:p w14:paraId="2034DB10" w14:textId="77777777" w:rsidR="00110949" w:rsidRDefault="00110949" w:rsidP="00D50C59">
      <w:pPr>
        <w:spacing w:line="360" w:lineRule="auto"/>
        <w:jc w:val="both"/>
        <w:rPr>
          <w:rFonts w:ascii="Arial" w:hAnsi="Arial" w:cs="Arial"/>
          <w:sz w:val="22"/>
        </w:rPr>
      </w:pPr>
    </w:p>
    <w:p w14:paraId="620B89F5" w14:textId="388B284E" w:rsidR="00110949" w:rsidRPr="00C24413" w:rsidRDefault="00C24413" w:rsidP="00D50C59">
      <w:pPr>
        <w:spacing w:line="360" w:lineRule="auto"/>
        <w:jc w:val="both"/>
        <w:rPr>
          <w:rFonts w:ascii="Arial" w:hAnsi="Arial" w:cs="Arial"/>
          <w:b/>
          <w:bCs/>
          <w:sz w:val="32"/>
          <w:szCs w:val="32"/>
        </w:rPr>
      </w:pPr>
      <w:r w:rsidRPr="00C24413">
        <w:rPr>
          <w:rFonts w:ascii="Arial" w:hAnsi="Arial" w:cs="Arial"/>
          <w:b/>
          <w:bCs/>
          <w:sz w:val="32"/>
          <w:szCs w:val="32"/>
        </w:rPr>
        <w:t>Timeline and schedule</w:t>
      </w:r>
    </w:p>
    <w:p w14:paraId="3D6A0D4F" w14:textId="7FA2EC56" w:rsidR="00F05138" w:rsidRPr="00D50C59" w:rsidRDefault="00C24413" w:rsidP="00D50C59">
      <w:pPr>
        <w:spacing w:line="360" w:lineRule="auto"/>
        <w:jc w:val="both"/>
        <w:rPr>
          <w:rFonts w:ascii="Arial" w:hAnsi="Arial" w:cs="Arial"/>
          <w:sz w:val="22"/>
        </w:rPr>
      </w:pPr>
      <w:r>
        <w:rPr>
          <w:rFonts w:ascii="Arial" w:hAnsi="Arial" w:cs="Arial"/>
          <w:sz w:val="22"/>
        </w:rPr>
        <w:t xml:space="preserve">      </w:t>
      </w:r>
      <w:r w:rsidR="00F05138" w:rsidRPr="00D50C59">
        <w:rPr>
          <w:rFonts w:ascii="Arial" w:hAnsi="Arial" w:cs="Arial"/>
          <w:sz w:val="22"/>
        </w:rPr>
        <w:t xml:space="preserve">The target date for the inauguration of the new London HQ which is set for 12 months from now is an extremely </w:t>
      </w:r>
      <w:r w:rsidR="0022069D" w:rsidRPr="00D50C59">
        <w:rPr>
          <w:rFonts w:ascii="Arial" w:hAnsi="Arial" w:cs="Arial"/>
          <w:sz w:val="22"/>
        </w:rPr>
        <w:t>aggressive</w:t>
      </w:r>
      <w:r w:rsidR="00F05138" w:rsidRPr="00D50C59">
        <w:rPr>
          <w:rFonts w:ascii="Arial" w:hAnsi="Arial" w:cs="Arial"/>
          <w:sz w:val="22"/>
        </w:rPr>
        <w:t xml:space="preserve"> timeline </w:t>
      </w:r>
      <w:r w:rsidR="001154A7" w:rsidRPr="00D50C59">
        <w:rPr>
          <w:rFonts w:ascii="Arial" w:hAnsi="Arial" w:cs="Arial"/>
          <w:sz w:val="22"/>
        </w:rPr>
        <w:t>because</w:t>
      </w:r>
      <w:r w:rsidR="00F05138" w:rsidRPr="00D50C59">
        <w:rPr>
          <w:rFonts w:ascii="Arial" w:hAnsi="Arial" w:cs="Arial"/>
          <w:sz w:val="22"/>
        </w:rPr>
        <w:t xml:space="preserve"> the opening event is scheduled to take place 12 months from now</w:t>
      </w:r>
      <w:r w:rsidR="00656978" w:rsidRPr="00D50C59">
        <w:rPr>
          <w:rFonts w:ascii="Arial" w:hAnsi="Arial" w:cs="Arial"/>
          <w:sz w:val="22"/>
        </w:rPr>
        <w:t xml:space="preserve"> (Koivuniemi, 2024)</w:t>
      </w:r>
      <w:r w:rsidR="00F05138" w:rsidRPr="00D50C59">
        <w:rPr>
          <w:rFonts w:ascii="Arial" w:hAnsi="Arial" w:cs="Arial"/>
          <w:sz w:val="22"/>
        </w:rPr>
        <w:t xml:space="preserve">. Sticking to this timetable will need a master schedule of all major project phases such as site preparation, permit/approval of the regulatory body, </w:t>
      </w:r>
      <w:r w:rsidR="00F05138" w:rsidRPr="00D50C59">
        <w:rPr>
          <w:rFonts w:ascii="Arial" w:hAnsi="Arial" w:cs="Arial"/>
          <w:sz w:val="22"/>
        </w:rPr>
        <w:lastRenderedPageBreak/>
        <w:t xml:space="preserve">architectural design, negotiating with sub-contractors, vertical construction, systems installation and testing </w:t>
      </w:r>
      <w:r w:rsidR="001154A7" w:rsidRPr="00D50C59">
        <w:rPr>
          <w:rFonts w:ascii="Arial" w:hAnsi="Arial" w:cs="Arial"/>
          <w:sz w:val="22"/>
        </w:rPr>
        <w:t>before</w:t>
      </w:r>
      <w:r w:rsidR="00F05138" w:rsidRPr="00D50C59">
        <w:rPr>
          <w:rFonts w:ascii="Arial" w:hAnsi="Arial" w:cs="Arial"/>
          <w:sz w:val="22"/>
        </w:rPr>
        <w:t xml:space="preserve"> occupancy by the clients. Google and its project management partners possibly have spent a lot of time meticulously planning the project in the first phase. They hopefully have developed a logical and workable plan that allows each stage to flow naturally and smoothly into the next one when all the activities and milestones are completed </w:t>
      </w:r>
      <w:r w:rsidR="001154A7" w:rsidRPr="00D50C59">
        <w:rPr>
          <w:rFonts w:ascii="Arial" w:hAnsi="Arial" w:cs="Arial"/>
          <w:sz w:val="22"/>
        </w:rPr>
        <w:t>practically</w:t>
      </w:r>
      <w:r w:rsidR="00656978" w:rsidRPr="00D50C59">
        <w:rPr>
          <w:rFonts w:ascii="Arial" w:hAnsi="Arial" w:cs="Arial"/>
          <w:sz w:val="22"/>
        </w:rPr>
        <w:t xml:space="preserve"> </w:t>
      </w:r>
      <w:r w:rsidR="00892957" w:rsidRPr="00D50C59">
        <w:rPr>
          <w:rFonts w:ascii="Arial" w:hAnsi="Arial" w:cs="Arial"/>
          <w:sz w:val="22"/>
        </w:rPr>
        <w:t>(</w:t>
      </w:r>
      <w:proofErr w:type="spellStart"/>
      <w:r w:rsidR="00892957" w:rsidRPr="00D50C59">
        <w:rPr>
          <w:rFonts w:ascii="Arial" w:hAnsi="Arial" w:cs="Arial"/>
          <w:sz w:val="22"/>
        </w:rPr>
        <w:t>Bicquelet</w:t>
      </w:r>
      <w:proofErr w:type="spellEnd"/>
      <w:r w:rsidR="00892957" w:rsidRPr="00D50C59">
        <w:rPr>
          <w:rFonts w:ascii="Arial" w:hAnsi="Arial" w:cs="Arial"/>
          <w:sz w:val="22"/>
        </w:rPr>
        <w:t>-Lock, 2024)</w:t>
      </w:r>
      <w:r w:rsidR="00F05138" w:rsidRPr="00D50C59">
        <w:rPr>
          <w:rFonts w:ascii="Arial" w:hAnsi="Arial" w:cs="Arial"/>
          <w:sz w:val="22"/>
        </w:rPr>
        <w:t xml:space="preserve">. Perhaps the schedule was derived in </w:t>
      </w:r>
      <w:r w:rsidR="001154A7" w:rsidRPr="00D50C59">
        <w:rPr>
          <w:rFonts w:ascii="Arial" w:hAnsi="Arial" w:cs="Arial"/>
          <w:sz w:val="22"/>
        </w:rPr>
        <w:t xml:space="preserve">a </w:t>
      </w:r>
      <w:r w:rsidR="00F05138" w:rsidRPr="00D50C59">
        <w:rPr>
          <w:rFonts w:ascii="Arial" w:hAnsi="Arial" w:cs="Arial"/>
          <w:sz w:val="22"/>
        </w:rPr>
        <w:t xml:space="preserve">top-down fashion based on bottom-up estimates and activity duration from many trades including engineers and technical disciplines. We would also ensure that we used established best practices which included schedule risk analysis using approaches such as Monte Carlo simulations, defining schedule contingency buckets, and resource </w:t>
      </w:r>
      <w:r w:rsidR="00E34108" w:rsidRPr="00D50C59">
        <w:rPr>
          <w:rFonts w:ascii="Arial" w:hAnsi="Arial" w:cs="Arial"/>
          <w:sz w:val="22"/>
        </w:rPr>
        <w:t>levelling</w:t>
      </w:r>
      <w:r w:rsidR="00F05138" w:rsidRPr="00D50C59">
        <w:rPr>
          <w:rFonts w:ascii="Arial" w:hAnsi="Arial" w:cs="Arial"/>
          <w:sz w:val="22"/>
        </w:rPr>
        <w:t xml:space="preserve"> to avoid unrealistic crew and equipment allocation across the different activities that had to be carried out simultaneously</w:t>
      </w:r>
      <w:r w:rsidR="00892957" w:rsidRPr="00D50C59">
        <w:rPr>
          <w:rFonts w:ascii="Arial" w:hAnsi="Arial" w:cs="Arial"/>
          <w:sz w:val="22"/>
        </w:rPr>
        <w:t xml:space="preserve"> (Tran and Chew, 2024)</w:t>
      </w:r>
      <w:r w:rsidR="00F05138" w:rsidRPr="00D50C59">
        <w:rPr>
          <w:rFonts w:ascii="Arial" w:hAnsi="Arial" w:cs="Arial"/>
          <w:sz w:val="22"/>
        </w:rPr>
        <w:t>.</w:t>
      </w:r>
      <w:r w:rsidR="00BB3F02" w:rsidRPr="00D50C59">
        <w:rPr>
          <w:rFonts w:ascii="Arial" w:hAnsi="Arial" w:cs="Arial"/>
          <w:sz w:val="22"/>
        </w:rPr>
        <w:t xml:space="preserve"> </w:t>
      </w:r>
      <w:r w:rsidR="00F05138" w:rsidRPr="00D50C59">
        <w:rPr>
          <w:rFonts w:ascii="Arial" w:hAnsi="Arial" w:cs="Arial"/>
          <w:sz w:val="22"/>
        </w:rPr>
        <w:t>Most of the variables and suppositions in the base activity plan should be reassessed and reconsidered. This assessment could be the basis of permitting</w:t>
      </w:r>
      <w:r w:rsidR="00892957" w:rsidRPr="00D50C59">
        <w:rPr>
          <w:rFonts w:ascii="Arial" w:hAnsi="Arial" w:cs="Arial"/>
          <w:sz w:val="22"/>
        </w:rPr>
        <w:t xml:space="preserve"> </w:t>
      </w:r>
      <w:r w:rsidR="00F05138" w:rsidRPr="00D50C59">
        <w:rPr>
          <w:rFonts w:ascii="Arial" w:hAnsi="Arial" w:cs="Arial"/>
          <w:sz w:val="22"/>
        </w:rPr>
        <w:t>regulatory approval which can serve as a source of delay</w:t>
      </w:r>
      <w:r w:rsidR="00892957" w:rsidRPr="00D50C59">
        <w:rPr>
          <w:rFonts w:ascii="Arial" w:hAnsi="Arial" w:cs="Arial"/>
          <w:sz w:val="22"/>
        </w:rPr>
        <w:t>. Consequently,</w:t>
      </w:r>
      <w:r w:rsidR="00F05138" w:rsidRPr="00D50C59">
        <w:rPr>
          <w:rFonts w:ascii="Arial" w:hAnsi="Arial" w:cs="Arial"/>
          <w:sz w:val="22"/>
        </w:rPr>
        <w:t xml:space="preserve"> the project team should have done a detailed review of all the zoning, environmental, and other permit processes and approval times required from local and national government bodies. This could lead to the repercussions of deviations from the expected timelines for completing the checkpoints from the regulatory authorities causing cascading delays of the construction start dates, procurement cycles, materials deliveries, and other successors on the critical path</w:t>
      </w:r>
      <w:r w:rsidR="00892957" w:rsidRPr="00D50C59">
        <w:rPr>
          <w:rFonts w:ascii="Arial" w:hAnsi="Arial" w:cs="Arial"/>
          <w:sz w:val="22"/>
        </w:rPr>
        <w:t xml:space="preserve"> (Ingason and Eskerod, 2024)</w:t>
      </w:r>
      <w:r w:rsidR="00F05138" w:rsidRPr="00D50C59">
        <w:rPr>
          <w:rFonts w:ascii="Arial" w:hAnsi="Arial" w:cs="Arial"/>
          <w:sz w:val="22"/>
        </w:rPr>
        <w:t>.</w:t>
      </w:r>
    </w:p>
    <w:p w14:paraId="41F7D03D" w14:textId="77777777" w:rsidR="00361DE0" w:rsidRDefault="00361DE0" w:rsidP="00D50C59">
      <w:pPr>
        <w:spacing w:line="360" w:lineRule="auto"/>
        <w:jc w:val="both"/>
        <w:rPr>
          <w:rFonts w:ascii="Arial" w:hAnsi="Arial" w:cs="Arial"/>
          <w:sz w:val="22"/>
        </w:rPr>
      </w:pPr>
    </w:p>
    <w:p w14:paraId="25E3478B" w14:textId="677FC395" w:rsidR="00361DE0" w:rsidRPr="00DA6104" w:rsidRDefault="00DA6104" w:rsidP="00D50C59">
      <w:pPr>
        <w:spacing w:line="360" w:lineRule="auto"/>
        <w:jc w:val="both"/>
        <w:rPr>
          <w:rFonts w:ascii="Arial" w:hAnsi="Arial" w:cs="Arial"/>
          <w:b/>
          <w:bCs/>
          <w:sz w:val="32"/>
          <w:szCs w:val="32"/>
        </w:rPr>
      </w:pPr>
      <w:r w:rsidRPr="00DA6104">
        <w:rPr>
          <w:rFonts w:ascii="Arial" w:hAnsi="Arial" w:cs="Arial"/>
          <w:b/>
          <w:bCs/>
          <w:sz w:val="32"/>
          <w:szCs w:val="32"/>
        </w:rPr>
        <w:t>Performance and standards</w:t>
      </w:r>
    </w:p>
    <w:p w14:paraId="351B3978" w14:textId="02F1A667" w:rsidR="00BB3F02" w:rsidRPr="00D50C59" w:rsidRDefault="00361DE0" w:rsidP="00D50C59">
      <w:pPr>
        <w:spacing w:line="360" w:lineRule="auto"/>
        <w:jc w:val="both"/>
        <w:rPr>
          <w:rFonts w:ascii="Arial" w:hAnsi="Arial" w:cs="Arial"/>
          <w:sz w:val="22"/>
        </w:rPr>
      </w:pPr>
      <w:r>
        <w:rPr>
          <w:rFonts w:ascii="Arial" w:hAnsi="Arial" w:cs="Arial"/>
          <w:sz w:val="22"/>
        </w:rPr>
        <w:t xml:space="preserve">     </w:t>
      </w:r>
      <w:r w:rsidR="00F05138" w:rsidRPr="00D50C59">
        <w:rPr>
          <w:rFonts w:ascii="Arial" w:hAnsi="Arial" w:cs="Arial"/>
          <w:sz w:val="22"/>
        </w:rPr>
        <w:t xml:space="preserve">In line with Google's brand image rotating around innovation and advancement of technologies the standards for the new London headquarters are thought to be extra high. It is a necessity to maintain strict quality management practices so that the future property is the true reflection of the premium architectural design vision, with a firm adherence to environmental sustainability and </w:t>
      </w:r>
      <w:r w:rsidR="001154A7" w:rsidRPr="00D50C59">
        <w:rPr>
          <w:rFonts w:ascii="Arial" w:hAnsi="Arial" w:cs="Arial"/>
          <w:sz w:val="22"/>
        </w:rPr>
        <w:t xml:space="preserve">the </w:t>
      </w:r>
      <w:r w:rsidR="00F05138" w:rsidRPr="00D50C59">
        <w:rPr>
          <w:rFonts w:ascii="Arial" w:hAnsi="Arial" w:cs="Arial"/>
          <w:sz w:val="22"/>
        </w:rPr>
        <w:t>satisfaction of Google’s employees and guests</w:t>
      </w:r>
      <w:r w:rsidR="00AA606C" w:rsidRPr="00D50C59">
        <w:rPr>
          <w:rFonts w:ascii="Arial" w:hAnsi="Arial" w:cs="Arial"/>
          <w:sz w:val="22"/>
        </w:rPr>
        <w:t xml:space="preserve"> (Zhang </w:t>
      </w:r>
      <w:r w:rsidR="001154A7" w:rsidRPr="00D50C59">
        <w:rPr>
          <w:rFonts w:ascii="Arial" w:hAnsi="Arial" w:cs="Arial"/>
          <w:i/>
          <w:iCs/>
          <w:sz w:val="22"/>
        </w:rPr>
        <w:t>et al.,</w:t>
      </w:r>
      <w:r w:rsidR="00AA606C" w:rsidRPr="00D50C59">
        <w:rPr>
          <w:rFonts w:ascii="Arial" w:hAnsi="Arial" w:cs="Arial"/>
          <w:sz w:val="22"/>
        </w:rPr>
        <w:t xml:space="preserve"> 2024)</w:t>
      </w:r>
      <w:r w:rsidR="00F05138" w:rsidRPr="00D50C59">
        <w:rPr>
          <w:rFonts w:ascii="Arial" w:hAnsi="Arial" w:cs="Arial"/>
          <w:sz w:val="22"/>
        </w:rPr>
        <w:t xml:space="preserve">. </w:t>
      </w:r>
      <w:r w:rsidR="001154A7" w:rsidRPr="00D50C59">
        <w:rPr>
          <w:rFonts w:ascii="Arial" w:hAnsi="Arial" w:cs="Arial"/>
          <w:sz w:val="22"/>
        </w:rPr>
        <w:t>Overall</w:t>
      </w:r>
      <w:r w:rsidR="00F05138" w:rsidRPr="00D50C59">
        <w:rPr>
          <w:rFonts w:ascii="Arial" w:hAnsi="Arial" w:cs="Arial"/>
          <w:sz w:val="22"/>
        </w:rPr>
        <w:t xml:space="preserve"> dimensions</w:t>
      </w:r>
      <w:r w:rsidR="001154A7" w:rsidRPr="00D50C59">
        <w:rPr>
          <w:rFonts w:ascii="Arial" w:hAnsi="Arial" w:cs="Arial"/>
          <w:sz w:val="22"/>
        </w:rPr>
        <w:t>,</w:t>
      </w:r>
      <w:r w:rsidR="00F05138" w:rsidRPr="00D50C59">
        <w:rPr>
          <w:rFonts w:ascii="Arial" w:hAnsi="Arial" w:cs="Arial"/>
          <w:sz w:val="22"/>
        </w:rPr>
        <w:t xml:space="preserve"> one should observe the uncompromising focus on quality as being the main pillar for the successful implementation of the project.</w:t>
      </w:r>
      <w:r w:rsidR="00BB3F02" w:rsidRPr="00D50C59">
        <w:rPr>
          <w:rFonts w:ascii="Arial" w:hAnsi="Arial" w:cs="Arial"/>
          <w:sz w:val="22"/>
        </w:rPr>
        <w:t xml:space="preserve"> </w:t>
      </w:r>
      <w:r w:rsidR="0066794F" w:rsidRPr="00D50C59">
        <w:rPr>
          <w:rFonts w:ascii="Arial" w:hAnsi="Arial" w:cs="Arial"/>
          <w:sz w:val="22"/>
        </w:rPr>
        <w:t>Google has emphas</w:t>
      </w:r>
      <w:r w:rsidR="00D45AEA" w:rsidRPr="00D50C59">
        <w:rPr>
          <w:rFonts w:ascii="Arial" w:hAnsi="Arial" w:cs="Arial"/>
          <w:sz w:val="22"/>
        </w:rPr>
        <w:t>is</w:t>
      </w:r>
      <w:r w:rsidR="0066794F" w:rsidRPr="00D50C59">
        <w:rPr>
          <w:rFonts w:ascii="Arial" w:hAnsi="Arial" w:cs="Arial"/>
          <w:sz w:val="22"/>
        </w:rPr>
        <w:t xml:space="preserve">ed quality and innovation as two of </w:t>
      </w:r>
      <w:r w:rsidR="001154A7" w:rsidRPr="00D50C59">
        <w:rPr>
          <w:rFonts w:ascii="Arial" w:hAnsi="Arial" w:cs="Arial"/>
          <w:sz w:val="22"/>
        </w:rPr>
        <w:t>its</w:t>
      </w:r>
      <w:r w:rsidR="0066794F" w:rsidRPr="00D50C59">
        <w:rPr>
          <w:rFonts w:ascii="Arial" w:hAnsi="Arial" w:cs="Arial"/>
          <w:sz w:val="22"/>
        </w:rPr>
        <w:t xml:space="preserve"> core principles right from the beginning when it hired top-notch architecture and engineering firms. Their first </w:t>
      </w:r>
      <w:r w:rsidR="001154A7" w:rsidRPr="00D50C59">
        <w:rPr>
          <w:rFonts w:ascii="Arial" w:hAnsi="Arial" w:cs="Arial"/>
          <w:sz w:val="22"/>
        </w:rPr>
        <w:t>headquarters</w:t>
      </w:r>
      <w:r w:rsidR="0066794F" w:rsidRPr="00D50C59">
        <w:rPr>
          <w:rFonts w:ascii="Arial" w:hAnsi="Arial" w:cs="Arial"/>
          <w:sz w:val="22"/>
        </w:rPr>
        <w:t xml:space="preserve"> in Europe will be a space that should have a futuristic yet </w:t>
      </w:r>
      <w:r w:rsidR="001154A7" w:rsidRPr="00D50C59">
        <w:rPr>
          <w:rFonts w:ascii="Arial" w:hAnsi="Arial" w:cs="Arial"/>
          <w:sz w:val="22"/>
        </w:rPr>
        <w:t>forward-thinking</w:t>
      </w:r>
      <w:r w:rsidR="0066794F" w:rsidRPr="00D50C59">
        <w:rPr>
          <w:rFonts w:ascii="Arial" w:hAnsi="Arial" w:cs="Arial"/>
          <w:sz w:val="22"/>
        </w:rPr>
        <w:t xml:space="preserve"> design which can be recogn</w:t>
      </w:r>
      <w:r w:rsidR="00D45AEA" w:rsidRPr="00D50C59">
        <w:rPr>
          <w:rFonts w:ascii="Arial" w:hAnsi="Arial" w:cs="Arial"/>
          <w:sz w:val="22"/>
        </w:rPr>
        <w:t>is</w:t>
      </w:r>
      <w:r w:rsidR="0066794F" w:rsidRPr="00D50C59">
        <w:rPr>
          <w:rFonts w:ascii="Arial" w:hAnsi="Arial" w:cs="Arial"/>
          <w:sz w:val="22"/>
        </w:rPr>
        <w:t>ed as the cultural icon of Google that always wants to be ahead of the curve</w:t>
      </w:r>
      <w:r w:rsidR="00AA606C" w:rsidRPr="00D50C59">
        <w:rPr>
          <w:rFonts w:ascii="Arial" w:hAnsi="Arial" w:cs="Arial"/>
          <w:sz w:val="22"/>
        </w:rPr>
        <w:t xml:space="preserve"> (</w:t>
      </w:r>
      <w:proofErr w:type="spellStart"/>
      <w:r w:rsidR="00AA606C" w:rsidRPr="00D50C59">
        <w:rPr>
          <w:rFonts w:ascii="Arial" w:hAnsi="Arial" w:cs="Arial"/>
          <w:sz w:val="22"/>
        </w:rPr>
        <w:t>Marschlich</w:t>
      </w:r>
      <w:proofErr w:type="spellEnd"/>
      <w:r w:rsidR="00AA606C" w:rsidRPr="00D50C59">
        <w:rPr>
          <w:rFonts w:ascii="Arial" w:hAnsi="Arial" w:cs="Arial"/>
          <w:sz w:val="22"/>
        </w:rPr>
        <w:t xml:space="preserve"> and </w:t>
      </w:r>
      <w:proofErr w:type="spellStart"/>
      <w:r w:rsidR="00AA606C" w:rsidRPr="00D50C59">
        <w:rPr>
          <w:rFonts w:ascii="Arial" w:hAnsi="Arial" w:cs="Arial"/>
          <w:sz w:val="22"/>
        </w:rPr>
        <w:t>Eisenegger</w:t>
      </w:r>
      <w:proofErr w:type="spellEnd"/>
      <w:r w:rsidR="00AA606C" w:rsidRPr="00D50C59">
        <w:rPr>
          <w:rFonts w:ascii="Arial" w:hAnsi="Arial" w:cs="Arial"/>
          <w:sz w:val="22"/>
        </w:rPr>
        <w:t>, 2024)</w:t>
      </w:r>
      <w:r w:rsidR="0066794F" w:rsidRPr="00D50C59">
        <w:rPr>
          <w:rFonts w:ascii="Arial" w:hAnsi="Arial" w:cs="Arial"/>
          <w:sz w:val="22"/>
        </w:rPr>
        <w:t xml:space="preserve">. The external architectural form should be a mixture </w:t>
      </w:r>
      <w:r w:rsidR="0066794F" w:rsidRPr="00D50C59">
        <w:rPr>
          <w:rFonts w:ascii="Arial" w:hAnsi="Arial" w:cs="Arial"/>
          <w:sz w:val="22"/>
        </w:rPr>
        <w:lastRenderedPageBreak/>
        <w:t xml:space="preserve">of logistical functionality and employee-oriented amenities into ecologically aware sophisticated interiors and exteriors that will project Google's brand while keeping the building within the landscape unified. </w:t>
      </w:r>
      <w:r w:rsidR="001154A7" w:rsidRPr="00D50C59">
        <w:rPr>
          <w:rFonts w:ascii="Arial" w:hAnsi="Arial" w:cs="Arial"/>
          <w:sz w:val="22"/>
        </w:rPr>
        <w:t>To</w:t>
      </w:r>
      <w:r w:rsidR="0066794F" w:rsidRPr="00D50C59">
        <w:rPr>
          <w:rFonts w:ascii="Arial" w:hAnsi="Arial" w:cs="Arial"/>
          <w:sz w:val="22"/>
        </w:rPr>
        <w:t xml:space="preserve"> turn drawings into physical reality, the adoption of strict quality standards and control measures should regulate material choices and installation techniques. The construction team should anticipate specifications for </w:t>
      </w:r>
      <w:r w:rsidR="001154A7" w:rsidRPr="00D50C59">
        <w:rPr>
          <w:rFonts w:ascii="Arial" w:hAnsi="Arial" w:cs="Arial"/>
          <w:sz w:val="22"/>
        </w:rPr>
        <w:t>several</w:t>
      </w:r>
      <w:r w:rsidR="0066794F" w:rsidRPr="00D50C59">
        <w:rPr>
          <w:rFonts w:ascii="Arial" w:hAnsi="Arial" w:cs="Arial"/>
          <w:sz w:val="22"/>
        </w:rPr>
        <w:t xml:space="preserve"> systems that include structural elements such as concrete, structural steel, exterior and interior finishes, curtain walls, roofing systems, etc. at the highest levels of longevity and performance tests above the typical baselines.</w:t>
      </w:r>
      <w:r w:rsidR="00E34108" w:rsidRPr="00D50C59">
        <w:rPr>
          <w:rFonts w:ascii="Arial" w:hAnsi="Arial" w:cs="Arial"/>
          <w:sz w:val="22"/>
        </w:rPr>
        <w:t xml:space="preserve"> </w:t>
      </w:r>
      <w:r w:rsidR="0066794F" w:rsidRPr="00D50C59">
        <w:rPr>
          <w:rFonts w:ascii="Arial" w:hAnsi="Arial" w:cs="Arial"/>
          <w:sz w:val="22"/>
        </w:rPr>
        <w:t xml:space="preserve">Comprehensive quality assurance protocols are an added dimension that also </w:t>
      </w:r>
      <w:r w:rsidR="001154A7" w:rsidRPr="00D50C59">
        <w:rPr>
          <w:rFonts w:ascii="Arial" w:hAnsi="Arial" w:cs="Arial"/>
          <w:sz w:val="22"/>
        </w:rPr>
        <w:t>factors</w:t>
      </w:r>
      <w:r w:rsidR="0066794F" w:rsidRPr="00D50C59">
        <w:rPr>
          <w:rFonts w:ascii="Arial" w:hAnsi="Arial" w:cs="Arial"/>
          <w:sz w:val="22"/>
        </w:rPr>
        <w:t xml:space="preserve"> in the interior outfitting components such as heating, cooling, electrical distribution, data-communications backbone, security systems, plumbing, and multiple finish categories like flooring, millwork, fixtures, etc</w:t>
      </w:r>
      <w:r w:rsidR="00AA606C" w:rsidRPr="00D50C59">
        <w:rPr>
          <w:rFonts w:ascii="Arial" w:hAnsi="Arial" w:cs="Arial"/>
          <w:sz w:val="22"/>
        </w:rPr>
        <w:t xml:space="preserve"> (Evans </w:t>
      </w:r>
      <w:r w:rsidR="001154A7" w:rsidRPr="00D50C59">
        <w:rPr>
          <w:rFonts w:ascii="Arial" w:hAnsi="Arial" w:cs="Arial"/>
          <w:i/>
          <w:iCs/>
          <w:sz w:val="22"/>
        </w:rPr>
        <w:t>et al.,</w:t>
      </w:r>
      <w:r w:rsidR="00AA606C" w:rsidRPr="00D50C59">
        <w:rPr>
          <w:rFonts w:ascii="Arial" w:hAnsi="Arial" w:cs="Arial"/>
          <w:sz w:val="22"/>
        </w:rPr>
        <w:t xml:space="preserve"> 2020)</w:t>
      </w:r>
      <w:r w:rsidR="0066794F" w:rsidRPr="00D50C59">
        <w:rPr>
          <w:rFonts w:ascii="Arial" w:hAnsi="Arial" w:cs="Arial"/>
          <w:sz w:val="22"/>
        </w:rPr>
        <w:t>. With technology and innovation being the organ</w:t>
      </w:r>
      <w:r w:rsidR="00D45AEA" w:rsidRPr="00D50C59">
        <w:rPr>
          <w:rFonts w:ascii="Arial" w:hAnsi="Arial" w:cs="Arial"/>
          <w:sz w:val="22"/>
        </w:rPr>
        <w:t>is</w:t>
      </w:r>
      <w:r w:rsidR="0066794F" w:rsidRPr="00D50C59">
        <w:rPr>
          <w:rFonts w:ascii="Arial" w:hAnsi="Arial" w:cs="Arial"/>
          <w:sz w:val="22"/>
        </w:rPr>
        <w:t xml:space="preserve">ation's hallmark, every product installed spanning across this workplace facility will demand a rigorous verification of A plan with a detailed list of activities and live scenario testing for these amenities that will meet the company's perfectionist criteria for the design of these spaces meant to promote employee wellbeing and </w:t>
      </w:r>
      <w:r w:rsidR="001154A7" w:rsidRPr="00D50C59">
        <w:rPr>
          <w:rFonts w:ascii="Arial" w:hAnsi="Arial" w:cs="Arial"/>
          <w:sz w:val="22"/>
        </w:rPr>
        <w:t>cross-functional</w:t>
      </w:r>
      <w:r w:rsidR="0066794F" w:rsidRPr="00D50C59">
        <w:rPr>
          <w:rFonts w:ascii="Arial" w:hAnsi="Arial" w:cs="Arial"/>
          <w:sz w:val="22"/>
        </w:rPr>
        <w:t xml:space="preserve"> collaboration should be built in advance to be ready.</w:t>
      </w:r>
    </w:p>
    <w:p w14:paraId="45AEB015" w14:textId="77777777" w:rsidR="00DA6104" w:rsidRDefault="00DA6104" w:rsidP="00D50C59">
      <w:pPr>
        <w:spacing w:line="360" w:lineRule="auto"/>
        <w:jc w:val="both"/>
        <w:rPr>
          <w:rFonts w:ascii="Arial" w:hAnsi="Arial" w:cs="Arial"/>
          <w:sz w:val="22"/>
        </w:rPr>
      </w:pPr>
    </w:p>
    <w:p w14:paraId="4BFAD61F" w14:textId="50298F6A" w:rsidR="00DA6104" w:rsidRPr="00A77163" w:rsidRDefault="00A77163" w:rsidP="00D50C59">
      <w:pPr>
        <w:spacing w:line="360" w:lineRule="auto"/>
        <w:jc w:val="both"/>
        <w:rPr>
          <w:rFonts w:ascii="Arial" w:hAnsi="Arial" w:cs="Arial"/>
          <w:b/>
          <w:bCs/>
          <w:sz w:val="32"/>
          <w:szCs w:val="32"/>
        </w:rPr>
      </w:pPr>
      <w:r w:rsidRPr="00A77163">
        <w:rPr>
          <w:rFonts w:ascii="Arial" w:hAnsi="Arial" w:cs="Arial"/>
          <w:b/>
          <w:bCs/>
          <w:sz w:val="32"/>
          <w:szCs w:val="32"/>
        </w:rPr>
        <w:t xml:space="preserve">Stakeholders’ </w:t>
      </w:r>
      <w:r>
        <w:rPr>
          <w:rFonts w:ascii="Arial" w:hAnsi="Arial" w:cs="Arial"/>
          <w:b/>
          <w:bCs/>
          <w:sz w:val="32"/>
          <w:szCs w:val="32"/>
        </w:rPr>
        <w:t>concerns</w:t>
      </w:r>
      <w:r w:rsidRPr="00A77163">
        <w:rPr>
          <w:rFonts w:ascii="Arial" w:hAnsi="Arial" w:cs="Arial"/>
          <w:b/>
          <w:bCs/>
          <w:sz w:val="32"/>
          <w:szCs w:val="32"/>
        </w:rPr>
        <w:t xml:space="preserve"> </w:t>
      </w:r>
    </w:p>
    <w:p w14:paraId="6440B9DC" w14:textId="76847AC0" w:rsidR="0066794F" w:rsidRPr="00D50C59" w:rsidRDefault="00DA6104" w:rsidP="00D50C59">
      <w:pPr>
        <w:spacing w:line="360" w:lineRule="auto"/>
        <w:jc w:val="both"/>
        <w:rPr>
          <w:rFonts w:ascii="Arial" w:hAnsi="Arial" w:cs="Arial"/>
          <w:sz w:val="22"/>
        </w:rPr>
      </w:pPr>
      <w:r>
        <w:rPr>
          <w:rFonts w:ascii="Arial" w:hAnsi="Arial" w:cs="Arial"/>
          <w:sz w:val="22"/>
        </w:rPr>
        <w:t xml:space="preserve">     </w:t>
      </w:r>
      <w:r w:rsidR="0066794F" w:rsidRPr="00D50C59">
        <w:rPr>
          <w:rFonts w:ascii="Arial" w:hAnsi="Arial" w:cs="Arial"/>
          <w:sz w:val="22"/>
        </w:rPr>
        <w:t xml:space="preserve">Besides the fact that the actual construction of the new office building represents the </w:t>
      </w:r>
      <w:r w:rsidR="001154A7" w:rsidRPr="00D50C59">
        <w:rPr>
          <w:rFonts w:ascii="Arial" w:hAnsi="Arial" w:cs="Arial"/>
          <w:sz w:val="22"/>
        </w:rPr>
        <w:t>program's</w:t>
      </w:r>
      <w:r w:rsidR="0066794F" w:rsidRPr="00D50C59">
        <w:rPr>
          <w:rFonts w:ascii="Arial" w:hAnsi="Arial" w:cs="Arial"/>
          <w:sz w:val="22"/>
        </w:rPr>
        <w:t xml:space="preserve"> success itself, </w:t>
      </w:r>
      <w:r w:rsidR="001154A7" w:rsidRPr="00D50C59">
        <w:rPr>
          <w:rFonts w:ascii="Arial" w:hAnsi="Arial" w:cs="Arial"/>
          <w:sz w:val="22"/>
        </w:rPr>
        <w:t>Google can</w:t>
      </w:r>
      <w:r w:rsidR="0066794F" w:rsidRPr="00D50C59">
        <w:rPr>
          <w:rFonts w:ascii="Arial" w:hAnsi="Arial" w:cs="Arial"/>
          <w:sz w:val="22"/>
        </w:rPr>
        <w:t xml:space="preserve"> forever maintain the alignment with the variety of stakeholder entities that is the very essence of the possible successes in the development process</w:t>
      </w:r>
      <w:r w:rsidR="00AA606C" w:rsidRPr="00D50C59">
        <w:rPr>
          <w:rFonts w:ascii="Arial" w:hAnsi="Arial" w:cs="Arial"/>
          <w:sz w:val="22"/>
        </w:rPr>
        <w:t xml:space="preserve"> (Westerman </w:t>
      </w:r>
      <w:r w:rsidR="001154A7" w:rsidRPr="00D50C59">
        <w:rPr>
          <w:rFonts w:ascii="Arial" w:hAnsi="Arial" w:cs="Arial"/>
          <w:i/>
          <w:iCs/>
          <w:sz w:val="22"/>
        </w:rPr>
        <w:t>et al.,</w:t>
      </w:r>
      <w:r w:rsidR="00AA606C" w:rsidRPr="00D50C59">
        <w:rPr>
          <w:rFonts w:ascii="Arial" w:hAnsi="Arial" w:cs="Arial"/>
          <w:sz w:val="22"/>
        </w:rPr>
        <w:t xml:space="preserve"> 2020)</w:t>
      </w:r>
      <w:r w:rsidR="0066794F" w:rsidRPr="00D50C59">
        <w:rPr>
          <w:rFonts w:ascii="Arial" w:hAnsi="Arial" w:cs="Arial"/>
          <w:sz w:val="22"/>
        </w:rPr>
        <w:t>.</w:t>
      </w:r>
      <w:r w:rsidR="00BB3F02" w:rsidRPr="00D50C59">
        <w:rPr>
          <w:rFonts w:ascii="Arial" w:hAnsi="Arial" w:cs="Arial"/>
          <w:sz w:val="22"/>
        </w:rPr>
        <w:t xml:space="preserve"> </w:t>
      </w:r>
      <w:r w:rsidR="0066794F" w:rsidRPr="00D50C59">
        <w:rPr>
          <w:rFonts w:ascii="Arial" w:hAnsi="Arial" w:cs="Arial"/>
          <w:sz w:val="22"/>
        </w:rPr>
        <w:t xml:space="preserve">The project's gestation period </w:t>
      </w:r>
      <w:r w:rsidR="001154A7" w:rsidRPr="00D50C59">
        <w:rPr>
          <w:rFonts w:ascii="Arial" w:hAnsi="Arial" w:cs="Arial"/>
          <w:sz w:val="22"/>
        </w:rPr>
        <w:t>which</w:t>
      </w:r>
      <w:r w:rsidR="0066794F" w:rsidRPr="00D50C59">
        <w:rPr>
          <w:rFonts w:ascii="Arial" w:hAnsi="Arial" w:cs="Arial"/>
          <w:sz w:val="22"/>
        </w:rPr>
        <w:t xml:space="preserve"> commences from the initial planning until construction execution and </w:t>
      </w:r>
      <w:r w:rsidR="001154A7" w:rsidRPr="00D50C59">
        <w:rPr>
          <w:rFonts w:ascii="Arial" w:hAnsi="Arial" w:cs="Arial"/>
          <w:sz w:val="22"/>
        </w:rPr>
        <w:t>transfers</w:t>
      </w:r>
      <w:r w:rsidR="0066794F" w:rsidRPr="00D50C59">
        <w:rPr>
          <w:rFonts w:ascii="Arial" w:hAnsi="Arial" w:cs="Arial"/>
          <w:sz w:val="22"/>
        </w:rPr>
        <w:t xml:space="preserve"> into future operations amounts to a massive investment (£1 billion) at the </w:t>
      </w:r>
      <w:r w:rsidR="00E34108" w:rsidRPr="00D50C59">
        <w:rPr>
          <w:rFonts w:ascii="Arial" w:hAnsi="Arial" w:cs="Arial"/>
          <w:sz w:val="22"/>
        </w:rPr>
        <w:t>centre</w:t>
      </w:r>
      <w:r w:rsidR="0066794F" w:rsidRPr="00D50C59">
        <w:rPr>
          <w:rFonts w:ascii="Arial" w:hAnsi="Arial" w:cs="Arial"/>
          <w:sz w:val="22"/>
        </w:rPr>
        <w:t xml:space="preserve"> of London. This investment provides an opportunity for internal and external stakeholders to hold divergent views and interests that are interconnected</w:t>
      </w:r>
      <w:r w:rsidR="00AA606C" w:rsidRPr="00D50C59">
        <w:rPr>
          <w:rFonts w:ascii="Arial" w:hAnsi="Arial" w:cs="Arial"/>
          <w:sz w:val="22"/>
        </w:rPr>
        <w:t xml:space="preserve"> </w:t>
      </w:r>
      <w:r w:rsidR="00B67DC6" w:rsidRPr="00D50C59">
        <w:rPr>
          <w:rFonts w:ascii="Arial" w:hAnsi="Arial" w:cs="Arial"/>
          <w:sz w:val="22"/>
        </w:rPr>
        <w:t xml:space="preserve">(Dimitropoulos </w:t>
      </w:r>
      <w:r w:rsidR="001154A7" w:rsidRPr="00D50C59">
        <w:rPr>
          <w:rFonts w:ascii="Arial" w:hAnsi="Arial" w:cs="Arial"/>
          <w:i/>
          <w:iCs/>
          <w:sz w:val="22"/>
        </w:rPr>
        <w:t>et al.,</w:t>
      </w:r>
      <w:r w:rsidR="00B67DC6" w:rsidRPr="00D50C59">
        <w:rPr>
          <w:rFonts w:ascii="Arial" w:hAnsi="Arial" w:cs="Arial"/>
          <w:sz w:val="22"/>
        </w:rPr>
        <w:t xml:space="preserve"> 2019)</w:t>
      </w:r>
      <w:r w:rsidR="0066794F" w:rsidRPr="00D50C59">
        <w:rPr>
          <w:rFonts w:ascii="Arial" w:hAnsi="Arial" w:cs="Arial"/>
          <w:sz w:val="22"/>
        </w:rPr>
        <w:t>. Throughout Google's organ</w:t>
      </w:r>
      <w:r w:rsidR="00D45AEA" w:rsidRPr="00D50C59">
        <w:rPr>
          <w:rFonts w:ascii="Arial" w:hAnsi="Arial" w:cs="Arial"/>
          <w:sz w:val="22"/>
        </w:rPr>
        <w:t>is</w:t>
      </w:r>
      <w:r w:rsidR="0066794F" w:rsidRPr="00D50C59">
        <w:rPr>
          <w:rFonts w:ascii="Arial" w:hAnsi="Arial" w:cs="Arial"/>
          <w:sz w:val="22"/>
        </w:rPr>
        <w:t xml:space="preserve">ation, the stakeholder network is also structured vertically from C-suite leaders and project sponsor executives providing governance and management funding to core project management and engineering teams that are tasked with planning and tactical execution. The categories include finance, human resources, legal, and workplace operations which are seen as the pillars of the program and facilitate its progress from different angles. And to top it all, that of future tenants, which constitutes the employee base is also included in the design processes to ensure that the headquarters are in tune with experience and </w:t>
      </w:r>
      <w:r w:rsidR="0066794F" w:rsidRPr="00D50C59">
        <w:rPr>
          <w:rFonts w:ascii="Arial" w:hAnsi="Arial" w:cs="Arial"/>
          <w:sz w:val="22"/>
        </w:rPr>
        <w:lastRenderedPageBreak/>
        <w:t xml:space="preserve">workplace culture. In terms of </w:t>
      </w:r>
      <w:r w:rsidR="001154A7" w:rsidRPr="00D50C59">
        <w:rPr>
          <w:rFonts w:ascii="Arial" w:hAnsi="Arial" w:cs="Arial"/>
          <w:sz w:val="22"/>
        </w:rPr>
        <w:t xml:space="preserve">the </w:t>
      </w:r>
      <w:r w:rsidR="0066794F" w:rsidRPr="00D50C59">
        <w:rPr>
          <w:rFonts w:ascii="Arial" w:hAnsi="Arial" w:cs="Arial"/>
          <w:sz w:val="22"/>
        </w:rPr>
        <w:t>execution of the project, GA can be supposed to have formed different bodies such as the governance forums and working groups which serve as the steering wheel for united leadership, collaboration and coordination within the departments.</w:t>
      </w:r>
    </w:p>
    <w:p w14:paraId="37110BFB" w14:textId="1133BD56" w:rsidR="00BB3F02" w:rsidRPr="00D50C59" w:rsidRDefault="0066794F" w:rsidP="00D50C59">
      <w:pPr>
        <w:spacing w:line="360" w:lineRule="auto"/>
        <w:jc w:val="both"/>
        <w:rPr>
          <w:rFonts w:ascii="Arial" w:hAnsi="Arial" w:cs="Arial"/>
          <w:sz w:val="22"/>
        </w:rPr>
      </w:pPr>
      <w:r w:rsidRPr="00D50C59">
        <w:rPr>
          <w:rFonts w:ascii="Arial" w:hAnsi="Arial" w:cs="Arial"/>
          <w:sz w:val="22"/>
        </w:rPr>
        <w:t xml:space="preserve">Beyond the project itself, </w:t>
      </w:r>
      <w:r w:rsidR="001154A7" w:rsidRPr="00D50C59">
        <w:rPr>
          <w:rFonts w:ascii="Arial" w:hAnsi="Arial" w:cs="Arial"/>
          <w:sz w:val="22"/>
        </w:rPr>
        <w:t>it's</w:t>
      </w:r>
      <w:r w:rsidRPr="00D50C59">
        <w:rPr>
          <w:rFonts w:ascii="Arial" w:hAnsi="Arial" w:cs="Arial"/>
          <w:sz w:val="22"/>
        </w:rPr>
        <w:t xml:space="preserve"> vast footprint and diverse radius of community impact create a multiverse of local and national government agencies that engaged in the supervision of regulatory approvals, </w:t>
      </w:r>
      <w:r w:rsidR="001154A7" w:rsidRPr="00D50C59">
        <w:rPr>
          <w:rFonts w:ascii="Arial" w:hAnsi="Arial" w:cs="Arial"/>
          <w:sz w:val="22"/>
        </w:rPr>
        <w:t>permit</w:t>
      </w:r>
      <w:r w:rsidRPr="00D50C59">
        <w:rPr>
          <w:rFonts w:ascii="Arial" w:hAnsi="Arial" w:cs="Arial"/>
          <w:sz w:val="22"/>
        </w:rPr>
        <w:t xml:space="preserve"> issuance, zoning, environmental impact assessments, transportation planning, and so much more</w:t>
      </w:r>
      <w:r w:rsidR="00B67DC6" w:rsidRPr="00D50C59">
        <w:rPr>
          <w:rFonts w:ascii="Arial" w:hAnsi="Arial" w:cs="Arial"/>
          <w:sz w:val="22"/>
        </w:rPr>
        <w:t xml:space="preserve"> (Melo </w:t>
      </w:r>
      <w:r w:rsidR="001154A7" w:rsidRPr="00D50C59">
        <w:rPr>
          <w:rFonts w:ascii="Arial" w:hAnsi="Arial" w:cs="Arial"/>
          <w:i/>
          <w:iCs/>
          <w:sz w:val="22"/>
        </w:rPr>
        <w:t>et al.,</w:t>
      </w:r>
      <w:r w:rsidR="00B67DC6" w:rsidRPr="00D50C59">
        <w:rPr>
          <w:rFonts w:ascii="Arial" w:hAnsi="Arial" w:cs="Arial"/>
          <w:sz w:val="22"/>
        </w:rPr>
        <w:t xml:space="preserve"> 2021)</w:t>
      </w:r>
      <w:r w:rsidRPr="00D50C59">
        <w:rPr>
          <w:rFonts w:ascii="Arial" w:hAnsi="Arial" w:cs="Arial"/>
          <w:sz w:val="22"/>
        </w:rPr>
        <w:t>. Although some of these groups, like state/municipal planning boards</w:t>
      </w:r>
      <w:r w:rsidR="001154A7" w:rsidRPr="00D50C59">
        <w:rPr>
          <w:rFonts w:ascii="Arial" w:hAnsi="Arial" w:cs="Arial"/>
          <w:sz w:val="22"/>
        </w:rPr>
        <w:t>,</w:t>
      </w:r>
      <w:r w:rsidRPr="00D50C59">
        <w:rPr>
          <w:rFonts w:ascii="Arial" w:hAnsi="Arial" w:cs="Arial"/>
          <w:sz w:val="22"/>
        </w:rPr>
        <w:t xml:space="preserve"> may be directly involved and gain full decision control over the project design or schedule, others are the groups that are to be constantly consulted and that include neighbourhood residents, civic organ</w:t>
      </w:r>
      <w:r w:rsidR="00D45AEA" w:rsidRPr="00D50C59">
        <w:rPr>
          <w:rFonts w:ascii="Arial" w:hAnsi="Arial" w:cs="Arial"/>
          <w:sz w:val="22"/>
        </w:rPr>
        <w:t>is</w:t>
      </w:r>
      <w:r w:rsidRPr="00D50C59">
        <w:rPr>
          <w:rFonts w:ascii="Arial" w:hAnsi="Arial" w:cs="Arial"/>
          <w:sz w:val="22"/>
        </w:rPr>
        <w:t xml:space="preserve">ations, business associations, and special interest groups. </w:t>
      </w:r>
      <w:r w:rsidR="00B67DC6" w:rsidRPr="00D50C59">
        <w:rPr>
          <w:rFonts w:ascii="Arial" w:hAnsi="Arial" w:cs="Arial"/>
          <w:sz w:val="22"/>
        </w:rPr>
        <w:t>At</w:t>
      </w:r>
      <w:r w:rsidRPr="00D50C59">
        <w:rPr>
          <w:rFonts w:ascii="Arial" w:hAnsi="Arial" w:cs="Arial"/>
          <w:sz w:val="22"/>
        </w:rPr>
        <w:t xml:space="preserve"> the end of this whole construction supply chain are the huge ecosystems of suppliers, contractors, subcontractors, vendors and other providers</w:t>
      </w:r>
      <w:r w:rsidR="00B67DC6" w:rsidRPr="00D50C59">
        <w:rPr>
          <w:rFonts w:ascii="Arial" w:hAnsi="Arial" w:cs="Arial"/>
          <w:sz w:val="22"/>
        </w:rPr>
        <w:t xml:space="preserve"> (</w:t>
      </w:r>
      <w:proofErr w:type="spellStart"/>
      <w:r w:rsidR="00B67DC6" w:rsidRPr="00D50C59">
        <w:rPr>
          <w:rFonts w:ascii="Arial" w:hAnsi="Arial" w:cs="Arial"/>
          <w:sz w:val="22"/>
        </w:rPr>
        <w:t>Darendeli</w:t>
      </w:r>
      <w:proofErr w:type="spellEnd"/>
      <w:r w:rsidR="00B67DC6" w:rsidRPr="00D50C59">
        <w:rPr>
          <w:rFonts w:ascii="Arial" w:hAnsi="Arial" w:cs="Arial"/>
          <w:sz w:val="22"/>
        </w:rPr>
        <w:t xml:space="preserve"> </w:t>
      </w:r>
      <w:r w:rsidR="001154A7" w:rsidRPr="00D50C59">
        <w:rPr>
          <w:rFonts w:ascii="Arial" w:hAnsi="Arial" w:cs="Arial"/>
          <w:i/>
          <w:iCs/>
          <w:sz w:val="22"/>
        </w:rPr>
        <w:t>et al.,</w:t>
      </w:r>
      <w:r w:rsidR="00B67DC6" w:rsidRPr="00D50C59">
        <w:rPr>
          <w:rFonts w:ascii="Arial" w:hAnsi="Arial" w:cs="Arial"/>
          <w:sz w:val="22"/>
        </w:rPr>
        <w:t xml:space="preserve"> 2022)</w:t>
      </w:r>
      <w:r w:rsidRPr="00D50C59">
        <w:rPr>
          <w:rFonts w:ascii="Arial" w:hAnsi="Arial" w:cs="Arial"/>
          <w:sz w:val="22"/>
        </w:rPr>
        <w:t>.</w:t>
      </w:r>
      <w:r w:rsidR="00B12831" w:rsidRPr="00D50C59">
        <w:rPr>
          <w:rFonts w:ascii="Arial" w:hAnsi="Arial" w:cs="Arial"/>
          <w:sz w:val="22"/>
        </w:rPr>
        <w:t xml:space="preserve"> </w:t>
      </w:r>
      <w:r w:rsidRPr="00D50C59">
        <w:rPr>
          <w:rFonts w:ascii="Arial" w:hAnsi="Arial" w:cs="Arial"/>
          <w:sz w:val="22"/>
        </w:rPr>
        <w:t>Very likely, the stakeholder mapping was done from the beginning where every interest group/stakeholder was captured, and rankings of key influence and engagement were done for the program to succeed in the areas of design adherence, operational impacts, financial factors, schedule implications, etc. Communication management and engagement plans should be designed and shared with the integrated Google team to develop strategies, channels, cadences and custom</w:t>
      </w:r>
      <w:r w:rsidR="00D45AEA" w:rsidRPr="00D50C59">
        <w:rPr>
          <w:rFonts w:ascii="Arial" w:hAnsi="Arial" w:cs="Arial"/>
          <w:sz w:val="22"/>
        </w:rPr>
        <w:t>is</w:t>
      </w:r>
      <w:r w:rsidRPr="00D50C59">
        <w:rPr>
          <w:rFonts w:ascii="Arial" w:hAnsi="Arial" w:cs="Arial"/>
          <w:sz w:val="22"/>
        </w:rPr>
        <w:t>ed messages, respectively</w:t>
      </w:r>
      <w:r w:rsidR="000846CC" w:rsidRPr="00D50C59">
        <w:rPr>
          <w:rFonts w:ascii="Arial" w:hAnsi="Arial" w:cs="Arial"/>
          <w:sz w:val="22"/>
        </w:rPr>
        <w:t xml:space="preserve"> (Robin, 2022)</w:t>
      </w:r>
      <w:r w:rsidR="00B67DC6" w:rsidRPr="00D50C59">
        <w:rPr>
          <w:rFonts w:ascii="Arial" w:hAnsi="Arial" w:cs="Arial"/>
          <w:sz w:val="22"/>
        </w:rPr>
        <w:t>.</w:t>
      </w:r>
      <w:r w:rsidRPr="00D50C59">
        <w:rPr>
          <w:rFonts w:ascii="Arial" w:hAnsi="Arial" w:cs="Arial"/>
          <w:sz w:val="22"/>
        </w:rPr>
        <w:t xml:space="preserve"> Identified stakeholders are powerful resources and they should be well captured during risk assessments that will cover possible risks/concerns of opposition drivers, communication breakdowns, decision bottlenecks and competing agendas that might lead to the program’s non-progress</w:t>
      </w:r>
      <w:r w:rsidR="00B67DC6" w:rsidRPr="00D50C59">
        <w:rPr>
          <w:rFonts w:ascii="Arial" w:hAnsi="Arial" w:cs="Arial"/>
          <w:sz w:val="22"/>
        </w:rPr>
        <w:t xml:space="preserve"> (Giordano </w:t>
      </w:r>
      <w:r w:rsidR="001154A7" w:rsidRPr="00D50C59">
        <w:rPr>
          <w:rFonts w:ascii="Arial" w:hAnsi="Arial" w:cs="Arial"/>
          <w:i/>
          <w:iCs/>
          <w:sz w:val="22"/>
        </w:rPr>
        <w:t>et al.,</w:t>
      </w:r>
      <w:r w:rsidR="00B67DC6" w:rsidRPr="00D50C59">
        <w:rPr>
          <w:rFonts w:ascii="Arial" w:hAnsi="Arial" w:cs="Arial"/>
          <w:sz w:val="22"/>
        </w:rPr>
        <w:t xml:space="preserve"> 2020)</w:t>
      </w:r>
      <w:r w:rsidRPr="00D50C59">
        <w:rPr>
          <w:rFonts w:ascii="Arial" w:hAnsi="Arial" w:cs="Arial"/>
          <w:sz w:val="22"/>
        </w:rPr>
        <w:t>. During this step, mitigation strategies and contingency protocols will be created to proactively prevent any possible stakeholder scenarios which can harm our company</w:t>
      </w:r>
      <w:r w:rsidR="00B67DC6" w:rsidRPr="00D50C59">
        <w:rPr>
          <w:rFonts w:ascii="Arial" w:hAnsi="Arial" w:cs="Arial"/>
          <w:sz w:val="22"/>
        </w:rPr>
        <w:t xml:space="preserve"> (Purnomo </w:t>
      </w:r>
      <w:r w:rsidR="001154A7" w:rsidRPr="00D50C59">
        <w:rPr>
          <w:rFonts w:ascii="Arial" w:hAnsi="Arial" w:cs="Arial"/>
          <w:i/>
          <w:iCs/>
          <w:sz w:val="22"/>
        </w:rPr>
        <w:t>et al.,</w:t>
      </w:r>
      <w:r w:rsidR="00B67DC6" w:rsidRPr="00D50C59">
        <w:rPr>
          <w:rFonts w:ascii="Arial" w:hAnsi="Arial" w:cs="Arial"/>
          <w:sz w:val="22"/>
        </w:rPr>
        <w:t xml:space="preserve"> 2021)</w:t>
      </w:r>
      <w:r w:rsidRPr="00D50C59">
        <w:rPr>
          <w:rFonts w:ascii="Arial" w:hAnsi="Arial" w:cs="Arial"/>
          <w:sz w:val="22"/>
        </w:rPr>
        <w:t>. Incorporating monitoring processes by using methods like sentiment analysis may build up an "early warning" system to quicken mitigation procedures as a result of friction points between stakeholders are discovered.</w:t>
      </w:r>
    </w:p>
    <w:p w14:paraId="0BD1568A" w14:textId="77777777" w:rsidR="00A77163" w:rsidRDefault="00A77163" w:rsidP="00D50C59">
      <w:pPr>
        <w:spacing w:line="360" w:lineRule="auto"/>
        <w:jc w:val="both"/>
        <w:rPr>
          <w:rFonts w:ascii="Arial" w:hAnsi="Arial" w:cs="Arial"/>
          <w:sz w:val="22"/>
        </w:rPr>
      </w:pPr>
    </w:p>
    <w:p w14:paraId="66C48984" w14:textId="35A9822C" w:rsidR="00A77163" w:rsidRPr="0048527C" w:rsidRDefault="0048527C" w:rsidP="00D50C59">
      <w:pPr>
        <w:spacing w:line="360" w:lineRule="auto"/>
        <w:jc w:val="both"/>
        <w:rPr>
          <w:rFonts w:ascii="Arial" w:hAnsi="Arial" w:cs="Arial"/>
          <w:b/>
          <w:bCs/>
          <w:sz w:val="32"/>
          <w:szCs w:val="32"/>
        </w:rPr>
      </w:pPr>
      <w:r w:rsidRPr="0048527C">
        <w:rPr>
          <w:rFonts w:ascii="Arial" w:hAnsi="Arial" w:cs="Arial"/>
          <w:b/>
          <w:bCs/>
          <w:sz w:val="32"/>
          <w:szCs w:val="32"/>
        </w:rPr>
        <w:t>Risk</w:t>
      </w:r>
    </w:p>
    <w:p w14:paraId="7DC9FA77" w14:textId="5AB8B630" w:rsidR="00E34108" w:rsidRPr="00D50C59" w:rsidRDefault="0048527C" w:rsidP="00D50C59">
      <w:pPr>
        <w:spacing w:line="360" w:lineRule="auto"/>
        <w:jc w:val="both"/>
        <w:rPr>
          <w:rFonts w:ascii="Arial" w:hAnsi="Arial" w:cs="Arial"/>
          <w:sz w:val="22"/>
        </w:rPr>
      </w:pPr>
      <w:r>
        <w:rPr>
          <w:rFonts w:ascii="Arial" w:hAnsi="Arial" w:cs="Arial"/>
          <w:sz w:val="22"/>
        </w:rPr>
        <w:t xml:space="preserve">    </w:t>
      </w:r>
      <w:r w:rsidR="0066794F" w:rsidRPr="00D50C59">
        <w:rPr>
          <w:rFonts w:ascii="Arial" w:hAnsi="Arial" w:cs="Arial"/>
          <w:sz w:val="22"/>
        </w:rPr>
        <w:t xml:space="preserve">The risks involved in a scheme of this scale and </w:t>
      </w:r>
      <w:r w:rsidR="001154A7" w:rsidRPr="00D50C59">
        <w:rPr>
          <w:rFonts w:ascii="Arial" w:hAnsi="Arial" w:cs="Arial"/>
          <w:sz w:val="22"/>
        </w:rPr>
        <w:t>size</w:t>
      </w:r>
      <w:r w:rsidR="0066794F" w:rsidRPr="00D50C59">
        <w:rPr>
          <w:rFonts w:ascii="Arial" w:hAnsi="Arial" w:cs="Arial"/>
          <w:sz w:val="22"/>
        </w:rPr>
        <w:t xml:space="preserve">, as well as the huge number of factors that need to fit perfectly for the scheme to succeed, have necessitated a unified risk management plan that combines all strategies for identifying, monitoring and mitigating disruptive events. Visioned </w:t>
      </w:r>
      <w:r w:rsidR="001154A7" w:rsidRPr="00D50C59">
        <w:rPr>
          <w:rFonts w:ascii="Arial" w:hAnsi="Arial" w:cs="Arial"/>
          <w:sz w:val="22"/>
        </w:rPr>
        <w:t>forms</w:t>
      </w:r>
      <w:r w:rsidR="0066794F" w:rsidRPr="00D50C59">
        <w:rPr>
          <w:rFonts w:ascii="Arial" w:hAnsi="Arial" w:cs="Arial"/>
          <w:sz w:val="22"/>
        </w:rPr>
        <w:t xml:space="preserve"> of risks stemming from internal sources and external factors which come from </w:t>
      </w:r>
      <w:r w:rsidR="0066794F" w:rsidRPr="00D50C59">
        <w:rPr>
          <w:rFonts w:ascii="Arial" w:hAnsi="Arial" w:cs="Arial"/>
          <w:sz w:val="22"/>
        </w:rPr>
        <w:lastRenderedPageBreak/>
        <w:t xml:space="preserve">multiple categories demand continuous attention and effort by risk management working groups. Fiscally, £1 billion in program value immediately heightens the level of accountability with the budget projections, cost management process and contingency plans coming under sharp assessment. High-quality risk models with risk analysis techniques that </w:t>
      </w:r>
      <w:r w:rsidR="001154A7" w:rsidRPr="00D50C59">
        <w:rPr>
          <w:rFonts w:ascii="Arial" w:hAnsi="Arial" w:cs="Arial"/>
          <w:sz w:val="22"/>
        </w:rPr>
        <w:t>can</w:t>
      </w:r>
      <w:r w:rsidR="0066794F" w:rsidRPr="00D50C59">
        <w:rPr>
          <w:rFonts w:ascii="Arial" w:hAnsi="Arial" w:cs="Arial"/>
          <w:sz w:val="22"/>
        </w:rPr>
        <w:t xml:space="preserve"> evaluate the sensitivities and comprehend probabilistic cost overrun exposure stemming from the volatility of materials pricing, construction labour rates, design/engineering fees, and other variables should be employed</w:t>
      </w:r>
      <w:r w:rsidR="00BD7581" w:rsidRPr="00D50C59">
        <w:rPr>
          <w:rFonts w:ascii="Arial" w:hAnsi="Arial" w:cs="Arial"/>
          <w:sz w:val="22"/>
        </w:rPr>
        <w:t xml:space="preserve"> (Thesing </w:t>
      </w:r>
      <w:r w:rsidR="001154A7" w:rsidRPr="00D50C59">
        <w:rPr>
          <w:rFonts w:ascii="Arial" w:hAnsi="Arial" w:cs="Arial"/>
          <w:i/>
          <w:iCs/>
          <w:sz w:val="22"/>
        </w:rPr>
        <w:t>et al.,</w:t>
      </w:r>
      <w:r w:rsidR="00BD7581" w:rsidRPr="00D50C59">
        <w:rPr>
          <w:rFonts w:ascii="Arial" w:hAnsi="Arial" w:cs="Arial"/>
          <w:sz w:val="22"/>
        </w:rPr>
        <w:t xml:space="preserve"> 2021)</w:t>
      </w:r>
      <w:r w:rsidR="0066794F" w:rsidRPr="00D50C59">
        <w:rPr>
          <w:rFonts w:ascii="Arial" w:hAnsi="Arial" w:cs="Arial"/>
          <w:sz w:val="22"/>
        </w:rPr>
        <w:t xml:space="preserve">. Risk-adjusted contingency levels and drawdown controls would be monitored in parallel with cost performance </w:t>
      </w:r>
      <w:r w:rsidR="001154A7" w:rsidRPr="00D50C59">
        <w:rPr>
          <w:rFonts w:ascii="Arial" w:hAnsi="Arial" w:cs="Arial"/>
          <w:sz w:val="22"/>
        </w:rPr>
        <w:t>to</w:t>
      </w:r>
      <w:r w:rsidR="0066794F" w:rsidRPr="00D50C59">
        <w:rPr>
          <w:rFonts w:ascii="Arial" w:hAnsi="Arial" w:cs="Arial"/>
          <w:sz w:val="22"/>
        </w:rPr>
        <w:t xml:space="preserve"> act as a first barrier that would prevent funding gaps or cash flow shortfalls that would have a disastrous effect on the program.</w:t>
      </w:r>
      <w:r w:rsidR="00BB3F02" w:rsidRPr="00D50C59">
        <w:rPr>
          <w:rFonts w:ascii="Arial" w:hAnsi="Arial" w:cs="Arial"/>
          <w:sz w:val="22"/>
        </w:rPr>
        <w:t xml:space="preserve"> </w:t>
      </w:r>
      <w:r w:rsidR="0066794F" w:rsidRPr="00D50C59">
        <w:rPr>
          <w:rFonts w:ascii="Arial" w:hAnsi="Arial" w:cs="Arial"/>
          <w:sz w:val="22"/>
        </w:rPr>
        <w:t>The framework of operational risk management encompasses schedule risk analysis by the methods of qualitative and quantitative assessment, quality assurance and quality control regimens, and proactive capacity/resource management</w:t>
      </w:r>
      <w:r w:rsidR="00BD7581" w:rsidRPr="00D50C59">
        <w:rPr>
          <w:rFonts w:ascii="Arial" w:hAnsi="Arial" w:cs="Arial"/>
          <w:sz w:val="22"/>
        </w:rPr>
        <w:t xml:space="preserve"> (Araz </w:t>
      </w:r>
      <w:r w:rsidR="001154A7" w:rsidRPr="00D50C59">
        <w:rPr>
          <w:rFonts w:ascii="Arial" w:hAnsi="Arial" w:cs="Arial"/>
          <w:i/>
          <w:iCs/>
          <w:sz w:val="22"/>
        </w:rPr>
        <w:t>et al.,</w:t>
      </w:r>
      <w:r w:rsidR="00BD7581" w:rsidRPr="00D50C59">
        <w:rPr>
          <w:rFonts w:ascii="Arial" w:hAnsi="Arial" w:cs="Arial"/>
          <w:sz w:val="22"/>
        </w:rPr>
        <w:t xml:space="preserve"> 2020)</w:t>
      </w:r>
      <w:r w:rsidR="0066794F" w:rsidRPr="00D50C59">
        <w:rPr>
          <w:rFonts w:ascii="Arial" w:hAnsi="Arial" w:cs="Arial"/>
          <w:sz w:val="22"/>
        </w:rPr>
        <w:t xml:space="preserve">. It is crucial to maintain this schedule, which is highly ambitious and incredibly fast, by employing schedule barriers such as critical path monitoring, delay contingency planning, delay contingency planning, accelerated response strategies in case of phenomena such as weather events or supply chain delivery, and perhaps incentives/penalties to stimulate the contractors' willingness to keep the schedule. Instructional risks can be brought about by substandard installations, defective materials or performance which might not </w:t>
      </w:r>
      <w:r w:rsidR="001154A7" w:rsidRPr="00D50C59">
        <w:rPr>
          <w:rFonts w:ascii="Arial" w:hAnsi="Arial" w:cs="Arial"/>
          <w:sz w:val="22"/>
        </w:rPr>
        <w:t>comply</w:t>
      </w:r>
      <w:r w:rsidR="0066794F" w:rsidRPr="00D50C59">
        <w:rPr>
          <w:rFonts w:ascii="Arial" w:hAnsi="Arial" w:cs="Arial"/>
          <w:sz w:val="22"/>
        </w:rPr>
        <w:t xml:space="preserve"> with specifications. These risks create legal/regulatory exposures which can trigger some response protocols when costs or timelines would be affected. The use of quality management plans with a considerable level of detail, involving the inspection test points, quality metrics, and material traceability, assists in the prevention of this risk, as defects are immediately identified and rectified before they cause delay or cost issues.</w:t>
      </w:r>
      <w:r w:rsidR="00E34108" w:rsidRPr="00D50C59">
        <w:rPr>
          <w:rFonts w:ascii="Arial" w:hAnsi="Arial" w:cs="Arial"/>
          <w:sz w:val="22"/>
        </w:rPr>
        <w:t xml:space="preserve"> </w:t>
      </w:r>
      <w:r w:rsidR="0066794F" w:rsidRPr="00D50C59">
        <w:rPr>
          <w:rFonts w:ascii="Arial" w:hAnsi="Arial" w:cs="Arial"/>
          <w:sz w:val="22"/>
        </w:rPr>
        <w:t xml:space="preserve">From the outside looking in, the project might seem like a “mission impossible” with the feeling of fighting all the time battles of stakeholder management, regulatory compliance, environmental impacts and force majeure events like natural disasters which can create schedule delays or cost overruns. The ongoing observation of the external terrain through the most advanced intelligence-gathering practices and sentiment analysis will provide </w:t>
      </w:r>
      <w:r w:rsidR="001154A7" w:rsidRPr="00D50C59">
        <w:rPr>
          <w:rFonts w:ascii="Arial" w:hAnsi="Arial" w:cs="Arial"/>
          <w:sz w:val="22"/>
        </w:rPr>
        <w:t>an</w:t>
      </w:r>
      <w:r w:rsidR="0066794F" w:rsidRPr="00D50C59">
        <w:rPr>
          <w:rFonts w:ascii="Arial" w:hAnsi="Arial" w:cs="Arial"/>
          <w:sz w:val="22"/>
        </w:rPr>
        <w:t xml:space="preserve"> early warning of emerging issues from the </w:t>
      </w:r>
      <w:r w:rsidR="001154A7" w:rsidRPr="00D50C59">
        <w:rPr>
          <w:rFonts w:ascii="Arial" w:hAnsi="Arial" w:cs="Arial"/>
          <w:sz w:val="22"/>
        </w:rPr>
        <w:t>horizon</w:t>
      </w:r>
      <w:r w:rsidR="0066794F" w:rsidRPr="00D50C59">
        <w:rPr>
          <w:rFonts w:ascii="Arial" w:hAnsi="Arial" w:cs="Arial"/>
          <w:sz w:val="22"/>
        </w:rPr>
        <w:t>. Thus, the "early warning" system is developed, which allows us to handle potential problems that have not yet turned into real economic shocks</w:t>
      </w:r>
      <w:r w:rsidR="00BD7581" w:rsidRPr="00D50C59">
        <w:rPr>
          <w:rFonts w:ascii="Arial" w:hAnsi="Arial" w:cs="Arial"/>
          <w:sz w:val="22"/>
        </w:rPr>
        <w:t xml:space="preserve"> (Baharom and Abdullah, 2023)</w:t>
      </w:r>
      <w:r w:rsidR="0066794F" w:rsidRPr="00D50C59">
        <w:rPr>
          <w:rFonts w:ascii="Arial" w:hAnsi="Arial" w:cs="Arial"/>
          <w:sz w:val="22"/>
        </w:rPr>
        <w:t>. The team should util</w:t>
      </w:r>
      <w:r w:rsidR="00D45AEA" w:rsidRPr="00D50C59">
        <w:rPr>
          <w:rFonts w:ascii="Arial" w:hAnsi="Arial" w:cs="Arial"/>
          <w:sz w:val="22"/>
        </w:rPr>
        <w:t>is</w:t>
      </w:r>
      <w:r w:rsidR="0066794F" w:rsidRPr="00D50C59">
        <w:rPr>
          <w:rFonts w:ascii="Arial" w:hAnsi="Arial" w:cs="Arial"/>
          <w:sz w:val="22"/>
        </w:rPr>
        <w:t xml:space="preserve">e stakeholder mapping tools to identify key groups that can sway regulatory conditions, </w:t>
      </w:r>
      <w:r w:rsidR="001154A7" w:rsidRPr="00D50C59">
        <w:rPr>
          <w:rFonts w:ascii="Arial" w:hAnsi="Arial" w:cs="Arial"/>
          <w:sz w:val="22"/>
        </w:rPr>
        <w:t xml:space="preserve">and </w:t>
      </w:r>
      <w:r w:rsidR="0066794F" w:rsidRPr="00D50C59">
        <w:rPr>
          <w:rFonts w:ascii="Arial" w:hAnsi="Arial" w:cs="Arial"/>
          <w:sz w:val="22"/>
        </w:rPr>
        <w:t>project timelines, or have the potential to instigate community disruptions that could significantly hamper project progress.</w:t>
      </w:r>
      <w:r w:rsidR="00BB3F02" w:rsidRPr="00D50C59">
        <w:rPr>
          <w:rFonts w:ascii="Arial" w:hAnsi="Arial" w:cs="Arial"/>
          <w:sz w:val="22"/>
        </w:rPr>
        <w:t xml:space="preserve"> </w:t>
      </w:r>
      <w:r w:rsidR="0066794F" w:rsidRPr="00D50C59">
        <w:rPr>
          <w:rFonts w:ascii="Arial" w:hAnsi="Arial" w:cs="Arial"/>
          <w:sz w:val="22"/>
        </w:rPr>
        <w:t xml:space="preserve">Clear communication channels, proactive engagement strategies, and transparency measures which are in line with each stakeholder's specific influence level and </w:t>
      </w:r>
      <w:r w:rsidR="0066794F" w:rsidRPr="00D50C59">
        <w:rPr>
          <w:rFonts w:ascii="Arial" w:hAnsi="Arial" w:cs="Arial"/>
          <w:sz w:val="22"/>
        </w:rPr>
        <w:lastRenderedPageBreak/>
        <w:t xml:space="preserve">program interests are the essential tools to build trusted relationships and address concerns before these issues affect the </w:t>
      </w:r>
      <w:r w:rsidR="001154A7" w:rsidRPr="00D50C59">
        <w:rPr>
          <w:rFonts w:ascii="Arial" w:hAnsi="Arial" w:cs="Arial"/>
          <w:sz w:val="22"/>
        </w:rPr>
        <w:t>program's</w:t>
      </w:r>
      <w:r w:rsidR="0066794F" w:rsidRPr="00D50C59">
        <w:rPr>
          <w:rFonts w:ascii="Arial" w:hAnsi="Arial" w:cs="Arial"/>
          <w:sz w:val="22"/>
        </w:rPr>
        <w:t xml:space="preserve"> critical path.</w:t>
      </w:r>
    </w:p>
    <w:p w14:paraId="2755B7A5" w14:textId="77777777" w:rsidR="0048527C" w:rsidRDefault="0048527C" w:rsidP="00D50C59">
      <w:pPr>
        <w:spacing w:line="360" w:lineRule="auto"/>
        <w:jc w:val="both"/>
        <w:rPr>
          <w:rFonts w:ascii="Arial" w:hAnsi="Arial" w:cs="Arial"/>
          <w:sz w:val="22"/>
        </w:rPr>
      </w:pPr>
    </w:p>
    <w:p w14:paraId="3CA69BE0" w14:textId="2424E21A" w:rsidR="0048527C" w:rsidRPr="0048527C" w:rsidRDefault="0048527C" w:rsidP="00D50C59">
      <w:pPr>
        <w:spacing w:line="360" w:lineRule="auto"/>
        <w:jc w:val="both"/>
        <w:rPr>
          <w:rFonts w:ascii="Arial" w:hAnsi="Arial" w:cs="Arial"/>
          <w:b/>
          <w:bCs/>
          <w:sz w:val="32"/>
          <w:szCs w:val="32"/>
        </w:rPr>
      </w:pPr>
      <w:r w:rsidRPr="0048527C">
        <w:rPr>
          <w:rFonts w:ascii="Arial" w:hAnsi="Arial" w:cs="Arial"/>
          <w:b/>
          <w:bCs/>
          <w:sz w:val="32"/>
          <w:szCs w:val="32"/>
        </w:rPr>
        <w:t>Conclusion</w:t>
      </w:r>
    </w:p>
    <w:p w14:paraId="3A476E2E" w14:textId="52E53B31" w:rsidR="00656978" w:rsidRPr="00D50C59" w:rsidRDefault="0048527C" w:rsidP="00D50C59">
      <w:pPr>
        <w:spacing w:line="360" w:lineRule="auto"/>
        <w:jc w:val="both"/>
        <w:rPr>
          <w:rFonts w:ascii="Arial" w:hAnsi="Arial" w:cs="Arial"/>
          <w:sz w:val="22"/>
        </w:rPr>
      </w:pPr>
      <w:r>
        <w:rPr>
          <w:rFonts w:ascii="Arial" w:hAnsi="Arial" w:cs="Arial"/>
          <w:sz w:val="22"/>
        </w:rPr>
        <w:t xml:space="preserve">      </w:t>
      </w:r>
      <w:r w:rsidR="0066794F" w:rsidRPr="00D50C59">
        <w:rPr>
          <w:rFonts w:ascii="Arial" w:hAnsi="Arial" w:cs="Arial"/>
          <w:sz w:val="22"/>
        </w:rPr>
        <w:t xml:space="preserve">Google's £1 billion investment in King's Cross to deliver a world-class new headquarters is a massive undertaking with the highest standards of project management </w:t>
      </w:r>
      <w:r w:rsidR="001154A7" w:rsidRPr="00D50C59">
        <w:rPr>
          <w:rFonts w:ascii="Arial" w:hAnsi="Arial" w:cs="Arial"/>
          <w:sz w:val="22"/>
        </w:rPr>
        <w:t>rigour</w:t>
      </w:r>
      <w:r w:rsidR="0066794F" w:rsidRPr="00D50C59">
        <w:rPr>
          <w:rFonts w:ascii="Arial" w:hAnsi="Arial" w:cs="Arial"/>
          <w:sz w:val="22"/>
        </w:rPr>
        <w:t xml:space="preserve">. The program's planning across budget, schedule, quality, stakeholder alignment, and risk management </w:t>
      </w:r>
      <w:r w:rsidR="001154A7" w:rsidRPr="00D50C59">
        <w:rPr>
          <w:rFonts w:ascii="Arial" w:hAnsi="Arial" w:cs="Arial"/>
          <w:sz w:val="22"/>
        </w:rPr>
        <w:t>seems</w:t>
      </w:r>
      <w:r w:rsidR="0066794F" w:rsidRPr="00D50C59">
        <w:rPr>
          <w:rFonts w:ascii="Arial" w:hAnsi="Arial" w:cs="Arial"/>
          <w:sz w:val="22"/>
        </w:rPr>
        <w:t xml:space="preserve"> to be comprehensive though certain areas need to be closely watched during construction. Keeping the budget intact through cost controls, risk-adjusted contingencies, and proactive supplier/subcontractor management will continue to be necessary to avoid going over the budget on construction, design, and materials. The tight 12-month </w:t>
      </w:r>
      <w:r w:rsidR="001154A7" w:rsidRPr="00D50C59">
        <w:rPr>
          <w:rFonts w:ascii="Arial" w:hAnsi="Arial" w:cs="Arial"/>
          <w:sz w:val="22"/>
        </w:rPr>
        <w:t>schedule-timeline</w:t>
      </w:r>
      <w:r w:rsidR="0066794F" w:rsidRPr="00D50C59">
        <w:rPr>
          <w:rFonts w:ascii="Arial" w:hAnsi="Arial" w:cs="Arial"/>
          <w:sz w:val="22"/>
        </w:rPr>
        <w:t xml:space="preserve"> requires the use of advanced scheduling techniques, thorough tracking of progress, and well-planned mitigation steps. Strict quality management programs observed by all team members are the keys to the real</w:t>
      </w:r>
      <w:r w:rsidR="00D45AEA" w:rsidRPr="00D50C59">
        <w:rPr>
          <w:rFonts w:ascii="Arial" w:hAnsi="Arial" w:cs="Arial"/>
          <w:sz w:val="22"/>
        </w:rPr>
        <w:t>is</w:t>
      </w:r>
      <w:r w:rsidR="0066794F" w:rsidRPr="00D50C59">
        <w:rPr>
          <w:rFonts w:ascii="Arial" w:hAnsi="Arial" w:cs="Arial"/>
          <w:sz w:val="22"/>
        </w:rPr>
        <w:t>ation of the architectural design vision and the state-of-the-art workplace environment Google has in mind. Proactive stakeholder engagement and communication management will also be a necessity in manoeuvring the complicated regulatory environment while addressing third-party concerns. Lastly, the company should employ its institutional program management competencies to ensure that all risk management components are consolidated under a central</w:t>
      </w:r>
      <w:r w:rsidR="00D45AEA" w:rsidRPr="00D50C59">
        <w:rPr>
          <w:rFonts w:ascii="Arial" w:hAnsi="Arial" w:cs="Arial"/>
          <w:sz w:val="22"/>
        </w:rPr>
        <w:t>is</w:t>
      </w:r>
      <w:r w:rsidR="0066794F" w:rsidRPr="00D50C59">
        <w:rPr>
          <w:rFonts w:ascii="Arial" w:hAnsi="Arial" w:cs="Arial"/>
          <w:sz w:val="22"/>
        </w:rPr>
        <w:t xml:space="preserve">ed oversight model. Dedicated risk analytics, monitoring </w:t>
      </w:r>
      <w:r w:rsidR="001154A7" w:rsidRPr="00D50C59">
        <w:rPr>
          <w:rFonts w:ascii="Arial" w:hAnsi="Arial" w:cs="Arial"/>
          <w:sz w:val="22"/>
        </w:rPr>
        <w:t>processes</w:t>
      </w:r>
      <w:r w:rsidR="0066794F" w:rsidRPr="00D50C59">
        <w:rPr>
          <w:rFonts w:ascii="Arial" w:hAnsi="Arial" w:cs="Arial"/>
          <w:sz w:val="22"/>
        </w:rPr>
        <w:t xml:space="preserve">, and the codification of mitigation and contingency plans can enhance adaption and resilience during the execution process. Having a strict adherence to its all-encompassing project plan, Google owns the means and the knowledge to create a world-class international landmark, which will mark the beginning of </w:t>
      </w:r>
      <w:r w:rsidR="001154A7" w:rsidRPr="00D50C59">
        <w:rPr>
          <w:rFonts w:ascii="Arial" w:hAnsi="Arial" w:cs="Arial"/>
          <w:sz w:val="22"/>
        </w:rPr>
        <w:t>a</w:t>
      </w:r>
      <w:r w:rsidR="0066794F" w:rsidRPr="00D50C59">
        <w:rPr>
          <w:rFonts w:ascii="Arial" w:hAnsi="Arial" w:cs="Arial"/>
          <w:sz w:val="22"/>
        </w:rPr>
        <w:t xml:space="preserve"> new era in the company's European presence. Consistent leadership accountability will be a key factor in ensuring the program's strategic promise is achieved.</w:t>
      </w:r>
    </w:p>
    <w:p w14:paraId="7DFD91C4" w14:textId="77777777" w:rsidR="00656978" w:rsidRPr="00D50C59" w:rsidRDefault="00656978" w:rsidP="00D50C59">
      <w:pPr>
        <w:spacing w:line="360" w:lineRule="auto"/>
        <w:rPr>
          <w:rFonts w:ascii="Arial" w:hAnsi="Arial" w:cs="Arial"/>
          <w:sz w:val="22"/>
        </w:rPr>
      </w:pPr>
      <w:r w:rsidRPr="00D50C59">
        <w:rPr>
          <w:rFonts w:ascii="Arial" w:hAnsi="Arial" w:cs="Arial"/>
          <w:sz w:val="22"/>
        </w:rPr>
        <w:br w:type="page"/>
      </w:r>
    </w:p>
    <w:p w14:paraId="438F5A6F" w14:textId="12FFDE92" w:rsidR="000846CC" w:rsidRPr="000846CC" w:rsidRDefault="000846CC" w:rsidP="000846CC">
      <w:pPr>
        <w:pStyle w:val="Heading1"/>
        <w:rPr>
          <w:rFonts w:eastAsia="Times New Roman"/>
          <w:lang w:eastAsia="en-GB"/>
        </w:rPr>
      </w:pPr>
      <w:bookmarkStart w:id="0" w:name="_Toc163124567"/>
      <w:r w:rsidRPr="000846CC">
        <w:rPr>
          <w:rFonts w:eastAsia="Times New Roman"/>
          <w:lang w:eastAsia="en-GB"/>
        </w:rPr>
        <w:lastRenderedPageBreak/>
        <w:t>Reference</w:t>
      </w:r>
      <w:r>
        <w:rPr>
          <w:rFonts w:eastAsia="Times New Roman"/>
          <w:lang w:eastAsia="en-GB"/>
        </w:rPr>
        <w:t>s</w:t>
      </w:r>
      <w:bookmarkEnd w:id="0"/>
    </w:p>
    <w:p w14:paraId="6059DB1D" w14:textId="77777777" w:rsidR="000846CC" w:rsidRPr="001F5C02" w:rsidRDefault="000846CC" w:rsidP="001F5C02">
      <w:pPr>
        <w:spacing w:before="100" w:beforeAutospacing="1" w:after="100" w:afterAutospacing="1" w:line="360" w:lineRule="auto"/>
        <w:jc w:val="both"/>
        <w:rPr>
          <w:rFonts w:eastAsia="Times New Roman" w:cs="Times New Roman"/>
          <w:szCs w:val="24"/>
          <w:lang w:eastAsia="en-GB"/>
        </w:rPr>
      </w:pPr>
      <w:r w:rsidRPr="001F5C02">
        <w:rPr>
          <w:rFonts w:eastAsia="Times New Roman" w:cs="Times New Roman"/>
          <w:szCs w:val="24"/>
          <w:lang w:eastAsia="en-GB"/>
        </w:rPr>
        <w:t>Araz, O. M. </w:t>
      </w:r>
      <w:r w:rsidRPr="001F5C02">
        <w:rPr>
          <w:rFonts w:eastAsia="Times New Roman" w:cs="Times New Roman"/>
          <w:i/>
          <w:iCs/>
          <w:szCs w:val="24"/>
          <w:lang w:eastAsia="en-GB"/>
        </w:rPr>
        <w:t>et al.</w:t>
      </w:r>
      <w:r w:rsidRPr="001F5C02">
        <w:rPr>
          <w:rFonts w:eastAsia="Times New Roman" w:cs="Times New Roman"/>
          <w:szCs w:val="24"/>
          <w:lang w:eastAsia="en-GB"/>
        </w:rPr>
        <w:t> (2020) “Role of analytics for operational risk management in the era of big data,” </w:t>
      </w:r>
      <w:r w:rsidRPr="001F5C02">
        <w:rPr>
          <w:rFonts w:eastAsia="Times New Roman" w:cs="Times New Roman"/>
          <w:i/>
          <w:iCs/>
          <w:szCs w:val="24"/>
          <w:lang w:eastAsia="en-GB"/>
        </w:rPr>
        <w:t>Decision sciences</w:t>
      </w:r>
      <w:r w:rsidRPr="001F5C02">
        <w:rPr>
          <w:rFonts w:eastAsia="Times New Roman" w:cs="Times New Roman"/>
          <w:szCs w:val="24"/>
          <w:lang w:eastAsia="en-GB"/>
        </w:rPr>
        <w:t xml:space="preserve">, 51(6), pp. 1320–1346. </w:t>
      </w:r>
      <w:proofErr w:type="spellStart"/>
      <w:r w:rsidRPr="001F5C02">
        <w:rPr>
          <w:rFonts w:eastAsia="Times New Roman" w:cs="Times New Roman"/>
          <w:szCs w:val="24"/>
          <w:lang w:eastAsia="en-GB"/>
        </w:rPr>
        <w:t>doi</w:t>
      </w:r>
      <w:proofErr w:type="spellEnd"/>
      <w:r w:rsidRPr="001F5C02">
        <w:rPr>
          <w:rFonts w:eastAsia="Times New Roman" w:cs="Times New Roman"/>
          <w:szCs w:val="24"/>
          <w:lang w:eastAsia="en-GB"/>
        </w:rPr>
        <w:t>: 10.1111/deci.12451.</w:t>
      </w:r>
    </w:p>
    <w:p w14:paraId="7237C724" w14:textId="77777777" w:rsidR="000846CC" w:rsidRPr="001F5C02" w:rsidRDefault="000846CC" w:rsidP="001F5C02">
      <w:pPr>
        <w:spacing w:before="100" w:beforeAutospacing="1" w:after="100" w:afterAutospacing="1" w:line="360" w:lineRule="auto"/>
        <w:jc w:val="both"/>
        <w:rPr>
          <w:rFonts w:eastAsia="Times New Roman" w:cs="Times New Roman"/>
          <w:szCs w:val="24"/>
          <w:lang w:eastAsia="en-GB"/>
        </w:rPr>
      </w:pPr>
      <w:r w:rsidRPr="001F5C02">
        <w:rPr>
          <w:rFonts w:eastAsia="Times New Roman" w:cs="Times New Roman"/>
          <w:szCs w:val="24"/>
          <w:lang w:eastAsia="en-GB"/>
        </w:rPr>
        <w:t>Baharom, T.-M. A. A. and Abdullah, A. S. (2023) “Analytical method and approach on early warning indicators for Enterprise Capital Project Management,” in </w:t>
      </w:r>
      <w:r w:rsidRPr="001F5C02">
        <w:rPr>
          <w:rFonts w:eastAsia="Times New Roman" w:cs="Times New Roman"/>
          <w:i/>
          <w:iCs/>
          <w:szCs w:val="24"/>
          <w:lang w:eastAsia="en-GB"/>
        </w:rPr>
        <w:t>Day 3 Wed, October 04, 2023</w:t>
      </w:r>
      <w:r w:rsidRPr="001F5C02">
        <w:rPr>
          <w:rFonts w:eastAsia="Times New Roman" w:cs="Times New Roman"/>
          <w:szCs w:val="24"/>
          <w:lang w:eastAsia="en-GB"/>
        </w:rPr>
        <w:t>. SPE.</w:t>
      </w:r>
    </w:p>
    <w:p w14:paraId="60DFA796" w14:textId="77777777" w:rsidR="000846CC" w:rsidRPr="001F5C02" w:rsidRDefault="000846CC" w:rsidP="001F5C02">
      <w:pPr>
        <w:spacing w:before="100" w:beforeAutospacing="1" w:after="100" w:afterAutospacing="1" w:line="360" w:lineRule="auto"/>
        <w:jc w:val="both"/>
        <w:rPr>
          <w:rFonts w:eastAsia="Times New Roman" w:cs="Times New Roman"/>
          <w:szCs w:val="24"/>
          <w:lang w:eastAsia="en-GB"/>
        </w:rPr>
      </w:pPr>
      <w:proofErr w:type="spellStart"/>
      <w:r w:rsidRPr="001F5C02">
        <w:rPr>
          <w:rFonts w:eastAsia="Times New Roman" w:cs="Times New Roman"/>
          <w:szCs w:val="24"/>
          <w:lang w:eastAsia="en-GB"/>
        </w:rPr>
        <w:t>Bicquelet</w:t>
      </w:r>
      <w:proofErr w:type="spellEnd"/>
      <w:r w:rsidRPr="001F5C02">
        <w:rPr>
          <w:rFonts w:eastAsia="Times New Roman" w:cs="Times New Roman"/>
          <w:szCs w:val="24"/>
          <w:lang w:eastAsia="en-GB"/>
        </w:rPr>
        <w:t>-Lock, A. (2024) “The future of the planning profession revisited,” </w:t>
      </w:r>
      <w:r w:rsidRPr="001F5C02">
        <w:rPr>
          <w:rFonts w:eastAsia="Times New Roman" w:cs="Times New Roman"/>
          <w:i/>
          <w:iCs/>
          <w:szCs w:val="24"/>
          <w:lang w:eastAsia="en-GB"/>
        </w:rPr>
        <w:t>Planning practice and research</w:t>
      </w:r>
      <w:r w:rsidRPr="001F5C02">
        <w:rPr>
          <w:rFonts w:eastAsia="Times New Roman" w:cs="Times New Roman"/>
          <w:szCs w:val="24"/>
          <w:lang w:eastAsia="en-GB"/>
        </w:rPr>
        <w:t xml:space="preserve">, 39(2), pp. 363–367. </w:t>
      </w:r>
      <w:proofErr w:type="spellStart"/>
      <w:r w:rsidRPr="001F5C02">
        <w:rPr>
          <w:rFonts w:eastAsia="Times New Roman" w:cs="Times New Roman"/>
          <w:szCs w:val="24"/>
          <w:lang w:eastAsia="en-GB"/>
        </w:rPr>
        <w:t>doi</w:t>
      </w:r>
      <w:proofErr w:type="spellEnd"/>
      <w:r w:rsidRPr="001F5C02">
        <w:rPr>
          <w:rFonts w:eastAsia="Times New Roman" w:cs="Times New Roman"/>
          <w:szCs w:val="24"/>
          <w:lang w:eastAsia="en-GB"/>
        </w:rPr>
        <w:t>: 10.1080/02697459.2024.2317086.</w:t>
      </w:r>
    </w:p>
    <w:p w14:paraId="7F2D1AE7" w14:textId="77777777" w:rsidR="000846CC" w:rsidRPr="001F5C02" w:rsidRDefault="000846CC" w:rsidP="001F5C02">
      <w:pPr>
        <w:spacing w:before="100" w:beforeAutospacing="1" w:after="100" w:afterAutospacing="1" w:line="360" w:lineRule="auto"/>
        <w:jc w:val="both"/>
        <w:rPr>
          <w:rFonts w:eastAsia="Times New Roman" w:cs="Times New Roman"/>
          <w:szCs w:val="24"/>
          <w:lang w:eastAsia="en-GB"/>
        </w:rPr>
      </w:pPr>
      <w:proofErr w:type="spellStart"/>
      <w:r w:rsidRPr="001F5C02">
        <w:rPr>
          <w:rFonts w:eastAsia="Times New Roman" w:cs="Times New Roman"/>
          <w:szCs w:val="24"/>
          <w:lang w:eastAsia="en-GB"/>
        </w:rPr>
        <w:t>Darendeli</w:t>
      </w:r>
      <w:proofErr w:type="spellEnd"/>
      <w:r w:rsidRPr="001F5C02">
        <w:rPr>
          <w:rFonts w:eastAsia="Times New Roman" w:cs="Times New Roman"/>
          <w:szCs w:val="24"/>
          <w:lang w:eastAsia="en-GB"/>
        </w:rPr>
        <w:t>, A. </w:t>
      </w:r>
      <w:r w:rsidRPr="001F5C02">
        <w:rPr>
          <w:rFonts w:eastAsia="Times New Roman" w:cs="Times New Roman"/>
          <w:i/>
          <w:iCs/>
          <w:szCs w:val="24"/>
          <w:lang w:eastAsia="en-GB"/>
        </w:rPr>
        <w:t>et al.</w:t>
      </w:r>
      <w:r w:rsidRPr="001F5C02">
        <w:rPr>
          <w:rFonts w:eastAsia="Times New Roman" w:cs="Times New Roman"/>
          <w:szCs w:val="24"/>
          <w:lang w:eastAsia="en-GB"/>
        </w:rPr>
        <w:t> (2022) “The role of corporate social responsibility (CSR) information in supply-chain contracting: Evidence from the expansion of CSR rating coverage,” </w:t>
      </w:r>
      <w:r w:rsidRPr="001F5C02">
        <w:rPr>
          <w:rFonts w:eastAsia="Times New Roman" w:cs="Times New Roman"/>
          <w:i/>
          <w:iCs/>
          <w:szCs w:val="24"/>
          <w:lang w:eastAsia="en-GB"/>
        </w:rPr>
        <w:t>Journal of accounting and economics</w:t>
      </w:r>
      <w:r w:rsidRPr="001F5C02">
        <w:rPr>
          <w:rFonts w:eastAsia="Times New Roman" w:cs="Times New Roman"/>
          <w:szCs w:val="24"/>
          <w:lang w:eastAsia="en-GB"/>
        </w:rPr>
        <w:t xml:space="preserve">, 74(2–3), p. 101525. </w:t>
      </w:r>
      <w:proofErr w:type="spellStart"/>
      <w:r w:rsidRPr="001F5C02">
        <w:rPr>
          <w:rFonts w:eastAsia="Times New Roman" w:cs="Times New Roman"/>
          <w:szCs w:val="24"/>
          <w:lang w:eastAsia="en-GB"/>
        </w:rPr>
        <w:t>doi</w:t>
      </w:r>
      <w:proofErr w:type="spellEnd"/>
      <w:r w:rsidRPr="001F5C02">
        <w:rPr>
          <w:rFonts w:eastAsia="Times New Roman" w:cs="Times New Roman"/>
          <w:szCs w:val="24"/>
          <w:lang w:eastAsia="en-GB"/>
        </w:rPr>
        <w:t>: 10.1016/j.jacceco.2022.101525.</w:t>
      </w:r>
    </w:p>
    <w:p w14:paraId="006E01F7" w14:textId="6188F5C1" w:rsidR="000846CC" w:rsidRPr="001F5C02" w:rsidRDefault="000846CC" w:rsidP="001F5C02">
      <w:pPr>
        <w:spacing w:before="100" w:beforeAutospacing="1" w:after="100" w:afterAutospacing="1" w:line="360" w:lineRule="auto"/>
        <w:jc w:val="both"/>
        <w:rPr>
          <w:rFonts w:eastAsia="Times New Roman" w:cs="Times New Roman"/>
          <w:szCs w:val="24"/>
          <w:lang w:eastAsia="en-GB"/>
        </w:rPr>
      </w:pPr>
      <w:r w:rsidRPr="001F5C02">
        <w:rPr>
          <w:rFonts w:eastAsia="Times New Roman" w:cs="Times New Roman"/>
          <w:szCs w:val="24"/>
          <w:lang w:eastAsia="en-GB"/>
        </w:rPr>
        <w:t>Deng, C. </w:t>
      </w:r>
      <w:r w:rsidRPr="001F5C02">
        <w:rPr>
          <w:rFonts w:eastAsia="Times New Roman" w:cs="Times New Roman"/>
          <w:i/>
          <w:iCs/>
          <w:szCs w:val="24"/>
          <w:lang w:eastAsia="en-GB"/>
        </w:rPr>
        <w:t>et al.</w:t>
      </w:r>
      <w:r w:rsidRPr="001F5C02">
        <w:rPr>
          <w:rFonts w:eastAsia="Times New Roman" w:cs="Times New Roman"/>
          <w:szCs w:val="24"/>
          <w:lang w:eastAsia="en-GB"/>
        </w:rPr>
        <w:t> (2021) “Spatiotemporal dislocation of urban</w:t>
      </w:r>
      <w:r w:rsidR="00D45AEA">
        <w:rPr>
          <w:rFonts w:eastAsia="Times New Roman" w:cs="Times New Roman"/>
          <w:szCs w:val="24"/>
          <w:lang w:eastAsia="en-GB"/>
        </w:rPr>
        <w:t>is</w:t>
      </w:r>
      <w:r w:rsidRPr="001F5C02">
        <w:rPr>
          <w:rFonts w:eastAsia="Times New Roman" w:cs="Times New Roman"/>
          <w:szCs w:val="24"/>
          <w:lang w:eastAsia="en-GB"/>
        </w:rPr>
        <w:t>ation and ecological construction increased the ecosystem service supply and demand imbalance,” </w:t>
      </w:r>
      <w:r w:rsidRPr="001F5C02">
        <w:rPr>
          <w:rFonts w:eastAsia="Times New Roman" w:cs="Times New Roman"/>
          <w:i/>
          <w:iCs/>
          <w:szCs w:val="24"/>
          <w:lang w:eastAsia="en-GB"/>
        </w:rPr>
        <w:t>Journal of environmental management</w:t>
      </w:r>
      <w:r w:rsidRPr="001F5C02">
        <w:rPr>
          <w:rFonts w:eastAsia="Times New Roman" w:cs="Times New Roman"/>
          <w:szCs w:val="24"/>
          <w:lang w:eastAsia="en-GB"/>
        </w:rPr>
        <w:t xml:space="preserve">, 288(112478), p. 112478. </w:t>
      </w:r>
      <w:proofErr w:type="spellStart"/>
      <w:r w:rsidRPr="001F5C02">
        <w:rPr>
          <w:rFonts w:eastAsia="Times New Roman" w:cs="Times New Roman"/>
          <w:szCs w:val="24"/>
          <w:lang w:eastAsia="en-GB"/>
        </w:rPr>
        <w:t>doi</w:t>
      </w:r>
      <w:proofErr w:type="spellEnd"/>
      <w:r w:rsidRPr="001F5C02">
        <w:rPr>
          <w:rFonts w:eastAsia="Times New Roman" w:cs="Times New Roman"/>
          <w:szCs w:val="24"/>
          <w:lang w:eastAsia="en-GB"/>
        </w:rPr>
        <w:t>: 10.1016/j.jenvman.2021.112478.</w:t>
      </w:r>
    </w:p>
    <w:p w14:paraId="174DFF87" w14:textId="77777777" w:rsidR="000846CC" w:rsidRPr="001F5C02" w:rsidRDefault="000846CC" w:rsidP="001F5C02">
      <w:pPr>
        <w:spacing w:before="100" w:beforeAutospacing="1" w:after="100" w:afterAutospacing="1" w:line="360" w:lineRule="auto"/>
        <w:jc w:val="both"/>
        <w:rPr>
          <w:rFonts w:eastAsia="Times New Roman" w:cs="Times New Roman"/>
          <w:szCs w:val="24"/>
          <w:lang w:eastAsia="en-GB"/>
        </w:rPr>
      </w:pPr>
      <w:r w:rsidRPr="001F5C02">
        <w:rPr>
          <w:rFonts w:eastAsia="Times New Roman" w:cs="Times New Roman"/>
          <w:szCs w:val="24"/>
          <w:lang w:eastAsia="en-GB"/>
        </w:rPr>
        <w:t>Dimitropoulos, P. </w:t>
      </w:r>
      <w:r w:rsidRPr="001F5C02">
        <w:rPr>
          <w:rFonts w:eastAsia="Times New Roman" w:cs="Times New Roman"/>
          <w:i/>
          <w:iCs/>
          <w:szCs w:val="24"/>
          <w:lang w:eastAsia="en-GB"/>
        </w:rPr>
        <w:t>et al.</w:t>
      </w:r>
      <w:r w:rsidRPr="001F5C02">
        <w:rPr>
          <w:rFonts w:eastAsia="Times New Roman" w:cs="Times New Roman"/>
          <w:szCs w:val="24"/>
          <w:lang w:eastAsia="en-GB"/>
        </w:rPr>
        <w:t> (2019) “Cash holdings, corporate performance and viability of Greek SMEs: Implications for stakeholder relationship management,” </w:t>
      </w:r>
      <w:proofErr w:type="spellStart"/>
      <w:r w:rsidRPr="001F5C02">
        <w:rPr>
          <w:rFonts w:eastAsia="Times New Roman" w:cs="Times New Roman"/>
          <w:i/>
          <w:iCs/>
          <w:szCs w:val="24"/>
          <w:lang w:eastAsia="en-GB"/>
        </w:rPr>
        <w:t>EuroMed</w:t>
      </w:r>
      <w:proofErr w:type="spellEnd"/>
      <w:r w:rsidRPr="001F5C02">
        <w:rPr>
          <w:rFonts w:eastAsia="Times New Roman" w:cs="Times New Roman"/>
          <w:i/>
          <w:iCs/>
          <w:szCs w:val="24"/>
          <w:lang w:eastAsia="en-GB"/>
        </w:rPr>
        <w:t xml:space="preserve"> journal of business</w:t>
      </w:r>
      <w:r w:rsidRPr="001F5C02">
        <w:rPr>
          <w:rFonts w:eastAsia="Times New Roman" w:cs="Times New Roman"/>
          <w:szCs w:val="24"/>
          <w:lang w:eastAsia="en-GB"/>
        </w:rPr>
        <w:t xml:space="preserve">, 15(3), pp. 333–348. </w:t>
      </w:r>
      <w:proofErr w:type="spellStart"/>
      <w:r w:rsidRPr="001F5C02">
        <w:rPr>
          <w:rFonts w:eastAsia="Times New Roman" w:cs="Times New Roman"/>
          <w:szCs w:val="24"/>
          <w:lang w:eastAsia="en-GB"/>
        </w:rPr>
        <w:t>doi</w:t>
      </w:r>
      <w:proofErr w:type="spellEnd"/>
      <w:r w:rsidRPr="001F5C02">
        <w:rPr>
          <w:rFonts w:eastAsia="Times New Roman" w:cs="Times New Roman"/>
          <w:szCs w:val="24"/>
          <w:lang w:eastAsia="en-GB"/>
        </w:rPr>
        <w:t>: 10.1108/emjb-08-2019-0104.</w:t>
      </w:r>
    </w:p>
    <w:p w14:paraId="2650AA9F" w14:textId="77777777" w:rsidR="000846CC" w:rsidRPr="001F5C02" w:rsidRDefault="000846CC" w:rsidP="001F5C02">
      <w:pPr>
        <w:spacing w:before="100" w:beforeAutospacing="1" w:after="100" w:afterAutospacing="1" w:line="360" w:lineRule="auto"/>
        <w:jc w:val="both"/>
        <w:rPr>
          <w:rFonts w:eastAsia="Times New Roman" w:cs="Times New Roman"/>
          <w:szCs w:val="24"/>
          <w:lang w:eastAsia="en-GB"/>
        </w:rPr>
      </w:pPr>
      <w:r w:rsidRPr="001F5C02">
        <w:rPr>
          <w:rFonts w:eastAsia="Times New Roman" w:cs="Times New Roman"/>
          <w:szCs w:val="24"/>
          <w:lang w:eastAsia="en-GB"/>
        </w:rPr>
        <w:t>Evans, A. M. </w:t>
      </w:r>
      <w:r w:rsidRPr="001F5C02">
        <w:rPr>
          <w:rFonts w:eastAsia="Times New Roman" w:cs="Times New Roman"/>
          <w:i/>
          <w:iCs/>
          <w:szCs w:val="24"/>
          <w:lang w:eastAsia="en-GB"/>
        </w:rPr>
        <w:t>et al.</w:t>
      </w:r>
      <w:r w:rsidRPr="001F5C02">
        <w:rPr>
          <w:rFonts w:eastAsia="Times New Roman" w:cs="Times New Roman"/>
          <w:szCs w:val="24"/>
          <w:lang w:eastAsia="en-GB"/>
        </w:rPr>
        <w:t> (2020) “Dissemination and analysis of the quality assurance (QA) and quality control (QC) practices of LC–MS based untargeted metabolomics practitioners,” </w:t>
      </w:r>
      <w:r w:rsidRPr="001F5C02">
        <w:rPr>
          <w:rFonts w:eastAsia="Times New Roman" w:cs="Times New Roman"/>
          <w:i/>
          <w:iCs/>
          <w:szCs w:val="24"/>
          <w:lang w:eastAsia="en-GB"/>
        </w:rPr>
        <w:t>Metabolomics: Official journal of the Metabolomic Society</w:t>
      </w:r>
      <w:r w:rsidRPr="001F5C02">
        <w:rPr>
          <w:rFonts w:eastAsia="Times New Roman" w:cs="Times New Roman"/>
          <w:szCs w:val="24"/>
          <w:lang w:eastAsia="en-GB"/>
        </w:rPr>
        <w:t xml:space="preserve">, 16(10). </w:t>
      </w:r>
      <w:proofErr w:type="spellStart"/>
      <w:r w:rsidRPr="001F5C02">
        <w:rPr>
          <w:rFonts w:eastAsia="Times New Roman" w:cs="Times New Roman"/>
          <w:szCs w:val="24"/>
          <w:lang w:eastAsia="en-GB"/>
        </w:rPr>
        <w:t>doi</w:t>
      </w:r>
      <w:proofErr w:type="spellEnd"/>
      <w:r w:rsidRPr="001F5C02">
        <w:rPr>
          <w:rFonts w:eastAsia="Times New Roman" w:cs="Times New Roman"/>
          <w:szCs w:val="24"/>
          <w:lang w:eastAsia="en-GB"/>
        </w:rPr>
        <w:t>: 10.1007/s11306-020-01728-5.</w:t>
      </w:r>
    </w:p>
    <w:p w14:paraId="7FAE6D29" w14:textId="77777777" w:rsidR="000846CC" w:rsidRPr="001F5C02" w:rsidRDefault="000846CC" w:rsidP="001F5C02">
      <w:pPr>
        <w:spacing w:before="100" w:beforeAutospacing="1" w:after="100" w:afterAutospacing="1" w:line="360" w:lineRule="auto"/>
        <w:jc w:val="both"/>
        <w:rPr>
          <w:rFonts w:eastAsia="Times New Roman" w:cs="Times New Roman"/>
          <w:szCs w:val="24"/>
          <w:lang w:eastAsia="en-GB"/>
        </w:rPr>
      </w:pPr>
      <w:r w:rsidRPr="001F5C02">
        <w:rPr>
          <w:rFonts w:eastAsia="Times New Roman" w:cs="Times New Roman"/>
          <w:szCs w:val="24"/>
          <w:lang w:eastAsia="en-GB"/>
        </w:rPr>
        <w:t>Fan, M. and Sharma, A. (2021) “Design and implementation of construction cost prediction model based on SVM and LSSVM in industries 4.0,” </w:t>
      </w:r>
      <w:r w:rsidRPr="001F5C02">
        <w:rPr>
          <w:rFonts w:eastAsia="Times New Roman" w:cs="Times New Roman"/>
          <w:i/>
          <w:iCs/>
          <w:szCs w:val="24"/>
          <w:lang w:eastAsia="en-GB"/>
        </w:rPr>
        <w:t>International journal of intelligent computing and cybernetics</w:t>
      </w:r>
      <w:r w:rsidRPr="001F5C02">
        <w:rPr>
          <w:rFonts w:eastAsia="Times New Roman" w:cs="Times New Roman"/>
          <w:szCs w:val="24"/>
          <w:lang w:eastAsia="en-GB"/>
        </w:rPr>
        <w:t xml:space="preserve">, 14(2), pp. 145–157. </w:t>
      </w:r>
      <w:proofErr w:type="spellStart"/>
      <w:r w:rsidRPr="001F5C02">
        <w:rPr>
          <w:rFonts w:eastAsia="Times New Roman" w:cs="Times New Roman"/>
          <w:szCs w:val="24"/>
          <w:lang w:eastAsia="en-GB"/>
        </w:rPr>
        <w:t>doi</w:t>
      </w:r>
      <w:proofErr w:type="spellEnd"/>
      <w:r w:rsidRPr="001F5C02">
        <w:rPr>
          <w:rFonts w:eastAsia="Times New Roman" w:cs="Times New Roman"/>
          <w:szCs w:val="24"/>
          <w:lang w:eastAsia="en-GB"/>
        </w:rPr>
        <w:t>: 10.1108/ijicc-10-2020-0142.</w:t>
      </w:r>
    </w:p>
    <w:p w14:paraId="619ECCD2" w14:textId="77777777" w:rsidR="000846CC" w:rsidRPr="001F5C02" w:rsidRDefault="000846CC" w:rsidP="001F5C02">
      <w:pPr>
        <w:spacing w:before="100" w:beforeAutospacing="1" w:after="100" w:afterAutospacing="1" w:line="360" w:lineRule="auto"/>
        <w:jc w:val="both"/>
        <w:rPr>
          <w:rFonts w:eastAsia="Times New Roman" w:cs="Times New Roman"/>
          <w:szCs w:val="24"/>
          <w:lang w:eastAsia="en-GB"/>
        </w:rPr>
      </w:pPr>
      <w:proofErr w:type="spellStart"/>
      <w:r w:rsidRPr="001F5C02">
        <w:rPr>
          <w:rFonts w:eastAsia="Times New Roman" w:cs="Times New Roman"/>
          <w:szCs w:val="24"/>
          <w:lang w:eastAsia="en-GB"/>
        </w:rPr>
        <w:t>Gillespies</w:t>
      </w:r>
      <w:proofErr w:type="spellEnd"/>
      <w:r w:rsidRPr="001F5C02">
        <w:rPr>
          <w:rFonts w:eastAsia="Times New Roman" w:cs="Times New Roman"/>
          <w:szCs w:val="24"/>
          <w:lang w:eastAsia="en-GB"/>
        </w:rPr>
        <w:t xml:space="preserve"> (2024) </w:t>
      </w:r>
      <w:r w:rsidRPr="001F5C02">
        <w:rPr>
          <w:rFonts w:eastAsia="Times New Roman" w:cs="Times New Roman"/>
          <w:i/>
          <w:iCs/>
          <w:szCs w:val="24"/>
          <w:lang w:eastAsia="en-GB"/>
        </w:rPr>
        <w:t>Google headquarters</w:t>
      </w:r>
      <w:r w:rsidRPr="001F5C02">
        <w:rPr>
          <w:rFonts w:eastAsia="Times New Roman" w:cs="Times New Roman"/>
          <w:szCs w:val="24"/>
          <w:lang w:eastAsia="en-GB"/>
        </w:rPr>
        <w:t>, </w:t>
      </w:r>
      <w:proofErr w:type="spellStart"/>
      <w:r w:rsidRPr="001F5C02">
        <w:rPr>
          <w:rFonts w:eastAsia="Times New Roman" w:cs="Times New Roman"/>
          <w:i/>
          <w:iCs/>
          <w:szCs w:val="24"/>
          <w:lang w:eastAsia="en-GB"/>
        </w:rPr>
        <w:t>Gillespies</w:t>
      </w:r>
      <w:proofErr w:type="spellEnd"/>
      <w:r w:rsidRPr="001F5C02">
        <w:rPr>
          <w:rFonts w:eastAsia="Times New Roman" w:cs="Times New Roman"/>
          <w:szCs w:val="24"/>
          <w:lang w:eastAsia="en-GB"/>
        </w:rPr>
        <w:t>. Available at: https://www.gillespies.co.uk/projects/google-headquarters (Accessed: March 30, 2024).</w:t>
      </w:r>
    </w:p>
    <w:p w14:paraId="24246D61" w14:textId="77777777" w:rsidR="000846CC" w:rsidRPr="001F5C02" w:rsidRDefault="000846CC" w:rsidP="001F5C02">
      <w:pPr>
        <w:spacing w:before="100" w:beforeAutospacing="1" w:after="100" w:afterAutospacing="1" w:line="360" w:lineRule="auto"/>
        <w:jc w:val="both"/>
        <w:rPr>
          <w:rFonts w:eastAsia="Times New Roman" w:cs="Times New Roman"/>
          <w:szCs w:val="24"/>
          <w:lang w:eastAsia="en-GB"/>
        </w:rPr>
      </w:pPr>
      <w:r w:rsidRPr="001F5C02">
        <w:rPr>
          <w:rFonts w:eastAsia="Times New Roman" w:cs="Times New Roman"/>
          <w:szCs w:val="24"/>
          <w:lang w:eastAsia="en-GB"/>
        </w:rPr>
        <w:lastRenderedPageBreak/>
        <w:t>Giordano, R. </w:t>
      </w:r>
      <w:r w:rsidRPr="001F5C02">
        <w:rPr>
          <w:rFonts w:eastAsia="Times New Roman" w:cs="Times New Roman"/>
          <w:i/>
          <w:iCs/>
          <w:szCs w:val="24"/>
          <w:lang w:eastAsia="en-GB"/>
        </w:rPr>
        <w:t>et al.</w:t>
      </w:r>
      <w:r w:rsidRPr="001F5C02">
        <w:rPr>
          <w:rFonts w:eastAsia="Times New Roman" w:cs="Times New Roman"/>
          <w:szCs w:val="24"/>
          <w:lang w:eastAsia="en-GB"/>
        </w:rPr>
        <w:t> (2020) “Enhancing nature-based solutions acceptance through stakeholders’ engagement in co-benefits identification and trade-offs analysis,” </w:t>
      </w:r>
      <w:r w:rsidRPr="001F5C02">
        <w:rPr>
          <w:rFonts w:eastAsia="Times New Roman" w:cs="Times New Roman"/>
          <w:i/>
          <w:iCs/>
          <w:szCs w:val="24"/>
          <w:lang w:eastAsia="en-GB"/>
        </w:rPr>
        <w:t>The Science of the total environment</w:t>
      </w:r>
      <w:r w:rsidRPr="001F5C02">
        <w:rPr>
          <w:rFonts w:eastAsia="Times New Roman" w:cs="Times New Roman"/>
          <w:szCs w:val="24"/>
          <w:lang w:eastAsia="en-GB"/>
        </w:rPr>
        <w:t xml:space="preserve">, 713(136552), p. 136552. </w:t>
      </w:r>
      <w:proofErr w:type="spellStart"/>
      <w:r w:rsidRPr="001F5C02">
        <w:rPr>
          <w:rFonts w:eastAsia="Times New Roman" w:cs="Times New Roman"/>
          <w:szCs w:val="24"/>
          <w:lang w:eastAsia="en-GB"/>
        </w:rPr>
        <w:t>doi</w:t>
      </w:r>
      <w:proofErr w:type="spellEnd"/>
      <w:r w:rsidRPr="001F5C02">
        <w:rPr>
          <w:rFonts w:eastAsia="Times New Roman" w:cs="Times New Roman"/>
          <w:szCs w:val="24"/>
          <w:lang w:eastAsia="en-GB"/>
        </w:rPr>
        <w:t>: 10.1016/j.scitotenv.2020.136552.</w:t>
      </w:r>
    </w:p>
    <w:p w14:paraId="2484FAF5" w14:textId="77777777" w:rsidR="000846CC" w:rsidRPr="001F5C02" w:rsidRDefault="000846CC" w:rsidP="001F5C02">
      <w:pPr>
        <w:spacing w:before="100" w:beforeAutospacing="1" w:after="100" w:afterAutospacing="1" w:line="360" w:lineRule="auto"/>
        <w:jc w:val="both"/>
        <w:rPr>
          <w:rFonts w:eastAsia="Times New Roman" w:cs="Times New Roman"/>
          <w:szCs w:val="24"/>
          <w:lang w:eastAsia="en-GB"/>
        </w:rPr>
      </w:pPr>
      <w:r w:rsidRPr="001F5C02">
        <w:rPr>
          <w:rFonts w:eastAsia="Times New Roman" w:cs="Times New Roman"/>
          <w:szCs w:val="24"/>
          <w:lang w:eastAsia="en-GB"/>
        </w:rPr>
        <w:t>Ingason, H. T. and Eskerod, P. (2024) “Using simulations in project management education – impact on awareness and ability to navigate projects in a sustainable way,” </w:t>
      </w:r>
      <w:r w:rsidRPr="001F5C02">
        <w:rPr>
          <w:rFonts w:eastAsia="Times New Roman" w:cs="Times New Roman"/>
          <w:i/>
          <w:iCs/>
          <w:szCs w:val="24"/>
          <w:lang w:eastAsia="en-GB"/>
        </w:rPr>
        <w:t>International journal of managing projects in business</w:t>
      </w:r>
      <w:r w:rsidRPr="001F5C02">
        <w:rPr>
          <w:rFonts w:eastAsia="Times New Roman" w:cs="Times New Roman"/>
          <w:szCs w:val="24"/>
          <w:lang w:eastAsia="en-GB"/>
        </w:rPr>
        <w:t xml:space="preserve">. </w:t>
      </w:r>
      <w:proofErr w:type="spellStart"/>
      <w:r w:rsidRPr="001F5C02">
        <w:rPr>
          <w:rFonts w:eastAsia="Times New Roman" w:cs="Times New Roman"/>
          <w:szCs w:val="24"/>
          <w:lang w:eastAsia="en-GB"/>
        </w:rPr>
        <w:t>doi</w:t>
      </w:r>
      <w:proofErr w:type="spellEnd"/>
      <w:r w:rsidRPr="001F5C02">
        <w:rPr>
          <w:rFonts w:eastAsia="Times New Roman" w:cs="Times New Roman"/>
          <w:szCs w:val="24"/>
          <w:lang w:eastAsia="en-GB"/>
        </w:rPr>
        <w:t>: 10.1108/ijmpb-08-2023-0179.</w:t>
      </w:r>
    </w:p>
    <w:p w14:paraId="1C9C3EE1" w14:textId="77777777" w:rsidR="000846CC" w:rsidRPr="001F5C02" w:rsidRDefault="000846CC" w:rsidP="001F5C02">
      <w:pPr>
        <w:spacing w:line="360" w:lineRule="auto"/>
        <w:jc w:val="both"/>
        <w:rPr>
          <w:rFonts w:cs="Times New Roman"/>
        </w:rPr>
      </w:pPr>
      <w:r w:rsidRPr="001F5C02">
        <w:rPr>
          <w:rFonts w:cs="Times New Roman"/>
        </w:rPr>
        <w:t>Koivuniemi, M., 2024. Sustainable headquarters’ buildings: A multiple case study on multinational corporations in sustainable cities.</w:t>
      </w:r>
    </w:p>
    <w:p w14:paraId="31250838" w14:textId="2FCB2899" w:rsidR="000846CC" w:rsidRPr="001F5C02" w:rsidRDefault="000846CC" w:rsidP="001F5C02">
      <w:pPr>
        <w:spacing w:before="100" w:beforeAutospacing="1" w:after="100" w:afterAutospacing="1" w:line="360" w:lineRule="auto"/>
        <w:jc w:val="both"/>
        <w:rPr>
          <w:rFonts w:eastAsia="Times New Roman" w:cs="Times New Roman"/>
          <w:szCs w:val="24"/>
          <w:lang w:eastAsia="en-GB"/>
        </w:rPr>
      </w:pPr>
      <w:proofErr w:type="spellStart"/>
      <w:r w:rsidRPr="001F5C02">
        <w:rPr>
          <w:rFonts w:eastAsia="Times New Roman" w:cs="Times New Roman"/>
          <w:szCs w:val="24"/>
          <w:lang w:eastAsia="en-GB"/>
        </w:rPr>
        <w:t>Marschlich</w:t>
      </w:r>
      <w:proofErr w:type="spellEnd"/>
      <w:r w:rsidRPr="001F5C02">
        <w:rPr>
          <w:rFonts w:eastAsia="Times New Roman" w:cs="Times New Roman"/>
          <w:szCs w:val="24"/>
          <w:lang w:eastAsia="en-GB"/>
        </w:rPr>
        <w:t xml:space="preserve">, S. and </w:t>
      </w:r>
      <w:proofErr w:type="spellStart"/>
      <w:r w:rsidRPr="001F5C02">
        <w:rPr>
          <w:rFonts w:eastAsia="Times New Roman" w:cs="Times New Roman"/>
          <w:szCs w:val="24"/>
          <w:lang w:eastAsia="en-GB"/>
        </w:rPr>
        <w:t>Eisenegger</w:t>
      </w:r>
      <w:proofErr w:type="spellEnd"/>
      <w:r w:rsidRPr="001F5C02">
        <w:rPr>
          <w:rFonts w:eastAsia="Times New Roman" w:cs="Times New Roman"/>
          <w:szCs w:val="24"/>
          <w:lang w:eastAsia="en-GB"/>
        </w:rPr>
        <w:t>, M. (2024) “Personal</w:t>
      </w:r>
      <w:r w:rsidR="00D45AEA">
        <w:rPr>
          <w:rFonts w:eastAsia="Times New Roman" w:cs="Times New Roman"/>
          <w:szCs w:val="24"/>
          <w:lang w:eastAsia="en-GB"/>
        </w:rPr>
        <w:t>is</w:t>
      </w:r>
      <w:r w:rsidRPr="001F5C02">
        <w:rPr>
          <w:rFonts w:eastAsia="Times New Roman" w:cs="Times New Roman"/>
          <w:szCs w:val="24"/>
          <w:lang w:eastAsia="en-GB"/>
        </w:rPr>
        <w:t>ation of tech corporations: Examining personal</w:t>
      </w:r>
      <w:r w:rsidR="00D45AEA">
        <w:rPr>
          <w:rFonts w:eastAsia="Times New Roman" w:cs="Times New Roman"/>
          <w:szCs w:val="24"/>
          <w:lang w:eastAsia="en-GB"/>
        </w:rPr>
        <w:t>is</w:t>
      </w:r>
      <w:r w:rsidRPr="001F5C02">
        <w:rPr>
          <w:rFonts w:eastAsia="Times New Roman" w:cs="Times New Roman"/>
          <w:szCs w:val="24"/>
          <w:lang w:eastAsia="en-GB"/>
        </w:rPr>
        <w:t>ed news and the media reputation of Google, Facebook, and Apple in Swiss news media,” </w:t>
      </w:r>
      <w:r w:rsidRPr="001F5C02">
        <w:rPr>
          <w:rFonts w:eastAsia="Times New Roman" w:cs="Times New Roman"/>
          <w:i/>
          <w:iCs/>
          <w:szCs w:val="24"/>
          <w:lang w:eastAsia="en-GB"/>
        </w:rPr>
        <w:t>Journalism (London, England)</w:t>
      </w:r>
      <w:r w:rsidRPr="001F5C02">
        <w:rPr>
          <w:rFonts w:eastAsia="Times New Roman" w:cs="Times New Roman"/>
          <w:szCs w:val="24"/>
          <w:lang w:eastAsia="en-GB"/>
        </w:rPr>
        <w:t xml:space="preserve">. </w:t>
      </w:r>
      <w:proofErr w:type="spellStart"/>
      <w:r w:rsidRPr="001F5C02">
        <w:rPr>
          <w:rFonts w:eastAsia="Times New Roman" w:cs="Times New Roman"/>
          <w:szCs w:val="24"/>
          <w:lang w:eastAsia="en-GB"/>
        </w:rPr>
        <w:t>doi</w:t>
      </w:r>
      <w:proofErr w:type="spellEnd"/>
      <w:r w:rsidRPr="001F5C02">
        <w:rPr>
          <w:rFonts w:eastAsia="Times New Roman" w:cs="Times New Roman"/>
          <w:szCs w:val="24"/>
          <w:lang w:eastAsia="en-GB"/>
        </w:rPr>
        <w:t>: 10.1177/14648849241243044.</w:t>
      </w:r>
    </w:p>
    <w:p w14:paraId="74B914F2" w14:textId="77777777" w:rsidR="000846CC" w:rsidRPr="001F5C02" w:rsidRDefault="000846CC" w:rsidP="001F5C02">
      <w:pPr>
        <w:spacing w:before="100" w:beforeAutospacing="1" w:after="100" w:afterAutospacing="1" w:line="360" w:lineRule="auto"/>
        <w:jc w:val="both"/>
        <w:rPr>
          <w:rFonts w:eastAsia="Times New Roman" w:cs="Times New Roman"/>
          <w:szCs w:val="24"/>
          <w:lang w:eastAsia="en-GB"/>
        </w:rPr>
      </w:pPr>
      <w:r w:rsidRPr="001F5C02">
        <w:rPr>
          <w:rFonts w:eastAsia="Times New Roman" w:cs="Times New Roman"/>
          <w:szCs w:val="24"/>
          <w:lang w:eastAsia="en-GB"/>
        </w:rPr>
        <w:t>Melo, J. C. F. de </w:t>
      </w:r>
      <w:r w:rsidRPr="001F5C02">
        <w:rPr>
          <w:rFonts w:eastAsia="Times New Roman" w:cs="Times New Roman"/>
          <w:i/>
          <w:iCs/>
          <w:szCs w:val="24"/>
          <w:lang w:eastAsia="en-GB"/>
        </w:rPr>
        <w:t>et al.</w:t>
      </w:r>
      <w:r w:rsidRPr="001F5C02">
        <w:rPr>
          <w:rFonts w:eastAsia="Times New Roman" w:cs="Times New Roman"/>
          <w:szCs w:val="24"/>
          <w:lang w:eastAsia="en-GB"/>
        </w:rPr>
        <w:t> (2021) “Reprint of: From open innovation projects to open innovation project management capabilities: A process-based approach,” </w:t>
      </w:r>
      <w:r w:rsidRPr="001F5C02">
        <w:rPr>
          <w:rFonts w:eastAsia="Times New Roman" w:cs="Times New Roman"/>
          <w:i/>
          <w:iCs/>
          <w:szCs w:val="24"/>
          <w:lang w:eastAsia="en-GB"/>
        </w:rPr>
        <w:t>International journal of project management</w:t>
      </w:r>
      <w:r w:rsidRPr="001F5C02">
        <w:rPr>
          <w:rFonts w:eastAsia="Times New Roman" w:cs="Times New Roman"/>
          <w:szCs w:val="24"/>
          <w:lang w:eastAsia="en-GB"/>
        </w:rPr>
        <w:t xml:space="preserve">, 39(2), pp. 170–182. </w:t>
      </w:r>
      <w:proofErr w:type="spellStart"/>
      <w:r w:rsidRPr="001F5C02">
        <w:rPr>
          <w:rFonts w:eastAsia="Times New Roman" w:cs="Times New Roman"/>
          <w:szCs w:val="24"/>
          <w:lang w:eastAsia="en-GB"/>
        </w:rPr>
        <w:t>doi</w:t>
      </w:r>
      <w:proofErr w:type="spellEnd"/>
      <w:r w:rsidRPr="001F5C02">
        <w:rPr>
          <w:rFonts w:eastAsia="Times New Roman" w:cs="Times New Roman"/>
          <w:szCs w:val="24"/>
          <w:lang w:eastAsia="en-GB"/>
        </w:rPr>
        <w:t>: 10.1016/j.ijproman.2021.01.003.</w:t>
      </w:r>
    </w:p>
    <w:p w14:paraId="7B65887D" w14:textId="77777777" w:rsidR="000846CC" w:rsidRPr="001F5C02" w:rsidRDefault="000846CC" w:rsidP="001F5C02">
      <w:pPr>
        <w:spacing w:before="100" w:beforeAutospacing="1" w:after="100" w:afterAutospacing="1" w:line="360" w:lineRule="auto"/>
        <w:jc w:val="both"/>
        <w:rPr>
          <w:rFonts w:eastAsia="Times New Roman" w:cs="Times New Roman"/>
          <w:szCs w:val="24"/>
          <w:lang w:eastAsia="en-GB"/>
        </w:rPr>
      </w:pPr>
      <w:r w:rsidRPr="001F5C02">
        <w:rPr>
          <w:rFonts w:eastAsia="Times New Roman" w:cs="Times New Roman"/>
          <w:szCs w:val="24"/>
          <w:lang w:eastAsia="en-GB"/>
        </w:rPr>
        <w:t>Purnomo, B. H. </w:t>
      </w:r>
      <w:r w:rsidRPr="001F5C02">
        <w:rPr>
          <w:rFonts w:eastAsia="Times New Roman" w:cs="Times New Roman"/>
          <w:i/>
          <w:iCs/>
          <w:szCs w:val="24"/>
          <w:lang w:eastAsia="en-GB"/>
        </w:rPr>
        <w:t>et al.</w:t>
      </w:r>
      <w:r w:rsidRPr="001F5C02">
        <w:rPr>
          <w:rFonts w:eastAsia="Times New Roman" w:cs="Times New Roman"/>
          <w:szCs w:val="24"/>
          <w:lang w:eastAsia="en-GB"/>
        </w:rPr>
        <w:t> (2021) “Risk mitigation analysis in a supply chain of coffee using House of risk method,” </w:t>
      </w:r>
      <w:proofErr w:type="spellStart"/>
      <w:r w:rsidRPr="001F5C02">
        <w:rPr>
          <w:rFonts w:eastAsia="Times New Roman" w:cs="Times New Roman"/>
          <w:i/>
          <w:iCs/>
          <w:szCs w:val="24"/>
          <w:lang w:eastAsia="en-GB"/>
        </w:rPr>
        <w:t>Industria</w:t>
      </w:r>
      <w:proofErr w:type="spellEnd"/>
      <w:r w:rsidRPr="001F5C02">
        <w:rPr>
          <w:rFonts w:eastAsia="Times New Roman" w:cs="Times New Roman"/>
          <w:i/>
          <w:iCs/>
          <w:szCs w:val="24"/>
          <w:lang w:eastAsia="en-GB"/>
        </w:rPr>
        <w:t xml:space="preserve"> </w:t>
      </w:r>
      <w:proofErr w:type="spellStart"/>
      <w:r w:rsidRPr="001F5C02">
        <w:rPr>
          <w:rFonts w:eastAsia="Times New Roman" w:cs="Times New Roman"/>
          <w:i/>
          <w:iCs/>
          <w:szCs w:val="24"/>
          <w:lang w:eastAsia="en-GB"/>
        </w:rPr>
        <w:t>Jurnal</w:t>
      </w:r>
      <w:proofErr w:type="spellEnd"/>
      <w:r w:rsidRPr="001F5C02">
        <w:rPr>
          <w:rFonts w:eastAsia="Times New Roman" w:cs="Times New Roman"/>
          <w:i/>
          <w:iCs/>
          <w:szCs w:val="24"/>
          <w:lang w:eastAsia="en-GB"/>
        </w:rPr>
        <w:t xml:space="preserve"> </w:t>
      </w:r>
      <w:proofErr w:type="spellStart"/>
      <w:r w:rsidRPr="001F5C02">
        <w:rPr>
          <w:rFonts w:eastAsia="Times New Roman" w:cs="Times New Roman"/>
          <w:i/>
          <w:iCs/>
          <w:szCs w:val="24"/>
          <w:lang w:eastAsia="en-GB"/>
        </w:rPr>
        <w:t>Teknologi</w:t>
      </w:r>
      <w:proofErr w:type="spellEnd"/>
      <w:r w:rsidRPr="001F5C02">
        <w:rPr>
          <w:rFonts w:eastAsia="Times New Roman" w:cs="Times New Roman"/>
          <w:i/>
          <w:iCs/>
          <w:szCs w:val="24"/>
          <w:lang w:eastAsia="en-GB"/>
        </w:rPr>
        <w:t xml:space="preserve"> dan </w:t>
      </w:r>
      <w:proofErr w:type="spellStart"/>
      <w:r w:rsidRPr="001F5C02">
        <w:rPr>
          <w:rFonts w:eastAsia="Times New Roman" w:cs="Times New Roman"/>
          <w:i/>
          <w:iCs/>
          <w:szCs w:val="24"/>
          <w:lang w:eastAsia="en-GB"/>
        </w:rPr>
        <w:t>Manajemen</w:t>
      </w:r>
      <w:proofErr w:type="spellEnd"/>
      <w:r w:rsidRPr="001F5C02">
        <w:rPr>
          <w:rFonts w:eastAsia="Times New Roman" w:cs="Times New Roman"/>
          <w:i/>
          <w:iCs/>
          <w:szCs w:val="24"/>
          <w:lang w:eastAsia="en-GB"/>
        </w:rPr>
        <w:t xml:space="preserve"> Agroindustri</w:t>
      </w:r>
      <w:r w:rsidRPr="001F5C02">
        <w:rPr>
          <w:rFonts w:eastAsia="Times New Roman" w:cs="Times New Roman"/>
          <w:szCs w:val="24"/>
          <w:lang w:eastAsia="en-GB"/>
        </w:rPr>
        <w:t xml:space="preserve">, 10(2), pp. 111–124. </w:t>
      </w:r>
      <w:proofErr w:type="spellStart"/>
      <w:r w:rsidRPr="001F5C02">
        <w:rPr>
          <w:rFonts w:eastAsia="Times New Roman" w:cs="Times New Roman"/>
          <w:szCs w:val="24"/>
          <w:lang w:eastAsia="en-GB"/>
        </w:rPr>
        <w:t>doi</w:t>
      </w:r>
      <w:proofErr w:type="spellEnd"/>
      <w:r w:rsidRPr="001F5C02">
        <w:rPr>
          <w:rFonts w:eastAsia="Times New Roman" w:cs="Times New Roman"/>
          <w:szCs w:val="24"/>
          <w:lang w:eastAsia="en-GB"/>
        </w:rPr>
        <w:t>: 10.21776/ub.industria.2021.010.02.3.</w:t>
      </w:r>
    </w:p>
    <w:p w14:paraId="013217EE" w14:textId="77777777" w:rsidR="000846CC" w:rsidRPr="001F5C02" w:rsidRDefault="000846CC" w:rsidP="001F5C02">
      <w:pPr>
        <w:spacing w:before="100" w:beforeAutospacing="1" w:after="100" w:afterAutospacing="1" w:line="360" w:lineRule="auto"/>
        <w:jc w:val="both"/>
        <w:rPr>
          <w:rFonts w:eastAsia="Times New Roman" w:cs="Times New Roman"/>
          <w:szCs w:val="24"/>
          <w:lang w:eastAsia="en-GB"/>
        </w:rPr>
      </w:pPr>
      <w:r w:rsidRPr="001F5C02">
        <w:rPr>
          <w:rFonts w:eastAsia="Times New Roman" w:cs="Times New Roman"/>
          <w:szCs w:val="24"/>
          <w:lang w:eastAsia="en-GB"/>
        </w:rPr>
        <w:t>Robin, E. (2022) “Performing real estate value(s): real estate developers, systems of expertise and the production of space,” </w:t>
      </w:r>
      <w:proofErr w:type="spellStart"/>
      <w:r w:rsidRPr="001F5C02">
        <w:rPr>
          <w:rFonts w:eastAsia="Times New Roman" w:cs="Times New Roman"/>
          <w:i/>
          <w:iCs/>
          <w:szCs w:val="24"/>
          <w:lang w:eastAsia="en-GB"/>
        </w:rPr>
        <w:t>Geoforum</w:t>
      </w:r>
      <w:proofErr w:type="spellEnd"/>
      <w:r w:rsidRPr="001F5C02">
        <w:rPr>
          <w:rFonts w:eastAsia="Times New Roman" w:cs="Times New Roman"/>
          <w:i/>
          <w:iCs/>
          <w:szCs w:val="24"/>
          <w:lang w:eastAsia="en-GB"/>
        </w:rPr>
        <w:t>; journal of physical, human, and regional geosciences</w:t>
      </w:r>
      <w:r w:rsidRPr="001F5C02">
        <w:rPr>
          <w:rFonts w:eastAsia="Times New Roman" w:cs="Times New Roman"/>
          <w:szCs w:val="24"/>
          <w:lang w:eastAsia="en-GB"/>
        </w:rPr>
        <w:t xml:space="preserve">, 134, pp. 205–215. </w:t>
      </w:r>
      <w:proofErr w:type="spellStart"/>
      <w:r w:rsidRPr="001F5C02">
        <w:rPr>
          <w:rFonts w:eastAsia="Times New Roman" w:cs="Times New Roman"/>
          <w:szCs w:val="24"/>
          <w:lang w:eastAsia="en-GB"/>
        </w:rPr>
        <w:t>doi</w:t>
      </w:r>
      <w:proofErr w:type="spellEnd"/>
      <w:r w:rsidRPr="001F5C02">
        <w:rPr>
          <w:rFonts w:eastAsia="Times New Roman" w:cs="Times New Roman"/>
          <w:szCs w:val="24"/>
          <w:lang w:eastAsia="en-GB"/>
        </w:rPr>
        <w:t>: 10.1016/j.geoforum.2018.05.006.</w:t>
      </w:r>
    </w:p>
    <w:p w14:paraId="79CCA3F4" w14:textId="77777777" w:rsidR="000846CC" w:rsidRPr="001F5C02" w:rsidRDefault="000846CC" w:rsidP="001F5C02">
      <w:pPr>
        <w:spacing w:before="100" w:beforeAutospacing="1" w:after="100" w:afterAutospacing="1" w:line="360" w:lineRule="auto"/>
        <w:jc w:val="both"/>
        <w:rPr>
          <w:rFonts w:eastAsia="Times New Roman" w:cs="Times New Roman"/>
          <w:szCs w:val="24"/>
          <w:lang w:eastAsia="en-GB"/>
        </w:rPr>
      </w:pPr>
      <w:r w:rsidRPr="001F5C02">
        <w:rPr>
          <w:rFonts w:eastAsia="Times New Roman" w:cs="Times New Roman"/>
          <w:szCs w:val="24"/>
          <w:lang w:eastAsia="en-GB"/>
        </w:rPr>
        <w:t>Thesing, T., Feldmann, C. and Burchardt, M. (2021) “Agile versus waterfall project management: Decision model for selecting the appropriate approach to a project,” </w:t>
      </w:r>
      <w:r w:rsidRPr="001F5C02">
        <w:rPr>
          <w:rFonts w:eastAsia="Times New Roman" w:cs="Times New Roman"/>
          <w:i/>
          <w:iCs/>
          <w:szCs w:val="24"/>
          <w:lang w:eastAsia="en-GB"/>
        </w:rPr>
        <w:t>Procedia computer science</w:t>
      </w:r>
      <w:r w:rsidRPr="001F5C02">
        <w:rPr>
          <w:rFonts w:eastAsia="Times New Roman" w:cs="Times New Roman"/>
          <w:szCs w:val="24"/>
          <w:lang w:eastAsia="en-GB"/>
        </w:rPr>
        <w:t xml:space="preserve">, 181, pp. 746–756. </w:t>
      </w:r>
      <w:proofErr w:type="spellStart"/>
      <w:r w:rsidRPr="001F5C02">
        <w:rPr>
          <w:rFonts w:eastAsia="Times New Roman" w:cs="Times New Roman"/>
          <w:szCs w:val="24"/>
          <w:lang w:eastAsia="en-GB"/>
        </w:rPr>
        <w:t>doi</w:t>
      </w:r>
      <w:proofErr w:type="spellEnd"/>
      <w:r w:rsidRPr="001F5C02">
        <w:rPr>
          <w:rFonts w:eastAsia="Times New Roman" w:cs="Times New Roman"/>
          <w:szCs w:val="24"/>
          <w:lang w:eastAsia="en-GB"/>
        </w:rPr>
        <w:t>: 10.1016/j.procs.2021.01.227.</w:t>
      </w:r>
    </w:p>
    <w:p w14:paraId="3ABAC513" w14:textId="77777777" w:rsidR="000846CC" w:rsidRPr="001F5C02" w:rsidRDefault="000846CC" w:rsidP="001F5C02">
      <w:pPr>
        <w:spacing w:before="100" w:beforeAutospacing="1" w:after="100" w:afterAutospacing="1" w:line="360" w:lineRule="auto"/>
        <w:jc w:val="both"/>
        <w:rPr>
          <w:rFonts w:eastAsia="Times New Roman" w:cs="Times New Roman"/>
          <w:szCs w:val="24"/>
          <w:lang w:eastAsia="en-GB"/>
        </w:rPr>
      </w:pPr>
      <w:r w:rsidRPr="001F5C02">
        <w:rPr>
          <w:rFonts w:eastAsia="Times New Roman" w:cs="Times New Roman"/>
          <w:szCs w:val="24"/>
          <w:lang w:eastAsia="en-GB"/>
        </w:rPr>
        <w:t>Tran, H. and Chew, H. B. (2024) “Transient to steady-state morphology evolution of carbon surfaces under ion bombardment: Monte Carlo simulations,” </w:t>
      </w:r>
      <w:r w:rsidRPr="001F5C02">
        <w:rPr>
          <w:rFonts w:eastAsia="Times New Roman" w:cs="Times New Roman"/>
          <w:i/>
          <w:iCs/>
          <w:szCs w:val="24"/>
          <w:lang w:eastAsia="en-GB"/>
        </w:rPr>
        <w:t xml:space="preserve">Acta </w:t>
      </w:r>
      <w:proofErr w:type="spellStart"/>
      <w:r w:rsidRPr="001F5C02">
        <w:rPr>
          <w:rFonts w:eastAsia="Times New Roman" w:cs="Times New Roman"/>
          <w:i/>
          <w:iCs/>
          <w:szCs w:val="24"/>
          <w:lang w:eastAsia="en-GB"/>
        </w:rPr>
        <w:t>materialia</w:t>
      </w:r>
      <w:proofErr w:type="spellEnd"/>
      <w:r w:rsidRPr="001F5C02">
        <w:rPr>
          <w:rFonts w:eastAsia="Times New Roman" w:cs="Times New Roman"/>
          <w:szCs w:val="24"/>
          <w:lang w:eastAsia="en-GB"/>
        </w:rPr>
        <w:t xml:space="preserve">, 263(119498), p. 119498. </w:t>
      </w:r>
      <w:proofErr w:type="spellStart"/>
      <w:r w:rsidRPr="001F5C02">
        <w:rPr>
          <w:rFonts w:eastAsia="Times New Roman" w:cs="Times New Roman"/>
          <w:szCs w:val="24"/>
          <w:lang w:eastAsia="en-GB"/>
        </w:rPr>
        <w:t>doi</w:t>
      </w:r>
      <w:proofErr w:type="spellEnd"/>
      <w:r w:rsidRPr="001F5C02">
        <w:rPr>
          <w:rFonts w:eastAsia="Times New Roman" w:cs="Times New Roman"/>
          <w:szCs w:val="24"/>
          <w:lang w:eastAsia="en-GB"/>
        </w:rPr>
        <w:t>: 10.1016/j.actamat.2023.119498.</w:t>
      </w:r>
    </w:p>
    <w:p w14:paraId="2A272B77" w14:textId="77777777" w:rsidR="000846CC" w:rsidRPr="001F5C02" w:rsidRDefault="000846CC" w:rsidP="001F5C02">
      <w:pPr>
        <w:spacing w:before="100" w:beforeAutospacing="1" w:after="100" w:afterAutospacing="1" w:line="360" w:lineRule="auto"/>
        <w:jc w:val="both"/>
        <w:rPr>
          <w:rFonts w:eastAsia="Times New Roman" w:cs="Times New Roman"/>
          <w:szCs w:val="24"/>
          <w:lang w:eastAsia="en-GB"/>
        </w:rPr>
      </w:pPr>
      <w:r w:rsidRPr="001F5C02">
        <w:rPr>
          <w:rFonts w:eastAsia="Times New Roman" w:cs="Times New Roman"/>
          <w:szCs w:val="24"/>
          <w:lang w:eastAsia="en-GB"/>
        </w:rPr>
        <w:lastRenderedPageBreak/>
        <w:t>Westerman, J. W. </w:t>
      </w:r>
      <w:r w:rsidRPr="001F5C02">
        <w:rPr>
          <w:rFonts w:eastAsia="Times New Roman" w:cs="Times New Roman"/>
          <w:i/>
          <w:iCs/>
          <w:szCs w:val="24"/>
          <w:lang w:eastAsia="en-GB"/>
        </w:rPr>
        <w:t>et al.</w:t>
      </w:r>
      <w:r w:rsidRPr="001F5C02">
        <w:rPr>
          <w:rFonts w:eastAsia="Times New Roman" w:cs="Times New Roman"/>
          <w:szCs w:val="24"/>
          <w:lang w:eastAsia="en-GB"/>
        </w:rPr>
        <w:t> (2020) “Sustainable human resource management and the triple bottom line: Multi-stakeholder strategies, concepts, and engagement,” </w:t>
      </w:r>
      <w:r w:rsidRPr="001F5C02">
        <w:rPr>
          <w:rFonts w:eastAsia="Times New Roman" w:cs="Times New Roman"/>
          <w:i/>
          <w:iCs/>
          <w:szCs w:val="24"/>
          <w:lang w:eastAsia="en-GB"/>
        </w:rPr>
        <w:t>Human resource management review</w:t>
      </w:r>
      <w:r w:rsidRPr="001F5C02">
        <w:rPr>
          <w:rFonts w:eastAsia="Times New Roman" w:cs="Times New Roman"/>
          <w:szCs w:val="24"/>
          <w:lang w:eastAsia="en-GB"/>
        </w:rPr>
        <w:t xml:space="preserve">, 30(3), p. 100742. </w:t>
      </w:r>
      <w:proofErr w:type="spellStart"/>
      <w:r w:rsidRPr="001F5C02">
        <w:rPr>
          <w:rFonts w:eastAsia="Times New Roman" w:cs="Times New Roman"/>
          <w:szCs w:val="24"/>
          <w:lang w:eastAsia="en-GB"/>
        </w:rPr>
        <w:t>doi</w:t>
      </w:r>
      <w:proofErr w:type="spellEnd"/>
      <w:r w:rsidRPr="001F5C02">
        <w:rPr>
          <w:rFonts w:eastAsia="Times New Roman" w:cs="Times New Roman"/>
          <w:szCs w:val="24"/>
          <w:lang w:eastAsia="en-GB"/>
        </w:rPr>
        <w:t>: 10.1016/j.hrmr.2020.100742.</w:t>
      </w:r>
    </w:p>
    <w:p w14:paraId="3BBB4B99" w14:textId="16D9B268" w:rsidR="000846CC" w:rsidRPr="001F5C02" w:rsidRDefault="000846CC" w:rsidP="001F5C02">
      <w:pPr>
        <w:spacing w:before="100" w:beforeAutospacing="1" w:after="100" w:afterAutospacing="1" w:line="360" w:lineRule="auto"/>
        <w:jc w:val="both"/>
        <w:rPr>
          <w:rFonts w:eastAsia="Times New Roman" w:cs="Times New Roman"/>
          <w:szCs w:val="24"/>
          <w:lang w:eastAsia="en-GB"/>
        </w:rPr>
      </w:pPr>
      <w:r w:rsidRPr="001F5C02">
        <w:rPr>
          <w:rFonts w:eastAsia="Times New Roman" w:cs="Times New Roman"/>
          <w:szCs w:val="24"/>
          <w:lang w:eastAsia="en-GB"/>
        </w:rPr>
        <w:t>Zhang, Y. </w:t>
      </w:r>
      <w:r w:rsidRPr="001F5C02">
        <w:rPr>
          <w:rFonts w:eastAsia="Times New Roman" w:cs="Times New Roman"/>
          <w:i/>
          <w:iCs/>
          <w:szCs w:val="24"/>
          <w:lang w:eastAsia="en-GB"/>
        </w:rPr>
        <w:t>et al.</w:t>
      </w:r>
      <w:r w:rsidRPr="001F5C02">
        <w:rPr>
          <w:rFonts w:eastAsia="Times New Roman" w:cs="Times New Roman"/>
          <w:szCs w:val="24"/>
          <w:lang w:eastAsia="en-GB"/>
        </w:rPr>
        <w:t> (2024) “Can organ</w:t>
      </w:r>
      <w:r w:rsidR="00D45AEA">
        <w:rPr>
          <w:rFonts w:eastAsia="Times New Roman" w:cs="Times New Roman"/>
          <w:szCs w:val="24"/>
          <w:lang w:eastAsia="en-GB"/>
        </w:rPr>
        <w:t>is</w:t>
      </w:r>
      <w:r w:rsidRPr="001F5C02">
        <w:rPr>
          <w:rFonts w:eastAsia="Times New Roman" w:cs="Times New Roman"/>
          <w:szCs w:val="24"/>
          <w:lang w:eastAsia="en-GB"/>
        </w:rPr>
        <w:t>ations shape eco-friendly employees? Organ</w:t>
      </w:r>
      <w:r w:rsidR="00D45AEA">
        <w:rPr>
          <w:rFonts w:eastAsia="Times New Roman" w:cs="Times New Roman"/>
          <w:szCs w:val="24"/>
          <w:lang w:eastAsia="en-GB"/>
        </w:rPr>
        <w:t>is</w:t>
      </w:r>
      <w:r w:rsidRPr="001F5C02">
        <w:rPr>
          <w:rFonts w:eastAsia="Times New Roman" w:cs="Times New Roman"/>
          <w:szCs w:val="24"/>
          <w:lang w:eastAsia="en-GB"/>
        </w:rPr>
        <w:t xml:space="preserve">ational support improves pro-environmental </w:t>
      </w:r>
      <w:proofErr w:type="spellStart"/>
      <w:r w:rsidRPr="001F5C02">
        <w:rPr>
          <w:rFonts w:eastAsia="Times New Roman" w:cs="Times New Roman"/>
          <w:szCs w:val="24"/>
          <w:lang w:eastAsia="en-GB"/>
        </w:rPr>
        <w:t>behaviors</w:t>
      </w:r>
      <w:proofErr w:type="spellEnd"/>
      <w:r w:rsidRPr="001F5C02">
        <w:rPr>
          <w:rFonts w:eastAsia="Times New Roman" w:cs="Times New Roman"/>
          <w:szCs w:val="24"/>
          <w:lang w:eastAsia="en-GB"/>
        </w:rPr>
        <w:t xml:space="preserve"> at work,” </w:t>
      </w:r>
      <w:r w:rsidRPr="001F5C02">
        <w:rPr>
          <w:rFonts w:eastAsia="Times New Roman" w:cs="Times New Roman"/>
          <w:i/>
          <w:iCs/>
          <w:szCs w:val="24"/>
          <w:lang w:eastAsia="en-GB"/>
        </w:rPr>
        <w:t>Journal of environmental psychology</w:t>
      </w:r>
      <w:r w:rsidRPr="001F5C02">
        <w:rPr>
          <w:rFonts w:eastAsia="Times New Roman" w:cs="Times New Roman"/>
          <w:szCs w:val="24"/>
          <w:lang w:eastAsia="en-GB"/>
        </w:rPr>
        <w:t xml:space="preserve">, 93(102200), p. 102200. </w:t>
      </w:r>
      <w:proofErr w:type="spellStart"/>
      <w:r w:rsidRPr="001F5C02">
        <w:rPr>
          <w:rFonts w:eastAsia="Times New Roman" w:cs="Times New Roman"/>
          <w:szCs w:val="24"/>
          <w:lang w:eastAsia="en-GB"/>
        </w:rPr>
        <w:t>doi</w:t>
      </w:r>
      <w:proofErr w:type="spellEnd"/>
      <w:r w:rsidRPr="001F5C02">
        <w:rPr>
          <w:rFonts w:eastAsia="Times New Roman" w:cs="Times New Roman"/>
          <w:szCs w:val="24"/>
          <w:lang w:eastAsia="en-GB"/>
        </w:rPr>
        <w:t>: 10.1016/j.jenvp.2023.102200.</w:t>
      </w:r>
    </w:p>
    <w:sectPr w:rsidR="000846CC" w:rsidRPr="001F5C02" w:rsidSect="007805DE">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6A99D3" w14:textId="77777777" w:rsidR="007805DE" w:rsidRDefault="007805DE" w:rsidP="001A6315">
      <w:pPr>
        <w:spacing w:after="0" w:line="240" w:lineRule="auto"/>
      </w:pPr>
      <w:r>
        <w:separator/>
      </w:r>
    </w:p>
  </w:endnote>
  <w:endnote w:type="continuationSeparator" w:id="0">
    <w:p w14:paraId="7EA3B421" w14:textId="77777777" w:rsidR="007805DE" w:rsidRDefault="007805DE" w:rsidP="001A63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3448131"/>
      <w:docPartObj>
        <w:docPartGallery w:val="Page Numbers (Bottom of Page)"/>
        <w:docPartUnique/>
      </w:docPartObj>
    </w:sdtPr>
    <w:sdtEndPr>
      <w:rPr>
        <w:noProof/>
      </w:rPr>
    </w:sdtEndPr>
    <w:sdtContent>
      <w:p w14:paraId="43A1D9E9" w14:textId="12D6C4D5" w:rsidR="00862C21" w:rsidRDefault="00862C2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598B2E" w14:textId="77777777" w:rsidR="00862C21" w:rsidRDefault="00862C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A38571" w14:textId="77777777" w:rsidR="007805DE" w:rsidRDefault="007805DE" w:rsidP="001A6315">
      <w:pPr>
        <w:spacing w:after="0" w:line="240" w:lineRule="auto"/>
      </w:pPr>
      <w:r>
        <w:separator/>
      </w:r>
    </w:p>
  </w:footnote>
  <w:footnote w:type="continuationSeparator" w:id="0">
    <w:p w14:paraId="17FA295B" w14:textId="77777777" w:rsidR="007805DE" w:rsidRDefault="007805DE" w:rsidP="001A63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E61342"/>
    <w:multiLevelType w:val="hybridMultilevel"/>
    <w:tmpl w:val="F91EBA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74602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F02"/>
    <w:rsid w:val="000846CC"/>
    <w:rsid w:val="000B18C4"/>
    <w:rsid w:val="00110949"/>
    <w:rsid w:val="001154A7"/>
    <w:rsid w:val="001A6315"/>
    <w:rsid w:val="001F41EF"/>
    <w:rsid w:val="001F5C02"/>
    <w:rsid w:val="0022069D"/>
    <w:rsid w:val="002444ED"/>
    <w:rsid w:val="00264E8C"/>
    <w:rsid w:val="002A32BF"/>
    <w:rsid w:val="002D3BAA"/>
    <w:rsid w:val="00332C01"/>
    <w:rsid w:val="00361DE0"/>
    <w:rsid w:val="003C4D4B"/>
    <w:rsid w:val="003E2195"/>
    <w:rsid w:val="0048527C"/>
    <w:rsid w:val="004F2E10"/>
    <w:rsid w:val="00586307"/>
    <w:rsid w:val="005A3A7E"/>
    <w:rsid w:val="005C517F"/>
    <w:rsid w:val="006030A1"/>
    <w:rsid w:val="00656978"/>
    <w:rsid w:val="0066794F"/>
    <w:rsid w:val="00701F00"/>
    <w:rsid w:val="007805DE"/>
    <w:rsid w:val="007A41BC"/>
    <w:rsid w:val="00860330"/>
    <w:rsid w:val="00862C21"/>
    <w:rsid w:val="00892957"/>
    <w:rsid w:val="009762B8"/>
    <w:rsid w:val="00A6155B"/>
    <w:rsid w:val="00A77163"/>
    <w:rsid w:val="00AA606C"/>
    <w:rsid w:val="00B12831"/>
    <w:rsid w:val="00B66485"/>
    <w:rsid w:val="00B67DC6"/>
    <w:rsid w:val="00B93CC7"/>
    <w:rsid w:val="00BB3F02"/>
    <w:rsid w:val="00BD7581"/>
    <w:rsid w:val="00C24413"/>
    <w:rsid w:val="00CC2424"/>
    <w:rsid w:val="00CE24DE"/>
    <w:rsid w:val="00CE7A03"/>
    <w:rsid w:val="00D45AEA"/>
    <w:rsid w:val="00D50C59"/>
    <w:rsid w:val="00DA6104"/>
    <w:rsid w:val="00E30CE1"/>
    <w:rsid w:val="00E34108"/>
    <w:rsid w:val="00ED749A"/>
    <w:rsid w:val="00ED76BD"/>
    <w:rsid w:val="00F05138"/>
    <w:rsid w:val="00F7207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12FD82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3F02"/>
    <w:rPr>
      <w:rFonts w:ascii="Times New Roman" w:hAnsi="Times New Roman"/>
      <w:sz w:val="24"/>
    </w:rPr>
  </w:style>
  <w:style w:type="paragraph" w:styleId="Heading1">
    <w:name w:val="heading 1"/>
    <w:basedOn w:val="Normal"/>
    <w:next w:val="Normal"/>
    <w:link w:val="Heading1Char"/>
    <w:uiPriority w:val="9"/>
    <w:qFormat/>
    <w:rsid w:val="000846CC"/>
    <w:pPr>
      <w:keepNext/>
      <w:keepLines/>
      <w:spacing w:before="240" w:after="0" w:line="360" w:lineRule="auto"/>
      <w:jc w:val="both"/>
      <w:outlineLvl w:val="0"/>
    </w:pPr>
    <w:rPr>
      <w:rFonts w:eastAsiaTheme="majorEastAsia" w:cstheme="majorBidi"/>
      <w:b/>
      <w:sz w:val="32"/>
      <w:szCs w:val="32"/>
    </w:rPr>
  </w:style>
  <w:style w:type="paragraph" w:styleId="Heading2">
    <w:name w:val="heading 2"/>
    <w:basedOn w:val="Normal"/>
    <w:next w:val="Normal"/>
    <w:link w:val="Heading2Char"/>
    <w:autoRedefine/>
    <w:uiPriority w:val="9"/>
    <w:semiHidden/>
    <w:unhideWhenUsed/>
    <w:qFormat/>
    <w:rsid w:val="005C517F"/>
    <w:pPr>
      <w:keepNext/>
      <w:keepLines/>
      <w:spacing w:before="40" w:after="0" w:line="360" w:lineRule="auto"/>
      <w:jc w:val="both"/>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5C517F"/>
    <w:rPr>
      <w:rFonts w:ascii="Times New Roman" w:eastAsiaTheme="majorEastAsia" w:hAnsi="Times New Roman" w:cstheme="majorBidi"/>
      <w:b/>
      <w:sz w:val="26"/>
      <w:szCs w:val="26"/>
    </w:rPr>
  </w:style>
  <w:style w:type="paragraph" w:styleId="Header">
    <w:name w:val="header"/>
    <w:basedOn w:val="Normal"/>
    <w:link w:val="HeaderChar"/>
    <w:uiPriority w:val="99"/>
    <w:unhideWhenUsed/>
    <w:rsid w:val="001A63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315"/>
    <w:rPr>
      <w:rFonts w:ascii="Times New Roman" w:hAnsi="Times New Roman"/>
      <w:sz w:val="24"/>
    </w:rPr>
  </w:style>
  <w:style w:type="paragraph" w:styleId="Footer">
    <w:name w:val="footer"/>
    <w:basedOn w:val="Normal"/>
    <w:link w:val="FooterChar"/>
    <w:uiPriority w:val="99"/>
    <w:unhideWhenUsed/>
    <w:rsid w:val="001A63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315"/>
    <w:rPr>
      <w:rFonts w:ascii="Times New Roman" w:hAnsi="Times New Roman"/>
      <w:sz w:val="24"/>
    </w:rPr>
  </w:style>
  <w:style w:type="paragraph" w:styleId="Title">
    <w:name w:val="Title"/>
    <w:basedOn w:val="Normal"/>
    <w:next w:val="Normal"/>
    <w:link w:val="TitleChar"/>
    <w:uiPriority w:val="10"/>
    <w:qFormat/>
    <w:rsid w:val="00E34108"/>
    <w:pPr>
      <w:spacing w:after="0" w:line="360" w:lineRule="auto"/>
      <w:contextualSpacing/>
      <w:jc w:val="both"/>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E34108"/>
    <w:rPr>
      <w:rFonts w:ascii="Times New Roman" w:eastAsiaTheme="majorEastAsia" w:hAnsi="Times New Roman" w:cstheme="majorBidi"/>
      <w:spacing w:val="-10"/>
      <w:kern w:val="28"/>
      <w:sz w:val="56"/>
      <w:szCs w:val="56"/>
    </w:rPr>
  </w:style>
  <w:style w:type="paragraph" w:styleId="NormalWeb">
    <w:name w:val="Normal (Web)"/>
    <w:basedOn w:val="Normal"/>
    <w:uiPriority w:val="99"/>
    <w:semiHidden/>
    <w:unhideWhenUsed/>
    <w:rsid w:val="000846CC"/>
    <w:pPr>
      <w:spacing w:before="100" w:beforeAutospacing="1" w:after="100" w:afterAutospacing="1" w:line="240" w:lineRule="auto"/>
    </w:pPr>
    <w:rPr>
      <w:rFonts w:eastAsia="Times New Roman" w:cs="Times New Roman"/>
      <w:szCs w:val="24"/>
      <w:lang w:eastAsia="en-GB"/>
    </w:rPr>
  </w:style>
  <w:style w:type="character" w:customStyle="1" w:styleId="Heading1Char">
    <w:name w:val="Heading 1 Char"/>
    <w:basedOn w:val="DefaultParagraphFont"/>
    <w:link w:val="Heading1"/>
    <w:uiPriority w:val="9"/>
    <w:rsid w:val="000846CC"/>
    <w:rPr>
      <w:rFonts w:ascii="Times New Roman" w:eastAsiaTheme="majorEastAsia" w:hAnsi="Times New Roman" w:cstheme="majorBidi"/>
      <w:b/>
      <w:sz w:val="32"/>
      <w:szCs w:val="32"/>
    </w:rPr>
  </w:style>
  <w:style w:type="paragraph" w:styleId="ListParagraph">
    <w:name w:val="List Paragraph"/>
    <w:basedOn w:val="Normal"/>
    <w:uiPriority w:val="34"/>
    <w:qFormat/>
    <w:rsid w:val="001F5C02"/>
    <w:pPr>
      <w:ind w:left="720"/>
      <w:contextualSpacing/>
    </w:pPr>
  </w:style>
  <w:style w:type="paragraph" w:styleId="TOCHeading">
    <w:name w:val="TOC Heading"/>
    <w:basedOn w:val="Heading1"/>
    <w:next w:val="Normal"/>
    <w:uiPriority w:val="39"/>
    <w:unhideWhenUsed/>
    <w:qFormat/>
    <w:rsid w:val="00CC2424"/>
    <w:pPr>
      <w:spacing w:line="259" w:lineRule="auto"/>
      <w:jc w:val="left"/>
      <w:outlineLvl w:val="9"/>
    </w:pPr>
    <w:rPr>
      <w:rFonts w:asciiTheme="majorHAnsi" w:hAnsiTheme="majorHAnsi"/>
      <w:b w:val="0"/>
      <w:color w:val="365F91" w:themeColor="accent1" w:themeShade="BF"/>
      <w:lang w:val="en-US"/>
    </w:rPr>
  </w:style>
  <w:style w:type="paragraph" w:styleId="TOC1">
    <w:name w:val="toc 1"/>
    <w:basedOn w:val="Normal"/>
    <w:next w:val="Normal"/>
    <w:autoRedefine/>
    <w:uiPriority w:val="39"/>
    <w:unhideWhenUsed/>
    <w:rsid w:val="0048527C"/>
    <w:pPr>
      <w:spacing w:after="100"/>
    </w:pPr>
  </w:style>
  <w:style w:type="character" w:styleId="Hyperlink">
    <w:name w:val="Hyperlink"/>
    <w:basedOn w:val="DefaultParagraphFont"/>
    <w:uiPriority w:val="99"/>
    <w:unhideWhenUsed/>
    <w:rsid w:val="0048527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073707">
      <w:bodyDiv w:val="1"/>
      <w:marLeft w:val="0"/>
      <w:marRight w:val="0"/>
      <w:marTop w:val="0"/>
      <w:marBottom w:val="0"/>
      <w:divBdr>
        <w:top w:val="none" w:sz="0" w:space="0" w:color="auto"/>
        <w:left w:val="none" w:sz="0" w:space="0" w:color="auto"/>
        <w:bottom w:val="none" w:sz="0" w:space="0" w:color="auto"/>
        <w:right w:val="none" w:sz="0" w:space="0" w:color="auto"/>
      </w:divBdr>
      <w:divsChild>
        <w:div w:id="956790448">
          <w:marLeft w:val="0"/>
          <w:marRight w:val="0"/>
          <w:marTop w:val="0"/>
          <w:marBottom w:val="0"/>
          <w:divBdr>
            <w:top w:val="single" w:sz="6" w:space="0" w:color="auto"/>
            <w:left w:val="single" w:sz="6" w:space="0" w:color="auto"/>
            <w:bottom w:val="single" w:sz="6" w:space="0" w:color="auto"/>
            <w:right w:val="single" w:sz="6" w:space="0" w:color="auto"/>
          </w:divBdr>
        </w:div>
      </w:divsChild>
    </w:div>
    <w:div w:id="302394431">
      <w:bodyDiv w:val="1"/>
      <w:marLeft w:val="0"/>
      <w:marRight w:val="0"/>
      <w:marTop w:val="0"/>
      <w:marBottom w:val="0"/>
      <w:divBdr>
        <w:top w:val="none" w:sz="0" w:space="0" w:color="auto"/>
        <w:left w:val="none" w:sz="0" w:space="0" w:color="auto"/>
        <w:bottom w:val="none" w:sz="0" w:space="0" w:color="auto"/>
        <w:right w:val="none" w:sz="0" w:space="0" w:color="auto"/>
      </w:divBdr>
      <w:divsChild>
        <w:div w:id="68700072">
          <w:marLeft w:val="0"/>
          <w:marRight w:val="0"/>
          <w:marTop w:val="0"/>
          <w:marBottom w:val="0"/>
          <w:divBdr>
            <w:top w:val="none" w:sz="0" w:space="0" w:color="auto"/>
            <w:left w:val="none" w:sz="0" w:space="0" w:color="auto"/>
            <w:bottom w:val="none" w:sz="0" w:space="0" w:color="auto"/>
            <w:right w:val="none" w:sz="0" w:space="0" w:color="auto"/>
          </w:divBdr>
          <w:divsChild>
            <w:div w:id="597758088">
              <w:marLeft w:val="0"/>
              <w:marRight w:val="0"/>
              <w:marTop w:val="0"/>
              <w:marBottom w:val="0"/>
              <w:divBdr>
                <w:top w:val="none" w:sz="0" w:space="0" w:color="auto"/>
                <w:left w:val="none" w:sz="0" w:space="0" w:color="auto"/>
                <w:bottom w:val="none" w:sz="0" w:space="0" w:color="auto"/>
                <w:right w:val="none" w:sz="0" w:space="0" w:color="auto"/>
              </w:divBdr>
            </w:div>
            <w:div w:id="1339232002">
              <w:marLeft w:val="0"/>
              <w:marRight w:val="0"/>
              <w:marTop w:val="0"/>
              <w:marBottom w:val="0"/>
              <w:divBdr>
                <w:top w:val="none" w:sz="0" w:space="0" w:color="auto"/>
                <w:left w:val="none" w:sz="0" w:space="0" w:color="auto"/>
                <w:bottom w:val="none" w:sz="0" w:space="0" w:color="auto"/>
                <w:right w:val="none" w:sz="0" w:space="0" w:color="auto"/>
              </w:divBdr>
            </w:div>
            <w:div w:id="1530337543">
              <w:marLeft w:val="0"/>
              <w:marRight w:val="0"/>
              <w:marTop w:val="0"/>
              <w:marBottom w:val="0"/>
              <w:divBdr>
                <w:top w:val="none" w:sz="0" w:space="0" w:color="auto"/>
                <w:left w:val="none" w:sz="0" w:space="0" w:color="auto"/>
                <w:bottom w:val="none" w:sz="0" w:space="0" w:color="auto"/>
                <w:right w:val="none" w:sz="0" w:space="0" w:color="auto"/>
              </w:divBdr>
            </w:div>
            <w:div w:id="757218631">
              <w:marLeft w:val="0"/>
              <w:marRight w:val="0"/>
              <w:marTop w:val="0"/>
              <w:marBottom w:val="0"/>
              <w:divBdr>
                <w:top w:val="none" w:sz="0" w:space="0" w:color="auto"/>
                <w:left w:val="none" w:sz="0" w:space="0" w:color="auto"/>
                <w:bottom w:val="none" w:sz="0" w:space="0" w:color="auto"/>
                <w:right w:val="none" w:sz="0" w:space="0" w:color="auto"/>
              </w:divBdr>
            </w:div>
            <w:div w:id="1840851322">
              <w:marLeft w:val="0"/>
              <w:marRight w:val="0"/>
              <w:marTop w:val="0"/>
              <w:marBottom w:val="0"/>
              <w:divBdr>
                <w:top w:val="none" w:sz="0" w:space="0" w:color="auto"/>
                <w:left w:val="none" w:sz="0" w:space="0" w:color="auto"/>
                <w:bottom w:val="none" w:sz="0" w:space="0" w:color="auto"/>
                <w:right w:val="none" w:sz="0" w:space="0" w:color="auto"/>
              </w:divBdr>
            </w:div>
            <w:div w:id="1394768253">
              <w:marLeft w:val="0"/>
              <w:marRight w:val="0"/>
              <w:marTop w:val="0"/>
              <w:marBottom w:val="0"/>
              <w:divBdr>
                <w:top w:val="none" w:sz="0" w:space="0" w:color="auto"/>
                <w:left w:val="none" w:sz="0" w:space="0" w:color="auto"/>
                <w:bottom w:val="none" w:sz="0" w:space="0" w:color="auto"/>
                <w:right w:val="none" w:sz="0" w:space="0" w:color="auto"/>
              </w:divBdr>
            </w:div>
            <w:div w:id="1650283590">
              <w:marLeft w:val="0"/>
              <w:marRight w:val="0"/>
              <w:marTop w:val="0"/>
              <w:marBottom w:val="0"/>
              <w:divBdr>
                <w:top w:val="none" w:sz="0" w:space="0" w:color="auto"/>
                <w:left w:val="none" w:sz="0" w:space="0" w:color="auto"/>
                <w:bottom w:val="none" w:sz="0" w:space="0" w:color="auto"/>
                <w:right w:val="none" w:sz="0" w:space="0" w:color="auto"/>
              </w:divBdr>
            </w:div>
            <w:div w:id="618337216">
              <w:marLeft w:val="0"/>
              <w:marRight w:val="0"/>
              <w:marTop w:val="0"/>
              <w:marBottom w:val="0"/>
              <w:divBdr>
                <w:top w:val="none" w:sz="0" w:space="0" w:color="auto"/>
                <w:left w:val="none" w:sz="0" w:space="0" w:color="auto"/>
                <w:bottom w:val="none" w:sz="0" w:space="0" w:color="auto"/>
                <w:right w:val="none" w:sz="0" w:space="0" w:color="auto"/>
              </w:divBdr>
            </w:div>
            <w:div w:id="942499990">
              <w:marLeft w:val="0"/>
              <w:marRight w:val="0"/>
              <w:marTop w:val="0"/>
              <w:marBottom w:val="0"/>
              <w:divBdr>
                <w:top w:val="none" w:sz="0" w:space="0" w:color="auto"/>
                <w:left w:val="none" w:sz="0" w:space="0" w:color="auto"/>
                <w:bottom w:val="none" w:sz="0" w:space="0" w:color="auto"/>
                <w:right w:val="none" w:sz="0" w:space="0" w:color="auto"/>
              </w:divBdr>
            </w:div>
            <w:div w:id="1721324483">
              <w:marLeft w:val="0"/>
              <w:marRight w:val="0"/>
              <w:marTop w:val="0"/>
              <w:marBottom w:val="0"/>
              <w:divBdr>
                <w:top w:val="none" w:sz="0" w:space="0" w:color="auto"/>
                <w:left w:val="none" w:sz="0" w:space="0" w:color="auto"/>
                <w:bottom w:val="none" w:sz="0" w:space="0" w:color="auto"/>
                <w:right w:val="none" w:sz="0" w:space="0" w:color="auto"/>
              </w:divBdr>
            </w:div>
            <w:div w:id="1984775410">
              <w:marLeft w:val="0"/>
              <w:marRight w:val="0"/>
              <w:marTop w:val="0"/>
              <w:marBottom w:val="0"/>
              <w:divBdr>
                <w:top w:val="none" w:sz="0" w:space="0" w:color="auto"/>
                <w:left w:val="none" w:sz="0" w:space="0" w:color="auto"/>
                <w:bottom w:val="none" w:sz="0" w:space="0" w:color="auto"/>
                <w:right w:val="none" w:sz="0" w:space="0" w:color="auto"/>
              </w:divBdr>
            </w:div>
            <w:div w:id="521823946">
              <w:marLeft w:val="0"/>
              <w:marRight w:val="0"/>
              <w:marTop w:val="0"/>
              <w:marBottom w:val="0"/>
              <w:divBdr>
                <w:top w:val="none" w:sz="0" w:space="0" w:color="auto"/>
                <w:left w:val="none" w:sz="0" w:space="0" w:color="auto"/>
                <w:bottom w:val="none" w:sz="0" w:space="0" w:color="auto"/>
                <w:right w:val="none" w:sz="0" w:space="0" w:color="auto"/>
              </w:divBdr>
            </w:div>
            <w:div w:id="96289142">
              <w:marLeft w:val="0"/>
              <w:marRight w:val="0"/>
              <w:marTop w:val="0"/>
              <w:marBottom w:val="0"/>
              <w:divBdr>
                <w:top w:val="none" w:sz="0" w:space="0" w:color="auto"/>
                <w:left w:val="none" w:sz="0" w:space="0" w:color="auto"/>
                <w:bottom w:val="none" w:sz="0" w:space="0" w:color="auto"/>
                <w:right w:val="none" w:sz="0" w:space="0" w:color="auto"/>
              </w:divBdr>
            </w:div>
            <w:div w:id="1855999962">
              <w:marLeft w:val="0"/>
              <w:marRight w:val="0"/>
              <w:marTop w:val="0"/>
              <w:marBottom w:val="0"/>
              <w:divBdr>
                <w:top w:val="none" w:sz="0" w:space="0" w:color="auto"/>
                <w:left w:val="none" w:sz="0" w:space="0" w:color="auto"/>
                <w:bottom w:val="none" w:sz="0" w:space="0" w:color="auto"/>
                <w:right w:val="none" w:sz="0" w:space="0" w:color="auto"/>
              </w:divBdr>
            </w:div>
            <w:div w:id="1959679499">
              <w:marLeft w:val="0"/>
              <w:marRight w:val="0"/>
              <w:marTop w:val="0"/>
              <w:marBottom w:val="0"/>
              <w:divBdr>
                <w:top w:val="none" w:sz="0" w:space="0" w:color="auto"/>
                <w:left w:val="none" w:sz="0" w:space="0" w:color="auto"/>
                <w:bottom w:val="none" w:sz="0" w:space="0" w:color="auto"/>
                <w:right w:val="none" w:sz="0" w:space="0" w:color="auto"/>
              </w:divBdr>
            </w:div>
            <w:div w:id="11691187">
              <w:marLeft w:val="0"/>
              <w:marRight w:val="0"/>
              <w:marTop w:val="0"/>
              <w:marBottom w:val="0"/>
              <w:divBdr>
                <w:top w:val="none" w:sz="0" w:space="0" w:color="auto"/>
                <w:left w:val="none" w:sz="0" w:space="0" w:color="auto"/>
                <w:bottom w:val="none" w:sz="0" w:space="0" w:color="auto"/>
                <w:right w:val="none" w:sz="0" w:space="0" w:color="auto"/>
              </w:divBdr>
            </w:div>
            <w:div w:id="1069159824">
              <w:marLeft w:val="0"/>
              <w:marRight w:val="0"/>
              <w:marTop w:val="0"/>
              <w:marBottom w:val="0"/>
              <w:divBdr>
                <w:top w:val="none" w:sz="0" w:space="0" w:color="auto"/>
                <w:left w:val="none" w:sz="0" w:space="0" w:color="auto"/>
                <w:bottom w:val="none" w:sz="0" w:space="0" w:color="auto"/>
                <w:right w:val="none" w:sz="0" w:space="0" w:color="auto"/>
              </w:divBdr>
            </w:div>
            <w:div w:id="1309628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7083390">
      <w:bodyDiv w:val="1"/>
      <w:marLeft w:val="0"/>
      <w:marRight w:val="0"/>
      <w:marTop w:val="0"/>
      <w:marBottom w:val="0"/>
      <w:divBdr>
        <w:top w:val="none" w:sz="0" w:space="0" w:color="auto"/>
        <w:left w:val="none" w:sz="0" w:space="0" w:color="auto"/>
        <w:bottom w:val="none" w:sz="0" w:space="0" w:color="auto"/>
        <w:right w:val="none" w:sz="0" w:space="0" w:color="auto"/>
      </w:divBdr>
    </w:div>
    <w:div w:id="543097978">
      <w:bodyDiv w:val="1"/>
      <w:marLeft w:val="0"/>
      <w:marRight w:val="0"/>
      <w:marTop w:val="0"/>
      <w:marBottom w:val="0"/>
      <w:divBdr>
        <w:top w:val="none" w:sz="0" w:space="0" w:color="auto"/>
        <w:left w:val="none" w:sz="0" w:space="0" w:color="auto"/>
        <w:bottom w:val="none" w:sz="0" w:space="0" w:color="auto"/>
        <w:right w:val="none" w:sz="0" w:space="0" w:color="auto"/>
      </w:divBdr>
    </w:div>
    <w:div w:id="1231426831">
      <w:bodyDiv w:val="1"/>
      <w:marLeft w:val="0"/>
      <w:marRight w:val="0"/>
      <w:marTop w:val="0"/>
      <w:marBottom w:val="0"/>
      <w:divBdr>
        <w:top w:val="none" w:sz="0" w:space="0" w:color="auto"/>
        <w:left w:val="none" w:sz="0" w:space="0" w:color="auto"/>
        <w:bottom w:val="none" w:sz="0" w:space="0" w:color="auto"/>
        <w:right w:val="none" w:sz="0" w:space="0" w:color="auto"/>
      </w:divBdr>
      <w:divsChild>
        <w:div w:id="1824541417">
          <w:marLeft w:val="0"/>
          <w:marRight w:val="0"/>
          <w:marTop w:val="0"/>
          <w:marBottom w:val="0"/>
          <w:divBdr>
            <w:top w:val="single" w:sz="6" w:space="0" w:color="auto"/>
            <w:left w:val="single" w:sz="6" w:space="0" w:color="auto"/>
            <w:bottom w:val="single" w:sz="6" w:space="0" w:color="auto"/>
            <w:right w:val="single" w:sz="6" w:space="0" w:color="auto"/>
          </w:divBdr>
        </w:div>
      </w:divsChild>
    </w:div>
    <w:div w:id="1357847629">
      <w:bodyDiv w:val="1"/>
      <w:marLeft w:val="0"/>
      <w:marRight w:val="0"/>
      <w:marTop w:val="0"/>
      <w:marBottom w:val="0"/>
      <w:divBdr>
        <w:top w:val="none" w:sz="0" w:space="0" w:color="auto"/>
        <w:left w:val="none" w:sz="0" w:space="0" w:color="auto"/>
        <w:bottom w:val="none" w:sz="0" w:space="0" w:color="auto"/>
        <w:right w:val="none" w:sz="0" w:space="0" w:color="auto"/>
      </w:divBdr>
      <w:divsChild>
        <w:div w:id="1974209095">
          <w:marLeft w:val="0"/>
          <w:marRight w:val="0"/>
          <w:marTop w:val="0"/>
          <w:marBottom w:val="0"/>
          <w:divBdr>
            <w:top w:val="single" w:sz="6" w:space="0" w:color="auto"/>
            <w:left w:val="single" w:sz="6" w:space="0" w:color="auto"/>
            <w:bottom w:val="single" w:sz="6" w:space="0" w:color="auto"/>
            <w:right w:val="single" w:sz="6" w:space="0" w:color="auto"/>
          </w:divBdr>
        </w:div>
      </w:divsChild>
    </w:div>
    <w:div w:id="1959682993">
      <w:bodyDiv w:val="1"/>
      <w:marLeft w:val="0"/>
      <w:marRight w:val="0"/>
      <w:marTop w:val="0"/>
      <w:marBottom w:val="0"/>
      <w:divBdr>
        <w:top w:val="none" w:sz="0" w:space="0" w:color="auto"/>
        <w:left w:val="none" w:sz="0" w:space="0" w:color="auto"/>
        <w:bottom w:val="none" w:sz="0" w:space="0" w:color="auto"/>
        <w:right w:val="none" w:sz="0" w:space="0" w:color="auto"/>
      </w:divBdr>
      <w:divsChild>
        <w:div w:id="1117482693">
          <w:marLeft w:val="0"/>
          <w:marRight w:val="0"/>
          <w:marTop w:val="0"/>
          <w:marBottom w:val="0"/>
          <w:divBdr>
            <w:top w:val="single" w:sz="2" w:space="0" w:color="auto"/>
            <w:left w:val="single" w:sz="2" w:space="0" w:color="auto"/>
            <w:bottom w:val="single" w:sz="2" w:space="0" w:color="auto"/>
            <w:right w:val="single" w:sz="2" w:space="0" w:color="auto"/>
          </w:divBdr>
        </w:div>
      </w:divsChild>
    </w:div>
    <w:div w:id="2047683228">
      <w:bodyDiv w:val="1"/>
      <w:marLeft w:val="0"/>
      <w:marRight w:val="0"/>
      <w:marTop w:val="0"/>
      <w:marBottom w:val="0"/>
      <w:divBdr>
        <w:top w:val="none" w:sz="0" w:space="0" w:color="auto"/>
        <w:left w:val="none" w:sz="0" w:space="0" w:color="auto"/>
        <w:bottom w:val="none" w:sz="0" w:space="0" w:color="auto"/>
        <w:right w:val="none" w:sz="0" w:space="0" w:color="auto"/>
      </w:divBdr>
      <w:divsChild>
        <w:div w:id="1419134130">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B58CF1-EC41-49F9-8ECC-6EF5B68066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3592</Words>
  <Characters>20477</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24021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2024-04-04T11:08:00Z</dcterms:created>
  <dcterms:modified xsi:type="dcterms:W3CDTF">2024-04-04T11:08:00Z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4c071f3468aeebf05e42bf48dde2ac7d26d73d7a3673a7cc8e944669f64fc2ac</vt:lpwstr>
  </property>
</Properties>
</file>