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0C1564" w14:textId="77777777" w:rsidR="00C07605" w:rsidRDefault="00C07605" w:rsidP="00C07605">
      <w:pPr>
        <w:pStyle w:val="Heading1"/>
      </w:pPr>
    </w:p>
    <w:p w14:paraId="7E30D6D5" w14:textId="77777777" w:rsidR="00C07605" w:rsidRDefault="00C07605" w:rsidP="00C07605"/>
    <w:p w14:paraId="72A97F7E" w14:textId="77777777" w:rsidR="00C07605" w:rsidRDefault="00C07605" w:rsidP="00C07605"/>
    <w:p w14:paraId="1A63EF66" w14:textId="4CFB40C7" w:rsidR="00C07605" w:rsidRDefault="00C07605" w:rsidP="00C07605">
      <w:pPr>
        <w:pStyle w:val="IntenseQuote"/>
      </w:pPr>
      <w:r>
        <w:t>BMIH 5007 Business Report</w:t>
      </w:r>
    </w:p>
    <w:p w14:paraId="01B62277" w14:textId="77777777" w:rsidR="00C07605" w:rsidRDefault="00C07605" w:rsidP="00C07605"/>
    <w:p w14:paraId="275C9007" w14:textId="77777777" w:rsidR="00C07605" w:rsidRDefault="00C07605" w:rsidP="00C07605"/>
    <w:p w14:paraId="2D37E00D" w14:textId="75746C69" w:rsidR="00C07605" w:rsidRDefault="00C07605" w:rsidP="00C07605">
      <w:r>
        <w:t xml:space="preserve">By: Christopher </w:t>
      </w:r>
      <w:proofErr w:type="spellStart"/>
      <w:r>
        <w:t>Setalsingh</w:t>
      </w:r>
      <w:proofErr w:type="spellEnd"/>
      <w:r>
        <w:t xml:space="preserve"> (2127114)</w:t>
      </w:r>
    </w:p>
    <w:p w14:paraId="29F1992C" w14:textId="3CF8636A" w:rsidR="00C07605" w:rsidRDefault="00C07605" w:rsidP="00C07605">
      <w:r>
        <w:t>Lecturer: Tristan Dawkins</w:t>
      </w:r>
    </w:p>
    <w:p w14:paraId="52B7EFB9" w14:textId="65BE79B3" w:rsidR="00C07605" w:rsidRDefault="00C07605" w:rsidP="00C07605">
      <w:r>
        <w:t>Word count 2000</w:t>
      </w:r>
    </w:p>
    <w:p w14:paraId="27601809" w14:textId="77777777" w:rsidR="00C07605" w:rsidRDefault="00C07605" w:rsidP="00C07605"/>
    <w:p w14:paraId="4B10EFB8" w14:textId="77777777" w:rsidR="00C07605" w:rsidRDefault="00C07605" w:rsidP="00C07605"/>
    <w:p w14:paraId="3C20FCCA" w14:textId="77777777" w:rsidR="00C07605" w:rsidRDefault="00C07605" w:rsidP="00C07605"/>
    <w:p w14:paraId="71577D64" w14:textId="77777777" w:rsidR="00C07605" w:rsidRDefault="00C07605" w:rsidP="00C07605"/>
    <w:p w14:paraId="6F4FB688" w14:textId="77777777" w:rsidR="00C07605" w:rsidRDefault="00C07605" w:rsidP="00C07605"/>
    <w:p w14:paraId="746A6C4F" w14:textId="77777777" w:rsidR="00C07605" w:rsidRDefault="00C07605" w:rsidP="00C07605"/>
    <w:p w14:paraId="2EAEABFA" w14:textId="77777777" w:rsidR="00C07605" w:rsidRDefault="00C07605" w:rsidP="00C07605"/>
    <w:p w14:paraId="21CDB94E" w14:textId="77777777" w:rsidR="00C07605" w:rsidRDefault="00C07605" w:rsidP="00C07605"/>
    <w:p w14:paraId="0844CDAA" w14:textId="77777777" w:rsidR="00C07605" w:rsidRDefault="00C07605" w:rsidP="00C07605"/>
    <w:p w14:paraId="5FAC95B5" w14:textId="77777777" w:rsidR="00C07605" w:rsidRDefault="00C07605" w:rsidP="00C07605"/>
    <w:p w14:paraId="1E4026F1" w14:textId="77777777" w:rsidR="00C07605" w:rsidRDefault="00C07605" w:rsidP="00C07605"/>
    <w:p w14:paraId="31F398F0" w14:textId="77777777" w:rsidR="00C07605" w:rsidRDefault="00C07605" w:rsidP="00C07605"/>
    <w:p w14:paraId="32F0DBB7" w14:textId="77777777" w:rsidR="00C07605" w:rsidRDefault="00C07605" w:rsidP="00C07605"/>
    <w:p w14:paraId="27850C80" w14:textId="77777777" w:rsidR="00C07605" w:rsidRDefault="00C07605" w:rsidP="00C07605"/>
    <w:p w14:paraId="68459D0E" w14:textId="77777777" w:rsidR="00C07605" w:rsidRDefault="00C07605" w:rsidP="00C07605"/>
    <w:p w14:paraId="13F24186" w14:textId="77777777" w:rsidR="00C07605" w:rsidRDefault="00C07605" w:rsidP="00C07605"/>
    <w:p w14:paraId="569B38AB" w14:textId="77777777" w:rsidR="00C07605" w:rsidRDefault="00C07605" w:rsidP="00C07605"/>
    <w:p w14:paraId="0DC322C4" w14:textId="77777777" w:rsidR="00C07605" w:rsidRDefault="00C07605" w:rsidP="00C07605"/>
    <w:p w14:paraId="77B83ADC" w14:textId="77777777" w:rsidR="00C07605" w:rsidRDefault="00C07605" w:rsidP="00C07605"/>
    <w:p w14:paraId="12A266B1" w14:textId="77777777" w:rsidR="00C07605" w:rsidRDefault="00C07605" w:rsidP="00C07605"/>
    <w:p w14:paraId="6AB37A58" w14:textId="77777777" w:rsidR="00C07605" w:rsidRDefault="00C07605" w:rsidP="00C07605"/>
    <w:p w14:paraId="11A4DEA9" w14:textId="77777777" w:rsidR="00E80256" w:rsidRPr="00E80256" w:rsidRDefault="00E80256" w:rsidP="00E80256">
      <w:r w:rsidRPr="00E80256">
        <w:t xml:space="preserve">How to acknowledge your use of AI </w:t>
      </w:r>
    </w:p>
    <w:p w14:paraId="3CF22872" w14:textId="00DEF509" w:rsidR="00972166" w:rsidRDefault="00972166" w:rsidP="00972166">
      <w:r w:rsidRPr="00972166">
        <w:t xml:space="preserve">I acknowledge the use of </w:t>
      </w:r>
      <w:r w:rsidRPr="00972166">
        <w:t xml:space="preserve">Grammarly </w:t>
      </w:r>
      <w:r>
        <w:t xml:space="preserve">and </w:t>
      </w:r>
      <w:r w:rsidRPr="00972166">
        <w:t>https://www.citethisforme.com</w:t>
      </w:r>
      <w:r>
        <w:t>)</w:t>
      </w:r>
    </w:p>
    <w:p w14:paraId="71DBB46D" w14:textId="31067635" w:rsidR="00972166" w:rsidRPr="00972166" w:rsidRDefault="00972166" w:rsidP="00972166">
      <w:r w:rsidRPr="00972166">
        <w:t>(</w:t>
      </w:r>
      <w:r w:rsidRPr="00972166">
        <w:t xml:space="preserve">https://www.grammarly.com/) on </w:t>
      </w:r>
      <w:r>
        <w:t>16</w:t>
      </w:r>
      <w:r w:rsidRPr="00972166">
        <w:t xml:space="preserve"> </w:t>
      </w:r>
      <w:r>
        <w:t>October</w:t>
      </w:r>
      <w:r w:rsidRPr="00972166">
        <w:t xml:space="preserve"> 2024 to check my work using the prompt(s): </w:t>
      </w:r>
    </w:p>
    <w:p w14:paraId="11445D81" w14:textId="06C3C5A7" w:rsidR="00972166" w:rsidRDefault="00972166" w:rsidP="00972166">
      <w:pPr>
        <w:pStyle w:val="ListParagraph"/>
        <w:numPr>
          <w:ilvl w:val="0"/>
          <w:numId w:val="5"/>
        </w:numPr>
      </w:pPr>
      <w:r>
        <w:t xml:space="preserve">to </w:t>
      </w:r>
      <w:r w:rsidRPr="00972166">
        <w:t>check</w:t>
      </w:r>
      <w:r>
        <w:t xml:space="preserve"> </w:t>
      </w:r>
      <w:r w:rsidRPr="00972166">
        <w:t>text</w:t>
      </w:r>
      <w:r>
        <w:t xml:space="preserve"> </w:t>
      </w:r>
      <w:r w:rsidRPr="00972166">
        <w:t>for</w:t>
      </w:r>
      <w:r>
        <w:t xml:space="preserve"> </w:t>
      </w:r>
      <w:r w:rsidRPr="00972166">
        <w:t>readability,</w:t>
      </w:r>
      <w:r>
        <w:t xml:space="preserve"> </w:t>
      </w:r>
      <w:r w:rsidRPr="00972166">
        <w:t>grammar</w:t>
      </w:r>
      <w:r>
        <w:t xml:space="preserve"> </w:t>
      </w:r>
      <w:r w:rsidRPr="00972166">
        <w:t>and</w:t>
      </w:r>
      <w:r>
        <w:t xml:space="preserve"> </w:t>
      </w:r>
      <w:r w:rsidRPr="00972166">
        <w:t>syntax.</w:t>
      </w:r>
    </w:p>
    <w:p w14:paraId="14A5B6BB" w14:textId="17F38EFD" w:rsidR="00972166" w:rsidRPr="00972166" w:rsidRDefault="00972166" w:rsidP="00972166">
      <w:pPr>
        <w:pStyle w:val="ListParagraph"/>
        <w:numPr>
          <w:ilvl w:val="0"/>
          <w:numId w:val="5"/>
        </w:numPr>
      </w:pPr>
      <w:r>
        <w:t>Cite my resources for the research</w:t>
      </w:r>
      <w:r w:rsidRPr="00972166">
        <w:t xml:space="preserve"> </w:t>
      </w:r>
    </w:p>
    <w:p w14:paraId="345FE499" w14:textId="77777777" w:rsidR="00972166" w:rsidRPr="00972166" w:rsidRDefault="00972166" w:rsidP="00972166">
      <w:r w:rsidRPr="00972166">
        <w:t xml:space="preserve">I confirm that I have not presented any AI generated text as my own work. I confirm I have copies of my drafts, notes, and other resources I used before, and after the use of AI tools which I may be asked to provide in evidence. </w:t>
      </w:r>
    </w:p>
    <w:p w14:paraId="27888ABF" w14:textId="77777777" w:rsidR="00C07605" w:rsidRDefault="00C07605" w:rsidP="00C07605"/>
    <w:p w14:paraId="417EC31B" w14:textId="77777777" w:rsidR="009F5834" w:rsidRDefault="009F5834" w:rsidP="00C07605"/>
    <w:p w14:paraId="73296DF0" w14:textId="77777777" w:rsidR="009F5834" w:rsidRDefault="009F5834" w:rsidP="00C07605"/>
    <w:p w14:paraId="12A67410" w14:textId="77777777" w:rsidR="009F5834" w:rsidRDefault="009F5834" w:rsidP="00C07605"/>
    <w:p w14:paraId="441A54F9" w14:textId="77777777" w:rsidR="009F5834" w:rsidRDefault="009F5834" w:rsidP="00C07605"/>
    <w:p w14:paraId="04AA7ADC" w14:textId="4AD0B712" w:rsidR="009F5834" w:rsidRDefault="009F5834" w:rsidP="00C07605"/>
    <w:p w14:paraId="4FFDCCD6" w14:textId="77777777" w:rsidR="009F5834" w:rsidRDefault="009F5834" w:rsidP="00C07605"/>
    <w:p w14:paraId="0712527C" w14:textId="77777777" w:rsidR="009F5834" w:rsidRDefault="009F5834" w:rsidP="00C07605"/>
    <w:p w14:paraId="5E50B6DF" w14:textId="77777777" w:rsidR="009F5834" w:rsidRDefault="009F5834" w:rsidP="00C07605"/>
    <w:p w14:paraId="4B910029" w14:textId="77777777" w:rsidR="009F5834" w:rsidRDefault="009F5834" w:rsidP="00C07605"/>
    <w:p w14:paraId="27C3FFA1" w14:textId="77777777" w:rsidR="009F5834" w:rsidRDefault="009F5834" w:rsidP="00C07605"/>
    <w:p w14:paraId="20A81E40" w14:textId="77777777" w:rsidR="009F5834" w:rsidRDefault="009F5834" w:rsidP="00C07605"/>
    <w:p w14:paraId="6CFB1B48" w14:textId="77777777" w:rsidR="00C07605" w:rsidRDefault="00C07605" w:rsidP="00C07605"/>
    <w:p w14:paraId="122023A0" w14:textId="77777777" w:rsidR="00C07605" w:rsidRDefault="00C07605" w:rsidP="00C07605"/>
    <w:p w14:paraId="6A3449C2" w14:textId="77777777" w:rsidR="009F5834" w:rsidRDefault="009F5834" w:rsidP="00C07605"/>
    <w:p w14:paraId="2B83C618" w14:textId="77777777" w:rsidR="009F5834" w:rsidRDefault="009F5834" w:rsidP="00C07605"/>
    <w:p w14:paraId="09C6D803" w14:textId="77777777" w:rsidR="009F5834" w:rsidRDefault="009F5834" w:rsidP="00C07605"/>
    <w:p w14:paraId="0427FDBB" w14:textId="77777777" w:rsidR="009F5834" w:rsidRDefault="009F5834" w:rsidP="00C07605"/>
    <w:p w14:paraId="13160A97" w14:textId="77777777" w:rsidR="009F5834" w:rsidRDefault="009F5834" w:rsidP="00C07605"/>
    <w:p w14:paraId="712D3D79" w14:textId="77777777" w:rsidR="009F5834" w:rsidRDefault="009F5834" w:rsidP="00C07605"/>
    <w:p w14:paraId="59557D24" w14:textId="77777777" w:rsidR="009F5834" w:rsidRDefault="009F5834" w:rsidP="00C07605"/>
    <w:p w14:paraId="2461D44B" w14:textId="77777777" w:rsidR="009F5834" w:rsidRDefault="009F5834" w:rsidP="00C07605"/>
    <w:p w14:paraId="78329ED7" w14:textId="77777777" w:rsidR="009F5834" w:rsidRDefault="009F5834" w:rsidP="00C07605"/>
    <w:p w14:paraId="4F51646E" w14:textId="77777777" w:rsidR="009F5834" w:rsidRDefault="009F5834" w:rsidP="00C07605"/>
    <w:p w14:paraId="7C6DABA6" w14:textId="0EDCD86D" w:rsidR="00C07605" w:rsidRDefault="009F5834" w:rsidP="00C07605">
      <w:pPr>
        <w:pStyle w:val="IntenseQuote"/>
      </w:pPr>
      <w:r>
        <w:t>Table of Contents</w:t>
      </w:r>
    </w:p>
    <w:p w14:paraId="210F1BC0" w14:textId="67D373E3" w:rsidR="009F5834" w:rsidRDefault="009F5834" w:rsidP="009F5834">
      <w:r>
        <w:t>Introduction…………………………………………………………………………………….</w:t>
      </w:r>
      <w:r w:rsidR="00210D17">
        <w:t>4</w:t>
      </w:r>
    </w:p>
    <w:p w14:paraId="28A4A788" w14:textId="12F13BAD" w:rsidR="009F5834" w:rsidRDefault="009F5834" w:rsidP="009F5834">
      <w:r>
        <w:t>Discussions…………………………………………………………………………………</w:t>
      </w:r>
      <w:proofErr w:type="gramStart"/>
      <w:r>
        <w:t>…..</w:t>
      </w:r>
      <w:proofErr w:type="gramEnd"/>
      <w:r w:rsidR="00210D17">
        <w:t>4</w:t>
      </w:r>
    </w:p>
    <w:p w14:paraId="52B8640F" w14:textId="2FE35FD1" w:rsidR="009F5834" w:rsidRDefault="009F5834" w:rsidP="009F5834">
      <w:r>
        <w:t>Evaluation of revenue position of both businesses………………………………….</w:t>
      </w:r>
      <w:r w:rsidR="00210D17">
        <w:t>5</w:t>
      </w:r>
    </w:p>
    <w:p w14:paraId="4BFE1A44" w14:textId="4C85A6CF" w:rsidR="009F5834" w:rsidRDefault="009F5834" w:rsidP="009F5834">
      <w:r>
        <w:t>Evaluation of the market position of both businesses………………………………</w:t>
      </w:r>
      <w:r w:rsidR="00210D17">
        <w:t>7</w:t>
      </w:r>
    </w:p>
    <w:p w14:paraId="54B5485D" w14:textId="1ACEA531" w:rsidR="009F5834" w:rsidRDefault="009F5834" w:rsidP="009F5834">
      <w:r>
        <w:t>Evaluation of growth potential of both businesses………………………………</w:t>
      </w:r>
      <w:proofErr w:type="gramStart"/>
      <w:r>
        <w:t>…..</w:t>
      </w:r>
      <w:proofErr w:type="gramEnd"/>
      <w:r w:rsidR="00210D17">
        <w:t>8</w:t>
      </w:r>
    </w:p>
    <w:p w14:paraId="5B36514E" w14:textId="22FAD6FE" w:rsidR="009F5834" w:rsidRDefault="009F5834" w:rsidP="009F5834">
      <w:r>
        <w:t>Conclusion……………………………………………………………………………………….</w:t>
      </w:r>
      <w:r w:rsidR="00210D17">
        <w:t>9</w:t>
      </w:r>
    </w:p>
    <w:p w14:paraId="08872F05" w14:textId="53A35CC0" w:rsidR="009F5834" w:rsidRDefault="009F5834" w:rsidP="009F5834">
      <w:r>
        <w:t>Recommendation……………………………………………………………………………</w:t>
      </w:r>
      <w:r w:rsidR="00210D17">
        <w:t>.10</w:t>
      </w:r>
    </w:p>
    <w:p w14:paraId="0D302A47" w14:textId="3921CA85" w:rsidR="009F5834" w:rsidRDefault="009F5834" w:rsidP="009F5834">
      <w:r>
        <w:t>References………………………………………………………………………………………</w:t>
      </w:r>
      <w:r w:rsidR="00210D17">
        <w:t>11</w:t>
      </w:r>
    </w:p>
    <w:p w14:paraId="33297587" w14:textId="77777777" w:rsidR="000F1BF4" w:rsidRDefault="000F1BF4" w:rsidP="009F5834"/>
    <w:p w14:paraId="6F4165FB" w14:textId="77777777" w:rsidR="000F1BF4" w:rsidRDefault="000F1BF4" w:rsidP="009F5834"/>
    <w:p w14:paraId="7A7157D5" w14:textId="77777777" w:rsidR="000F1BF4" w:rsidRDefault="000F1BF4" w:rsidP="009F5834"/>
    <w:p w14:paraId="5DCE3C77" w14:textId="77777777" w:rsidR="000F1BF4" w:rsidRDefault="000F1BF4" w:rsidP="009F5834"/>
    <w:p w14:paraId="317946ED" w14:textId="77777777" w:rsidR="000F1BF4" w:rsidRDefault="000F1BF4" w:rsidP="009F5834"/>
    <w:p w14:paraId="2AA7E2CE" w14:textId="77777777" w:rsidR="009F4B1C" w:rsidRDefault="009F4B1C" w:rsidP="009F5834"/>
    <w:p w14:paraId="023A2899" w14:textId="77777777" w:rsidR="009F4B1C" w:rsidRDefault="009F4B1C" w:rsidP="009F5834"/>
    <w:p w14:paraId="45F5CEB2" w14:textId="77777777" w:rsidR="009F4B1C" w:rsidRDefault="009F4B1C" w:rsidP="009F5834"/>
    <w:p w14:paraId="6F7156A6" w14:textId="77777777" w:rsidR="009F4B1C" w:rsidRDefault="009F4B1C" w:rsidP="009F5834"/>
    <w:p w14:paraId="6DD9A742" w14:textId="77777777" w:rsidR="009F4B1C" w:rsidRDefault="009F4B1C" w:rsidP="009F5834"/>
    <w:p w14:paraId="5F915EDF" w14:textId="0BCFE8B9" w:rsidR="009F4B1C" w:rsidRDefault="009F4B1C" w:rsidP="009F5834">
      <w:pPr>
        <w:rPr>
          <w:rFonts w:ascii="Arial" w:hAnsi="Arial" w:cs="Arial"/>
          <w:b/>
          <w:bCs/>
        </w:rPr>
      </w:pPr>
      <w:r w:rsidRPr="009F4B1C">
        <w:rPr>
          <w:rFonts w:ascii="Arial" w:hAnsi="Arial" w:cs="Arial"/>
          <w:b/>
          <w:bCs/>
        </w:rPr>
        <w:t>Introduction</w:t>
      </w:r>
    </w:p>
    <w:p w14:paraId="7863529A" w14:textId="54A3D56C" w:rsidR="009F4B1C" w:rsidRDefault="009A3DCE" w:rsidP="009A3DCE">
      <w:pPr>
        <w:rPr>
          <w:rFonts w:ascii="Arial" w:hAnsi="Arial" w:cs="Arial"/>
        </w:rPr>
      </w:pPr>
      <w:r w:rsidRPr="009A3DCE">
        <w:rPr>
          <w:rFonts w:ascii="Arial" w:hAnsi="Arial" w:cs="Arial"/>
        </w:rPr>
        <w:t>an examination of the financial information of Shangri-La Hotels and Premier Inn Hotels, two well-known names in the international hospitality sector. Both brands target distinct market niches and employ a range of approaches to deal with the challenges posed by the interconnectedness of the world economy. This is required because it serves to illustrate the appropriate level of information regarding the organisations' financial values. In order to provide insight into how both organisations have handled their resources and operations, particularly during difficult economic times, this research critically evaluates the financial management methods of the two businesses, concentrating on their financial performance in important areas.</w:t>
      </w:r>
    </w:p>
    <w:p w14:paraId="19DA954C" w14:textId="46572EBB" w:rsidR="009A3DCE" w:rsidRPr="00C72256" w:rsidRDefault="00C72256" w:rsidP="009A3DCE">
      <w:pPr>
        <w:rPr>
          <w:rFonts w:ascii="Arial" w:hAnsi="Arial" w:cs="Arial"/>
          <w:b/>
          <w:bCs/>
        </w:rPr>
      </w:pPr>
      <w:r w:rsidRPr="00C72256">
        <w:rPr>
          <w:rFonts w:ascii="Arial" w:hAnsi="Arial" w:cs="Arial"/>
          <w:b/>
          <w:bCs/>
        </w:rPr>
        <w:t>Discussion</w:t>
      </w:r>
    </w:p>
    <w:p w14:paraId="619A8A78" w14:textId="36D0438F" w:rsidR="009A3DCE" w:rsidRDefault="007B70BD" w:rsidP="009A3DCE">
      <w:pPr>
        <w:rPr>
          <w:rFonts w:ascii="Arial" w:hAnsi="Arial" w:cs="Arial"/>
        </w:rPr>
      </w:pPr>
      <w:r>
        <w:rPr>
          <w:rFonts w:ascii="Arial" w:hAnsi="Arial" w:cs="Arial"/>
        </w:rPr>
        <w:t xml:space="preserve">Analysing the financial data of Shangri-La </w:t>
      </w:r>
      <w:r w:rsidR="003B6402">
        <w:rPr>
          <w:rFonts w:ascii="Arial" w:hAnsi="Arial" w:cs="Arial"/>
        </w:rPr>
        <w:t>Hotels and</w:t>
      </w:r>
      <w:r w:rsidR="007210D9">
        <w:rPr>
          <w:rFonts w:ascii="Arial" w:hAnsi="Arial" w:cs="Arial"/>
        </w:rPr>
        <w:t xml:space="preserve"> Premier Inn Hotels </w:t>
      </w:r>
      <w:r>
        <w:rPr>
          <w:rFonts w:ascii="Arial" w:hAnsi="Arial" w:cs="Arial"/>
        </w:rPr>
        <w:t xml:space="preserve">revenue </w:t>
      </w:r>
      <w:r w:rsidR="003B6402">
        <w:rPr>
          <w:rFonts w:ascii="Arial" w:hAnsi="Arial" w:cs="Arial"/>
        </w:rPr>
        <w:t>overview</w:t>
      </w:r>
      <w:r w:rsidR="007210D9">
        <w:rPr>
          <w:rFonts w:ascii="Arial" w:hAnsi="Arial" w:cs="Arial"/>
        </w:rPr>
        <w:t xml:space="preserve">, both hotels experience </w:t>
      </w:r>
      <w:r w:rsidR="00181246">
        <w:rPr>
          <w:rFonts w:ascii="Arial" w:hAnsi="Arial" w:cs="Arial"/>
        </w:rPr>
        <w:t>noticeable</w:t>
      </w:r>
      <w:r w:rsidR="007210D9">
        <w:rPr>
          <w:rFonts w:ascii="Arial" w:hAnsi="Arial" w:cs="Arial"/>
        </w:rPr>
        <w:t xml:space="preserve"> fluctuations in revenue</w:t>
      </w:r>
      <w:r w:rsidR="00DD0FB3">
        <w:rPr>
          <w:rFonts w:ascii="Arial" w:hAnsi="Arial" w:cs="Arial"/>
        </w:rPr>
        <w:t xml:space="preserve"> during the pandemic. </w:t>
      </w:r>
      <w:r w:rsidR="003C07FB">
        <w:rPr>
          <w:rFonts w:ascii="Arial" w:hAnsi="Arial" w:cs="Arial"/>
        </w:rPr>
        <w:t>T</w:t>
      </w:r>
      <w:r w:rsidR="00DD0FB3">
        <w:rPr>
          <w:rFonts w:ascii="Arial" w:hAnsi="Arial" w:cs="Arial"/>
        </w:rPr>
        <w:t xml:space="preserve">he financial data provided a comprehensive understanding of how both organisations were affected who was able to recover faster and what factors around the reason for growth and sustainability, the strategic </w:t>
      </w:r>
      <w:r w:rsidR="00E75B0D">
        <w:rPr>
          <w:rFonts w:ascii="Arial" w:hAnsi="Arial" w:cs="Arial"/>
        </w:rPr>
        <w:t>reasons of business growth</w:t>
      </w:r>
      <w:r w:rsidR="003C07FB">
        <w:rPr>
          <w:rFonts w:ascii="Arial" w:hAnsi="Arial" w:cs="Arial"/>
        </w:rPr>
        <w:t>,</w:t>
      </w:r>
      <w:r w:rsidR="00E75B0D">
        <w:rPr>
          <w:rFonts w:ascii="Arial" w:hAnsi="Arial" w:cs="Arial"/>
        </w:rPr>
        <w:t xml:space="preserve"> and some of the strategic measurement support that is conventional for business efficiency </w:t>
      </w:r>
      <w:r w:rsidR="003C07FB">
        <w:rPr>
          <w:rFonts w:ascii="Arial" w:hAnsi="Arial" w:cs="Arial"/>
        </w:rPr>
        <w:t>(Drury</w:t>
      </w:r>
      <w:r w:rsidR="00E75B0D">
        <w:rPr>
          <w:rFonts w:ascii="Arial" w:hAnsi="Arial" w:cs="Arial"/>
        </w:rPr>
        <w:t xml:space="preserve">, 2021). </w:t>
      </w:r>
      <w:r w:rsidR="00181246">
        <w:rPr>
          <w:rFonts w:ascii="Arial" w:hAnsi="Arial" w:cs="Arial"/>
        </w:rPr>
        <w:t>A</w:t>
      </w:r>
      <w:r w:rsidR="00E75B0D">
        <w:rPr>
          <w:rFonts w:ascii="Arial" w:hAnsi="Arial" w:cs="Arial"/>
        </w:rPr>
        <w:t xml:space="preserve"> general comparative analysis </w:t>
      </w:r>
      <w:r w:rsidR="00181246">
        <w:rPr>
          <w:rFonts w:ascii="Arial" w:hAnsi="Arial" w:cs="Arial"/>
        </w:rPr>
        <w:t>of</w:t>
      </w:r>
      <w:r w:rsidR="00255B67">
        <w:rPr>
          <w:rFonts w:ascii="Arial" w:hAnsi="Arial" w:cs="Arial"/>
        </w:rPr>
        <w:t xml:space="preserve"> the positions between Shangri-La Hotels and Premier Inn Hotels</w:t>
      </w:r>
      <w:r w:rsidR="00DD0FB3">
        <w:rPr>
          <w:rFonts w:ascii="Arial" w:hAnsi="Arial" w:cs="Arial"/>
        </w:rPr>
        <w:t xml:space="preserve"> </w:t>
      </w:r>
      <w:r w:rsidR="00255B67">
        <w:rPr>
          <w:rFonts w:ascii="Arial" w:hAnsi="Arial" w:cs="Arial"/>
        </w:rPr>
        <w:t>is provided in the following factors.</w:t>
      </w:r>
    </w:p>
    <w:p w14:paraId="123AA6D4" w14:textId="77777777" w:rsidR="007F2E20" w:rsidRDefault="007F2E20" w:rsidP="009A3DCE">
      <w:pPr>
        <w:rPr>
          <w:rFonts w:ascii="Arial" w:hAnsi="Arial" w:cs="Arial"/>
        </w:rPr>
      </w:pPr>
    </w:p>
    <w:p w14:paraId="091F338E" w14:textId="38E7AFAF" w:rsidR="007F2E20" w:rsidRDefault="00026AB6" w:rsidP="00026AB6">
      <w:pPr>
        <w:spacing w:after="0" w:line="240" w:lineRule="auto"/>
        <w:rPr>
          <w:rFonts w:ascii="Aptos Narrow" w:eastAsia="Times New Roman" w:hAnsi="Aptos Narrow" w:cs="Times New Roman"/>
          <w:b/>
          <w:bCs/>
          <w:i/>
          <w:iCs/>
          <w:color w:val="000000"/>
          <w:kern w:val="0"/>
          <w:sz w:val="22"/>
          <w:szCs w:val="22"/>
          <w:lang w:eastAsia="en-GB"/>
          <w14:ligatures w14:val="none"/>
        </w:rPr>
      </w:pPr>
      <w:r w:rsidRPr="00026AB6">
        <w:rPr>
          <w:rFonts w:ascii="Aptos Narrow" w:eastAsia="Times New Roman" w:hAnsi="Aptos Narrow" w:cs="Times New Roman"/>
          <w:b/>
          <w:bCs/>
          <w:i/>
          <w:iCs/>
          <w:color w:val="000000"/>
          <w:kern w:val="0"/>
          <w:sz w:val="22"/>
          <w:szCs w:val="22"/>
          <w:lang w:eastAsia="en-GB"/>
          <w14:ligatures w14:val="none"/>
        </w:rPr>
        <w:t>Name of Hotel: Shangri-La Hotels</w:t>
      </w:r>
    </w:p>
    <w:p w14:paraId="0F44CD4E" w14:textId="77777777" w:rsidR="00026AB6" w:rsidRPr="00026AB6" w:rsidRDefault="00026AB6" w:rsidP="00026AB6">
      <w:pPr>
        <w:spacing w:after="0" w:line="240" w:lineRule="auto"/>
        <w:rPr>
          <w:rFonts w:ascii="Aptos Narrow" w:eastAsia="Times New Roman" w:hAnsi="Aptos Narrow" w:cs="Times New Roman"/>
          <w:b/>
          <w:bCs/>
          <w:i/>
          <w:iCs/>
          <w:color w:val="000000"/>
          <w:kern w:val="0"/>
          <w:sz w:val="22"/>
          <w:szCs w:val="22"/>
          <w:lang w:eastAsia="en-GB"/>
          <w14:ligatures w14:val="none"/>
        </w:rPr>
      </w:pPr>
    </w:p>
    <w:tbl>
      <w:tblPr>
        <w:tblW w:w="8620" w:type="dxa"/>
        <w:tblLook w:val="04A0" w:firstRow="1" w:lastRow="0" w:firstColumn="1" w:lastColumn="0" w:noHBand="0" w:noVBand="1"/>
      </w:tblPr>
      <w:tblGrid>
        <w:gridCol w:w="2260"/>
        <w:gridCol w:w="1060"/>
        <w:gridCol w:w="1060"/>
        <w:gridCol w:w="1060"/>
        <w:gridCol w:w="1060"/>
        <w:gridCol w:w="1060"/>
        <w:gridCol w:w="1060"/>
      </w:tblGrid>
      <w:tr w:rsidR="00026AB6" w:rsidRPr="00E80256" w14:paraId="506C6D88" w14:textId="77777777" w:rsidTr="00026AB6">
        <w:trPr>
          <w:trHeight w:val="300"/>
        </w:trPr>
        <w:tc>
          <w:tcPr>
            <w:tcW w:w="2260" w:type="dxa"/>
            <w:tcBorders>
              <w:top w:val="nil"/>
              <w:left w:val="nil"/>
              <w:bottom w:val="nil"/>
              <w:right w:val="nil"/>
            </w:tcBorders>
            <w:shd w:val="clear" w:color="000000" w:fill="CCCCFF"/>
            <w:noWrap/>
            <w:vAlign w:val="bottom"/>
            <w:hideMark/>
          </w:tcPr>
          <w:p w14:paraId="32A66D5C"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35BE264F"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2018</w:t>
            </w:r>
          </w:p>
        </w:tc>
        <w:tc>
          <w:tcPr>
            <w:tcW w:w="1060" w:type="dxa"/>
            <w:tcBorders>
              <w:top w:val="nil"/>
              <w:left w:val="nil"/>
              <w:bottom w:val="nil"/>
              <w:right w:val="nil"/>
            </w:tcBorders>
            <w:shd w:val="clear" w:color="000000" w:fill="CCCCFF"/>
            <w:noWrap/>
            <w:vAlign w:val="bottom"/>
            <w:hideMark/>
          </w:tcPr>
          <w:p w14:paraId="5AD06DE7"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2019</w:t>
            </w:r>
          </w:p>
        </w:tc>
        <w:tc>
          <w:tcPr>
            <w:tcW w:w="1060" w:type="dxa"/>
            <w:tcBorders>
              <w:top w:val="nil"/>
              <w:left w:val="nil"/>
              <w:bottom w:val="nil"/>
              <w:right w:val="nil"/>
            </w:tcBorders>
            <w:shd w:val="clear" w:color="000000" w:fill="CCCCFF"/>
            <w:noWrap/>
            <w:vAlign w:val="bottom"/>
            <w:hideMark/>
          </w:tcPr>
          <w:p w14:paraId="09152285"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2020</w:t>
            </w:r>
          </w:p>
        </w:tc>
        <w:tc>
          <w:tcPr>
            <w:tcW w:w="1060" w:type="dxa"/>
            <w:tcBorders>
              <w:top w:val="nil"/>
              <w:left w:val="nil"/>
              <w:bottom w:val="nil"/>
              <w:right w:val="nil"/>
            </w:tcBorders>
            <w:shd w:val="clear" w:color="000000" w:fill="CCCCFF"/>
            <w:noWrap/>
            <w:vAlign w:val="bottom"/>
            <w:hideMark/>
          </w:tcPr>
          <w:p w14:paraId="0AD9F580"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2021</w:t>
            </w:r>
          </w:p>
        </w:tc>
        <w:tc>
          <w:tcPr>
            <w:tcW w:w="1060" w:type="dxa"/>
            <w:tcBorders>
              <w:top w:val="nil"/>
              <w:left w:val="nil"/>
              <w:bottom w:val="nil"/>
              <w:right w:val="nil"/>
            </w:tcBorders>
            <w:shd w:val="clear" w:color="000000" w:fill="CCCCFF"/>
            <w:noWrap/>
            <w:vAlign w:val="bottom"/>
            <w:hideMark/>
          </w:tcPr>
          <w:p w14:paraId="66ABF747"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2022</w:t>
            </w:r>
          </w:p>
        </w:tc>
        <w:tc>
          <w:tcPr>
            <w:tcW w:w="1060" w:type="dxa"/>
            <w:tcBorders>
              <w:top w:val="nil"/>
              <w:left w:val="nil"/>
              <w:bottom w:val="nil"/>
              <w:right w:val="nil"/>
            </w:tcBorders>
            <w:shd w:val="clear" w:color="000000" w:fill="CCCCFF"/>
            <w:noWrap/>
            <w:vAlign w:val="bottom"/>
            <w:hideMark/>
          </w:tcPr>
          <w:p w14:paraId="6E3A5F71"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2023</w:t>
            </w:r>
          </w:p>
        </w:tc>
      </w:tr>
      <w:tr w:rsidR="00026AB6" w:rsidRPr="00E80256" w14:paraId="2202C190" w14:textId="77777777" w:rsidTr="00026AB6">
        <w:trPr>
          <w:trHeight w:val="300"/>
        </w:trPr>
        <w:tc>
          <w:tcPr>
            <w:tcW w:w="2260" w:type="dxa"/>
            <w:tcBorders>
              <w:top w:val="nil"/>
              <w:left w:val="nil"/>
              <w:bottom w:val="nil"/>
              <w:right w:val="nil"/>
            </w:tcBorders>
            <w:shd w:val="clear" w:color="000000" w:fill="CCCCFF"/>
            <w:noWrap/>
            <w:vAlign w:val="bottom"/>
            <w:hideMark/>
          </w:tcPr>
          <w:p w14:paraId="6AB2E16E"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6B7F2FCB"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09598219"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49E0BC98"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4DAFDFF2"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6F2F20C0"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7E085DC8"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r w:rsidR="00026AB6" w:rsidRPr="00E80256" w14:paraId="18706585" w14:textId="77777777" w:rsidTr="00026AB6">
        <w:trPr>
          <w:trHeight w:val="300"/>
        </w:trPr>
        <w:tc>
          <w:tcPr>
            <w:tcW w:w="2260" w:type="dxa"/>
            <w:tcBorders>
              <w:top w:val="nil"/>
              <w:left w:val="nil"/>
              <w:bottom w:val="nil"/>
              <w:right w:val="nil"/>
            </w:tcBorders>
            <w:shd w:val="clear" w:color="000000" w:fill="CCCCFF"/>
            <w:noWrap/>
            <w:vAlign w:val="bottom"/>
            <w:hideMark/>
          </w:tcPr>
          <w:p w14:paraId="5EC8672F"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Revenue</w:t>
            </w:r>
          </w:p>
        </w:tc>
        <w:tc>
          <w:tcPr>
            <w:tcW w:w="1060" w:type="dxa"/>
            <w:tcBorders>
              <w:top w:val="nil"/>
              <w:left w:val="nil"/>
              <w:bottom w:val="nil"/>
              <w:right w:val="nil"/>
            </w:tcBorders>
            <w:shd w:val="clear" w:color="000000" w:fill="CCCCFF"/>
            <w:noWrap/>
            <w:vAlign w:val="bottom"/>
            <w:hideMark/>
          </w:tcPr>
          <w:p w14:paraId="492B66E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2,517.9</w:t>
            </w:r>
          </w:p>
        </w:tc>
        <w:tc>
          <w:tcPr>
            <w:tcW w:w="1060" w:type="dxa"/>
            <w:tcBorders>
              <w:top w:val="nil"/>
              <w:left w:val="nil"/>
              <w:bottom w:val="nil"/>
              <w:right w:val="nil"/>
            </w:tcBorders>
            <w:shd w:val="clear" w:color="000000" w:fill="CCCCFF"/>
            <w:noWrap/>
            <w:vAlign w:val="bottom"/>
            <w:hideMark/>
          </w:tcPr>
          <w:p w14:paraId="21180DFB"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2,431.2</w:t>
            </w:r>
          </w:p>
        </w:tc>
        <w:tc>
          <w:tcPr>
            <w:tcW w:w="1060" w:type="dxa"/>
            <w:tcBorders>
              <w:top w:val="nil"/>
              <w:left w:val="nil"/>
              <w:bottom w:val="nil"/>
              <w:right w:val="nil"/>
            </w:tcBorders>
            <w:shd w:val="clear" w:color="000000" w:fill="CCCCFF"/>
            <w:noWrap/>
            <w:vAlign w:val="bottom"/>
            <w:hideMark/>
          </w:tcPr>
          <w:p w14:paraId="32DD0A09"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1,033.4</w:t>
            </w:r>
          </w:p>
        </w:tc>
        <w:tc>
          <w:tcPr>
            <w:tcW w:w="1060" w:type="dxa"/>
            <w:tcBorders>
              <w:top w:val="nil"/>
              <w:left w:val="nil"/>
              <w:bottom w:val="nil"/>
              <w:right w:val="nil"/>
            </w:tcBorders>
            <w:shd w:val="clear" w:color="000000" w:fill="CCCCFF"/>
            <w:noWrap/>
            <w:vAlign w:val="bottom"/>
            <w:hideMark/>
          </w:tcPr>
          <w:p w14:paraId="64D6C96B"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1,241.0</w:t>
            </w:r>
          </w:p>
        </w:tc>
        <w:tc>
          <w:tcPr>
            <w:tcW w:w="1060" w:type="dxa"/>
            <w:tcBorders>
              <w:top w:val="nil"/>
              <w:left w:val="nil"/>
              <w:bottom w:val="nil"/>
              <w:right w:val="nil"/>
            </w:tcBorders>
            <w:shd w:val="clear" w:color="000000" w:fill="CCCCFF"/>
            <w:noWrap/>
            <w:vAlign w:val="bottom"/>
            <w:hideMark/>
          </w:tcPr>
          <w:p w14:paraId="1EF9F90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1,462.1</w:t>
            </w:r>
          </w:p>
        </w:tc>
        <w:tc>
          <w:tcPr>
            <w:tcW w:w="1060" w:type="dxa"/>
            <w:tcBorders>
              <w:top w:val="nil"/>
              <w:left w:val="nil"/>
              <w:bottom w:val="nil"/>
              <w:right w:val="nil"/>
            </w:tcBorders>
            <w:shd w:val="clear" w:color="000000" w:fill="CCCCFF"/>
            <w:noWrap/>
            <w:vAlign w:val="bottom"/>
            <w:hideMark/>
          </w:tcPr>
          <w:p w14:paraId="76D304E9"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2,141.8</w:t>
            </w:r>
          </w:p>
        </w:tc>
      </w:tr>
      <w:tr w:rsidR="00026AB6" w:rsidRPr="00E80256" w14:paraId="557A66E7" w14:textId="77777777" w:rsidTr="00026AB6">
        <w:trPr>
          <w:trHeight w:val="300"/>
        </w:trPr>
        <w:tc>
          <w:tcPr>
            <w:tcW w:w="2260" w:type="dxa"/>
            <w:tcBorders>
              <w:top w:val="nil"/>
              <w:left w:val="nil"/>
              <w:bottom w:val="nil"/>
              <w:right w:val="nil"/>
            </w:tcBorders>
            <w:shd w:val="clear" w:color="000000" w:fill="CCCCFF"/>
            <w:noWrap/>
            <w:vAlign w:val="bottom"/>
            <w:hideMark/>
          </w:tcPr>
          <w:p w14:paraId="2AF350FF"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53770A8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18DB7FE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37C5ECB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3F16629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58D0692F"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4E600A5D"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r w:rsidR="00026AB6" w:rsidRPr="00E80256" w14:paraId="469AE6C9" w14:textId="77777777" w:rsidTr="00026AB6">
        <w:trPr>
          <w:trHeight w:val="300"/>
        </w:trPr>
        <w:tc>
          <w:tcPr>
            <w:tcW w:w="2260" w:type="dxa"/>
            <w:tcBorders>
              <w:top w:val="nil"/>
              <w:left w:val="nil"/>
              <w:bottom w:val="nil"/>
              <w:right w:val="nil"/>
            </w:tcBorders>
            <w:shd w:val="clear" w:color="000000" w:fill="CCCCFF"/>
            <w:noWrap/>
            <w:vAlign w:val="bottom"/>
            <w:hideMark/>
          </w:tcPr>
          <w:p w14:paraId="53CA92F2" w14:textId="072208CC"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Operating Profit</w:t>
            </w:r>
          </w:p>
        </w:tc>
        <w:tc>
          <w:tcPr>
            <w:tcW w:w="1060" w:type="dxa"/>
            <w:tcBorders>
              <w:top w:val="nil"/>
              <w:left w:val="nil"/>
              <w:bottom w:val="nil"/>
              <w:right w:val="nil"/>
            </w:tcBorders>
            <w:shd w:val="clear" w:color="000000" w:fill="CCCCFF"/>
            <w:noWrap/>
            <w:vAlign w:val="bottom"/>
            <w:hideMark/>
          </w:tcPr>
          <w:p w14:paraId="1D741E64"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180.5</w:t>
            </w:r>
          </w:p>
        </w:tc>
        <w:tc>
          <w:tcPr>
            <w:tcW w:w="1060" w:type="dxa"/>
            <w:tcBorders>
              <w:top w:val="nil"/>
              <w:left w:val="nil"/>
              <w:bottom w:val="nil"/>
              <w:right w:val="nil"/>
            </w:tcBorders>
            <w:shd w:val="clear" w:color="000000" w:fill="CCCCFF"/>
            <w:noWrap/>
            <w:vAlign w:val="bottom"/>
            <w:hideMark/>
          </w:tcPr>
          <w:p w14:paraId="0ABE98F4"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294.8</w:t>
            </w:r>
          </w:p>
        </w:tc>
        <w:tc>
          <w:tcPr>
            <w:tcW w:w="1060" w:type="dxa"/>
            <w:tcBorders>
              <w:top w:val="nil"/>
              <w:left w:val="nil"/>
              <w:bottom w:val="nil"/>
              <w:right w:val="nil"/>
            </w:tcBorders>
            <w:shd w:val="clear" w:color="000000" w:fill="CCCCFF"/>
            <w:noWrap/>
            <w:vAlign w:val="bottom"/>
            <w:hideMark/>
          </w:tcPr>
          <w:p w14:paraId="4CFE8C1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432.6</w:t>
            </w:r>
          </w:p>
        </w:tc>
        <w:tc>
          <w:tcPr>
            <w:tcW w:w="1060" w:type="dxa"/>
            <w:tcBorders>
              <w:top w:val="nil"/>
              <w:left w:val="nil"/>
              <w:bottom w:val="nil"/>
              <w:right w:val="nil"/>
            </w:tcBorders>
            <w:shd w:val="clear" w:color="000000" w:fill="CCCCFF"/>
            <w:noWrap/>
            <w:vAlign w:val="bottom"/>
            <w:hideMark/>
          </w:tcPr>
          <w:p w14:paraId="5C50A106"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354.0</w:t>
            </w:r>
          </w:p>
        </w:tc>
        <w:tc>
          <w:tcPr>
            <w:tcW w:w="1060" w:type="dxa"/>
            <w:tcBorders>
              <w:top w:val="nil"/>
              <w:left w:val="nil"/>
              <w:bottom w:val="nil"/>
              <w:right w:val="nil"/>
            </w:tcBorders>
            <w:shd w:val="clear" w:color="000000" w:fill="CCCCFF"/>
            <w:noWrap/>
            <w:vAlign w:val="bottom"/>
            <w:hideMark/>
          </w:tcPr>
          <w:p w14:paraId="1C3E4124"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279.5</w:t>
            </w:r>
          </w:p>
        </w:tc>
        <w:tc>
          <w:tcPr>
            <w:tcW w:w="1060" w:type="dxa"/>
            <w:tcBorders>
              <w:top w:val="nil"/>
              <w:left w:val="nil"/>
              <w:bottom w:val="nil"/>
              <w:right w:val="nil"/>
            </w:tcBorders>
            <w:shd w:val="clear" w:color="000000" w:fill="CCCCFF"/>
            <w:noWrap/>
            <w:vAlign w:val="bottom"/>
            <w:hideMark/>
          </w:tcPr>
          <w:p w14:paraId="1B55D361"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214.7</w:t>
            </w:r>
          </w:p>
        </w:tc>
      </w:tr>
      <w:tr w:rsidR="00026AB6" w:rsidRPr="00E80256" w14:paraId="4016303A" w14:textId="77777777" w:rsidTr="00026AB6">
        <w:trPr>
          <w:trHeight w:val="300"/>
        </w:trPr>
        <w:tc>
          <w:tcPr>
            <w:tcW w:w="2260" w:type="dxa"/>
            <w:tcBorders>
              <w:top w:val="nil"/>
              <w:left w:val="nil"/>
              <w:bottom w:val="nil"/>
              <w:right w:val="nil"/>
            </w:tcBorders>
            <w:shd w:val="clear" w:color="000000" w:fill="CCCCFF"/>
            <w:noWrap/>
            <w:vAlign w:val="bottom"/>
            <w:hideMark/>
          </w:tcPr>
          <w:p w14:paraId="3F948FDA"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415F681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04287E7E"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2089563B"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4FBDE096"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425DBB7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20ED0644"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r w:rsidR="00026AB6" w:rsidRPr="00E80256" w14:paraId="68C4F848" w14:textId="77777777" w:rsidTr="00026AB6">
        <w:trPr>
          <w:trHeight w:val="300"/>
        </w:trPr>
        <w:tc>
          <w:tcPr>
            <w:tcW w:w="2260" w:type="dxa"/>
            <w:tcBorders>
              <w:top w:val="nil"/>
              <w:left w:val="nil"/>
              <w:bottom w:val="nil"/>
              <w:right w:val="nil"/>
            </w:tcBorders>
            <w:shd w:val="clear" w:color="000000" w:fill="CCCCFF"/>
            <w:noWrap/>
            <w:vAlign w:val="bottom"/>
            <w:hideMark/>
          </w:tcPr>
          <w:p w14:paraId="2E44EC86"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Net Profit</w:t>
            </w:r>
          </w:p>
        </w:tc>
        <w:tc>
          <w:tcPr>
            <w:tcW w:w="1060" w:type="dxa"/>
            <w:tcBorders>
              <w:top w:val="nil"/>
              <w:left w:val="nil"/>
              <w:bottom w:val="nil"/>
              <w:right w:val="nil"/>
            </w:tcBorders>
            <w:shd w:val="clear" w:color="000000" w:fill="CCCCFF"/>
            <w:noWrap/>
            <w:vAlign w:val="bottom"/>
            <w:hideMark/>
          </w:tcPr>
          <w:p w14:paraId="2532A726"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290.4</w:t>
            </w:r>
          </w:p>
        </w:tc>
        <w:tc>
          <w:tcPr>
            <w:tcW w:w="1060" w:type="dxa"/>
            <w:tcBorders>
              <w:top w:val="nil"/>
              <w:left w:val="nil"/>
              <w:bottom w:val="nil"/>
              <w:right w:val="nil"/>
            </w:tcBorders>
            <w:shd w:val="clear" w:color="000000" w:fill="CCCCFF"/>
            <w:noWrap/>
            <w:vAlign w:val="bottom"/>
            <w:hideMark/>
          </w:tcPr>
          <w:p w14:paraId="234327CF"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281.7</w:t>
            </w:r>
          </w:p>
        </w:tc>
        <w:tc>
          <w:tcPr>
            <w:tcW w:w="1060" w:type="dxa"/>
            <w:tcBorders>
              <w:top w:val="nil"/>
              <w:left w:val="nil"/>
              <w:bottom w:val="nil"/>
              <w:right w:val="nil"/>
            </w:tcBorders>
            <w:shd w:val="clear" w:color="000000" w:fill="CCCCFF"/>
            <w:noWrap/>
            <w:vAlign w:val="bottom"/>
            <w:hideMark/>
          </w:tcPr>
          <w:p w14:paraId="625B0338"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537.1</w:t>
            </w:r>
          </w:p>
        </w:tc>
        <w:tc>
          <w:tcPr>
            <w:tcW w:w="1060" w:type="dxa"/>
            <w:tcBorders>
              <w:top w:val="nil"/>
              <w:left w:val="nil"/>
              <w:bottom w:val="nil"/>
              <w:right w:val="nil"/>
            </w:tcBorders>
            <w:shd w:val="clear" w:color="000000" w:fill="CCCCFF"/>
            <w:noWrap/>
            <w:vAlign w:val="bottom"/>
            <w:hideMark/>
          </w:tcPr>
          <w:p w14:paraId="58975F12"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357.0</w:t>
            </w:r>
          </w:p>
        </w:tc>
        <w:tc>
          <w:tcPr>
            <w:tcW w:w="1060" w:type="dxa"/>
            <w:tcBorders>
              <w:top w:val="nil"/>
              <w:left w:val="nil"/>
              <w:bottom w:val="nil"/>
              <w:right w:val="nil"/>
            </w:tcBorders>
            <w:shd w:val="clear" w:color="000000" w:fill="CCCCFF"/>
            <w:noWrap/>
            <w:vAlign w:val="bottom"/>
            <w:hideMark/>
          </w:tcPr>
          <w:p w14:paraId="42272CAD"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174.4</w:t>
            </w:r>
          </w:p>
        </w:tc>
        <w:tc>
          <w:tcPr>
            <w:tcW w:w="1060" w:type="dxa"/>
            <w:tcBorders>
              <w:top w:val="nil"/>
              <w:left w:val="nil"/>
              <w:bottom w:val="nil"/>
              <w:right w:val="nil"/>
            </w:tcBorders>
            <w:shd w:val="clear" w:color="000000" w:fill="CCCCFF"/>
            <w:noWrap/>
            <w:vAlign w:val="bottom"/>
            <w:hideMark/>
          </w:tcPr>
          <w:p w14:paraId="73E9BB57"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280.1</w:t>
            </w:r>
          </w:p>
        </w:tc>
      </w:tr>
      <w:tr w:rsidR="00026AB6" w:rsidRPr="00E80256" w14:paraId="6A469E05" w14:textId="77777777" w:rsidTr="00026AB6">
        <w:trPr>
          <w:trHeight w:val="300"/>
        </w:trPr>
        <w:tc>
          <w:tcPr>
            <w:tcW w:w="2260" w:type="dxa"/>
            <w:tcBorders>
              <w:top w:val="nil"/>
              <w:left w:val="nil"/>
              <w:bottom w:val="nil"/>
              <w:right w:val="nil"/>
            </w:tcBorders>
            <w:shd w:val="clear" w:color="000000" w:fill="CCCCFF"/>
            <w:noWrap/>
            <w:vAlign w:val="bottom"/>
            <w:hideMark/>
          </w:tcPr>
          <w:p w14:paraId="6775CFC6"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2DB0D52B"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73EE9E39"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2438D51D"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33547C4C"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4B314361"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3BF2BCED"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r w:rsidR="00026AB6" w:rsidRPr="00E80256" w14:paraId="6D3C4206" w14:textId="77777777" w:rsidTr="00026AB6">
        <w:trPr>
          <w:trHeight w:val="300"/>
        </w:trPr>
        <w:tc>
          <w:tcPr>
            <w:tcW w:w="2260" w:type="dxa"/>
            <w:tcBorders>
              <w:top w:val="nil"/>
              <w:left w:val="nil"/>
              <w:bottom w:val="nil"/>
              <w:right w:val="nil"/>
            </w:tcBorders>
            <w:shd w:val="clear" w:color="000000" w:fill="CCCCFF"/>
            <w:noWrap/>
            <w:vAlign w:val="bottom"/>
            <w:hideMark/>
          </w:tcPr>
          <w:p w14:paraId="3229226C"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Operating profit ratio</w:t>
            </w:r>
          </w:p>
        </w:tc>
        <w:tc>
          <w:tcPr>
            <w:tcW w:w="1060" w:type="dxa"/>
            <w:tcBorders>
              <w:top w:val="nil"/>
              <w:left w:val="nil"/>
              <w:bottom w:val="nil"/>
              <w:right w:val="nil"/>
            </w:tcBorders>
            <w:shd w:val="clear" w:color="000000" w:fill="CCCCFF"/>
            <w:noWrap/>
            <w:vAlign w:val="bottom"/>
            <w:hideMark/>
          </w:tcPr>
          <w:p w14:paraId="6F1A65B1"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7%</w:t>
            </w:r>
          </w:p>
        </w:tc>
        <w:tc>
          <w:tcPr>
            <w:tcW w:w="1060" w:type="dxa"/>
            <w:tcBorders>
              <w:top w:val="nil"/>
              <w:left w:val="nil"/>
              <w:bottom w:val="nil"/>
              <w:right w:val="nil"/>
            </w:tcBorders>
            <w:shd w:val="clear" w:color="000000" w:fill="CCCCFF"/>
            <w:noWrap/>
            <w:vAlign w:val="bottom"/>
            <w:hideMark/>
          </w:tcPr>
          <w:p w14:paraId="62BC3D0C"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12%</w:t>
            </w:r>
          </w:p>
        </w:tc>
        <w:tc>
          <w:tcPr>
            <w:tcW w:w="1060" w:type="dxa"/>
            <w:tcBorders>
              <w:top w:val="nil"/>
              <w:left w:val="nil"/>
              <w:bottom w:val="nil"/>
              <w:right w:val="nil"/>
            </w:tcBorders>
            <w:shd w:val="clear" w:color="000000" w:fill="CCCCFF"/>
            <w:noWrap/>
            <w:vAlign w:val="bottom"/>
            <w:hideMark/>
          </w:tcPr>
          <w:p w14:paraId="6A7ED80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42%</w:t>
            </w:r>
          </w:p>
        </w:tc>
        <w:tc>
          <w:tcPr>
            <w:tcW w:w="1060" w:type="dxa"/>
            <w:tcBorders>
              <w:top w:val="nil"/>
              <w:left w:val="nil"/>
              <w:bottom w:val="nil"/>
              <w:right w:val="nil"/>
            </w:tcBorders>
            <w:shd w:val="clear" w:color="000000" w:fill="CCCCFF"/>
            <w:noWrap/>
            <w:vAlign w:val="bottom"/>
            <w:hideMark/>
          </w:tcPr>
          <w:p w14:paraId="1F32D9F1"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29%</w:t>
            </w:r>
          </w:p>
        </w:tc>
        <w:tc>
          <w:tcPr>
            <w:tcW w:w="1060" w:type="dxa"/>
            <w:tcBorders>
              <w:top w:val="nil"/>
              <w:left w:val="nil"/>
              <w:bottom w:val="nil"/>
              <w:right w:val="nil"/>
            </w:tcBorders>
            <w:shd w:val="clear" w:color="000000" w:fill="CCCCFF"/>
            <w:noWrap/>
            <w:vAlign w:val="bottom"/>
            <w:hideMark/>
          </w:tcPr>
          <w:p w14:paraId="7CDFB20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19%</w:t>
            </w:r>
          </w:p>
        </w:tc>
        <w:tc>
          <w:tcPr>
            <w:tcW w:w="1060" w:type="dxa"/>
            <w:tcBorders>
              <w:top w:val="nil"/>
              <w:left w:val="nil"/>
              <w:bottom w:val="nil"/>
              <w:right w:val="nil"/>
            </w:tcBorders>
            <w:shd w:val="clear" w:color="000000" w:fill="CCCCFF"/>
            <w:noWrap/>
            <w:vAlign w:val="bottom"/>
            <w:hideMark/>
          </w:tcPr>
          <w:p w14:paraId="2CBD1786"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10%</w:t>
            </w:r>
          </w:p>
        </w:tc>
      </w:tr>
      <w:tr w:rsidR="00026AB6" w:rsidRPr="00E80256" w14:paraId="285BA456" w14:textId="77777777" w:rsidTr="00026AB6">
        <w:trPr>
          <w:trHeight w:val="300"/>
        </w:trPr>
        <w:tc>
          <w:tcPr>
            <w:tcW w:w="2260" w:type="dxa"/>
            <w:tcBorders>
              <w:top w:val="nil"/>
              <w:left w:val="nil"/>
              <w:bottom w:val="nil"/>
              <w:right w:val="nil"/>
            </w:tcBorders>
            <w:shd w:val="clear" w:color="000000" w:fill="CCCCFF"/>
            <w:noWrap/>
            <w:vAlign w:val="bottom"/>
            <w:hideMark/>
          </w:tcPr>
          <w:p w14:paraId="3BBDD1EC"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7C2B1A61"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1C9FFEA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40F98A50"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403BEEA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563EB94E"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3F57DA39"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r w:rsidR="00026AB6" w:rsidRPr="00E80256" w14:paraId="641BBD45" w14:textId="77777777" w:rsidTr="00026AB6">
        <w:trPr>
          <w:trHeight w:val="300"/>
        </w:trPr>
        <w:tc>
          <w:tcPr>
            <w:tcW w:w="2260" w:type="dxa"/>
            <w:tcBorders>
              <w:top w:val="nil"/>
              <w:left w:val="nil"/>
              <w:bottom w:val="nil"/>
              <w:right w:val="nil"/>
            </w:tcBorders>
            <w:shd w:val="clear" w:color="000000" w:fill="CCCCFF"/>
            <w:noWrap/>
            <w:vAlign w:val="bottom"/>
            <w:hideMark/>
          </w:tcPr>
          <w:p w14:paraId="5EBC32BC"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Net profit ratio</w:t>
            </w:r>
          </w:p>
        </w:tc>
        <w:tc>
          <w:tcPr>
            <w:tcW w:w="1060" w:type="dxa"/>
            <w:tcBorders>
              <w:top w:val="nil"/>
              <w:left w:val="nil"/>
              <w:bottom w:val="nil"/>
              <w:right w:val="nil"/>
            </w:tcBorders>
            <w:shd w:val="clear" w:color="000000" w:fill="CCCCFF"/>
            <w:noWrap/>
            <w:vAlign w:val="bottom"/>
            <w:hideMark/>
          </w:tcPr>
          <w:p w14:paraId="74F338AD"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12%</w:t>
            </w:r>
          </w:p>
        </w:tc>
        <w:tc>
          <w:tcPr>
            <w:tcW w:w="1060" w:type="dxa"/>
            <w:tcBorders>
              <w:top w:val="nil"/>
              <w:left w:val="nil"/>
              <w:bottom w:val="nil"/>
              <w:right w:val="nil"/>
            </w:tcBorders>
            <w:shd w:val="clear" w:color="000000" w:fill="CCCCFF"/>
            <w:noWrap/>
            <w:vAlign w:val="bottom"/>
            <w:hideMark/>
          </w:tcPr>
          <w:p w14:paraId="31D231A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12%</w:t>
            </w:r>
          </w:p>
        </w:tc>
        <w:tc>
          <w:tcPr>
            <w:tcW w:w="1060" w:type="dxa"/>
            <w:tcBorders>
              <w:top w:val="nil"/>
              <w:left w:val="nil"/>
              <w:bottom w:val="nil"/>
              <w:right w:val="nil"/>
            </w:tcBorders>
            <w:shd w:val="clear" w:color="000000" w:fill="CCCCFF"/>
            <w:noWrap/>
            <w:vAlign w:val="bottom"/>
            <w:hideMark/>
          </w:tcPr>
          <w:p w14:paraId="67C756E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52%</w:t>
            </w:r>
          </w:p>
        </w:tc>
        <w:tc>
          <w:tcPr>
            <w:tcW w:w="1060" w:type="dxa"/>
            <w:tcBorders>
              <w:top w:val="nil"/>
              <w:left w:val="nil"/>
              <w:bottom w:val="nil"/>
              <w:right w:val="nil"/>
            </w:tcBorders>
            <w:shd w:val="clear" w:color="000000" w:fill="CCCCFF"/>
            <w:noWrap/>
            <w:vAlign w:val="bottom"/>
            <w:hideMark/>
          </w:tcPr>
          <w:p w14:paraId="655D3B66"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29%</w:t>
            </w:r>
          </w:p>
        </w:tc>
        <w:tc>
          <w:tcPr>
            <w:tcW w:w="1060" w:type="dxa"/>
            <w:tcBorders>
              <w:top w:val="nil"/>
              <w:left w:val="nil"/>
              <w:bottom w:val="nil"/>
              <w:right w:val="nil"/>
            </w:tcBorders>
            <w:shd w:val="clear" w:color="000000" w:fill="CCCCFF"/>
            <w:noWrap/>
            <w:vAlign w:val="bottom"/>
            <w:hideMark/>
          </w:tcPr>
          <w:p w14:paraId="44BC9856"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12%</w:t>
            </w:r>
          </w:p>
        </w:tc>
        <w:tc>
          <w:tcPr>
            <w:tcW w:w="1060" w:type="dxa"/>
            <w:tcBorders>
              <w:top w:val="nil"/>
              <w:left w:val="nil"/>
              <w:bottom w:val="nil"/>
              <w:right w:val="nil"/>
            </w:tcBorders>
            <w:shd w:val="clear" w:color="000000" w:fill="CCCCFF"/>
            <w:noWrap/>
            <w:vAlign w:val="bottom"/>
            <w:hideMark/>
          </w:tcPr>
          <w:p w14:paraId="122D04BF"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13%</w:t>
            </w:r>
          </w:p>
        </w:tc>
      </w:tr>
      <w:tr w:rsidR="00026AB6" w:rsidRPr="00E80256" w14:paraId="0AAF674B" w14:textId="77777777" w:rsidTr="00026AB6">
        <w:trPr>
          <w:trHeight w:val="300"/>
        </w:trPr>
        <w:tc>
          <w:tcPr>
            <w:tcW w:w="2260" w:type="dxa"/>
            <w:tcBorders>
              <w:top w:val="nil"/>
              <w:left w:val="nil"/>
              <w:bottom w:val="nil"/>
              <w:right w:val="nil"/>
            </w:tcBorders>
            <w:shd w:val="clear" w:color="000000" w:fill="CCCCFF"/>
            <w:noWrap/>
            <w:vAlign w:val="bottom"/>
            <w:hideMark/>
          </w:tcPr>
          <w:p w14:paraId="1738EE83"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7E22E763"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1C13ABF7"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39B8E4E5"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0531E795"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668DF00E"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CCCFF"/>
            <w:noWrap/>
            <w:vAlign w:val="bottom"/>
            <w:hideMark/>
          </w:tcPr>
          <w:p w14:paraId="6E3F3A60"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bl>
    <w:p w14:paraId="40FD6F6A" w14:textId="77777777" w:rsidR="007F2E20" w:rsidRDefault="007F2E20" w:rsidP="009A3DCE">
      <w:pPr>
        <w:rPr>
          <w:rFonts w:ascii="Arial" w:hAnsi="Arial" w:cs="Arial"/>
        </w:rPr>
      </w:pPr>
    </w:p>
    <w:p w14:paraId="5FB5F7BC" w14:textId="77777777" w:rsidR="00026AB6" w:rsidRDefault="00026AB6" w:rsidP="009A3DCE">
      <w:pPr>
        <w:rPr>
          <w:rFonts w:ascii="Arial" w:hAnsi="Arial" w:cs="Arial"/>
        </w:rPr>
      </w:pPr>
    </w:p>
    <w:p w14:paraId="5D4F8194" w14:textId="77777777" w:rsidR="00255B67" w:rsidRDefault="00255B67" w:rsidP="009A3DCE">
      <w:pPr>
        <w:rPr>
          <w:rFonts w:ascii="Arial" w:hAnsi="Arial" w:cs="Arial"/>
        </w:rPr>
      </w:pPr>
    </w:p>
    <w:tbl>
      <w:tblPr>
        <w:tblW w:w="8620" w:type="dxa"/>
        <w:tblLook w:val="04A0" w:firstRow="1" w:lastRow="0" w:firstColumn="1" w:lastColumn="0" w:noHBand="0" w:noVBand="1"/>
      </w:tblPr>
      <w:tblGrid>
        <w:gridCol w:w="2405"/>
        <w:gridCol w:w="1017"/>
        <w:gridCol w:w="1060"/>
        <w:gridCol w:w="1060"/>
        <w:gridCol w:w="1060"/>
        <w:gridCol w:w="1060"/>
        <w:gridCol w:w="1060"/>
      </w:tblGrid>
      <w:tr w:rsidR="00026AB6" w:rsidRPr="00E80256" w14:paraId="13A2835B" w14:textId="77777777" w:rsidTr="00026AB6">
        <w:trPr>
          <w:trHeight w:val="300"/>
        </w:trPr>
        <w:tc>
          <w:tcPr>
            <w:tcW w:w="3320" w:type="dxa"/>
            <w:gridSpan w:val="2"/>
            <w:tcBorders>
              <w:top w:val="nil"/>
              <w:left w:val="nil"/>
              <w:bottom w:val="nil"/>
              <w:right w:val="nil"/>
            </w:tcBorders>
            <w:shd w:val="clear" w:color="auto" w:fill="auto"/>
            <w:noWrap/>
            <w:vAlign w:val="bottom"/>
            <w:hideMark/>
          </w:tcPr>
          <w:p w14:paraId="4C83F389" w14:textId="5AC8C36B" w:rsidR="00026AB6" w:rsidRPr="00E80256" w:rsidRDefault="00026AB6" w:rsidP="00026AB6">
            <w:pPr>
              <w:spacing w:after="0" w:line="240" w:lineRule="auto"/>
              <w:rPr>
                <w:rFonts w:ascii="Arial" w:eastAsia="Times New Roman" w:hAnsi="Arial" w:cs="Arial"/>
                <w:b/>
                <w:bCs/>
                <w:i/>
                <w:iCs/>
                <w:color w:val="000000"/>
                <w:kern w:val="0"/>
                <w:lang w:eastAsia="en-GB"/>
                <w14:ligatures w14:val="none"/>
              </w:rPr>
            </w:pPr>
            <w:r w:rsidRPr="00E80256">
              <w:rPr>
                <w:rFonts w:ascii="Arial" w:eastAsia="Times New Roman" w:hAnsi="Arial" w:cs="Arial"/>
                <w:b/>
                <w:bCs/>
                <w:i/>
                <w:iCs/>
                <w:color w:val="000000"/>
                <w:kern w:val="0"/>
                <w:lang w:eastAsia="en-GB"/>
                <w14:ligatures w14:val="none"/>
              </w:rPr>
              <w:lastRenderedPageBreak/>
              <w:t>Name of hotel: Premier Inn Hotels</w:t>
            </w:r>
          </w:p>
        </w:tc>
        <w:tc>
          <w:tcPr>
            <w:tcW w:w="1060" w:type="dxa"/>
            <w:tcBorders>
              <w:top w:val="nil"/>
              <w:left w:val="nil"/>
              <w:bottom w:val="nil"/>
              <w:right w:val="nil"/>
            </w:tcBorders>
            <w:shd w:val="clear" w:color="auto" w:fill="auto"/>
            <w:noWrap/>
            <w:vAlign w:val="bottom"/>
            <w:hideMark/>
          </w:tcPr>
          <w:p w14:paraId="7D22B0FF" w14:textId="77777777" w:rsidR="00026AB6" w:rsidRPr="00E80256" w:rsidRDefault="00026AB6" w:rsidP="00026AB6">
            <w:pPr>
              <w:spacing w:after="0" w:line="240" w:lineRule="auto"/>
              <w:rPr>
                <w:rFonts w:ascii="Arial" w:eastAsia="Times New Roman" w:hAnsi="Arial" w:cs="Arial"/>
                <w:b/>
                <w:bCs/>
                <w:i/>
                <w:iCs/>
                <w:color w:val="000000"/>
                <w:kern w:val="0"/>
                <w:lang w:eastAsia="en-GB"/>
                <w14:ligatures w14:val="none"/>
              </w:rPr>
            </w:pPr>
          </w:p>
        </w:tc>
        <w:tc>
          <w:tcPr>
            <w:tcW w:w="1060" w:type="dxa"/>
            <w:tcBorders>
              <w:top w:val="nil"/>
              <w:left w:val="nil"/>
              <w:bottom w:val="nil"/>
              <w:right w:val="nil"/>
            </w:tcBorders>
            <w:shd w:val="clear" w:color="auto" w:fill="auto"/>
            <w:noWrap/>
            <w:vAlign w:val="bottom"/>
            <w:hideMark/>
          </w:tcPr>
          <w:p w14:paraId="36ED2BDC" w14:textId="77777777" w:rsidR="00026AB6" w:rsidRPr="00E80256" w:rsidRDefault="00026AB6" w:rsidP="00026AB6">
            <w:pPr>
              <w:spacing w:after="0" w:line="240" w:lineRule="auto"/>
              <w:rPr>
                <w:rFonts w:ascii="Arial" w:eastAsia="Times New Roman" w:hAnsi="Arial" w:cs="Arial"/>
                <w:kern w:val="0"/>
                <w:lang w:eastAsia="en-GB"/>
                <w14:ligatures w14:val="none"/>
              </w:rPr>
            </w:pPr>
          </w:p>
        </w:tc>
        <w:tc>
          <w:tcPr>
            <w:tcW w:w="1060" w:type="dxa"/>
            <w:tcBorders>
              <w:top w:val="nil"/>
              <w:left w:val="nil"/>
              <w:bottom w:val="nil"/>
              <w:right w:val="nil"/>
            </w:tcBorders>
            <w:shd w:val="clear" w:color="auto" w:fill="auto"/>
            <w:noWrap/>
            <w:vAlign w:val="bottom"/>
            <w:hideMark/>
          </w:tcPr>
          <w:p w14:paraId="43B86F43" w14:textId="77777777" w:rsidR="00026AB6" w:rsidRPr="00E80256" w:rsidRDefault="00026AB6" w:rsidP="00026AB6">
            <w:pPr>
              <w:spacing w:after="0" w:line="240" w:lineRule="auto"/>
              <w:rPr>
                <w:rFonts w:ascii="Arial" w:eastAsia="Times New Roman" w:hAnsi="Arial" w:cs="Arial"/>
                <w:kern w:val="0"/>
                <w:lang w:eastAsia="en-GB"/>
                <w14:ligatures w14:val="none"/>
              </w:rPr>
            </w:pPr>
          </w:p>
        </w:tc>
        <w:tc>
          <w:tcPr>
            <w:tcW w:w="1060" w:type="dxa"/>
            <w:tcBorders>
              <w:top w:val="nil"/>
              <w:left w:val="nil"/>
              <w:bottom w:val="nil"/>
              <w:right w:val="nil"/>
            </w:tcBorders>
            <w:shd w:val="clear" w:color="auto" w:fill="auto"/>
            <w:noWrap/>
            <w:vAlign w:val="bottom"/>
            <w:hideMark/>
          </w:tcPr>
          <w:p w14:paraId="15913D1A" w14:textId="77777777" w:rsidR="00026AB6" w:rsidRPr="00E80256" w:rsidRDefault="00026AB6" w:rsidP="00026AB6">
            <w:pPr>
              <w:spacing w:after="0" w:line="240" w:lineRule="auto"/>
              <w:rPr>
                <w:rFonts w:ascii="Arial" w:eastAsia="Times New Roman" w:hAnsi="Arial" w:cs="Arial"/>
                <w:kern w:val="0"/>
                <w:lang w:eastAsia="en-GB"/>
                <w14:ligatures w14:val="none"/>
              </w:rPr>
            </w:pPr>
          </w:p>
        </w:tc>
        <w:tc>
          <w:tcPr>
            <w:tcW w:w="1060" w:type="dxa"/>
            <w:tcBorders>
              <w:top w:val="nil"/>
              <w:left w:val="nil"/>
              <w:bottom w:val="nil"/>
              <w:right w:val="nil"/>
            </w:tcBorders>
            <w:shd w:val="clear" w:color="auto" w:fill="auto"/>
            <w:noWrap/>
            <w:vAlign w:val="bottom"/>
            <w:hideMark/>
          </w:tcPr>
          <w:p w14:paraId="7FE1C72A" w14:textId="77777777" w:rsidR="00026AB6" w:rsidRPr="00E80256" w:rsidRDefault="00026AB6" w:rsidP="00026AB6">
            <w:pPr>
              <w:spacing w:after="0" w:line="240" w:lineRule="auto"/>
              <w:rPr>
                <w:rFonts w:ascii="Arial" w:eastAsia="Times New Roman" w:hAnsi="Arial" w:cs="Arial"/>
                <w:kern w:val="0"/>
                <w:lang w:eastAsia="en-GB"/>
                <w14:ligatures w14:val="none"/>
              </w:rPr>
            </w:pPr>
          </w:p>
        </w:tc>
      </w:tr>
      <w:tr w:rsidR="00026AB6" w:rsidRPr="00E80256" w14:paraId="5C2415AB" w14:textId="77777777" w:rsidTr="00026AB6">
        <w:trPr>
          <w:trHeight w:val="300"/>
        </w:trPr>
        <w:tc>
          <w:tcPr>
            <w:tcW w:w="2405" w:type="dxa"/>
            <w:tcBorders>
              <w:top w:val="nil"/>
              <w:left w:val="nil"/>
              <w:bottom w:val="nil"/>
              <w:right w:val="nil"/>
            </w:tcBorders>
            <w:shd w:val="clear" w:color="auto" w:fill="auto"/>
            <w:noWrap/>
            <w:vAlign w:val="bottom"/>
            <w:hideMark/>
          </w:tcPr>
          <w:p w14:paraId="5C95FF84" w14:textId="77777777" w:rsidR="00026AB6" w:rsidRPr="00E80256" w:rsidRDefault="00026AB6" w:rsidP="00026AB6">
            <w:pPr>
              <w:spacing w:after="0" w:line="240" w:lineRule="auto"/>
              <w:rPr>
                <w:rFonts w:ascii="Arial" w:eastAsia="Times New Roman" w:hAnsi="Arial" w:cs="Arial"/>
                <w:kern w:val="0"/>
                <w:lang w:eastAsia="en-GB"/>
                <w14:ligatures w14:val="none"/>
              </w:rPr>
            </w:pPr>
          </w:p>
        </w:tc>
        <w:tc>
          <w:tcPr>
            <w:tcW w:w="915" w:type="dxa"/>
            <w:tcBorders>
              <w:top w:val="nil"/>
              <w:left w:val="nil"/>
              <w:bottom w:val="nil"/>
              <w:right w:val="nil"/>
            </w:tcBorders>
            <w:shd w:val="clear" w:color="auto" w:fill="auto"/>
            <w:noWrap/>
            <w:vAlign w:val="bottom"/>
            <w:hideMark/>
          </w:tcPr>
          <w:p w14:paraId="01785368" w14:textId="77777777" w:rsidR="00026AB6" w:rsidRPr="00E80256" w:rsidRDefault="00026AB6" w:rsidP="00026AB6">
            <w:pPr>
              <w:spacing w:after="0" w:line="240" w:lineRule="auto"/>
              <w:rPr>
                <w:rFonts w:ascii="Arial" w:eastAsia="Times New Roman" w:hAnsi="Arial" w:cs="Arial"/>
                <w:kern w:val="0"/>
                <w:lang w:eastAsia="en-GB"/>
                <w14:ligatures w14:val="none"/>
              </w:rPr>
            </w:pPr>
          </w:p>
        </w:tc>
        <w:tc>
          <w:tcPr>
            <w:tcW w:w="1060" w:type="dxa"/>
            <w:tcBorders>
              <w:top w:val="nil"/>
              <w:left w:val="nil"/>
              <w:bottom w:val="nil"/>
              <w:right w:val="nil"/>
            </w:tcBorders>
            <w:shd w:val="clear" w:color="auto" w:fill="auto"/>
            <w:noWrap/>
            <w:vAlign w:val="bottom"/>
            <w:hideMark/>
          </w:tcPr>
          <w:p w14:paraId="00247834" w14:textId="77777777" w:rsidR="00026AB6" w:rsidRPr="00E80256" w:rsidRDefault="00026AB6" w:rsidP="00026AB6">
            <w:pPr>
              <w:spacing w:after="0" w:line="240" w:lineRule="auto"/>
              <w:rPr>
                <w:rFonts w:ascii="Arial" w:eastAsia="Times New Roman" w:hAnsi="Arial" w:cs="Arial"/>
                <w:kern w:val="0"/>
                <w:lang w:eastAsia="en-GB"/>
                <w14:ligatures w14:val="none"/>
              </w:rPr>
            </w:pPr>
          </w:p>
        </w:tc>
        <w:tc>
          <w:tcPr>
            <w:tcW w:w="1060" w:type="dxa"/>
            <w:tcBorders>
              <w:top w:val="nil"/>
              <w:left w:val="nil"/>
              <w:bottom w:val="nil"/>
              <w:right w:val="nil"/>
            </w:tcBorders>
            <w:shd w:val="clear" w:color="auto" w:fill="auto"/>
            <w:noWrap/>
            <w:vAlign w:val="bottom"/>
            <w:hideMark/>
          </w:tcPr>
          <w:p w14:paraId="122417F2" w14:textId="77777777" w:rsidR="00026AB6" w:rsidRPr="00E80256" w:rsidRDefault="00026AB6" w:rsidP="00026AB6">
            <w:pPr>
              <w:spacing w:after="0" w:line="240" w:lineRule="auto"/>
              <w:rPr>
                <w:rFonts w:ascii="Arial" w:eastAsia="Times New Roman" w:hAnsi="Arial" w:cs="Arial"/>
                <w:kern w:val="0"/>
                <w:lang w:eastAsia="en-GB"/>
                <w14:ligatures w14:val="none"/>
              </w:rPr>
            </w:pPr>
          </w:p>
        </w:tc>
        <w:tc>
          <w:tcPr>
            <w:tcW w:w="1060" w:type="dxa"/>
            <w:tcBorders>
              <w:top w:val="nil"/>
              <w:left w:val="nil"/>
              <w:bottom w:val="nil"/>
              <w:right w:val="nil"/>
            </w:tcBorders>
            <w:shd w:val="clear" w:color="auto" w:fill="auto"/>
            <w:noWrap/>
            <w:vAlign w:val="bottom"/>
            <w:hideMark/>
          </w:tcPr>
          <w:p w14:paraId="0DB74E9B" w14:textId="77777777" w:rsidR="00026AB6" w:rsidRPr="00E80256" w:rsidRDefault="00026AB6" w:rsidP="00026AB6">
            <w:pPr>
              <w:spacing w:after="0" w:line="240" w:lineRule="auto"/>
              <w:rPr>
                <w:rFonts w:ascii="Arial" w:eastAsia="Times New Roman" w:hAnsi="Arial" w:cs="Arial"/>
                <w:kern w:val="0"/>
                <w:lang w:eastAsia="en-GB"/>
                <w14:ligatures w14:val="none"/>
              </w:rPr>
            </w:pPr>
          </w:p>
        </w:tc>
        <w:tc>
          <w:tcPr>
            <w:tcW w:w="1060" w:type="dxa"/>
            <w:tcBorders>
              <w:top w:val="nil"/>
              <w:left w:val="nil"/>
              <w:bottom w:val="nil"/>
              <w:right w:val="nil"/>
            </w:tcBorders>
            <w:shd w:val="clear" w:color="auto" w:fill="auto"/>
            <w:noWrap/>
            <w:vAlign w:val="bottom"/>
            <w:hideMark/>
          </w:tcPr>
          <w:p w14:paraId="4C4F5A6A" w14:textId="77777777" w:rsidR="00026AB6" w:rsidRPr="00E80256" w:rsidRDefault="00026AB6" w:rsidP="00026AB6">
            <w:pPr>
              <w:spacing w:after="0" w:line="240" w:lineRule="auto"/>
              <w:rPr>
                <w:rFonts w:ascii="Arial" w:eastAsia="Times New Roman" w:hAnsi="Arial" w:cs="Arial"/>
                <w:kern w:val="0"/>
                <w:lang w:eastAsia="en-GB"/>
                <w14:ligatures w14:val="none"/>
              </w:rPr>
            </w:pPr>
          </w:p>
        </w:tc>
        <w:tc>
          <w:tcPr>
            <w:tcW w:w="1060" w:type="dxa"/>
            <w:tcBorders>
              <w:top w:val="nil"/>
              <w:left w:val="nil"/>
              <w:bottom w:val="nil"/>
              <w:right w:val="nil"/>
            </w:tcBorders>
            <w:shd w:val="clear" w:color="auto" w:fill="auto"/>
            <w:noWrap/>
            <w:vAlign w:val="bottom"/>
            <w:hideMark/>
          </w:tcPr>
          <w:p w14:paraId="1B4C60A3" w14:textId="77777777" w:rsidR="00026AB6" w:rsidRPr="00E80256" w:rsidRDefault="00026AB6" w:rsidP="00026AB6">
            <w:pPr>
              <w:spacing w:after="0" w:line="240" w:lineRule="auto"/>
              <w:rPr>
                <w:rFonts w:ascii="Arial" w:eastAsia="Times New Roman" w:hAnsi="Arial" w:cs="Arial"/>
                <w:kern w:val="0"/>
                <w:lang w:eastAsia="en-GB"/>
                <w14:ligatures w14:val="none"/>
              </w:rPr>
            </w:pPr>
          </w:p>
        </w:tc>
      </w:tr>
      <w:tr w:rsidR="00026AB6" w:rsidRPr="00E80256" w14:paraId="5BCF261D" w14:textId="77777777" w:rsidTr="00026AB6">
        <w:trPr>
          <w:trHeight w:val="300"/>
        </w:trPr>
        <w:tc>
          <w:tcPr>
            <w:tcW w:w="2405" w:type="dxa"/>
            <w:tcBorders>
              <w:top w:val="nil"/>
              <w:left w:val="nil"/>
              <w:bottom w:val="nil"/>
              <w:right w:val="nil"/>
            </w:tcBorders>
            <w:shd w:val="clear" w:color="000000" w:fill="C1F0C8"/>
            <w:noWrap/>
            <w:vAlign w:val="bottom"/>
            <w:hideMark/>
          </w:tcPr>
          <w:p w14:paraId="6F6033C2"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915" w:type="dxa"/>
            <w:tcBorders>
              <w:top w:val="nil"/>
              <w:left w:val="nil"/>
              <w:bottom w:val="nil"/>
              <w:right w:val="nil"/>
            </w:tcBorders>
            <w:shd w:val="clear" w:color="000000" w:fill="C1F0C8"/>
            <w:noWrap/>
            <w:vAlign w:val="bottom"/>
            <w:hideMark/>
          </w:tcPr>
          <w:p w14:paraId="58AE963B"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2018</w:t>
            </w:r>
          </w:p>
        </w:tc>
        <w:tc>
          <w:tcPr>
            <w:tcW w:w="1060" w:type="dxa"/>
            <w:tcBorders>
              <w:top w:val="nil"/>
              <w:left w:val="nil"/>
              <w:bottom w:val="nil"/>
              <w:right w:val="nil"/>
            </w:tcBorders>
            <w:shd w:val="clear" w:color="000000" w:fill="C1F0C8"/>
            <w:noWrap/>
            <w:vAlign w:val="bottom"/>
            <w:hideMark/>
          </w:tcPr>
          <w:p w14:paraId="3CC63FE8"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2019</w:t>
            </w:r>
          </w:p>
        </w:tc>
        <w:tc>
          <w:tcPr>
            <w:tcW w:w="1060" w:type="dxa"/>
            <w:tcBorders>
              <w:top w:val="nil"/>
              <w:left w:val="nil"/>
              <w:bottom w:val="nil"/>
              <w:right w:val="nil"/>
            </w:tcBorders>
            <w:shd w:val="clear" w:color="000000" w:fill="C1F0C8"/>
            <w:noWrap/>
            <w:vAlign w:val="bottom"/>
            <w:hideMark/>
          </w:tcPr>
          <w:p w14:paraId="1C8E8565"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2020</w:t>
            </w:r>
          </w:p>
        </w:tc>
        <w:tc>
          <w:tcPr>
            <w:tcW w:w="1060" w:type="dxa"/>
            <w:tcBorders>
              <w:top w:val="nil"/>
              <w:left w:val="nil"/>
              <w:bottom w:val="nil"/>
              <w:right w:val="nil"/>
            </w:tcBorders>
            <w:shd w:val="clear" w:color="000000" w:fill="C1F0C8"/>
            <w:noWrap/>
            <w:vAlign w:val="bottom"/>
            <w:hideMark/>
          </w:tcPr>
          <w:p w14:paraId="22A02C90"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2021</w:t>
            </w:r>
          </w:p>
        </w:tc>
        <w:tc>
          <w:tcPr>
            <w:tcW w:w="1060" w:type="dxa"/>
            <w:tcBorders>
              <w:top w:val="nil"/>
              <w:left w:val="nil"/>
              <w:bottom w:val="nil"/>
              <w:right w:val="nil"/>
            </w:tcBorders>
            <w:shd w:val="clear" w:color="000000" w:fill="C1F0C8"/>
            <w:noWrap/>
            <w:vAlign w:val="bottom"/>
            <w:hideMark/>
          </w:tcPr>
          <w:p w14:paraId="75DA64FA" w14:textId="77777777" w:rsidR="00026AB6" w:rsidRPr="00E80256" w:rsidRDefault="00026AB6"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2022</w:t>
            </w:r>
          </w:p>
        </w:tc>
        <w:tc>
          <w:tcPr>
            <w:tcW w:w="1060" w:type="dxa"/>
            <w:tcBorders>
              <w:top w:val="nil"/>
              <w:left w:val="nil"/>
              <w:bottom w:val="nil"/>
              <w:right w:val="nil"/>
            </w:tcBorders>
            <w:shd w:val="clear" w:color="000000" w:fill="C1F0C8"/>
            <w:noWrap/>
            <w:vAlign w:val="bottom"/>
            <w:hideMark/>
          </w:tcPr>
          <w:p w14:paraId="5660D4C3" w14:textId="66C3C093" w:rsidR="00026AB6" w:rsidRPr="00E80256" w:rsidRDefault="00F870C2" w:rsidP="00026AB6">
            <w:pPr>
              <w:spacing w:after="0" w:line="240" w:lineRule="auto"/>
              <w:jc w:val="center"/>
              <w:rPr>
                <w:rFonts w:ascii="Arial" w:eastAsia="Times New Roman" w:hAnsi="Arial" w:cs="Arial"/>
                <w:b/>
                <w:bCs/>
                <w:color w:val="000000"/>
                <w:kern w:val="0"/>
                <w:lang w:eastAsia="en-GB"/>
                <w14:ligatures w14:val="none"/>
              </w:rPr>
            </w:pPr>
            <w:r w:rsidRPr="00E80256">
              <w:rPr>
                <w:rFonts w:ascii="Arial" w:eastAsia="Times New Roman" w:hAnsi="Arial" w:cs="Arial"/>
                <w:b/>
                <w:bCs/>
                <w:color w:val="000000"/>
                <w:kern w:val="0"/>
                <w:lang w:eastAsia="en-GB"/>
                <w14:ligatures w14:val="none"/>
              </w:rPr>
              <w:t>2023</w:t>
            </w:r>
          </w:p>
        </w:tc>
      </w:tr>
      <w:tr w:rsidR="00026AB6" w:rsidRPr="00E80256" w14:paraId="78F61268" w14:textId="77777777" w:rsidTr="00026AB6">
        <w:trPr>
          <w:trHeight w:val="300"/>
        </w:trPr>
        <w:tc>
          <w:tcPr>
            <w:tcW w:w="2405" w:type="dxa"/>
            <w:tcBorders>
              <w:top w:val="nil"/>
              <w:left w:val="nil"/>
              <w:bottom w:val="nil"/>
              <w:right w:val="nil"/>
            </w:tcBorders>
            <w:shd w:val="clear" w:color="000000" w:fill="C1F0C8"/>
            <w:noWrap/>
            <w:vAlign w:val="bottom"/>
            <w:hideMark/>
          </w:tcPr>
          <w:p w14:paraId="34F6083E"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915" w:type="dxa"/>
            <w:tcBorders>
              <w:top w:val="nil"/>
              <w:left w:val="nil"/>
              <w:bottom w:val="nil"/>
              <w:right w:val="nil"/>
            </w:tcBorders>
            <w:shd w:val="clear" w:color="000000" w:fill="C1F0C8"/>
            <w:noWrap/>
            <w:vAlign w:val="bottom"/>
            <w:hideMark/>
          </w:tcPr>
          <w:p w14:paraId="5DA706F7"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6BC326C4"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38B322C4"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4B4992E4"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60951EED"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53D04BBA"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r w:rsidR="00026AB6" w:rsidRPr="00E80256" w14:paraId="04E51AB7" w14:textId="77777777" w:rsidTr="00026AB6">
        <w:trPr>
          <w:trHeight w:val="300"/>
        </w:trPr>
        <w:tc>
          <w:tcPr>
            <w:tcW w:w="2405" w:type="dxa"/>
            <w:tcBorders>
              <w:top w:val="nil"/>
              <w:left w:val="nil"/>
              <w:bottom w:val="nil"/>
              <w:right w:val="nil"/>
            </w:tcBorders>
            <w:shd w:val="clear" w:color="000000" w:fill="C1F0C8"/>
            <w:noWrap/>
            <w:vAlign w:val="bottom"/>
            <w:hideMark/>
          </w:tcPr>
          <w:p w14:paraId="132D18F2"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Revenue</w:t>
            </w:r>
          </w:p>
        </w:tc>
        <w:tc>
          <w:tcPr>
            <w:tcW w:w="915" w:type="dxa"/>
            <w:tcBorders>
              <w:top w:val="nil"/>
              <w:left w:val="nil"/>
              <w:bottom w:val="nil"/>
              <w:right w:val="nil"/>
            </w:tcBorders>
            <w:shd w:val="clear" w:color="000000" w:fill="C1F0C8"/>
            <w:noWrap/>
            <w:vAlign w:val="bottom"/>
            <w:hideMark/>
          </w:tcPr>
          <w:p w14:paraId="4422A47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2,007.0</w:t>
            </w:r>
          </w:p>
        </w:tc>
        <w:tc>
          <w:tcPr>
            <w:tcW w:w="1060" w:type="dxa"/>
            <w:tcBorders>
              <w:top w:val="nil"/>
              <w:left w:val="nil"/>
              <w:bottom w:val="nil"/>
              <w:right w:val="nil"/>
            </w:tcBorders>
            <w:shd w:val="clear" w:color="000000" w:fill="C1F0C8"/>
            <w:noWrap/>
            <w:vAlign w:val="bottom"/>
            <w:hideMark/>
          </w:tcPr>
          <w:p w14:paraId="000BB3E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2,049.0</w:t>
            </w:r>
          </w:p>
        </w:tc>
        <w:tc>
          <w:tcPr>
            <w:tcW w:w="1060" w:type="dxa"/>
            <w:tcBorders>
              <w:top w:val="nil"/>
              <w:left w:val="nil"/>
              <w:bottom w:val="nil"/>
              <w:right w:val="nil"/>
            </w:tcBorders>
            <w:shd w:val="clear" w:color="000000" w:fill="C1F0C8"/>
            <w:noWrap/>
            <w:vAlign w:val="bottom"/>
            <w:hideMark/>
          </w:tcPr>
          <w:p w14:paraId="5C00B25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2,072.0</w:t>
            </w:r>
          </w:p>
        </w:tc>
        <w:tc>
          <w:tcPr>
            <w:tcW w:w="1060" w:type="dxa"/>
            <w:tcBorders>
              <w:top w:val="nil"/>
              <w:left w:val="nil"/>
              <w:bottom w:val="nil"/>
              <w:right w:val="nil"/>
            </w:tcBorders>
            <w:shd w:val="clear" w:color="000000" w:fill="C1F0C8"/>
            <w:noWrap/>
            <w:vAlign w:val="bottom"/>
            <w:hideMark/>
          </w:tcPr>
          <w:p w14:paraId="21C70AF4"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590.0</w:t>
            </w:r>
          </w:p>
        </w:tc>
        <w:tc>
          <w:tcPr>
            <w:tcW w:w="1060" w:type="dxa"/>
            <w:tcBorders>
              <w:top w:val="nil"/>
              <w:left w:val="nil"/>
              <w:bottom w:val="nil"/>
              <w:right w:val="nil"/>
            </w:tcBorders>
            <w:shd w:val="clear" w:color="000000" w:fill="C1F0C8"/>
            <w:noWrap/>
            <w:vAlign w:val="bottom"/>
            <w:hideMark/>
          </w:tcPr>
          <w:p w14:paraId="6BFBF51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1,703.0</w:t>
            </w:r>
          </w:p>
        </w:tc>
        <w:tc>
          <w:tcPr>
            <w:tcW w:w="1060" w:type="dxa"/>
            <w:tcBorders>
              <w:top w:val="nil"/>
              <w:left w:val="nil"/>
              <w:bottom w:val="nil"/>
              <w:right w:val="nil"/>
            </w:tcBorders>
            <w:shd w:val="clear" w:color="000000" w:fill="C1F0C8"/>
            <w:noWrap/>
            <w:vAlign w:val="bottom"/>
            <w:hideMark/>
          </w:tcPr>
          <w:p w14:paraId="3BF6C4B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2,625.0</w:t>
            </w:r>
          </w:p>
        </w:tc>
      </w:tr>
      <w:tr w:rsidR="00026AB6" w:rsidRPr="00E80256" w14:paraId="2A56CC2C" w14:textId="77777777" w:rsidTr="00026AB6">
        <w:trPr>
          <w:trHeight w:val="300"/>
        </w:trPr>
        <w:tc>
          <w:tcPr>
            <w:tcW w:w="2405" w:type="dxa"/>
            <w:tcBorders>
              <w:top w:val="nil"/>
              <w:left w:val="nil"/>
              <w:bottom w:val="nil"/>
              <w:right w:val="nil"/>
            </w:tcBorders>
            <w:shd w:val="clear" w:color="000000" w:fill="C1F0C8"/>
            <w:noWrap/>
            <w:vAlign w:val="bottom"/>
            <w:hideMark/>
          </w:tcPr>
          <w:p w14:paraId="643E927B"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915" w:type="dxa"/>
            <w:tcBorders>
              <w:top w:val="nil"/>
              <w:left w:val="nil"/>
              <w:bottom w:val="nil"/>
              <w:right w:val="nil"/>
            </w:tcBorders>
            <w:shd w:val="clear" w:color="000000" w:fill="C1F0C8"/>
            <w:noWrap/>
            <w:vAlign w:val="bottom"/>
            <w:hideMark/>
          </w:tcPr>
          <w:p w14:paraId="4F8654C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6F6EEC78"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0D72AECF"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03A8EE61"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02CDB50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28A7042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r w:rsidR="00026AB6" w:rsidRPr="00E80256" w14:paraId="779DC3AE" w14:textId="77777777" w:rsidTr="00026AB6">
        <w:trPr>
          <w:trHeight w:val="300"/>
        </w:trPr>
        <w:tc>
          <w:tcPr>
            <w:tcW w:w="2405" w:type="dxa"/>
            <w:tcBorders>
              <w:top w:val="nil"/>
              <w:left w:val="nil"/>
              <w:bottom w:val="nil"/>
              <w:right w:val="nil"/>
            </w:tcBorders>
            <w:shd w:val="clear" w:color="000000" w:fill="C1F0C8"/>
            <w:noWrap/>
            <w:vAlign w:val="bottom"/>
            <w:hideMark/>
          </w:tcPr>
          <w:p w14:paraId="5EE37E76" w14:textId="19B66E4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Operating Profit</w:t>
            </w:r>
          </w:p>
        </w:tc>
        <w:tc>
          <w:tcPr>
            <w:tcW w:w="915" w:type="dxa"/>
            <w:tcBorders>
              <w:top w:val="nil"/>
              <w:left w:val="nil"/>
              <w:bottom w:val="nil"/>
              <w:right w:val="nil"/>
            </w:tcBorders>
            <w:shd w:val="clear" w:color="000000" w:fill="C1F0C8"/>
            <w:noWrap/>
            <w:vAlign w:val="bottom"/>
            <w:hideMark/>
          </w:tcPr>
          <w:p w14:paraId="587763D6"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463.0</w:t>
            </w:r>
          </w:p>
        </w:tc>
        <w:tc>
          <w:tcPr>
            <w:tcW w:w="1060" w:type="dxa"/>
            <w:tcBorders>
              <w:top w:val="nil"/>
              <w:left w:val="nil"/>
              <w:bottom w:val="nil"/>
              <w:right w:val="nil"/>
            </w:tcBorders>
            <w:shd w:val="clear" w:color="000000" w:fill="C1F0C8"/>
            <w:noWrap/>
            <w:vAlign w:val="bottom"/>
            <w:hideMark/>
          </w:tcPr>
          <w:p w14:paraId="773DE2F4"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466.0</w:t>
            </w:r>
          </w:p>
        </w:tc>
        <w:tc>
          <w:tcPr>
            <w:tcW w:w="1060" w:type="dxa"/>
            <w:tcBorders>
              <w:top w:val="nil"/>
              <w:left w:val="nil"/>
              <w:bottom w:val="nil"/>
              <w:right w:val="nil"/>
            </w:tcBorders>
            <w:shd w:val="clear" w:color="000000" w:fill="C1F0C8"/>
            <w:noWrap/>
            <w:vAlign w:val="bottom"/>
            <w:hideMark/>
          </w:tcPr>
          <w:p w14:paraId="1C389F28"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358.0</w:t>
            </w:r>
          </w:p>
        </w:tc>
        <w:tc>
          <w:tcPr>
            <w:tcW w:w="1060" w:type="dxa"/>
            <w:tcBorders>
              <w:top w:val="nil"/>
              <w:left w:val="nil"/>
              <w:bottom w:val="nil"/>
              <w:right w:val="nil"/>
            </w:tcBorders>
            <w:shd w:val="clear" w:color="000000" w:fill="C1F0C8"/>
            <w:noWrap/>
            <w:vAlign w:val="bottom"/>
            <w:hideMark/>
          </w:tcPr>
          <w:p w14:paraId="433E8664"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839.0</w:t>
            </w:r>
          </w:p>
        </w:tc>
        <w:tc>
          <w:tcPr>
            <w:tcW w:w="1060" w:type="dxa"/>
            <w:tcBorders>
              <w:top w:val="nil"/>
              <w:left w:val="nil"/>
              <w:bottom w:val="nil"/>
              <w:right w:val="nil"/>
            </w:tcBorders>
            <w:shd w:val="clear" w:color="000000" w:fill="C1F0C8"/>
            <w:noWrap/>
            <w:vAlign w:val="bottom"/>
            <w:hideMark/>
          </w:tcPr>
          <w:p w14:paraId="50B6816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227.0</w:t>
            </w:r>
          </w:p>
        </w:tc>
        <w:tc>
          <w:tcPr>
            <w:tcW w:w="1060" w:type="dxa"/>
            <w:tcBorders>
              <w:top w:val="nil"/>
              <w:left w:val="nil"/>
              <w:bottom w:val="nil"/>
              <w:right w:val="nil"/>
            </w:tcBorders>
            <w:shd w:val="clear" w:color="000000" w:fill="C1F0C8"/>
            <w:noWrap/>
            <w:vAlign w:val="bottom"/>
            <w:hideMark/>
          </w:tcPr>
          <w:p w14:paraId="048EDC1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375.0</w:t>
            </w:r>
          </w:p>
        </w:tc>
      </w:tr>
      <w:tr w:rsidR="00026AB6" w:rsidRPr="00E80256" w14:paraId="74D1E132" w14:textId="77777777" w:rsidTr="00026AB6">
        <w:trPr>
          <w:trHeight w:val="300"/>
        </w:trPr>
        <w:tc>
          <w:tcPr>
            <w:tcW w:w="2405" w:type="dxa"/>
            <w:tcBorders>
              <w:top w:val="nil"/>
              <w:left w:val="nil"/>
              <w:bottom w:val="nil"/>
              <w:right w:val="nil"/>
            </w:tcBorders>
            <w:shd w:val="clear" w:color="000000" w:fill="C1F0C8"/>
            <w:noWrap/>
            <w:vAlign w:val="bottom"/>
            <w:hideMark/>
          </w:tcPr>
          <w:p w14:paraId="7A68D0EF"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915" w:type="dxa"/>
            <w:tcBorders>
              <w:top w:val="nil"/>
              <w:left w:val="nil"/>
              <w:bottom w:val="nil"/>
              <w:right w:val="nil"/>
            </w:tcBorders>
            <w:shd w:val="clear" w:color="000000" w:fill="C1F0C8"/>
            <w:noWrap/>
            <w:vAlign w:val="bottom"/>
            <w:hideMark/>
          </w:tcPr>
          <w:p w14:paraId="2224623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68D91938"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6BA9647D"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5C8105DF"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5CCB1C98"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7714D23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r w:rsidR="00026AB6" w:rsidRPr="00E80256" w14:paraId="129B3717" w14:textId="77777777" w:rsidTr="00026AB6">
        <w:trPr>
          <w:trHeight w:val="300"/>
        </w:trPr>
        <w:tc>
          <w:tcPr>
            <w:tcW w:w="2405" w:type="dxa"/>
            <w:tcBorders>
              <w:top w:val="nil"/>
              <w:left w:val="nil"/>
              <w:bottom w:val="nil"/>
              <w:right w:val="nil"/>
            </w:tcBorders>
            <w:shd w:val="clear" w:color="000000" w:fill="C1F0C8"/>
            <w:noWrap/>
            <w:vAlign w:val="bottom"/>
            <w:hideMark/>
          </w:tcPr>
          <w:p w14:paraId="32B92B2F"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Net Profit</w:t>
            </w:r>
          </w:p>
        </w:tc>
        <w:tc>
          <w:tcPr>
            <w:tcW w:w="915" w:type="dxa"/>
            <w:tcBorders>
              <w:top w:val="nil"/>
              <w:left w:val="nil"/>
              <w:bottom w:val="nil"/>
              <w:right w:val="nil"/>
            </w:tcBorders>
            <w:shd w:val="clear" w:color="000000" w:fill="C1F0C8"/>
            <w:noWrap/>
            <w:vAlign w:val="bottom"/>
            <w:hideMark/>
          </w:tcPr>
          <w:p w14:paraId="04BA72D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432.0</w:t>
            </w:r>
          </w:p>
        </w:tc>
        <w:tc>
          <w:tcPr>
            <w:tcW w:w="1060" w:type="dxa"/>
            <w:tcBorders>
              <w:top w:val="nil"/>
              <w:left w:val="nil"/>
              <w:bottom w:val="nil"/>
              <w:right w:val="nil"/>
            </w:tcBorders>
            <w:shd w:val="clear" w:color="000000" w:fill="C1F0C8"/>
            <w:noWrap/>
            <w:vAlign w:val="bottom"/>
            <w:hideMark/>
          </w:tcPr>
          <w:p w14:paraId="7FD4172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438.0</w:t>
            </w:r>
          </w:p>
        </w:tc>
        <w:tc>
          <w:tcPr>
            <w:tcW w:w="1060" w:type="dxa"/>
            <w:tcBorders>
              <w:top w:val="nil"/>
              <w:left w:val="nil"/>
              <w:bottom w:val="nil"/>
              <w:right w:val="nil"/>
            </w:tcBorders>
            <w:shd w:val="clear" w:color="000000" w:fill="C1F0C8"/>
            <w:noWrap/>
            <w:vAlign w:val="bottom"/>
            <w:hideMark/>
          </w:tcPr>
          <w:p w14:paraId="06899288"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280.0</w:t>
            </w:r>
          </w:p>
        </w:tc>
        <w:tc>
          <w:tcPr>
            <w:tcW w:w="1060" w:type="dxa"/>
            <w:tcBorders>
              <w:top w:val="nil"/>
              <w:left w:val="nil"/>
              <w:bottom w:val="nil"/>
              <w:right w:val="nil"/>
            </w:tcBorders>
            <w:shd w:val="clear" w:color="000000" w:fill="C1F0C8"/>
            <w:noWrap/>
            <w:vAlign w:val="bottom"/>
            <w:hideMark/>
          </w:tcPr>
          <w:p w14:paraId="66C7310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1,007.4</w:t>
            </w:r>
          </w:p>
        </w:tc>
        <w:tc>
          <w:tcPr>
            <w:tcW w:w="1060" w:type="dxa"/>
            <w:tcBorders>
              <w:top w:val="nil"/>
              <w:left w:val="nil"/>
              <w:bottom w:val="nil"/>
              <w:right w:val="nil"/>
            </w:tcBorders>
            <w:shd w:val="clear" w:color="000000" w:fill="C1F0C8"/>
            <w:noWrap/>
            <w:vAlign w:val="bottom"/>
            <w:hideMark/>
          </w:tcPr>
          <w:p w14:paraId="02B0367B"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58.0</w:t>
            </w:r>
          </w:p>
        </w:tc>
        <w:tc>
          <w:tcPr>
            <w:tcW w:w="1060" w:type="dxa"/>
            <w:tcBorders>
              <w:top w:val="nil"/>
              <w:left w:val="nil"/>
              <w:bottom w:val="nil"/>
              <w:right w:val="nil"/>
            </w:tcBorders>
            <w:shd w:val="clear" w:color="000000" w:fill="C1F0C8"/>
            <w:noWrap/>
            <w:vAlign w:val="bottom"/>
            <w:hideMark/>
          </w:tcPr>
          <w:p w14:paraId="3D26BFDC"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171.0</w:t>
            </w:r>
          </w:p>
        </w:tc>
      </w:tr>
      <w:tr w:rsidR="00026AB6" w:rsidRPr="00E80256" w14:paraId="0202AE31" w14:textId="77777777" w:rsidTr="00026AB6">
        <w:trPr>
          <w:trHeight w:val="300"/>
        </w:trPr>
        <w:tc>
          <w:tcPr>
            <w:tcW w:w="2405" w:type="dxa"/>
            <w:tcBorders>
              <w:top w:val="nil"/>
              <w:left w:val="nil"/>
              <w:bottom w:val="nil"/>
              <w:right w:val="nil"/>
            </w:tcBorders>
            <w:shd w:val="clear" w:color="000000" w:fill="C1F0C8"/>
            <w:noWrap/>
            <w:vAlign w:val="bottom"/>
            <w:hideMark/>
          </w:tcPr>
          <w:p w14:paraId="679D2181"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915" w:type="dxa"/>
            <w:tcBorders>
              <w:top w:val="nil"/>
              <w:left w:val="nil"/>
              <w:bottom w:val="nil"/>
              <w:right w:val="nil"/>
            </w:tcBorders>
            <w:shd w:val="clear" w:color="000000" w:fill="C1F0C8"/>
            <w:noWrap/>
            <w:vAlign w:val="bottom"/>
            <w:hideMark/>
          </w:tcPr>
          <w:p w14:paraId="121B3BE4"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39D54E21"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47231996"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289961E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1F4E205B"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133C0E71"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r w:rsidR="00026AB6" w:rsidRPr="00E80256" w14:paraId="2DF01581" w14:textId="77777777" w:rsidTr="00026AB6">
        <w:trPr>
          <w:trHeight w:val="300"/>
        </w:trPr>
        <w:tc>
          <w:tcPr>
            <w:tcW w:w="2405" w:type="dxa"/>
            <w:tcBorders>
              <w:top w:val="nil"/>
              <w:left w:val="nil"/>
              <w:bottom w:val="nil"/>
              <w:right w:val="nil"/>
            </w:tcBorders>
            <w:shd w:val="clear" w:color="000000" w:fill="C1F0C8"/>
            <w:noWrap/>
            <w:vAlign w:val="bottom"/>
            <w:hideMark/>
          </w:tcPr>
          <w:p w14:paraId="3BE13690"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Operating profit ratio</w:t>
            </w:r>
          </w:p>
        </w:tc>
        <w:tc>
          <w:tcPr>
            <w:tcW w:w="915" w:type="dxa"/>
            <w:tcBorders>
              <w:top w:val="nil"/>
              <w:left w:val="nil"/>
              <w:bottom w:val="nil"/>
              <w:right w:val="nil"/>
            </w:tcBorders>
            <w:shd w:val="clear" w:color="000000" w:fill="C1F0C8"/>
            <w:noWrap/>
            <w:vAlign w:val="bottom"/>
            <w:hideMark/>
          </w:tcPr>
          <w:p w14:paraId="49F704F6"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23%</w:t>
            </w:r>
          </w:p>
        </w:tc>
        <w:tc>
          <w:tcPr>
            <w:tcW w:w="1060" w:type="dxa"/>
            <w:tcBorders>
              <w:top w:val="nil"/>
              <w:left w:val="nil"/>
              <w:bottom w:val="nil"/>
              <w:right w:val="nil"/>
            </w:tcBorders>
            <w:shd w:val="clear" w:color="000000" w:fill="C1F0C8"/>
            <w:noWrap/>
            <w:vAlign w:val="bottom"/>
            <w:hideMark/>
          </w:tcPr>
          <w:p w14:paraId="2486294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23%</w:t>
            </w:r>
          </w:p>
        </w:tc>
        <w:tc>
          <w:tcPr>
            <w:tcW w:w="1060" w:type="dxa"/>
            <w:tcBorders>
              <w:top w:val="nil"/>
              <w:left w:val="nil"/>
              <w:bottom w:val="nil"/>
              <w:right w:val="nil"/>
            </w:tcBorders>
            <w:shd w:val="clear" w:color="000000" w:fill="C1F0C8"/>
            <w:noWrap/>
            <w:vAlign w:val="bottom"/>
            <w:hideMark/>
          </w:tcPr>
          <w:p w14:paraId="49E9A54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17%</w:t>
            </w:r>
          </w:p>
        </w:tc>
        <w:tc>
          <w:tcPr>
            <w:tcW w:w="1060" w:type="dxa"/>
            <w:tcBorders>
              <w:top w:val="nil"/>
              <w:left w:val="nil"/>
              <w:bottom w:val="nil"/>
              <w:right w:val="nil"/>
            </w:tcBorders>
            <w:shd w:val="clear" w:color="000000" w:fill="C1F0C8"/>
            <w:noWrap/>
            <w:vAlign w:val="bottom"/>
            <w:hideMark/>
          </w:tcPr>
          <w:p w14:paraId="2376D95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142%</w:t>
            </w:r>
          </w:p>
        </w:tc>
        <w:tc>
          <w:tcPr>
            <w:tcW w:w="1060" w:type="dxa"/>
            <w:tcBorders>
              <w:top w:val="nil"/>
              <w:left w:val="nil"/>
              <w:bottom w:val="nil"/>
              <w:right w:val="nil"/>
            </w:tcBorders>
            <w:shd w:val="clear" w:color="000000" w:fill="C1F0C8"/>
            <w:noWrap/>
            <w:vAlign w:val="bottom"/>
            <w:hideMark/>
          </w:tcPr>
          <w:p w14:paraId="217C565E"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13%</w:t>
            </w:r>
          </w:p>
        </w:tc>
        <w:tc>
          <w:tcPr>
            <w:tcW w:w="1060" w:type="dxa"/>
            <w:tcBorders>
              <w:top w:val="nil"/>
              <w:left w:val="nil"/>
              <w:bottom w:val="nil"/>
              <w:right w:val="nil"/>
            </w:tcBorders>
            <w:shd w:val="clear" w:color="000000" w:fill="C1F0C8"/>
            <w:noWrap/>
            <w:vAlign w:val="bottom"/>
            <w:hideMark/>
          </w:tcPr>
          <w:p w14:paraId="3A0A0860"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14%</w:t>
            </w:r>
          </w:p>
        </w:tc>
      </w:tr>
      <w:tr w:rsidR="00026AB6" w:rsidRPr="00E80256" w14:paraId="1CCD905F" w14:textId="77777777" w:rsidTr="00026AB6">
        <w:trPr>
          <w:trHeight w:val="300"/>
        </w:trPr>
        <w:tc>
          <w:tcPr>
            <w:tcW w:w="2405" w:type="dxa"/>
            <w:tcBorders>
              <w:top w:val="nil"/>
              <w:left w:val="nil"/>
              <w:bottom w:val="nil"/>
              <w:right w:val="nil"/>
            </w:tcBorders>
            <w:shd w:val="clear" w:color="000000" w:fill="C1F0C8"/>
            <w:noWrap/>
            <w:vAlign w:val="bottom"/>
            <w:hideMark/>
          </w:tcPr>
          <w:p w14:paraId="6E75CC67"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915" w:type="dxa"/>
            <w:tcBorders>
              <w:top w:val="nil"/>
              <w:left w:val="nil"/>
              <w:bottom w:val="nil"/>
              <w:right w:val="nil"/>
            </w:tcBorders>
            <w:shd w:val="clear" w:color="000000" w:fill="C1F0C8"/>
            <w:noWrap/>
            <w:vAlign w:val="bottom"/>
            <w:hideMark/>
          </w:tcPr>
          <w:p w14:paraId="382F83C1"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11DE522A"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1902E0F0"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1E7C1C3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1A528F2C"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6C4B38C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r w:rsidR="00026AB6" w:rsidRPr="00E80256" w14:paraId="7A628A01" w14:textId="77777777" w:rsidTr="00026AB6">
        <w:trPr>
          <w:trHeight w:val="300"/>
        </w:trPr>
        <w:tc>
          <w:tcPr>
            <w:tcW w:w="2405" w:type="dxa"/>
            <w:tcBorders>
              <w:top w:val="nil"/>
              <w:left w:val="nil"/>
              <w:bottom w:val="nil"/>
              <w:right w:val="nil"/>
            </w:tcBorders>
            <w:shd w:val="clear" w:color="000000" w:fill="C1F0C8"/>
            <w:noWrap/>
            <w:vAlign w:val="bottom"/>
            <w:hideMark/>
          </w:tcPr>
          <w:p w14:paraId="152845FC"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Net profit ratio</w:t>
            </w:r>
          </w:p>
        </w:tc>
        <w:tc>
          <w:tcPr>
            <w:tcW w:w="915" w:type="dxa"/>
            <w:tcBorders>
              <w:top w:val="nil"/>
              <w:left w:val="nil"/>
              <w:bottom w:val="nil"/>
              <w:right w:val="nil"/>
            </w:tcBorders>
            <w:shd w:val="clear" w:color="000000" w:fill="C1F0C8"/>
            <w:noWrap/>
            <w:vAlign w:val="bottom"/>
            <w:hideMark/>
          </w:tcPr>
          <w:p w14:paraId="4511943C"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22%</w:t>
            </w:r>
          </w:p>
        </w:tc>
        <w:tc>
          <w:tcPr>
            <w:tcW w:w="1060" w:type="dxa"/>
            <w:tcBorders>
              <w:top w:val="nil"/>
              <w:left w:val="nil"/>
              <w:bottom w:val="nil"/>
              <w:right w:val="nil"/>
            </w:tcBorders>
            <w:shd w:val="clear" w:color="000000" w:fill="C1F0C8"/>
            <w:noWrap/>
            <w:vAlign w:val="bottom"/>
            <w:hideMark/>
          </w:tcPr>
          <w:p w14:paraId="4E70AAC5"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21%</w:t>
            </w:r>
          </w:p>
        </w:tc>
        <w:tc>
          <w:tcPr>
            <w:tcW w:w="1060" w:type="dxa"/>
            <w:tcBorders>
              <w:top w:val="nil"/>
              <w:left w:val="nil"/>
              <w:bottom w:val="nil"/>
              <w:right w:val="nil"/>
            </w:tcBorders>
            <w:shd w:val="clear" w:color="000000" w:fill="C1F0C8"/>
            <w:noWrap/>
            <w:vAlign w:val="bottom"/>
            <w:hideMark/>
          </w:tcPr>
          <w:p w14:paraId="535433C3"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14%</w:t>
            </w:r>
          </w:p>
        </w:tc>
        <w:tc>
          <w:tcPr>
            <w:tcW w:w="1060" w:type="dxa"/>
            <w:tcBorders>
              <w:top w:val="nil"/>
              <w:left w:val="nil"/>
              <w:bottom w:val="nil"/>
              <w:right w:val="nil"/>
            </w:tcBorders>
            <w:shd w:val="clear" w:color="000000" w:fill="C1F0C8"/>
            <w:noWrap/>
            <w:vAlign w:val="bottom"/>
            <w:hideMark/>
          </w:tcPr>
          <w:p w14:paraId="6052A4C4"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171%</w:t>
            </w:r>
          </w:p>
        </w:tc>
        <w:tc>
          <w:tcPr>
            <w:tcW w:w="1060" w:type="dxa"/>
            <w:tcBorders>
              <w:top w:val="nil"/>
              <w:left w:val="nil"/>
              <w:bottom w:val="nil"/>
              <w:right w:val="nil"/>
            </w:tcBorders>
            <w:shd w:val="clear" w:color="000000" w:fill="C1F0C8"/>
            <w:noWrap/>
            <w:vAlign w:val="bottom"/>
            <w:hideMark/>
          </w:tcPr>
          <w:p w14:paraId="5D87E6BE"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3%</w:t>
            </w:r>
          </w:p>
        </w:tc>
        <w:tc>
          <w:tcPr>
            <w:tcW w:w="1060" w:type="dxa"/>
            <w:tcBorders>
              <w:top w:val="nil"/>
              <w:left w:val="nil"/>
              <w:bottom w:val="nil"/>
              <w:right w:val="nil"/>
            </w:tcBorders>
            <w:shd w:val="clear" w:color="000000" w:fill="C1F0C8"/>
            <w:noWrap/>
            <w:vAlign w:val="bottom"/>
            <w:hideMark/>
          </w:tcPr>
          <w:p w14:paraId="41ABE44F" w14:textId="77777777" w:rsidR="00026AB6" w:rsidRPr="00E80256" w:rsidRDefault="00026AB6" w:rsidP="00026AB6">
            <w:pPr>
              <w:spacing w:after="0" w:line="240" w:lineRule="auto"/>
              <w:jc w:val="center"/>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7%</w:t>
            </w:r>
          </w:p>
        </w:tc>
      </w:tr>
      <w:tr w:rsidR="00026AB6" w:rsidRPr="00E80256" w14:paraId="3D60D69C" w14:textId="77777777" w:rsidTr="00026AB6">
        <w:trPr>
          <w:trHeight w:val="300"/>
        </w:trPr>
        <w:tc>
          <w:tcPr>
            <w:tcW w:w="2405" w:type="dxa"/>
            <w:tcBorders>
              <w:top w:val="nil"/>
              <w:left w:val="nil"/>
              <w:bottom w:val="nil"/>
              <w:right w:val="nil"/>
            </w:tcBorders>
            <w:shd w:val="clear" w:color="000000" w:fill="C1F0C8"/>
            <w:noWrap/>
            <w:vAlign w:val="bottom"/>
            <w:hideMark/>
          </w:tcPr>
          <w:p w14:paraId="31554A5D"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915" w:type="dxa"/>
            <w:tcBorders>
              <w:top w:val="nil"/>
              <w:left w:val="nil"/>
              <w:bottom w:val="nil"/>
              <w:right w:val="nil"/>
            </w:tcBorders>
            <w:shd w:val="clear" w:color="000000" w:fill="C1F0C8"/>
            <w:noWrap/>
            <w:vAlign w:val="bottom"/>
            <w:hideMark/>
          </w:tcPr>
          <w:p w14:paraId="3012B152"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582960F8"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4679DD30"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4C276523"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1E5FBC5E"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c>
          <w:tcPr>
            <w:tcW w:w="1060" w:type="dxa"/>
            <w:tcBorders>
              <w:top w:val="nil"/>
              <w:left w:val="nil"/>
              <w:bottom w:val="nil"/>
              <w:right w:val="nil"/>
            </w:tcBorders>
            <w:shd w:val="clear" w:color="000000" w:fill="C1F0C8"/>
            <w:noWrap/>
            <w:vAlign w:val="bottom"/>
            <w:hideMark/>
          </w:tcPr>
          <w:p w14:paraId="59CA3505" w14:textId="77777777" w:rsidR="00026AB6" w:rsidRPr="00E80256" w:rsidRDefault="00026AB6" w:rsidP="00026AB6">
            <w:pPr>
              <w:spacing w:after="0" w:line="240" w:lineRule="auto"/>
              <w:rPr>
                <w:rFonts w:ascii="Arial" w:eastAsia="Times New Roman" w:hAnsi="Arial" w:cs="Arial"/>
                <w:color w:val="000000"/>
                <w:kern w:val="0"/>
                <w:lang w:eastAsia="en-GB"/>
                <w14:ligatures w14:val="none"/>
              </w:rPr>
            </w:pPr>
            <w:r w:rsidRPr="00E80256">
              <w:rPr>
                <w:rFonts w:ascii="Arial" w:eastAsia="Times New Roman" w:hAnsi="Arial" w:cs="Arial"/>
                <w:color w:val="000000"/>
                <w:kern w:val="0"/>
                <w:lang w:eastAsia="en-GB"/>
                <w14:ligatures w14:val="none"/>
              </w:rPr>
              <w:t> </w:t>
            </w:r>
          </w:p>
        </w:tc>
      </w:tr>
    </w:tbl>
    <w:p w14:paraId="39C827C1" w14:textId="77777777" w:rsidR="009A3DCE" w:rsidRDefault="009A3DCE" w:rsidP="009A3DCE">
      <w:pPr>
        <w:rPr>
          <w:rFonts w:ascii="Arial" w:hAnsi="Arial" w:cs="Arial"/>
        </w:rPr>
      </w:pPr>
    </w:p>
    <w:p w14:paraId="4E655A3B" w14:textId="08C22D9B" w:rsidR="00026AB6" w:rsidRDefault="00026AB6" w:rsidP="009A3DCE">
      <w:pPr>
        <w:rPr>
          <w:rFonts w:ascii="Arial" w:hAnsi="Arial" w:cs="Arial"/>
          <w:b/>
          <w:bCs/>
        </w:rPr>
      </w:pPr>
      <w:r w:rsidRPr="00026AB6">
        <w:rPr>
          <w:rFonts w:ascii="Arial" w:hAnsi="Arial" w:cs="Arial"/>
          <w:b/>
          <w:bCs/>
        </w:rPr>
        <w:t>Revenue Overview</w:t>
      </w:r>
      <w:r w:rsidR="00657F30">
        <w:rPr>
          <w:rFonts w:ascii="Arial" w:hAnsi="Arial" w:cs="Arial"/>
          <w:b/>
          <w:bCs/>
        </w:rPr>
        <w:t xml:space="preserve"> of both hotels</w:t>
      </w:r>
    </w:p>
    <w:p w14:paraId="6837B742" w14:textId="0211430A" w:rsidR="00026AB6" w:rsidRDefault="00026AB6" w:rsidP="009A3DCE">
      <w:pPr>
        <w:rPr>
          <w:rFonts w:ascii="Arial" w:hAnsi="Arial" w:cs="Arial"/>
        </w:rPr>
      </w:pPr>
      <w:r>
        <w:rPr>
          <w:rFonts w:ascii="Arial" w:hAnsi="Arial" w:cs="Arial"/>
        </w:rPr>
        <w:t>Shangri-La Hotels experience a notable fluctuation in revenue between 2018 and 2023</w:t>
      </w:r>
      <w:r w:rsidR="00703028">
        <w:rPr>
          <w:rFonts w:ascii="Arial" w:hAnsi="Arial" w:cs="Arial"/>
        </w:rPr>
        <w:t xml:space="preserve"> (Shangri-La Group 2023).</w:t>
      </w:r>
      <w:r>
        <w:rPr>
          <w:rFonts w:ascii="Arial" w:hAnsi="Arial" w:cs="Arial"/>
        </w:rPr>
        <w:t xml:space="preserve"> Starting from $2,517.9 million in 2018</w:t>
      </w:r>
      <w:r w:rsidR="00657F30">
        <w:rPr>
          <w:rFonts w:ascii="Arial" w:hAnsi="Arial" w:cs="Arial"/>
        </w:rPr>
        <w:t xml:space="preserve">, its revenue dipped to $1,033.4 million in 2020, </w:t>
      </w:r>
      <w:r w:rsidR="00BD19E5">
        <w:rPr>
          <w:rFonts w:ascii="Arial" w:hAnsi="Arial" w:cs="Arial"/>
        </w:rPr>
        <w:t>(Shangri-La Group 2023). A</w:t>
      </w:r>
      <w:r w:rsidR="00657F30">
        <w:rPr>
          <w:rFonts w:ascii="Arial" w:hAnsi="Arial" w:cs="Arial"/>
        </w:rPr>
        <w:t>t the peak of the pandemic. Premier Inn Hotels followed a similar patter</w:t>
      </w:r>
      <w:r w:rsidR="00D1613F">
        <w:rPr>
          <w:rFonts w:ascii="Arial" w:hAnsi="Arial" w:cs="Arial"/>
        </w:rPr>
        <w:t>n</w:t>
      </w:r>
      <w:r w:rsidR="00657F30">
        <w:rPr>
          <w:rFonts w:ascii="Arial" w:hAnsi="Arial" w:cs="Arial"/>
        </w:rPr>
        <w:t>, though with more pronounced volatility. Revenue stood at £2,007.4 million in 2018 and steadily increase</w:t>
      </w:r>
      <w:r w:rsidR="00D1613F">
        <w:rPr>
          <w:rFonts w:ascii="Arial" w:hAnsi="Arial" w:cs="Arial"/>
        </w:rPr>
        <w:t>d</w:t>
      </w:r>
      <w:r w:rsidR="00657F30">
        <w:rPr>
          <w:rFonts w:ascii="Arial" w:hAnsi="Arial" w:cs="Arial"/>
        </w:rPr>
        <w:t xml:space="preserve"> to £2,071.5 million in 2020, before plummeting to £590</w:t>
      </w:r>
      <w:r w:rsidR="00EF2D53">
        <w:rPr>
          <w:rFonts w:ascii="Arial" w:hAnsi="Arial" w:cs="Arial"/>
        </w:rPr>
        <w:t xml:space="preserve"> million in 2021 due to the pandemic</w:t>
      </w:r>
      <w:r w:rsidR="00703028">
        <w:rPr>
          <w:rFonts w:ascii="Arial" w:hAnsi="Arial" w:cs="Arial"/>
        </w:rPr>
        <w:t xml:space="preserve"> (whitebeard Group, 2023)</w:t>
      </w:r>
      <w:r w:rsidR="00EF2D53">
        <w:rPr>
          <w:rFonts w:ascii="Arial" w:hAnsi="Arial" w:cs="Arial"/>
        </w:rPr>
        <w:t>. These figures reflect the global economic disruptions brough</w:t>
      </w:r>
      <w:r w:rsidR="00D1613F">
        <w:rPr>
          <w:rFonts w:ascii="Arial" w:hAnsi="Arial" w:cs="Arial"/>
        </w:rPr>
        <w:t>t</w:t>
      </w:r>
      <w:r w:rsidR="00EF2D53">
        <w:rPr>
          <w:rFonts w:ascii="Arial" w:hAnsi="Arial" w:cs="Arial"/>
        </w:rPr>
        <w:t xml:space="preserve"> on by the pandemic which severely impacted the hospitality sector due to restriction</w:t>
      </w:r>
      <w:r w:rsidR="00D1613F">
        <w:rPr>
          <w:rFonts w:ascii="Arial" w:hAnsi="Arial" w:cs="Arial"/>
        </w:rPr>
        <w:t>s</w:t>
      </w:r>
      <w:r w:rsidR="00EF2D53">
        <w:rPr>
          <w:rFonts w:ascii="Arial" w:hAnsi="Arial" w:cs="Arial"/>
        </w:rPr>
        <w:t xml:space="preserve"> on travel and tourism. </w:t>
      </w:r>
      <w:r w:rsidR="00F870C2">
        <w:rPr>
          <w:rFonts w:ascii="Arial" w:hAnsi="Arial" w:cs="Arial"/>
        </w:rPr>
        <w:t>However,</w:t>
      </w:r>
      <w:r w:rsidR="00EF2D53">
        <w:rPr>
          <w:rFonts w:ascii="Arial" w:hAnsi="Arial" w:cs="Arial"/>
        </w:rPr>
        <w:t xml:space="preserve"> Shangri-La was able to bounce back to $2,141.8 million by 2023</w:t>
      </w:r>
      <w:r w:rsidR="00F870C2">
        <w:rPr>
          <w:rFonts w:ascii="Arial" w:hAnsi="Arial" w:cs="Arial"/>
        </w:rPr>
        <w:t xml:space="preserve"> </w:t>
      </w:r>
      <w:r w:rsidR="00BD19E5">
        <w:rPr>
          <w:rFonts w:ascii="Arial" w:hAnsi="Arial" w:cs="Arial"/>
        </w:rPr>
        <w:t xml:space="preserve">(Shangri-La Group 2023). </w:t>
      </w:r>
      <w:r w:rsidR="00F870C2">
        <w:rPr>
          <w:rFonts w:ascii="Arial" w:hAnsi="Arial" w:cs="Arial"/>
        </w:rPr>
        <w:t xml:space="preserve">and Premier Inn rebounded to £ 2,625.0 million in 2023 </w:t>
      </w:r>
      <w:r w:rsidR="00BD19E5">
        <w:rPr>
          <w:rFonts w:ascii="Arial" w:hAnsi="Arial" w:cs="Arial"/>
        </w:rPr>
        <w:t xml:space="preserve">(whitebeard Group, 2023). </w:t>
      </w:r>
      <w:r w:rsidR="00F870C2">
        <w:rPr>
          <w:rFonts w:ascii="Arial" w:hAnsi="Arial" w:cs="Arial"/>
        </w:rPr>
        <w:t>a recovery somewhat faster than that of Shangri-La.</w:t>
      </w:r>
    </w:p>
    <w:p w14:paraId="4873B57D" w14:textId="79457338" w:rsidR="00F870C2" w:rsidRDefault="00BD19E5" w:rsidP="009A3DCE">
      <w:pPr>
        <w:rPr>
          <w:rFonts w:ascii="Arial" w:hAnsi="Arial" w:cs="Arial"/>
          <w:b/>
          <w:bCs/>
        </w:rPr>
      </w:pPr>
      <w:r w:rsidRPr="00F870C2">
        <w:rPr>
          <w:rFonts w:ascii="Arial" w:hAnsi="Arial" w:cs="Arial"/>
          <w:b/>
          <w:bCs/>
        </w:rPr>
        <w:t>Not</w:t>
      </w:r>
      <w:r>
        <w:rPr>
          <w:rFonts w:ascii="Arial" w:hAnsi="Arial" w:cs="Arial"/>
          <w:b/>
          <w:bCs/>
        </w:rPr>
        <w:t>ed</w:t>
      </w:r>
      <w:r w:rsidR="00F870C2" w:rsidRPr="00F870C2">
        <w:rPr>
          <w:rFonts w:ascii="Arial" w:hAnsi="Arial" w:cs="Arial"/>
          <w:b/>
          <w:bCs/>
        </w:rPr>
        <w:t xml:space="preserve"> strategies from both hotels</w:t>
      </w:r>
    </w:p>
    <w:p w14:paraId="52AD3A6F" w14:textId="57FF9604" w:rsidR="00F870C2" w:rsidRDefault="00F870C2" w:rsidP="009A3DCE">
      <w:pPr>
        <w:rPr>
          <w:rFonts w:ascii="Arial" w:hAnsi="Arial" w:cs="Arial"/>
        </w:rPr>
      </w:pPr>
      <w:r w:rsidRPr="00F870C2">
        <w:rPr>
          <w:rFonts w:ascii="Arial" w:hAnsi="Arial" w:cs="Arial"/>
        </w:rPr>
        <w:t>Shangri-La Hotel</w:t>
      </w:r>
      <w:r w:rsidR="00AD3899">
        <w:rPr>
          <w:rFonts w:ascii="Arial" w:hAnsi="Arial" w:cs="Arial"/>
        </w:rPr>
        <w:t>’</w:t>
      </w:r>
      <w:r w:rsidRPr="00F870C2">
        <w:rPr>
          <w:rFonts w:ascii="Arial" w:hAnsi="Arial" w:cs="Arial"/>
        </w:rPr>
        <w:t>s strategy during th</w:t>
      </w:r>
      <w:r>
        <w:rPr>
          <w:rFonts w:ascii="Arial" w:hAnsi="Arial" w:cs="Arial"/>
        </w:rPr>
        <w:t>is period appeared to focus on maintaining operational resilience, optimizing cost, leveraging domestic</w:t>
      </w:r>
      <w:r w:rsidR="005B578E">
        <w:rPr>
          <w:rFonts w:ascii="Arial" w:hAnsi="Arial" w:cs="Arial"/>
        </w:rPr>
        <w:t xml:space="preserve"> tourism</w:t>
      </w:r>
      <w:r w:rsidR="00AD3899">
        <w:rPr>
          <w:rFonts w:ascii="Arial" w:hAnsi="Arial" w:cs="Arial"/>
        </w:rPr>
        <w:t>,</w:t>
      </w:r>
      <w:r w:rsidR="005B578E">
        <w:rPr>
          <w:rFonts w:ascii="Arial" w:hAnsi="Arial" w:cs="Arial"/>
        </w:rPr>
        <w:t xml:space="preserve"> and minimising currency risk by borrowing in local currency (Shangri-La </w:t>
      </w:r>
      <w:r w:rsidR="00703028">
        <w:rPr>
          <w:rFonts w:ascii="Arial" w:hAnsi="Arial" w:cs="Arial"/>
        </w:rPr>
        <w:t xml:space="preserve">Group </w:t>
      </w:r>
      <w:r w:rsidR="005B578E">
        <w:rPr>
          <w:rFonts w:ascii="Arial" w:hAnsi="Arial" w:cs="Arial"/>
        </w:rPr>
        <w:t>2020-2023). Focus</w:t>
      </w:r>
      <w:r w:rsidR="000771E1">
        <w:rPr>
          <w:rFonts w:ascii="Arial" w:hAnsi="Arial" w:cs="Arial"/>
        </w:rPr>
        <w:t xml:space="preserve">ing on upscale services and diversifying offerings, the company was able to stabilize revenue in 2021 and begin recovery. </w:t>
      </w:r>
      <w:r w:rsidR="00BD19E5">
        <w:rPr>
          <w:rFonts w:ascii="Arial" w:hAnsi="Arial" w:cs="Arial"/>
        </w:rPr>
        <w:t>What’s more</w:t>
      </w:r>
      <w:r w:rsidR="000771E1">
        <w:rPr>
          <w:rFonts w:ascii="Arial" w:hAnsi="Arial" w:cs="Arial"/>
        </w:rPr>
        <w:t xml:space="preserve">, their ability to quickly pivot toward local and regional travel markets, where </w:t>
      </w:r>
      <w:r w:rsidR="00AD3899">
        <w:rPr>
          <w:rFonts w:ascii="Arial" w:hAnsi="Arial" w:cs="Arial"/>
        </w:rPr>
        <w:t>the </w:t>
      </w:r>
      <w:r w:rsidR="000771E1">
        <w:rPr>
          <w:rFonts w:ascii="Arial" w:hAnsi="Arial" w:cs="Arial"/>
        </w:rPr>
        <w:t>restriction was relaxed sooner, proved critical to sustaining revenue</w:t>
      </w:r>
      <w:r w:rsidR="00BD19E5">
        <w:rPr>
          <w:rFonts w:ascii="Arial" w:hAnsi="Arial" w:cs="Arial"/>
        </w:rPr>
        <w:t xml:space="preserve"> (Shangri-La Group 2021)</w:t>
      </w:r>
      <w:r w:rsidR="000771E1">
        <w:rPr>
          <w:rFonts w:ascii="Arial" w:hAnsi="Arial" w:cs="Arial"/>
        </w:rPr>
        <w:t>.</w:t>
      </w:r>
    </w:p>
    <w:p w14:paraId="12332312" w14:textId="3B11C103" w:rsidR="000771E1" w:rsidRPr="00F870C2" w:rsidRDefault="000771E1" w:rsidP="009A3DCE">
      <w:pPr>
        <w:rPr>
          <w:rFonts w:ascii="Arial" w:hAnsi="Arial" w:cs="Arial"/>
        </w:rPr>
      </w:pPr>
      <w:r>
        <w:rPr>
          <w:rFonts w:ascii="Arial" w:hAnsi="Arial" w:cs="Arial"/>
        </w:rPr>
        <w:t>Premier Inn Hotel</w:t>
      </w:r>
      <w:r w:rsidR="00AD3899">
        <w:rPr>
          <w:rFonts w:ascii="Arial" w:hAnsi="Arial" w:cs="Arial"/>
        </w:rPr>
        <w:t>’</w:t>
      </w:r>
      <w:r>
        <w:rPr>
          <w:rFonts w:ascii="Arial" w:hAnsi="Arial" w:cs="Arial"/>
        </w:rPr>
        <w:t xml:space="preserve">s primary revenue strategy has been its focus on the budget segment of the hospitality industry. The company benefited from cost-conscious </w:t>
      </w:r>
      <w:r w:rsidR="00E6772F">
        <w:rPr>
          <w:rFonts w:ascii="Arial" w:hAnsi="Arial" w:cs="Arial"/>
        </w:rPr>
        <w:t>traveller’s</w:t>
      </w:r>
      <w:r>
        <w:rPr>
          <w:rFonts w:ascii="Arial" w:hAnsi="Arial" w:cs="Arial"/>
        </w:rPr>
        <w:t xml:space="preserve"> during economic downturns, particularly in post-pandemic recovery phases. Its ability to maintain competitiveness through </w:t>
      </w:r>
      <w:r w:rsidR="00E6772F">
        <w:rPr>
          <w:rFonts w:ascii="Arial" w:hAnsi="Arial" w:cs="Arial"/>
        </w:rPr>
        <w:t>low-cost</w:t>
      </w:r>
      <w:r>
        <w:rPr>
          <w:rFonts w:ascii="Arial" w:hAnsi="Arial" w:cs="Arial"/>
        </w:rPr>
        <w:t xml:space="preserve"> offerings allowed it to attract more customers as travel resumed. Additionally, Premier Inn’s strong </w:t>
      </w:r>
      <w:r>
        <w:rPr>
          <w:rFonts w:ascii="Arial" w:hAnsi="Arial" w:cs="Arial"/>
        </w:rPr>
        <w:lastRenderedPageBreak/>
        <w:t>presence in the UK market, which was among the first to implement large-scale vaccine rollouts and ease restrictions, gave it an early</w:t>
      </w:r>
      <w:r w:rsidR="00E6772F">
        <w:rPr>
          <w:rFonts w:ascii="Arial" w:hAnsi="Arial" w:cs="Arial"/>
        </w:rPr>
        <w:t xml:space="preserve"> advantage in revenue recovery.</w:t>
      </w:r>
    </w:p>
    <w:p w14:paraId="68655F96" w14:textId="43A53015" w:rsidR="009A3DCE" w:rsidRDefault="00D1613F" w:rsidP="009A3DCE">
      <w:pPr>
        <w:rPr>
          <w:rFonts w:ascii="Arial" w:hAnsi="Arial" w:cs="Arial"/>
        </w:rPr>
      </w:pPr>
      <w:r>
        <w:rPr>
          <w:rFonts w:ascii="Arial" w:hAnsi="Arial" w:cs="Arial"/>
        </w:rPr>
        <w:t>Despite t</w:t>
      </w:r>
      <w:r w:rsidR="0072097A">
        <w:rPr>
          <w:rFonts w:ascii="Arial" w:hAnsi="Arial" w:cs="Arial"/>
        </w:rPr>
        <w:t>he disruptions both hotel</w:t>
      </w:r>
      <w:r>
        <w:rPr>
          <w:rFonts w:ascii="Arial" w:hAnsi="Arial" w:cs="Arial"/>
        </w:rPr>
        <w:t>s</w:t>
      </w:r>
      <w:r w:rsidR="0072097A">
        <w:rPr>
          <w:rFonts w:ascii="Arial" w:hAnsi="Arial" w:cs="Arial"/>
        </w:rPr>
        <w:t xml:space="preserve"> </w:t>
      </w:r>
      <w:r w:rsidR="00E6772F">
        <w:rPr>
          <w:rFonts w:ascii="Arial" w:hAnsi="Arial" w:cs="Arial"/>
        </w:rPr>
        <w:t>experienced, Shangri-La’s revenue recovery was slower but more stable due to its focus on luxury services,</w:t>
      </w:r>
      <w:r w:rsidR="007B2EC4">
        <w:rPr>
          <w:rFonts w:ascii="Arial" w:hAnsi="Arial" w:cs="Arial"/>
        </w:rPr>
        <w:t xml:space="preserve"> which take longer to recover after </w:t>
      </w:r>
      <w:r w:rsidR="0072097A">
        <w:rPr>
          <w:rFonts w:ascii="Arial" w:hAnsi="Arial" w:cs="Arial"/>
        </w:rPr>
        <w:t xml:space="preserve">a </w:t>
      </w:r>
      <w:r w:rsidR="005869A8">
        <w:rPr>
          <w:rFonts w:ascii="Arial" w:hAnsi="Arial" w:cs="Arial"/>
        </w:rPr>
        <w:t>global</w:t>
      </w:r>
      <w:r w:rsidR="007B2EC4">
        <w:rPr>
          <w:rFonts w:ascii="Arial" w:hAnsi="Arial" w:cs="Arial"/>
        </w:rPr>
        <w:t xml:space="preserve"> cris</w:t>
      </w:r>
      <w:r>
        <w:rPr>
          <w:rFonts w:ascii="Arial" w:hAnsi="Arial" w:cs="Arial"/>
        </w:rPr>
        <w:t>i</w:t>
      </w:r>
      <w:r w:rsidR="007B2EC4">
        <w:rPr>
          <w:rFonts w:ascii="Arial" w:hAnsi="Arial" w:cs="Arial"/>
        </w:rPr>
        <w:t xml:space="preserve">s. </w:t>
      </w:r>
      <w:r w:rsidR="005869A8">
        <w:rPr>
          <w:rFonts w:ascii="Arial" w:hAnsi="Arial" w:cs="Arial"/>
        </w:rPr>
        <w:t>Premiere</w:t>
      </w:r>
      <w:r w:rsidR="007B2EC4">
        <w:rPr>
          <w:rFonts w:ascii="Arial" w:hAnsi="Arial" w:cs="Arial"/>
        </w:rPr>
        <w:t xml:space="preserve"> Inn</w:t>
      </w:r>
      <w:r>
        <w:rPr>
          <w:rFonts w:ascii="Arial" w:hAnsi="Arial" w:cs="Arial"/>
        </w:rPr>
        <w:t>,</w:t>
      </w:r>
      <w:r w:rsidR="007B2EC4">
        <w:rPr>
          <w:rFonts w:ascii="Arial" w:hAnsi="Arial" w:cs="Arial"/>
        </w:rPr>
        <w:t xml:space="preserve"> on the other hand, leveraged its budget-friendly position </w:t>
      </w:r>
      <w:r>
        <w:rPr>
          <w:rFonts w:ascii="Arial" w:hAnsi="Arial" w:cs="Arial"/>
        </w:rPr>
        <w:t>and </w:t>
      </w:r>
      <w:r w:rsidR="0072097A">
        <w:rPr>
          <w:rFonts w:ascii="Arial" w:hAnsi="Arial" w:cs="Arial"/>
        </w:rPr>
        <w:t>was able to</w:t>
      </w:r>
      <w:r w:rsidR="007B2EC4">
        <w:rPr>
          <w:rFonts w:ascii="Arial" w:hAnsi="Arial" w:cs="Arial"/>
        </w:rPr>
        <w:t xml:space="preserve"> rebound quick</w:t>
      </w:r>
      <w:r>
        <w:rPr>
          <w:rFonts w:ascii="Arial" w:hAnsi="Arial" w:cs="Arial"/>
        </w:rPr>
        <w:t>ly</w:t>
      </w:r>
      <w:r w:rsidR="007B2EC4">
        <w:rPr>
          <w:rFonts w:ascii="Arial" w:hAnsi="Arial" w:cs="Arial"/>
        </w:rPr>
        <w:t xml:space="preserve"> but faced more sever</w:t>
      </w:r>
      <w:r>
        <w:rPr>
          <w:rFonts w:ascii="Arial" w:hAnsi="Arial" w:cs="Arial"/>
        </w:rPr>
        <w:t>e</w:t>
      </w:r>
      <w:r w:rsidR="007B2EC4">
        <w:rPr>
          <w:rFonts w:ascii="Arial" w:hAnsi="Arial" w:cs="Arial"/>
        </w:rPr>
        <w:t xml:space="preserve"> revenue losses during the crisis.</w:t>
      </w:r>
    </w:p>
    <w:p w14:paraId="7DE8CD88" w14:textId="5F2DE168" w:rsidR="005869A8" w:rsidRDefault="005869A8" w:rsidP="009A3DCE">
      <w:pPr>
        <w:rPr>
          <w:rFonts w:ascii="Arial" w:hAnsi="Arial" w:cs="Arial"/>
          <w:b/>
          <w:bCs/>
        </w:rPr>
      </w:pPr>
      <w:r w:rsidRPr="005869A8">
        <w:rPr>
          <w:rFonts w:ascii="Arial" w:hAnsi="Arial" w:cs="Arial"/>
          <w:b/>
          <w:bCs/>
        </w:rPr>
        <w:t>Market Positions and Competitive Advantage</w:t>
      </w:r>
    </w:p>
    <w:p w14:paraId="2A798EDE" w14:textId="2FA36F03" w:rsidR="005869A8" w:rsidRDefault="005869A8" w:rsidP="009A3DCE">
      <w:pPr>
        <w:rPr>
          <w:rFonts w:ascii="Arial" w:hAnsi="Arial" w:cs="Arial"/>
        </w:rPr>
      </w:pPr>
      <w:proofErr w:type="gramStart"/>
      <w:r>
        <w:rPr>
          <w:rFonts w:ascii="Arial" w:hAnsi="Arial" w:cs="Arial"/>
        </w:rPr>
        <w:t>In order to</w:t>
      </w:r>
      <w:proofErr w:type="gramEnd"/>
      <w:r>
        <w:rPr>
          <w:rFonts w:ascii="Arial" w:hAnsi="Arial" w:cs="Arial"/>
        </w:rPr>
        <w:t xml:space="preserve"> </w:t>
      </w:r>
      <w:r w:rsidR="000750F6">
        <w:rPr>
          <w:rFonts w:ascii="Arial" w:hAnsi="Arial" w:cs="Arial"/>
        </w:rPr>
        <w:t>be able to properly interpret the relation</w:t>
      </w:r>
      <w:r w:rsidR="003958BB">
        <w:rPr>
          <w:rFonts w:ascii="Arial" w:hAnsi="Arial" w:cs="Arial"/>
        </w:rPr>
        <w:t>ship</w:t>
      </w:r>
      <w:r w:rsidR="000750F6">
        <w:rPr>
          <w:rFonts w:ascii="Arial" w:hAnsi="Arial" w:cs="Arial"/>
        </w:rPr>
        <w:t xml:space="preserve"> between marketing and positioning, it must first be established that the concept of marketing itself can be interpreted in various ways (</w:t>
      </w:r>
      <w:r w:rsidR="00016FBF">
        <w:rPr>
          <w:rFonts w:ascii="Arial" w:hAnsi="Arial" w:cs="Arial"/>
        </w:rPr>
        <w:t>W</w:t>
      </w:r>
      <w:r w:rsidR="000750F6">
        <w:rPr>
          <w:rFonts w:ascii="Arial" w:hAnsi="Arial" w:cs="Arial"/>
        </w:rPr>
        <w:t>ebster, 1992, 2005).</w:t>
      </w:r>
    </w:p>
    <w:p w14:paraId="547BE235" w14:textId="58C35BD3" w:rsidR="000750F6" w:rsidRDefault="000750F6" w:rsidP="009A3DCE">
      <w:pPr>
        <w:rPr>
          <w:rFonts w:ascii="Arial" w:hAnsi="Arial" w:cs="Arial"/>
        </w:rPr>
      </w:pPr>
      <w:r>
        <w:rPr>
          <w:rFonts w:ascii="Arial" w:hAnsi="Arial" w:cs="Arial"/>
        </w:rPr>
        <w:t xml:space="preserve">Shangri-La Hotels operates in the luxury hotels segment, with properties spread across Asia, Europe, the </w:t>
      </w:r>
      <w:r w:rsidR="00D1613F">
        <w:rPr>
          <w:rFonts w:ascii="Arial" w:hAnsi="Arial" w:cs="Arial"/>
        </w:rPr>
        <w:t>M</w:t>
      </w:r>
      <w:r>
        <w:rPr>
          <w:rFonts w:ascii="Arial" w:hAnsi="Arial" w:cs="Arial"/>
        </w:rPr>
        <w:t xml:space="preserve">iddle East, and North America. Its target market includes high-net-worth individuals, business travellers, and international tourists. </w:t>
      </w:r>
      <w:r w:rsidR="00016FBF">
        <w:rPr>
          <w:rFonts w:ascii="Arial" w:hAnsi="Arial" w:cs="Arial"/>
        </w:rPr>
        <w:t>Owing</w:t>
      </w:r>
      <w:r>
        <w:rPr>
          <w:rFonts w:ascii="Arial" w:hAnsi="Arial" w:cs="Arial"/>
        </w:rPr>
        <w:t xml:space="preserve"> to its focus on </w:t>
      </w:r>
      <w:r w:rsidR="00D1613F">
        <w:rPr>
          <w:rFonts w:ascii="Arial" w:hAnsi="Arial" w:cs="Arial"/>
        </w:rPr>
        <w:t>the </w:t>
      </w:r>
      <w:r>
        <w:rPr>
          <w:rFonts w:ascii="Arial" w:hAnsi="Arial" w:cs="Arial"/>
        </w:rPr>
        <w:t xml:space="preserve">luxury segment, Shangri-La is positioned as a high-end service provider with </w:t>
      </w:r>
      <w:r w:rsidR="00D1613F">
        <w:rPr>
          <w:rFonts w:ascii="Arial" w:hAnsi="Arial" w:cs="Arial"/>
        </w:rPr>
        <w:t>a </w:t>
      </w:r>
      <w:r>
        <w:rPr>
          <w:rFonts w:ascii="Arial" w:hAnsi="Arial" w:cs="Arial"/>
        </w:rPr>
        <w:t xml:space="preserve">strong emphasis on premium guest experiences, offering extensive amenities such as spas, fine dining, and luxury accommodations. Its </w:t>
      </w:r>
      <w:r w:rsidR="0019472C">
        <w:rPr>
          <w:rFonts w:ascii="Arial" w:hAnsi="Arial" w:cs="Arial"/>
        </w:rPr>
        <w:t>market position has been built on it</w:t>
      </w:r>
      <w:r w:rsidR="00D1613F">
        <w:rPr>
          <w:rFonts w:ascii="Arial" w:hAnsi="Arial" w:cs="Arial"/>
        </w:rPr>
        <w:t>s</w:t>
      </w:r>
      <w:r w:rsidR="0019472C">
        <w:rPr>
          <w:rFonts w:ascii="Arial" w:hAnsi="Arial" w:cs="Arial"/>
        </w:rPr>
        <w:t xml:space="preserve"> brand</w:t>
      </w:r>
      <w:r w:rsidR="00D1613F">
        <w:rPr>
          <w:rFonts w:ascii="Arial" w:hAnsi="Arial" w:cs="Arial"/>
        </w:rPr>
        <w:t>'</w:t>
      </w:r>
      <w:r w:rsidR="0019472C">
        <w:rPr>
          <w:rFonts w:ascii="Arial" w:hAnsi="Arial" w:cs="Arial"/>
        </w:rPr>
        <w:t>s reputation for providing opulent experiences in key business and tourist hubs. This brand equity has helped it maintain</w:t>
      </w:r>
      <w:r w:rsidR="00016FBF">
        <w:rPr>
          <w:rFonts w:ascii="Arial" w:hAnsi="Arial" w:cs="Arial"/>
        </w:rPr>
        <w:t>s</w:t>
      </w:r>
      <w:r w:rsidR="0019472C">
        <w:rPr>
          <w:rFonts w:ascii="Arial" w:hAnsi="Arial" w:cs="Arial"/>
        </w:rPr>
        <w:t xml:space="preserve"> customer loyalty, even during economic downturns, with customers opting for trusted luxury brands. Furthermore, the company’s strategic expansion into key global cities like London, Paris, and Dubi has strengthened its market share within the luxury segment. Whilst Premier Inn Hotel positioned itself as a leading brand in the budget hotel sector, primarily operating in </w:t>
      </w:r>
      <w:r w:rsidR="00250024">
        <w:rPr>
          <w:rFonts w:ascii="Arial" w:hAnsi="Arial" w:cs="Arial"/>
        </w:rPr>
        <w:t>the</w:t>
      </w:r>
      <w:r w:rsidR="0019472C">
        <w:rPr>
          <w:rFonts w:ascii="Arial" w:hAnsi="Arial" w:cs="Arial"/>
        </w:rPr>
        <w:t xml:space="preserve"> U</w:t>
      </w:r>
      <w:r w:rsidR="00930329">
        <w:rPr>
          <w:rFonts w:ascii="Arial" w:hAnsi="Arial" w:cs="Arial"/>
        </w:rPr>
        <w:t>K</w:t>
      </w:r>
      <w:r w:rsidR="0019472C">
        <w:rPr>
          <w:rFonts w:ascii="Arial" w:hAnsi="Arial" w:cs="Arial"/>
        </w:rPr>
        <w:t>, with some international expansion in Germany</w:t>
      </w:r>
      <w:r w:rsidR="003436F9">
        <w:rPr>
          <w:rFonts w:ascii="Arial" w:hAnsi="Arial" w:cs="Arial"/>
        </w:rPr>
        <w:t xml:space="preserve">. </w:t>
      </w:r>
      <w:r w:rsidR="0019472C">
        <w:rPr>
          <w:rFonts w:ascii="Arial" w:hAnsi="Arial" w:cs="Arial"/>
        </w:rPr>
        <w:t>Pr</w:t>
      </w:r>
      <w:r w:rsidR="00D1613F">
        <w:rPr>
          <w:rFonts w:ascii="Arial" w:hAnsi="Arial" w:cs="Arial"/>
        </w:rPr>
        <w:t>e</w:t>
      </w:r>
      <w:r w:rsidR="0019472C">
        <w:rPr>
          <w:rFonts w:ascii="Arial" w:hAnsi="Arial" w:cs="Arial"/>
        </w:rPr>
        <w:t xml:space="preserve">mier </w:t>
      </w:r>
      <w:r w:rsidR="00D1613F">
        <w:rPr>
          <w:rFonts w:ascii="Arial" w:hAnsi="Arial" w:cs="Arial"/>
        </w:rPr>
        <w:t>I</w:t>
      </w:r>
      <w:r w:rsidR="0019472C">
        <w:rPr>
          <w:rFonts w:ascii="Arial" w:hAnsi="Arial" w:cs="Arial"/>
        </w:rPr>
        <w:t xml:space="preserve">nn has positioned itself as a cost-effective option for business and leisure </w:t>
      </w:r>
      <w:r w:rsidR="00250024">
        <w:rPr>
          <w:rFonts w:ascii="Arial" w:hAnsi="Arial" w:cs="Arial"/>
        </w:rPr>
        <w:t>trave</w:t>
      </w:r>
      <w:r w:rsidR="00D1613F">
        <w:rPr>
          <w:rFonts w:ascii="Arial" w:hAnsi="Arial" w:cs="Arial"/>
        </w:rPr>
        <w:t>l</w:t>
      </w:r>
      <w:r w:rsidR="00250024">
        <w:rPr>
          <w:rFonts w:ascii="Arial" w:hAnsi="Arial" w:cs="Arial"/>
        </w:rPr>
        <w:t>lers</w:t>
      </w:r>
      <w:r w:rsidR="0019472C">
        <w:rPr>
          <w:rFonts w:ascii="Arial" w:hAnsi="Arial" w:cs="Arial"/>
        </w:rPr>
        <w:t>,</w:t>
      </w:r>
      <w:r w:rsidR="00250024">
        <w:rPr>
          <w:rFonts w:ascii="Arial" w:hAnsi="Arial" w:cs="Arial"/>
        </w:rPr>
        <w:t xml:space="preserve"> with a focus on providing value-for-money accommodations. Its extensive presence in the UK gives it a strong domestic market share, catering to both domestic and international trave</w:t>
      </w:r>
      <w:r w:rsidR="00D1613F">
        <w:rPr>
          <w:rFonts w:ascii="Arial" w:hAnsi="Arial" w:cs="Arial"/>
        </w:rPr>
        <w:t>l</w:t>
      </w:r>
      <w:r w:rsidR="00250024">
        <w:rPr>
          <w:rFonts w:ascii="Arial" w:hAnsi="Arial" w:cs="Arial"/>
        </w:rPr>
        <w:t xml:space="preserve">lers looking for affordable options. Premier Inn, core strength lies in its broad network of properties across key locations in the UK and Germany. Its market position is further supported by its focus on the budget-conscious segment, allowing it to weather economic downturns more effectively. The company’s ability to offer competitive pricing and </w:t>
      </w:r>
      <w:r w:rsidR="00AD3899">
        <w:rPr>
          <w:rFonts w:ascii="Arial" w:hAnsi="Arial" w:cs="Arial"/>
        </w:rPr>
        <w:t>a </w:t>
      </w:r>
      <w:r w:rsidR="00250024">
        <w:rPr>
          <w:rFonts w:ascii="Arial" w:hAnsi="Arial" w:cs="Arial"/>
        </w:rPr>
        <w:t>no-frills but reliable service model has contributed to its dominance in the budget market.</w:t>
      </w:r>
    </w:p>
    <w:p w14:paraId="3DC4E3DA" w14:textId="58B9830C" w:rsidR="00250024" w:rsidRDefault="00250024" w:rsidP="009A3DCE">
      <w:pPr>
        <w:rPr>
          <w:rFonts w:ascii="Arial" w:hAnsi="Arial" w:cs="Arial"/>
          <w:b/>
          <w:bCs/>
        </w:rPr>
      </w:pPr>
      <w:r w:rsidRPr="00250024">
        <w:rPr>
          <w:rFonts w:ascii="Arial" w:hAnsi="Arial" w:cs="Arial"/>
          <w:b/>
          <w:bCs/>
        </w:rPr>
        <w:t xml:space="preserve">Challenges both hotels </w:t>
      </w:r>
      <w:r w:rsidR="0093205D" w:rsidRPr="00250024">
        <w:rPr>
          <w:rFonts w:ascii="Arial" w:hAnsi="Arial" w:cs="Arial"/>
          <w:b/>
          <w:bCs/>
        </w:rPr>
        <w:t>face</w:t>
      </w:r>
      <w:r w:rsidR="00016FBF">
        <w:rPr>
          <w:rFonts w:ascii="Arial" w:hAnsi="Arial" w:cs="Arial"/>
          <w:b/>
          <w:bCs/>
        </w:rPr>
        <w:t>,</w:t>
      </w:r>
      <w:r w:rsidRPr="00250024">
        <w:rPr>
          <w:rFonts w:ascii="Arial" w:hAnsi="Arial" w:cs="Arial"/>
          <w:b/>
          <w:bCs/>
        </w:rPr>
        <w:t xml:space="preserve"> </w:t>
      </w:r>
    </w:p>
    <w:p w14:paraId="3FE080CD" w14:textId="15F6CF14" w:rsidR="00F23586" w:rsidRDefault="0093205D" w:rsidP="009A3DCE">
      <w:pPr>
        <w:rPr>
          <w:rFonts w:ascii="Arial" w:hAnsi="Arial" w:cs="Arial"/>
        </w:rPr>
      </w:pPr>
      <w:r w:rsidRPr="0093205D">
        <w:rPr>
          <w:rFonts w:ascii="Arial" w:hAnsi="Arial" w:cs="Arial"/>
        </w:rPr>
        <w:t>International tourism is exposed to greater risk during the pandemic</w:t>
      </w:r>
      <w:r>
        <w:rPr>
          <w:rFonts w:ascii="Arial" w:hAnsi="Arial" w:cs="Arial"/>
        </w:rPr>
        <w:t xml:space="preserve"> the luxury segment, while profitable, was slower to recover as it faced prolonged restrictions, plummeting monetary value worldwide, and the threat of economic </w:t>
      </w:r>
      <w:r w:rsidR="00F23586">
        <w:rPr>
          <w:rFonts w:ascii="Arial" w:hAnsi="Arial" w:cs="Arial"/>
        </w:rPr>
        <w:t xml:space="preserve">fluctuations affected both hotels. </w:t>
      </w:r>
      <w:r w:rsidR="003436F9">
        <w:rPr>
          <w:rFonts w:ascii="Arial" w:hAnsi="Arial" w:cs="Arial"/>
        </w:rPr>
        <w:t xml:space="preserve">Inflation, </w:t>
      </w:r>
      <w:r w:rsidR="00F23586">
        <w:rPr>
          <w:rFonts w:ascii="Arial" w:hAnsi="Arial" w:cs="Arial"/>
        </w:rPr>
        <w:t>Brexit</w:t>
      </w:r>
      <w:r w:rsidR="00AD3899">
        <w:rPr>
          <w:rFonts w:ascii="Arial" w:hAnsi="Arial" w:cs="Arial"/>
        </w:rPr>
        <w:t>,</w:t>
      </w:r>
      <w:r w:rsidR="00F23586">
        <w:rPr>
          <w:rFonts w:ascii="Arial" w:hAnsi="Arial" w:cs="Arial"/>
        </w:rPr>
        <w:t xml:space="preserve"> and the expansion of Airbnb present challenges along with travel patterns.</w:t>
      </w:r>
    </w:p>
    <w:p w14:paraId="07C016C3" w14:textId="471EAC1A" w:rsidR="0093205D" w:rsidRDefault="00F23586" w:rsidP="009A3DCE">
      <w:pPr>
        <w:rPr>
          <w:rFonts w:ascii="Arial" w:hAnsi="Arial" w:cs="Arial"/>
          <w:b/>
          <w:bCs/>
        </w:rPr>
      </w:pPr>
      <w:r w:rsidRPr="00F23586">
        <w:rPr>
          <w:rFonts w:ascii="Arial" w:hAnsi="Arial" w:cs="Arial"/>
          <w:b/>
          <w:bCs/>
        </w:rPr>
        <w:lastRenderedPageBreak/>
        <w:t xml:space="preserve">Key Takeaway </w:t>
      </w:r>
    </w:p>
    <w:p w14:paraId="7FE0BC9D" w14:textId="2CB19AEA" w:rsidR="00F23586" w:rsidRPr="00F23586" w:rsidRDefault="00F23586" w:rsidP="009A3DCE">
      <w:pPr>
        <w:rPr>
          <w:rFonts w:ascii="Arial" w:hAnsi="Arial" w:cs="Arial"/>
        </w:rPr>
      </w:pPr>
      <w:r>
        <w:rPr>
          <w:rFonts w:ascii="Arial" w:hAnsi="Arial" w:cs="Arial"/>
        </w:rPr>
        <w:t>Shangri-La</w:t>
      </w:r>
      <w:r w:rsidR="003C07FB">
        <w:rPr>
          <w:rFonts w:ascii="Arial" w:hAnsi="Arial" w:cs="Arial"/>
        </w:rPr>
        <w:t>'s</w:t>
      </w:r>
      <w:r>
        <w:rPr>
          <w:rFonts w:ascii="Arial" w:hAnsi="Arial" w:cs="Arial"/>
        </w:rPr>
        <w:t xml:space="preserve"> market position is deeply tied to its luxury offerings, which attract a niche audience. Premier Inn’s positioning, by contrast, is focused on affordability and volume</w:t>
      </w:r>
      <w:r w:rsidR="00580A7A">
        <w:rPr>
          <w:rFonts w:ascii="Arial" w:hAnsi="Arial" w:cs="Arial"/>
        </w:rPr>
        <w:t>, allowing it to dominate the budget market. However, both market positions come with inherent risk, Shangri-La is more vulnerable to economic downturns, while Premier Inn faces strong competition and market saturation in the budget segment.</w:t>
      </w:r>
    </w:p>
    <w:p w14:paraId="1D952F3F" w14:textId="69E232D9" w:rsidR="0093205D" w:rsidRDefault="008907EC" w:rsidP="009A3DCE">
      <w:pPr>
        <w:rPr>
          <w:rFonts w:ascii="Arial" w:hAnsi="Arial" w:cs="Arial"/>
          <w:b/>
          <w:bCs/>
        </w:rPr>
      </w:pPr>
      <w:r>
        <w:rPr>
          <w:rFonts w:ascii="Arial" w:hAnsi="Arial" w:cs="Arial"/>
          <w:b/>
          <w:bCs/>
        </w:rPr>
        <w:t xml:space="preserve">Growth Potential and </w:t>
      </w:r>
      <w:r w:rsidR="003C07FB">
        <w:rPr>
          <w:rFonts w:ascii="Arial" w:hAnsi="Arial" w:cs="Arial"/>
          <w:b/>
          <w:bCs/>
        </w:rPr>
        <w:t>E</w:t>
      </w:r>
      <w:r>
        <w:rPr>
          <w:rFonts w:ascii="Arial" w:hAnsi="Arial" w:cs="Arial"/>
          <w:b/>
          <w:bCs/>
        </w:rPr>
        <w:t>xpansion Strategy</w:t>
      </w:r>
    </w:p>
    <w:p w14:paraId="570CF95A" w14:textId="4B60EA02" w:rsidR="008907EC" w:rsidRDefault="008907EC" w:rsidP="009A3DCE">
      <w:pPr>
        <w:rPr>
          <w:rFonts w:ascii="Arial" w:hAnsi="Arial" w:cs="Arial"/>
        </w:rPr>
      </w:pPr>
      <w:r>
        <w:rPr>
          <w:rFonts w:ascii="Arial" w:hAnsi="Arial" w:cs="Arial"/>
        </w:rPr>
        <w:t>Shangri-La’s growth potential lies in its ability to expand in emerging markets and maintain its dominance in established ones. The company has been gradually expanding its presence in key global cities, particularly in Asia and the Middle East</w:t>
      </w:r>
      <w:r w:rsidR="00351A62">
        <w:rPr>
          <w:rFonts w:ascii="Arial" w:hAnsi="Arial" w:cs="Arial"/>
        </w:rPr>
        <w:t>. Premier Inn</w:t>
      </w:r>
      <w:r w:rsidR="00A76687">
        <w:rPr>
          <w:rFonts w:ascii="Arial" w:hAnsi="Arial" w:cs="Arial"/>
        </w:rPr>
        <w:t xml:space="preserve">’s growth potential is linked to its expansion in the UK and Germany, as well as its focus on cost-effective travel solutions. </w:t>
      </w:r>
      <w:r w:rsidR="00CE579A">
        <w:rPr>
          <w:rFonts w:ascii="Arial" w:hAnsi="Arial" w:cs="Arial"/>
        </w:rPr>
        <w:t>Shangri-La Hotel</w:t>
      </w:r>
      <w:r w:rsidR="003C07FB">
        <w:rPr>
          <w:rFonts w:ascii="Arial" w:hAnsi="Arial" w:cs="Arial"/>
        </w:rPr>
        <w:t>'</w:t>
      </w:r>
      <w:r w:rsidR="00CE579A">
        <w:rPr>
          <w:rFonts w:ascii="Arial" w:hAnsi="Arial" w:cs="Arial"/>
        </w:rPr>
        <w:t>s strategy is to adopt a conservative expansion focusing on flagship properties in premium locations rather than pursuing aggressive growth. Furthermore, the brand</w:t>
      </w:r>
      <w:r w:rsidR="003C07FB">
        <w:rPr>
          <w:rFonts w:ascii="Arial" w:hAnsi="Arial" w:cs="Arial"/>
        </w:rPr>
        <w:t>'</w:t>
      </w:r>
      <w:r w:rsidR="00CE579A">
        <w:rPr>
          <w:rFonts w:ascii="Arial" w:hAnsi="Arial" w:cs="Arial"/>
        </w:rPr>
        <w:t>s emphasis on sustainable growth through renovations and upgrades of existing properties has enhanced its ability to meet the evolving needs of luxury travellers.</w:t>
      </w:r>
      <w:r w:rsidR="00A76687">
        <w:rPr>
          <w:rFonts w:ascii="Arial" w:hAnsi="Arial" w:cs="Arial"/>
        </w:rPr>
        <w:t xml:space="preserve"> </w:t>
      </w:r>
      <w:r w:rsidR="00CE579A">
        <w:rPr>
          <w:rFonts w:ascii="Arial" w:hAnsi="Arial" w:cs="Arial"/>
        </w:rPr>
        <w:t>Shangri-La’s growth will depend on its ability to tap into emerging travel markets, particularly in Asi</w:t>
      </w:r>
      <w:r w:rsidR="003C07FB">
        <w:rPr>
          <w:rFonts w:ascii="Arial" w:hAnsi="Arial" w:cs="Arial"/>
        </w:rPr>
        <w:t>a</w:t>
      </w:r>
      <w:r w:rsidR="00CE579A">
        <w:rPr>
          <w:rFonts w:ascii="Arial" w:hAnsi="Arial" w:cs="Arial"/>
        </w:rPr>
        <w:t>-</w:t>
      </w:r>
      <w:r w:rsidR="003C07FB">
        <w:rPr>
          <w:rFonts w:ascii="Arial" w:hAnsi="Arial" w:cs="Arial"/>
        </w:rPr>
        <w:t>P</w:t>
      </w:r>
      <w:r w:rsidR="00E17794">
        <w:rPr>
          <w:rFonts w:ascii="Arial" w:hAnsi="Arial" w:cs="Arial"/>
        </w:rPr>
        <w:t>acific</w:t>
      </w:r>
      <w:r w:rsidR="00CE579A">
        <w:rPr>
          <w:rFonts w:ascii="Arial" w:hAnsi="Arial" w:cs="Arial"/>
        </w:rPr>
        <w:t xml:space="preserve"> and </w:t>
      </w:r>
      <w:r w:rsidR="003C07FB">
        <w:rPr>
          <w:rFonts w:ascii="Arial" w:hAnsi="Arial" w:cs="Arial"/>
        </w:rPr>
        <w:t>the </w:t>
      </w:r>
      <w:r w:rsidR="00CE579A">
        <w:rPr>
          <w:rFonts w:ascii="Arial" w:hAnsi="Arial" w:cs="Arial"/>
        </w:rPr>
        <w:t>Middle East. The post</w:t>
      </w:r>
      <w:r w:rsidR="003C07FB">
        <w:rPr>
          <w:rFonts w:ascii="Arial" w:hAnsi="Arial" w:cs="Arial"/>
        </w:rPr>
        <w:t>-</w:t>
      </w:r>
      <w:r w:rsidR="00CE579A">
        <w:rPr>
          <w:rFonts w:ascii="Arial" w:hAnsi="Arial" w:cs="Arial"/>
        </w:rPr>
        <w:t xml:space="preserve">pandemic international travel is </w:t>
      </w:r>
      <w:r w:rsidR="00E17794">
        <w:rPr>
          <w:rFonts w:ascii="Arial" w:hAnsi="Arial" w:cs="Arial"/>
        </w:rPr>
        <w:t>expected</w:t>
      </w:r>
      <w:r w:rsidR="00CE579A">
        <w:rPr>
          <w:rFonts w:ascii="Arial" w:hAnsi="Arial" w:cs="Arial"/>
        </w:rPr>
        <w:t xml:space="preserve"> to provide</w:t>
      </w:r>
      <w:r w:rsidR="00E17794">
        <w:rPr>
          <w:rFonts w:ascii="Arial" w:hAnsi="Arial" w:cs="Arial"/>
        </w:rPr>
        <w:t xml:space="preserve"> significant growth opportunities</w:t>
      </w:r>
      <w:r w:rsidR="003C07FB">
        <w:rPr>
          <w:rFonts w:ascii="Arial" w:hAnsi="Arial" w:cs="Arial"/>
        </w:rPr>
        <w:t>,</w:t>
      </w:r>
      <w:r w:rsidR="00E17794">
        <w:rPr>
          <w:rFonts w:ascii="Arial" w:hAnsi="Arial" w:cs="Arial"/>
        </w:rPr>
        <w:t xml:space="preserve"> particularly in business travel and high-end tourism</w:t>
      </w:r>
      <w:r w:rsidR="00930329">
        <w:rPr>
          <w:rFonts w:ascii="Arial" w:hAnsi="Arial" w:cs="Arial"/>
        </w:rPr>
        <w:t xml:space="preserve"> (UNWTO.org.news, 2024)</w:t>
      </w:r>
      <w:r w:rsidR="00E17794">
        <w:rPr>
          <w:rFonts w:ascii="Arial" w:hAnsi="Arial" w:cs="Arial"/>
        </w:rPr>
        <w:t xml:space="preserve">. However, challenges such as rising competition in </w:t>
      </w:r>
      <w:r w:rsidR="003C07FB">
        <w:rPr>
          <w:rFonts w:ascii="Arial" w:hAnsi="Arial" w:cs="Arial"/>
        </w:rPr>
        <w:t>the </w:t>
      </w:r>
      <w:r w:rsidR="00E17794">
        <w:rPr>
          <w:rFonts w:ascii="Arial" w:hAnsi="Arial" w:cs="Arial"/>
        </w:rPr>
        <w:t>luxury segment and potential global economic uncertainties may affect its long-term growth. Premier Inn’s growth potential is linked to the expansion in the UK and Germany along with its cost-effective travel solutions.</w:t>
      </w:r>
      <w:r w:rsidR="007D23F0">
        <w:rPr>
          <w:rFonts w:ascii="Arial" w:hAnsi="Arial" w:cs="Arial"/>
        </w:rPr>
        <w:t xml:space="preserve"> Pr</w:t>
      </w:r>
      <w:r w:rsidR="003C07FB">
        <w:rPr>
          <w:rFonts w:ascii="Arial" w:hAnsi="Arial" w:cs="Arial"/>
        </w:rPr>
        <w:t>e</w:t>
      </w:r>
      <w:r w:rsidR="007D23F0">
        <w:rPr>
          <w:rFonts w:ascii="Arial" w:hAnsi="Arial" w:cs="Arial"/>
        </w:rPr>
        <w:t>mier Inn’s ability to maintain low costs while expanding its geographic footprint is a key advantage in a competitive market (Forbes, 2023).</w:t>
      </w:r>
      <w:r w:rsidR="00E17794">
        <w:rPr>
          <w:rFonts w:ascii="Arial" w:hAnsi="Arial" w:cs="Arial"/>
        </w:rPr>
        <w:t xml:space="preserve"> The budget hotel market is expected to continue to grow as travellers seek value-for-money options</w:t>
      </w:r>
      <w:r w:rsidR="0082386B">
        <w:rPr>
          <w:rFonts w:ascii="Arial" w:hAnsi="Arial" w:cs="Arial"/>
        </w:rPr>
        <w:t xml:space="preserve"> in the post</w:t>
      </w:r>
      <w:r w:rsidR="003C07FB">
        <w:rPr>
          <w:rFonts w:ascii="Arial" w:hAnsi="Arial" w:cs="Arial"/>
        </w:rPr>
        <w:t>-</w:t>
      </w:r>
      <w:r w:rsidR="0082386B">
        <w:rPr>
          <w:rFonts w:ascii="Arial" w:hAnsi="Arial" w:cs="Arial"/>
        </w:rPr>
        <w:t>pandemic world. With the aggressive expansion</w:t>
      </w:r>
      <w:r w:rsidR="00E002F6">
        <w:rPr>
          <w:rFonts w:ascii="Arial" w:hAnsi="Arial" w:cs="Arial"/>
        </w:rPr>
        <w:t>s</w:t>
      </w:r>
      <w:r w:rsidR="0082386B">
        <w:rPr>
          <w:rFonts w:ascii="Arial" w:hAnsi="Arial" w:cs="Arial"/>
        </w:rPr>
        <w:t xml:space="preserve"> particularly in German cities where it seems significant potential for growth in the budget hotel brands provide a solid foundation for future growth. However, challenge’s such as rising operational cost</w:t>
      </w:r>
      <w:r w:rsidR="003C07FB">
        <w:rPr>
          <w:rFonts w:ascii="Arial" w:hAnsi="Arial" w:cs="Arial"/>
        </w:rPr>
        <w:t>s</w:t>
      </w:r>
      <w:r w:rsidR="0082386B">
        <w:rPr>
          <w:rFonts w:ascii="Arial" w:hAnsi="Arial" w:cs="Arial"/>
        </w:rPr>
        <w:t xml:space="preserve"> and increasing competition in </w:t>
      </w:r>
      <w:r w:rsidR="003C07FB">
        <w:rPr>
          <w:rFonts w:ascii="Arial" w:hAnsi="Arial" w:cs="Arial"/>
        </w:rPr>
        <w:t>the </w:t>
      </w:r>
      <w:r w:rsidR="0082386B">
        <w:rPr>
          <w:rFonts w:ascii="Arial" w:hAnsi="Arial" w:cs="Arial"/>
        </w:rPr>
        <w:t>budget segment may impact its ability to sustain long-term growth</w:t>
      </w:r>
      <w:r w:rsidR="007D23F0">
        <w:rPr>
          <w:rFonts w:ascii="Arial" w:hAnsi="Arial" w:cs="Arial"/>
        </w:rPr>
        <w:t xml:space="preserve"> (PwC, 2023)</w:t>
      </w:r>
      <w:r w:rsidR="0082386B">
        <w:rPr>
          <w:rFonts w:ascii="Arial" w:hAnsi="Arial" w:cs="Arial"/>
        </w:rPr>
        <w:t>.</w:t>
      </w:r>
    </w:p>
    <w:p w14:paraId="37E5ED0B" w14:textId="77777777" w:rsidR="00E80FD5" w:rsidRDefault="0082386B" w:rsidP="009A3DCE">
      <w:pPr>
        <w:rPr>
          <w:rFonts w:ascii="Arial" w:hAnsi="Arial" w:cs="Arial"/>
          <w:b/>
          <w:bCs/>
        </w:rPr>
      </w:pPr>
      <w:r w:rsidRPr="009B2510">
        <w:rPr>
          <w:rFonts w:ascii="Arial" w:hAnsi="Arial" w:cs="Arial"/>
          <w:b/>
          <w:bCs/>
        </w:rPr>
        <w:t>Financial commitment to CSR</w:t>
      </w:r>
    </w:p>
    <w:p w14:paraId="4BBAB286" w14:textId="561F750F" w:rsidR="009B2510" w:rsidRPr="00E80FD5" w:rsidRDefault="009B2510" w:rsidP="00E80FD5">
      <w:pPr>
        <w:pStyle w:val="ListParagraph"/>
        <w:numPr>
          <w:ilvl w:val="0"/>
          <w:numId w:val="2"/>
        </w:numPr>
        <w:rPr>
          <w:rFonts w:ascii="Arial" w:hAnsi="Arial" w:cs="Arial"/>
          <w:b/>
          <w:bCs/>
        </w:rPr>
      </w:pPr>
      <w:r w:rsidRPr="00E80FD5">
        <w:rPr>
          <w:rFonts w:ascii="Arial" w:hAnsi="Arial" w:cs="Arial"/>
        </w:rPr>
        <w:t>Shangri-La is committed to sourcing sustainable seafood and organic produce for it</w:t>
      </w:r>
      <w:r w:rsidR="003C07FB">
        <w:rPr>
          <w:rFonts w:ascii="Arial" w:hAnsi="Arial" w:cs="Arial"/>
        </w:rPr>
        <w:t>s</w:t>
      </w:r>
      <w:r w:rsidRPr="00E80FD5">
        <w:rPr>
          <w:rFonts w:ascii="Arial" w:hAnsi="Arial" w:cs="Arial"/>
        </w:rPr>
        <w:t xml:space="preserve"> restaurants, minimizing its impact on marine ecosystems</w:t>
      </w:r>
      <w:r w:rsidR="003C07FB">
        <w:rPr>
          <w:rFonts w:ascii="Arial" w:hAnsi="Arial" w:cs="Arial"/>
        </w:rPr>
        <w:t>,</w:t>
      </w:r>
      <w:r w:rsidRPr="00E80FD5">
        <w:rPr>
          <w:rFonts w:ascii="Arial" w:hAnsi="Arial" w:cs="Arial"/>
        </w:rPr>
        <w:t xml:space="preserve"> and promoting responsible farming.</w:t>
      </w:r>
    </w:p>
    <w:p w14:paraId="320B2ECC" w14:textId="17390AEE" w:rsidR="00E80FD5" w:rsidRPr="00E80FD5" w:rsidRDefault="00E80FD5" w:rsidP="00E80FD5">
      <w:pPr>
        <w:pStyle w:val="ListParagraph"/>
        <w:numPr>
          <w:ilvl w:val="0"/>
          <w:numId w:val="2"/>
        </w:numPr>
        <w:rPr>
          <w:rFonts w:ascii="Arial" w:hAnsi="Arial" w:cs="Arial"/>
          <w:b/>
          <w:bCs/>
        </w:rPr>
      </w:pPr>
      <w:r>
        <w:rPr>
          <w:rFonts w:ascii="Arial" w:hAnsi="Arial" w:cs="Arial"/>
        </w:rPr>
        <w:t>The company has implemented energy-efficient technologies in its properties, such as LED lighting and automated climate control systems, to reduce energy consumption.</w:t>
      </w:r>
    </w:p>
    <w:p w14:paraId="76D57634" w14:textId="36E0C6DB" w:rsidR="00E80FD5" w:rsidRPr="00E002F6" w:rsidRDefault="00E80FD5" w:rsidP="00E80FD5">
      <w:pPr>
        <w:pStyle w:val="ListParagraph"/>
        <w:numPr>
          <w:ilvl w:val="0"/>
          <w:numId w:val="2"/>
        </w:numPr>
        <w:rPr>
          <w:rFonts w:ascii="Arial" w:hAnsi="Arial" w:cs="Arial"/>
          <w:b/>
          <w:bCs/>
        </w:rPr>
      </w:pPr>
      <w:r>
        <w:rPr>
          <w:rFonts w:ascii="Arial" w:hAnsi="Arial" w:cs="Arial"/>
        </w:rPr>
        <w:t xml:space="preserve">Shangri-La actively supports local communities through initiatives such as job creation, education, and healthcare programs. The company’s “Embrace” </w:t>
      </w:r>
      <w:r>
        <w:rPr>
          <w:rFonts w:ascii="Arial" w:hAnsi="Arial" w:cs="Arial"/>
        </w:rPr>
        <w:lastRenderedPageBreak/>
        <w:t>initiative focuses on improving the quality of life in underprivileged communities near its properties</w:t>
      </w:r>
      <w:r w:rsidR="00E002F6">
        <w:rPr>
          <w:rFonts w:ascii="Arial" w:hAnsi="Arial" w:cs="Arial"/>
        </w:rPr>
        <w:t xml:space="preserve"> (Shangri-La Group, 2021)</w:t>
      </w:r>
      <w:r>
        <w:rPr>
          <w:rFonts w:ascii="Arial" w:hAnsi="Arial" w:cs="Arial"/>
        </w:rPr>
        <w:t>.</w:t>
      </w:r>
    </w:p>
    <w:p w14:paraId="3C02EB1C" w14:textId="77777777" w:rsidR="00E002F6" w:rsidRPr="00E80FD5" w:rsidRDefault="00E002F6" w:rsidP="00E002F6">
      <w:pPr>
        <w:pStyle w:val="ListParagraph"/>
        <w:ind w:left="420"/>
        <w:rPr>
          <w:rFonts w:ascii="Arial" w:hAnsi="Arial" w:cs="Arial"/>
          <w:b/>
          <w:bCs/>
        </w:rPr>
      </w:pPr>
    </w:p>
    <w:p w14:paraId="376E714D" w14:textId="5702767A" w:rsidR="00E80FD5" w:rsidRDefault="009420A9" w:rsidP="00E80FD5">
      <w:pPr>
        <w:pStyle w:val="ListParagraph"/>
        <w:ind w:left="420"/>
        <w:rPr>
          <w:rFonts w:ascii="Arial" w:hAnsi="Arial" w:cs="Arial"/>
        </w:rPr>
      </w:pPr>
      <w:r>
        <w:rPr>
          <w:rFonts w:ascii="Arial" w:hAnsi="Arial" w:cs="Arial"/>
        </w:rPr>
        <w:t xml:space="preserve">Shangri-La has allocated significant resources reducing its environmental impact and enhancing the social </w:t>
      </w:r>
      <w:r w:rsidR="00833F84">
        <w:rPr>
          <w:rFonts w:ascii="Arial" w:hAnsi="Arial" w:cs="Arial"/>
        </w:rPr>
        <w:t>well</w:t>
      </w:r>
      <w:r>
        <w:rPr>
          <w:rFonts w:ascii="Arial" w:hAnsi="Arial" w:cs="Arial"/>
        </w:rPr>
        <w:t>-being of the communities in which it operates. For instance, Shangri-La has invested in renewable energy projects and has established partners</w:t>
      </w:r>
      <w:r w:rsidR="003958BB">
        <w:rPr>
          <w:rFonts w:ascii="Arial" w:hAnsi="Arial" w:cs="Arial"/>
        </w:rPr>
        <w:t xml:space="preserve"> with local organizations to promote community development and conservation efforts. In recent years</w:t>
      </w:r>
      <w:r w:rsidR="00833F84">
        <w:rPr>
          <w:rFonts w:ascii="Arial" w:hAnsi="Arial" w:cs="Arial"/>
        </w:rPr>
        <w:t>, the company has also focused on aligning its operations with the United Nations Sustainable Development Goals (SDGs), particularly in areas like responsible consumption, climate action, and reducing inequalities. Shangri-La’s ongoing efforts to integrate sustainability into its core business model demonstrate its commitment to long-term environmental and social stewardship</w:t>
      </w:r>
      <w:r w:rsidR="00800565">
        <w:rPr>
          <w:rFonts w:ascii="Arial" w:hAnsi="Arial" w:cs="Arial"/>
        </w:rPr>
        <w:t xml:space="preserve"> (Shangri-La Group, 2023).</w:t>
      </w:r>
    </w:p>
    <w:p w14:paraId="3D91B646" w14:textId="55691230" w:rsidR="00800565" w:rsidRDefault="00800565" w:rsidP="00E80FD5">
      <w:pPr>
        <w:pStyle w:val="ListParagraph"/>
        <w:ind w:left="420"/>
        <w:rPr>
          <w:rFonts w:ascii="Arial" w:hAnsi="Arial" w:cs="Arial"/>
        </w:rPr>
      </w:pPr>
      <w:r>
        <w:rPr>
          <w:rFonts w:ascii="Arial" w:hAnsi="Arial" w:cs="Arial"/>
        </w:rPr>
        <w:t>Premier Inn</w:t>
      </w:r>
      <w:r w:rsidR="003C07FB">
        <w:rPr>
          <w:rFonts w:ascii="Arial" w:hAnsi="Arial" w:cs="Arial"/>
        </w:rPr>
        <w:t>'s</w:t>
      </w:r>
      <w:r>
        <w:rPr>
          <w:rFonts w:ascii="Arial" w:hAnsi="Arial" w:cs="Arial"/>
        </w:rPr>
        <w:t xml:space="preserve"> CSR initiatives aim to operate in a</w:t>
      </w:r>
      <w:r w:rsidR="003C07FB">
        <w:rPr>
          <w:rFonts w:ascii="Arial" w:hAnsi="Arial" w:cs="Arial"/>
        </w:rPr>
        <w:t xml:space="preserve"> </w:t>
      </w:r>
      <w:r>
        <w:rPr>
          <w:rFonts w:ascii="Arial" w:hAnsi="Arial" w:cs="Arial"/>
        </w:rPr>
        <w:t xml:space="preserve">way that benefits both people and </w:t>
      </w:r>
      <w:r w:rsidR="003C07FB">
        <w:rPr>
          <w:rFonts w:ascii="Arial" w:hAnsi="Arial" w:cs="Arial"/>
        </w:rPr>
        <w:t>the </w:t>
      </w:r>
      <w:r>
        <w:rPr>
          <w:rFonts w:ascii="Arial" w:hAnsi="Arial" w:cs="Arial"/>
        </w:rPr>
        <w:t>planet. The company’s CSR strategy is structured around three key pillars: Opportunity, Community, and Environment (Whitbread Group, 2023).</w:t>
      </w:r>
    </w:p>
    <w:p w14:paraId="2700CCE0" w14:textId="55C03F8C" w:rsidR="001B2445" w:rsidRDefault="00800565" w:rsidP="00800565">
      <w:pPr>
        <w:pStyle w:val="ListParagraph"/>
        <w:numPr>
          <w:ilvl w:val="0"/>
          <w:numId w:val="3"/>
        </w:numPr>
        <w:rPr>
          <w:rFonts w:ascii="Arial" w:hAnsi="Arial" w:cs="Arial"/>
        </w:rPr>
      </w:pPr>
      <w:r>
        <w:rPr>
          <w:rFonts w:ascii="Arial" w:hAnsi="Arial" w:cs="Arial"/>
        </w:rPr>
        <w:t>Pr</w:t>
      </w:r>
      <w:r w:rsidR="003C07FB">
        <w:rPr>
          <w:rFonts w:ascii="Arial" w:hAnsi="Arial" w:cs="Arial"/>
        </w:rPr>
        <w:t>e</w:t>
      </w:r>
      <w:r>
        <w:rPr>
          <w:rFonts w:ascii="Arial" w:hAnsi="Arial" w:cs="Arial"/>
        </w:rPr>
        <w:t>mier Inn has been actively working towards reducing its carbon footprint by improving energy efficiency, reducing water usage, and minimizing waste. The company has invested in green energy solutions, including the installation of energy-efficient lighting and heating</w:t>
      </w:r>
      <w:r w:rsidR="001B2445">
        <w:rPr>
          <w:rFonts w:ascii="Arial" w:hAnsi="Arial" w:cs="Arial"/>
        </w:rPr>
        <w:t xml:space="preserve"> systems across its hotels.</w:t>
      </w:r>
    </w:p>
    <w:p w14:paraId="1EE8CB4C" w14:textId="671EBA76" w:rsidR="001B2445" w:rsidRDefault="001B2445" w:rsidP="00800565">
      <w:pPr>
        <w:pStyle w:val="ListParagraph"/>
        <w:numPr>
          <w:ilvl w:val="0"/>
          <w:numId w:val="3"/>
        </w:numPr>
        <w:rPr>
          <w:rFonts w:ascii="Arial" w:hAnsi="Arial" w:cs="Arial"/>
        </w:rPr>
      </w:pPr>
      <w:r>
        <w:rPr>
          <w:rFonts w:ascii="Arial" w:hAnsi="Arial" w:cs="Arial"/>
        </w:rPr>
        <w:t>Pr</w:t>
      </w:r>
      <w:r w:rsidR="003C07FB">
        <w:rPr>
          <w:rFonts w:ascii="Arial" w:hAnsi="Arial" w:cs="Arial"/>
        </w:rPr>
        <w:t>e</w:t>
      </w:r>
      <w:r>
        <w:rPr>
          <w:rFonts w:ascii="Arial" w:hAnsi="Arial" w:cs="Arial"/>
        </w:rPr>
        <w:t>mier Inn is committed to achieving zero waste to landfill by enhancing its waste management practices. This includes recycling rates and reducing food waste across its operations.</w:t>
      </w:r>
    </w:p>
    <w:p w14:paraId="50F8CCCC" w14:textId="4130818A" w:rsidR="00800565" w:rsidRDefault="003C07FB" w:rsidP="00800565">
      <w:pPr>
        <w:pStyle w:val="ListParagraph"/>
        <w:numPr>
          <w:ilvl w:val="0"/>
          <w:numId w:val="3"/>
        </w:numPr>
        <w:rPr>
          <w:rFonts w:ascii="Arial" w:hAnsi="Arial" w:cs="Arial"/>
        </w:rPr>
      </w:pPr>
      <w:r>
        <w:rPr>
          <w:rFonts w:ascii="Arial" w:hAnsi="Arial" w:cs="Arial"/>
        </w:rPr>
        <w:t>Premier</w:t>
      </w:r>
      <w:r w:rsidR="001B2445">
        <w:rPr>
          <w:rFonts w:ascii="Arial" w:hAnsi="Arial" w:cs="Arial"/>
        </w:rPr>
        <w:t xml:space="preserve"> Inn engages in a variety of community support programs, including partnership</w:t>
      </w:r>
      <w:r>
        <w:rPr>
          <w:rFonts w:ascii="Arial" w:hAnsi="Arial" w:cs="Arial"/>
        </w:rPr>
        <w:t>s</w:t>
      </w:r>
      <w:r w:rsidR="001B2445">
        <w:rPr>
          <w:rFonts w:ascii="Arial" w:hAnsi="Arial" w:cs="Arial"/>
        </w:rPr>
        <w:t xml:space="preserve"> with charities and organizations that help tackle homelessness and provide employment opportunities for disadvantaged individuals. The company’s “</w:t>
      </w:r>
      <w:r w:rsidR="00E002F6">
        <w:rPr>
          <w:rFonts w:ascii="Arial" w:hAnsi="Arial" w:cs="Arial"/>
        </w:rPr>
        <w:t>force for good</w:t>
      </w:r>
      <w:r w:rsidR="001B2445">
        <w:rPr>
          <w:rFonts w:ascii="Arial" w:hAnsi="Arial" w:cs="Arial"/>
        </w:rPr>
        <w:t>” initiative focuses on giving back to local communities through volunteer work and fundraising efforts (Whitbread Group, 2023).</w:t>
      </w:r>
      <w:r w:rsidR="00800565">
        <w:rPr>
          <w:rFonts w:ascii="Arial" w:hAnsi="Arial" w:cs="Arial"/>
        </w:rPr>
        <w:t xml:space="preserve"> </w:t>
      </w:r>
    </w:p>
    <w:p w14:paraId="1E0F6D9D" w14:textId="749F39BE" w:rsidR="00A95726" w:rsidRDefault="00A95726" w:rsidP="00A95726">
      <w:pPr>
        <w:pStyle w:val="ListParagraph"/>
        <w:ind w:left="780"/>
        <w:rPr>
          <w:rFonts w:ascii="Arial" w:hAnsi="Arial" w:cs="Arial"/>
        </w:rPr>
      </w:pPr>
      <w:r>
        <w:rPr>
          <w:rFonts w:ascii="Arial" w:hAnsi="Arial" w:cs="Arial"/>
        </w:rPr>
        <w:t>Premier Inn</w:t>
      </w:r>
      <w:r w:rsidR="003C07FB">
        <w:rPr>
          <w:rFonts w:ascii="Arial" w:hAnsi="Arial" w:cs="Arial"/>
        </w:rPr>
        <w:t>'s</w:t>
      </w:r>
      <w:r>
        <w:rPr>
          <w:rFonts w:ascii="Arial" w:hAnsi="Arial" w:cs="Arial"/>
        </w:rPr>
        <w:t xml:space="preserve"> financial commitment to CSR is reflected in its investment in sustainable technologies and its support for social initiatives. The company has set ambitious sustainability goals, including achieving net-zero carbon emissions by 2050. Premier Inn</w:t>
      </w:r>
      <w:r w:rsidR="003C07FB">
        <w:rPr>
          <w:rFonts w:ascii="Arial" w:hAnsi="Arial" w:cs="Arial"/>
        </w:rPr>
        <w:t>'s</w:t>
      </w:r>
      <w:r>
        <w:rPr>
          <w:rFonts w:ascii="Arial" w:hAnsi="Arial" w:cs="Arial"/>
        </w:rPr>
        <w:t xml:space="preserve"> parent company, Whitbread, has pledged significant resources towards supporting charitable causes, with an emphasis on improving the lives of people in the communities where it operates. These efforts include substantial financial donations to causes such as homelessness, youth employment, and education</w:t>
      </w:r>
      <w:r w:rsidR="00930329">
        <w:rPr>
          <w:rFonts w:ascii="Arial" w:hAnsi="Arial" w:cs="Arial"/>
        </w:rPr>
        <w:t xml:space="preserve"> (Whitebread Group, 2023)</w:t>
      </w:r>
      <w:r>
        <w:rPr>
          <w:rFonts w:ascii="Arial" w:hAnsi="Arial" w:cs="Arial"/>
        </w:rPr>
        <w:t>.</w:t>
      </w:r>
    </w:p>
    <w:p w14:paraId="36380C45" w14:textId="594677CA" w:rsidR="00A95726" w:rsidRDefault="000B2367" w:rsidP="00A95726">
      <w:pPr>
        <w:pStyle w:val="ListParagraph"/>
        <w:ind w:left="780"/>
        <w:rPr>
          <w:rFonts w:ascii="Arial" w:hAnsi="Arial" w:cs="Arial"/>
          <w:b/>
          <w:bCs/>
        </w:rPr>
      </w:pPr>
      <w:r w:rsidRPr="000B2367">
        <w:rPr>
          <w:rFonts w:ascii="Arial" w:hAnsi="Arial" w:cs="Arial"/>
          <w:b/>
          <w:bCs/>
        </w:rPr>
        <w:t>Key findings</w:t>
      </w:r>
    </w:p>
    <w:p w14:paraId="4A9E8AD0" w14:textId="0FC14907" w:rsidR="000B2367" w:rsidRPr="000B2367" w:rsidRDefault="000B2367" w:rsidP="00A95726">
      <w:pPr>
        <w:pStyle w:val="ListParagraph"/>
        <w:ind w:left="780"/>
        <w:rPr>
          <w:rFonts w:ascii="Arial" w:hAnsi="Arial" w:cs="Arial"/>
        </w:rPr>
      </w:pPr>
      <w:r w:rsidRPr="000B2367">
        <w:rPr>
          <w:rFonts w:ascii="Arial" w:hAnsi="Arial" w:cs="Arial"/>
        </w:rPr>
        <w:t>Premier Inn’s recovery was quicker post-pandemic due to its strong position in the budget segment, while Shangri-La, being a luxury brand, experienced a slower but stable recovery. Each brand’s market position comes with its own set of challenges Shangri-La is vulnerable to global economic downturns, while Pr</w:t>
      </w:r>
      <w:r w:rsidR="003C07FB">
        <w:rPr>
          <w:rFonts w:ascii="Arial" w:hAnsi="Arial" w:cs="Arial"/>
        </w:rPr>
        <w:t>e</w:t>
      </w:r>
      <w:r w:rsidRPr="000B2367">
        <w:rPr>
          <w:rFonts w:ascii="Arial" w:hAnsi="Arial" w:cs="Arial"/>
        </w:rPr>
        <w:t>mier Inn faces intense competition and market saturation.</w:t>
      </w:r>
    </w:p>
    <w:p w14:paraId="12DD6C94" w14:textId="36E915EF" w:rsidR="002E67EC" w:rsidRDefault="002E67EC" w:rsidP="00A95726">
      <w:pPr>
        <w:pStyle w:val="ListParagraph"/>
        <w:ind w:left="780"/>
        <w:rPr>
          <w:rFonts w:ascii="Arial" w:hAnsi="Arial" w:cs="Arial"/>
          <w:b/>
          <w:bCs/>
        </w:rPr>
      </w:pPr>
      <w:r w:rsidRPr="002E67EC">
        <w:rPr>
          <w:rFonts w:ascii="Arial" w:hAnsi="Arial" w:cs="Arial"/>
          <w:b/>
          <w:bCs/>
        </w:rPr>
        <w:lastRenderedPageBreak/>
        <w:t>Conclusion</w:t>
      </w:r>
    </w:p>
    <w:p w14:paraId="6FBC7ADD" w14:textId="1F96E237" w:rsidR="002E67EC" w:rsidRDefault="002E67EC" w:rsidP="00A95726">
      <w:pPr>
        <w:pStyle w:val="ListParagraph"/>
        <w:ind w:left="780"/>
        <w:rPr>
          <w:rFonts w:ascii="Arial" w:hAnsi="Arial" w:cs="Arial"/>
        </w:rPr>
      </w:pPr>
      <w:r>
        <w:rPr>
          <w:rFonts w:ascii="Arial" w:hAnsi="Arial" w:cs="Arial"/>
        </w:rPr>
        <w:t xml:space="preserve">In this comprehensive </w:t>
      </w:r>
      <w:r w:rsidR="000B2367">
        <w:rPr>
          <w:rFonts w:ascii="Arial" w:hAnsi="Arial" w:cs="Arial"/>
        </w:rPr>
        <w:t>comparison</w:t>
      </w:r>
      <w:r>
        <w:rPr>
          <w:rFonts w:ascii="Arial" w:hAnsi="Arial" w:cs="Arial"/>
        </w:rPr>
        <w:t xml:space="preserve"> of the financial management strategies of Shangri-La Hotels and Premier Inn Hotels, several key insights have emerged. Both companies faced significant challenges during the COVID-19 pandemic, with revenue losses and profitability affected across the board. However, each brand responded differently based on its market positioning, with Shangri-La leveraging its luxury appeal and Premier Inn </w:t>
      </w:r>
      <w:r w:rsidR="000B2367">
        <w:rPr>
          <w:rFonts w:ascii="Arial" w:hAnsi="Arial" w:cs="Arial"/>
        </w:rPr>
        <w:t>capitalising</w:t>
      </w:r>
      <w:r>
        <w:rPr>
          <w:rFonts w:ascii="Arial" w:hAnsi="Arial" w:cs="Arial"/>
        </w:rPr>
        <w:t xml:space="preserve"> on its budget-friendly offerings to recover post-pandemic. Both hotels have demonstrated resilience in the face of global challenges, this has allowed both brands to maintain strong market positions and growth prospects moving forward</w:t>
      </w:r>
      <w:r w:rsidR="000B2367">
        <w:rPr>
          <w:rFonts w:ascii="Arial" w:hAnsi="Arial" w:cs="Arial"/>
        </w:rPr>
        <w:t>.</w:t>
      </w:r>
    </w:p>
    <w:p w14:paraId="69BC2E38" w14:textId="7097B64C" w:rsidR="000B2367" w:rsidRDefault="000B2367" w:rsidP="00A95726">
      <w:pPr>
        <w:pStyle w:val="ListParagraph"/>
        <w:ind w:left="780"/>
        <w:rPr>
          <w:rFonts w:ascii="Arial" w:hAnsi="Arial" w:cs="Arial"/>
          <w:b/>
          <w:bCs/>
        </w:rPr>
      </w:pPr>
      <w:r w:rsidRPr="000B2367">
        <w:rPr>
          <w:rFonts w:ascii="Arial" w:hAnsi="Arial" w:cs="Arial"/>
          <w:b/>
          <w:bCs/>
        </w:rPr>
        <w:t>Strategic Recommendations</w:t>
      </w:r>
    </w:p>
    <w:p w14:paraId="42898DA7" w14:textId="3BD83A31" w:rsidR="000B2367" w:rsidRPr="00C673CB" w:rsidRDefault="00C673CB" w:rsidP="00A95726">
      <w:pPr>
        <w:pStyle w:val="ListParagraph"/>
        <w:ind w:left="780"/>
        <w:rPr>
          <w:rFonts w:ascii="Arial" w:hAnsi="Arial" w:cs="Arial"/>
        </w:rPr>
      </w:pPr>
      <w:r w:rsidRPr="00C673CB">
        <w:rPr>
          <w:rFonts w:ascii="Arial" w:hAnsi="Arial" w:cs="Arial"/>
        </w:rPr>
        <w:t>International tourism has recovered by 87% of pre-pandemic levels and is expected to fully recover in 2024, global tourism is expected to surpass pre</w:t>
      </w:r>
      <w:r>
        <w:rPr>
          <w:rFonts w:ascii="Arial" w:hAnsi="Arial" w:cs="Arial"/>
        </w:rPr>
        <w:t>-</w:t>
      </w:r>
      <w:r w:rsidRPr="00C673CB">
        <w:rPr>
          <w:rFonts w:ascii="Arial" w:hAnsi="Arial" w:cs="Arial"/>
        </w:rPr>
        <w:t>pandemic levels by 2% according to (UNWTO, 2023).</w:t>
      </w:r>
      <w:r>
        <w:rPr>
          <w:rFonts w:ascii="Arial" w:hAnsi="Arial" w:cs="Arial"/>
        </w:rPr>
        <w:t xml:space="preserve"> Shangri-La should continue expanding into emerging luxury markets while focusing on innovative, sustainable </w:t>
      </w:r>
      <w:r w:rsidR="001F3AC5">
        <w:rPr>
          <w:rFonts w:ascii="Arial" w:hAnsi="Arial" w:cs="Arial"/>
        </w:rPr>
        <w:t>practices</w:t>
      </w:r>
      <w:r>
        <w:rPr>
          <w:rFonts w:ascii="Arial" w:hAnsi="Arial" w:cs="Arial"/>
        </w:rPr>
        <w:t xml:space="preserve"> that can enhance its brand’s value proposition to environmentally </w:t>
      </w:r>
      <w:r w:rsidR="001F3AC5">
        <w:rPr>
          <w:rFonts w:ascii="Arial" w:hAnsi="Arial" w:cs="Arial"/>
        </w:rPr>
        <w:t>conscious</w:t>
      </w:r>
      <w:r>
        <w:rPr>
          <w:rFonts w:ascii="Arial" w:hAnsi="Arial" w:cs="Arial"/>
        </w:rPr>
        <w:t xml:space="preserve"> travellers. Given the growing trends of eco-luxury travel, Shangri-La has an opportunity to position itself as a leader in sustainable luxury</w:t>
      </w:r>
      <w:r w:rsidR="001F3AC5">
        <w:rPr>
          <w:rFonts w:ascii="Arial" w:hAnsi="Arial" w:cs="Arial"/>
        </w:rPr>
        <w:t xml:space="preserve"> hospitality. Whilst Pr</w:t>
      </w:r>
      <w:r w:rsidR="003C07FB">
        <w:rPr>
          <w:rFonts w:ascii="Arial" w:hAnsi="Arial" w:cs="Arial"/>
        </w:rPr>
        <w:t>e</w:t>
      </w:r>
      <w:r w:rsidR="001F3AC5">
        <w:rPr>
          <w:rFonts w:ascii="Arial" w:hAnsi="Arial" w:cs="Arial"/>
        </w:rPr>
        <w:t>mier Inn should continue its aggressive expansion in the budget market, particularly in regions like Germany where there is significant growth potential. To maintain its competitive edge, Premier Inn should also invest in digital innovations to improve customer experience and operational efficiency. In terms of CSR, Pr</w:t>
      </w:r>
      <w:r w:rsidR="003C07FB">
        <w:rPr>
          <w:rFonts w:ascii="Arial" w:hAnsi="Arial" w:cs="Arial"/>
        </w:rPr>
        <w:t>e</w:t>
      </w:r>
      <w:r w:rsidR="001F3AC5">
        <w:rPr>
          <w:rFonts w:ascii="Arial" w:hAnsi="Arial" w:cs="Arial"/>
        </w:rPr>
        <w:t>mier Inn could further strengthen its focus on green building initiatives to align with increasing consumer demand for environmentally friendly accommodations.</w:t>
      </w:r>
    </w:p>
    <w:p w14:paraId="05A4F338" w14:textId="77777777" w:rsidR="00833F84" w:rsidRDefault="00833F84" w:rsidP="00E80FD5">
      <w:pPr>
        <w:pStyle w:val="ListParagraph"/>
        <w:ind w:left="420"/>
        <w:rPr>
          <w:rFonts w:ascii="Arial" w:hAnsi="Arial" w:cs="Arial"/>
          <w:b/>
          <w:bCs/>
        </w:rPr>
      </w:pPr>
    </w:p>
    <w:p w14:paraId="6FD2AF23" w14:textId="77777777" w:rsidR="008C0EA1" w:rsidRDefault="008C0EA1" w:rsidP="00E80FD5">
      <w:pPr>
        <w:pStyle w:val="ListParagraph"/>
        <w:ind w:left="420"/>
        <w:rPr>
          <w:rFonts w:ascii="Arial" w:hAnsi="Arial" w:cs="Arial"/>
          <w:b/>
          <w:bCs/>
        </w:rPr>
      </w:pPr>
    </w:p>
    <w:p w14:paraId="0DF0BE24" w14:textId="77777777" w:rsidR="008C0EA1" w:rsidRDefault="008C0EA1" w:rsidP="00E80FD5">
      <w:pPr>
        <w:pStyle w:val="ListParagraph"/>
        <w:ind w:left="420"/>
        <w:rPr>
          <w:rFonts w:ascii="Arial" w:hAnsi="Arial" w:cs="Arial"/>
          <w:b/>
          <w:bCs/>
        </w:rPr>
      </w:pPr>
    </w:p>
    <w:p w14:paraId="0F95F604" w14:textId="77777777" w:rsidR="008C0EA1" w:rsidRDefault="008C0EA1" w:rsidP="00E80FD5">
      <w:pPr>
        <w:pStyle w:val="ListParagraph"/>
        <w:ind w:left="420"/>
        <w:rPr>
          <w:rFonts w:ascii="Arial" w:hAnsi="Arial" w:cs="Arial"/>
          <w:b/>
          <w:bCs/>
        </w:rPr>
      </w:pPr>
    </w:p>
    <w:p w14:paraId="640870E2" w14:textId="77777777" w:rsidR="008C0EA1" w:rsidRDefault="008C0EA1" w:rsidP="00E80FD5">
      <w:pPr>
        <w:pStyle w:val="ListParagraph"/>
        <w:ind w:left="420"/>
        <w:rPr>
          <w:rFonts w:ascii="Arial" w:hAnsi="Arial" w:cs="Arial"/>
          <w:b/>
          <w:bCs/>
        </w:rPr>
      </w:pPr>
    </w:p>
    <w:p w14:paraId="42E214D9" w14:textId="77777777" w:rsidR="008C0EA1" w:rsidRDefault="008C0EA1" w:rsidP="00E80FD5">
      <w:pPr>
        <w:pStyle w:val="ListParagraph"/>
        <w:ind w:left="420"/>
        <w:rPr>
          <w:rFonts w:ascii="Arial" w:hAnsi="Arial" w:cs="Arial"/>
          <w:b/>
          <w:bCs/>
        </w:rPr>
      </w:pPr>
    </w:p>
    <w:p w14:paraId="0E8815E9" w14:textId="77777777" w:rsidR="008C0EA1" w:rsidRDefault="008C0EA1" w:rsidP="00E80FD5">
      <w:pPr>
        <w:pStyle w:val="ListParagraph"/>
        <w:ind w:left="420"/>
        <w:rPr>
          <w:rFonts w:ascii="Arial" w:hAnsi="Arial" w:cs="Arial"/>
          <w:b/>
          <w:bCs/>
        </w:rPr>
      </w:pPr>
    </w:p>
    <w:p w14:paraId="18C692F4" w14:textId="77777777" w:rsidR="008C0EA1" w:rsidRDefault="008C0EA1" w:rsidP="00E80FD5">
      <w:pPr>
        <w:pStyle w:val="ListParagraph"/>
        <w:ind w:left="420"/>
        <w:rPr>
          <w:rFonts w:ascii="Arial" w:hAnsi="Arial" w:cs="Arial"/>
          <w:b/>
          <w:bCs/>
        </w:rPr>
      </w:pPr>
    </w:p>
    <w:p w14:paraId="48D59A28" w14:textId="77777777" w:rsidR="008C0EA1" w:rsidRDefault="008C0EA1" w:rsidP="00E80FD5">
      <w:pPr>
        <w:pStyle w:val="ListParagraph"/>
        <w:ind w:left="420"/>
        <w:rPr>
          <w:rFonts w:ascii="Arial" w:hAnsi="Arial" w:cs="Arial"/>
          <w:b/>
          <w:bCs/>
        </w:rPr>
      </w:pPr>
    </w:p>
    <w:p w14:paraId="038E45A8" w14:textId="77777777" w:rsidR="008C0EA1" w:rsidRDefault="008C0EA1" w:rsidP="00E80FD5">
      <w:pPr>
        <w:pStyle w:val="ListParagraph"/>
        <w:ind w:left="420"/>
        <w:rPr>
          <w:rFonts w:ascii="Arial" w:hAnsi="Arial" w:cs="Arial"/>
          <w:b/>
          <w:bCs/>
        </w:rPr>
      </w:pPr>
    </w:p>
    <w:p w14:paraId="64BF65CB" w14:textId="77777777" w:rsidR="008C0EA1" w:rsidRDefault="008C0EA1" w:rsidP="00E80FD5">
      <w:pPr>
        <w:pStyle w:val="ListParagraph"/>
        <w:ind w:left="420"/>
        <w:rPr>
          <w:rFonts w:ascii="Arial" w:hAnsi="Arial" w:cs="Arial"/>
          <w:b/>
          <w:bCs/>
        </w:rPr>
      </w:pPr>
    </w:p>
    <w:p w14:paraId="2DF2B07C" w14:textId="77777777" w:rsidR="008C0EA1" w:rsidRDefault="008C0EA1" w:rsidP="00E80FD5">
      <w:pPr>
        <w:pStyle w:val="ListParagraph"/>
        <w:ind w:left="420"/>
        <w:rPr>
          <w:rFonts w:ascii="Arial" w:hAnsi="Arial" w:cs="Arial"/>
          <w:b/>
          <w:bCs/>
        </w:rPr>
      </w:pPr>
    </w:p>
    <w:p w14:paraId="2FDCF6F7" w14:textId="77777777" w:rsidR="008C0EA1" w:rsidRDefault="008C0EA1" w:rsidP="00E80FD5">
      <w:pPr>
        <w:pStyle w:val="ListParagraph"/>
        <w:ind w:left="420"/>
        <w:rPr>
          <w:rFonts w:ascii="Arial" w:hAnsi="Arial" w:cs="Arial"/>
          <w:b/>
          <w:bCs/>
        </w:rPr>
      </w:pPr>
    </w:p>
    <w:p w14:paraId="2162F626" w14:textId="77777777" w:rsidR="008C0EA1" w:rsidRDefault="008C0EA1" w:rsidP="00E80FD5">
      <w:pPr>
        <w:pStyle w:val="ListParagraph"/>
        <w:ind w:left="420"/>
        <w:rPr>
          <w:rFonts w:ascii="Arial" w:hAnsi="Arial" w:cs="Arial"/>
          <w:b/>
          <w:bCs/>
        </w:rPr>
      </w:pPr>
    </w:p>
    <w:p w14:paraId="4BCEE23C" w14:textId="77777777" w:rsidR="00E80256" w:rsidRDefault="00E80256" w:rsidP="008C0EA1">
      <w:pPr>
        <w:rPr>
          <w:lang w:val="en-US"/>
        </w:rPr>
      </w:pPr>
    </w:p>
    <w:p w14:paraId="10254D71" w14:textId="77777777" w:rsidR="00E80256" w:rsidRDefault="00E80256" w:rsidP="008C0EA1">
      <w:pPr>
        <w:rPr>
          <w:lang w:val="en-US"/>
        </w:rPr>
      </w:pPr>
    </w:p>
    <w:p w14:paraId="06AB895B" w14:textId="77777777" w:rsidR="00E80256" w:rsidRDefault="00E80256" w:rsidP="008C0EA1">
      <w:pPr>
        <w:rPr>
          <w:lang w:val="en-US"/>
        </w:rPr>
      </w:pPr>
    </w:p>
    <w:p w14:paraId="09C842D7" w14:textId="0218A62C" w:rsidR="008C0EA1" w:rsidRDefault="008C0EA1" w:rsidP="008C0EA1">
      <w:pPr>
        <w:rPr>
          <w:lang w:val="en-US"/>
        </w:rPr>
      </w:pPr>
      <w:r>
        <w:rPr>
          <w:lang w:val="en-US"/>
        </w:rPr>
        <w:t>References:</w:t>
      </w:r>
    </w:p>
    <w:p w14:paraId="62B8FAEF" w14:textId="77777777" w:rsidR="008C0EA1" w:rsidRDefault="008C0EA1" w:rsidP="008C0EA1">
      <w:r w:rsidRPr="00BE4F04">
        <w:t>Drury, C., </w:t>
      </w:r>
      <w:proofErr w:type="spellStart"/>
      <w:r w:rsidRPr="00BE4F04">
        <w:t>Tayles</w:t>
      </w:r>
      <w:proofErr w:type="spellEnd"/>
      <w:r w:rsidRPr="00BE4F04">
        <w:t>, M. (2020). Management and Cost Accounting. United Kingdom: Cengage Learning.</w:t>
      </w:r>
    </w:p>
    <w:p w14:paraId="6D7F91F1" w14:textId="1145BDB8" w:rsidR="008C0EA1" w:rsidRDefault="008C0EA1" w:rsidP="008C0EA1">
      <w:r w:rsidRPr="00D67E46">
        <w:t xml:space="preserve"> </w:t>
      </w:r>
      <w:r w:rsidRPr="00D67E46">
        <w:rPr>
          <w:i/>
          <w:iCs/>
        </w:rPr>
        <w:t>Annual report</w:t>
      </w:r>
      <w:r w:rsidR="00425E83">
        <w:rPr>
          <w:i/>
          <w:iCs/>
        </w:rPr>
        <w:t>,</w:t>
      </w:r>
      <w:r w:rsidRPr="00D67E46">
        <w:rPr>
          <w:i/>
          <w:iCs/>
        </w:rPr>
        <w:t xml:space="preserve"> 2022 - </w:t>
      </w:r>
      <w:proofErr w:type="spellStart"/>
      <w:r w:rsidRPr="00D67E46">
        <w:rPr>
          <w:i/>
          <w:iCs/>
        </w:rPr>
        <w:t>sitecore</w:t>
      </w:r>
      <w:proofErr w:type="spellEnd"/>
      <w:r w:rsidRPr="00D67E46">
        <w:rPr>
          <w:i/>
          <w:iCs/>
        </w:rPr>
        <w:t xml:space="preserve"> - </w:t>
      </w:r>
      <w:proofErr w:type="spellStart"/>
      <w:r w:rsidRPr="00D67E46">
        <w:rPr>
          <w:i/>
          <w:iCs/>
        </w:rPr>
        <w:t>shangri-la</w:t>
      </w:r>
      <w:proofErr w:type="spellEnd"/>
      <w:r w:rsidRPr="00D67E46">
        <w:rPr>
          <w:i/>
          <w:iCs/>
        </w:rPr>
        <w:t xml:space="preserve"> hotels and Resorts</w:t>
      </w:r>
      <w:r w:rsidRPr="00D67E46">
        <w:t xml:space="preserve">. Available at: </w:t>
      </w:r>
      <w:hyperlink r:id="rId6" w:history="1">
        <w:r w:rsidRPr="00D67E46">
          <w:rPr>
            <w:rStyle w:val="Hyperlink"/>
          </w:rPr>
          <w:t>https://sitecore-cd.shangri-la.com/-/media/Project/Shangri-La-Group/Investor/Files/Public-Disclosures/Latest-Top-Publications</w:t>
        </w:r>
      </w:hyperlink>
    </w:p>
    <w:p w14:paraId="520EB2B3" w14:textId="51CF1AD8" w:rsidR="008C0EA1" w:rsidRDefault="008C0EA1" w:rsidP="008C0EA1">
      <w:r w:rsidRPr="00105BA1">
        <w:t xml:space="preserve"> </w:t>
      </w:r>
      <w:r w:rsidRPr="00105BA1">
        <w:rPr>
          <w:i/>
          <w:iCs/>
        </w:rPr>
        <w:t>Whitbread PLC Annual report and accounts 2023/24</w:t>
      </w:r>
      <w:r w:rsidRPr="00105BA1">
        <w:t xml:space="preserve">. Available at: </w:t>
      </w:r>
      <w:hyperlink r:id="rId7" w:history="1">
        <w:r w:rsidRPr="00105BA1">
          <w:rPr>
            <w:rStyle w:val="Hyperlink"/>
          </w:rPr>
          <w:t>https://cdn.whitbread.co.uk/media/2024/05/</w:t>
        </w:r>
      </w:hyperlink>
    </w:p>
    <w:p w14:paraId="18EA6974" w14:textId="77777777" w:rsidR="008C0EA1" w:rsidRDefault="008C0EA1" w:rsidP="008C0EA1">
      <w:r w:rsidRPr="008B017A">
        <w:rPr>
          <w:i/>
          <w:iCs/>
        </w:rPr>
        <w:t>Our strategy and targets</w:t>
      </w:r>
      <w:r w:rsidRPr="008B017A">
        <w:t xml:space="preserve"> (2024) </w:t>
      </w:r>
      <w:r w:rsidRPr="008B017A">
        <w:rPr>
          <w:i/>
          <w:iCs/>
        </w:rPr>
        <w:t>Whitbread PLC</w:t>
      </w:r>
      <w:r w:rsidRPr="008B017A">
        <w:t xml:space="preserve">. Available at: </w:t>
      </w:r>
      <w:hyperlink r:id="rId8" w:history="1">
        <w:r w:rsidRPr="008B017A">
          <w:rPr>
            <w:rStyle w:val="Hyperlink"/>
          </w:rPr>
          <w:t>https://www.whitbread.co.uk/sustainability/our-strategy-targets/</w:t>
        </w:r>
      </w:hyperlink>
    </w:p>
    <w:p w14:paraId="73DC343F" w14:textId="77777777" w:rsidR="008C0EA1" w:rsidRDefault="008C0EA1" w:rsidP="008C0EA1">
      <w:pPr>
        <w:rPr>
          <w:rStyle w:val="Hyperlink"/>
        </w:rPr>
      </w:pPr>
      <w:r w:rsidRPr="009E7EE4">
        <w:t xml:space="preserve">Shangri-La Group. (2022). </w:t>
      </w:r>
      <w:r w:rsidRPr="009E7EE4">
        <w:rPr>
          <w:i/>
          <w:iCs/>
        </w:rPr>
        <w:t>Sustainability at Shangri-La</w:t>
      </w:r>
      <w:r w:rsidRPr="009E7EE4">
        <w:t xml:space="preserve">. Retrieved from </w:t>
      </w:r>
      <w:hyperlink r:id="rId9" w:history="1">
        <w:r w:rsidRPr="00845ABB">
          <w:rPr>
            <w:rStyle w:val="Hyperlink"/>
          </w:rPr>
          <w:t>https://www.shangri-la.com/group/sustainability/</w:t>
        </w:r>
      </w:hyperlink>
    </w:p>
    <w:p w14:paraId="0171B996" w14:textId="3DC98391" w:rsidR="00425E83" w:rsidRDefault="00425E83" w:rsidP="008C0EA1">
      <w:r w:rsidRPr="00425E83">
        <w:rPr>
          <w:i/>
          <w:iCs/>
        </w:rPr>
        <w:t>Shangri-La Group</w:t>
      </w:r>
      <w:r w:rsidRPr="00425E83">
        <w:t> (2021) </w:t>
      </w:r>
      <w:r w:rsidRPr="00425E83">
        <w:rPr>
          <w:i/>
          <w:iCs/>
        </w:rPr>
        <w:t>Shangri-la.com</w:t>
      </w:r>
      <w:r w:rsidRPr="00425E83">
        <w:t xml:space="preserve">. Available at: </w:t>
      </w:r>
      <w:hyperlink r:id="rId10" w:history="1">
        <w:r w:rsidRPr="00425E83">
          <w:rPr>
            <w:rStyle w:val="Hyperlink"/>
          </w:rPr>
          <w:t>https://www.shangri-la.com/group/media/media_post?post</w:t>
        </w:r>
      </w:hyperlink>
    </w:p>
    <w:p w14:paraId="61CD3C10" w14:textId="77777777" w:rsidR="008C0EA1" w:rsidRDefault="008C0EA1" w:rsidP="008C0EA1">
      <w:r w:rsidRPr="00B04AB7">
        <w:rPr>
          <w:i/>
          <w:iCs/>
        </w:rPr>
        <w:t>Un tourism: Bringing the world closer</w:t>
      </w:r>
      <w:r w:rsidRPr="00B04AB7">
        <w:t xml:space="preserve"> (2024) </w:t>
      </w:r>
      <w:r w:rsidRPr="00B04AB7">
        <w:rPr>
          <w:i/>
          <w:iCs/>
        </w:rPr>
        <w:t>International Tourism to Reach Pre-Pandemic Levels in 2024</w:t>
      </w:r>
      <w:r w:rsidRPr="00B04AB7">
        <w:t xml:space="preserve">. Available at: </w:t>
      </w:r>
      <w:hyperlink r:id="rId11" w:history="1">
        <w:r w:rsidRPr="00B04AB7">
          <w:rPr>
            <w:rStyle w:val="Hyperlink"/>
          </w:rPr>
          <w:t>https://www.unwto.org/news/international-tourism-to-reach-pre-pandemic-levels-in-2024</w:t>
        </w:r>
      </w:hyperlink>
    </w:p>
    <w:p w14:paraId="1986104D" w14:textId="77777777" w:rsidR="008C0EA1" w:rsidRDefault="008C0EA1" w:rsidP="008C0EA1">
      <w:pPr>
        <w:rPr>
          <w:rStyle w:val="Hyperlink"/>
        </w:rPr>
      </w:pPr>
      <w:r w:rsidRPr="009E7EE4">
        <w:t xml:space="preserve">Whitbread PLC. (2022). </w:t>
      </w:r>
      <w:r w:rsidRPr="009E7EE4">
        <w:rPr>
          <w:i/>
          <w:iCs/>
        </w:rPr>
        <w:t>Force for Good: Whitbread's CSR Program</w:t>
      </w:r>
      <w:r w:rsidRPr="009E7EE4">
        <w:t xml:space="preserve">. Retrieved from </w:t>
      </w:r>
      <w:hyperlink r:id="rId12" w:history="1">
        <w:r w:rsidRPr="00845ABB">
          <w:rPr>
            <w:rStyle w:val="Hyperlink"/>
          </w:rPr>
          <w:t>https://www.whitbread.co.uk/sustainability</w:t>
        </w:r>
      </w:hyperlink>
    </w:p>
    <w:p w14:paraId="60301B14" w14:textId="2088E0DE" w:rsidR="008F644E" w:rsidRDefault="008F644E" w:rsidP="008C0EA1">
      <w:pPr>
        <w:rPr>
          <w:rStyle w:val="Hyperlink"/>
        </w:rPr>
      </w:pPr>
      <w:r w:rsidRPr="008F644E">
        <w:rPr>
          <w:i/>
          <w:iCs/>
          <w:color w:val="467886" w:themeColor="hyperlink"/>
          <w:u w:val="single"/>
        </w:rPr>
        <w:t>Year in review</w:t>
      </w:r>
      <w:r w:rsidRPr="008F644E">
        <w:rPr>
          <w:color w:val="467886" w:themeColor="hyperlink"/>
          <w:u w:val="single"/>
        </w:rPr>
        <w:t> (</w:t>
      </w:r>
      <w:r>
        <w:rPr>
          <w:color w:val="467886" w:themeColor="hyperlink"/>
          <w:u w:val="single"/>
        </w:rPr>
        <w:t>2023/24</w:t>
      </w:r>
      <w:r w:rsidRPr="008F644E">
        <w:rPr>
          <w:color w:val="467886" w:themeColor="hyperlink"/>
          <w:u w:val="single"/>
        </w:rPr>
        <w:t>) </w:t>
      </w:r>
      <w:r w:rsidRPr="008F644E">
        <w:rPr>
          <w:i/>
          <w:iCs/>
          <w:color w:val="467886" w:themeColor="hyperlink"/>
          <w:u w:val="single"/>
        </w:rPr>
        <w:t>Whitbread PLC</w:t>
      </w:r>
      <w:r w:rsidRPr="008F644E">
        <w:rPr>
          <w:color w:val="467886" w:themeColor="hyperlink"/>
          <w:u w:val="single"/>
        </w:rPr>
        <w:t>. Available at: https://www.whitbread.co.uk/investors/annual-report/.</w:t>
      </w:r>
    </w:p>
    <w:p w14:paraId="472C0F52" w14:textId="77777777" w:rsidR="008C0EA1" w:rsidRDefault="008C0EA1" w:rsidP="008C0EA1">
      <w:pPr>
        <w:rPr>
          <w:lang w:val="en-US"/>
        </w:rPr>
      </w:pPr>
      <w:r w:rsidRPr="009E7EE4">
        <w:t xml:space="preserve">United Nations World Tourism Organization (UNWTO). (2023). </w:t>
      </w:r>
      <w:r w:rsidRPr="009E7EE4">
        <w:rPr>
          <w:i/>
          <w:iCs/>
        </w:rPr>
        <w:t>Global Tourism Report 2023: Recovery and Future Outlook</w:t>
      </w:r>
      <w:r w:rsidRPr="009E7EE4">
        <w:t xml:space="preserve">. Retrieved from </w:t>
      </w:r>
      <w:hyperlink r:id="rId13" w:tgtFrame="_new" w:history="1">
        <w:r w:rsidRPr="009E7EE4">
          <w:rPr>
            <w:rStyle w:val="Hyperlink"/>
          </w:rPr>
          <w:t>https://www.unwto.org</w:t>
        </w:r>
      </w:hyperlink>
    </w:p>
    <w:p w14:paraId="0054A338" w14:textId="77777777" w:rsidR="008C0EA1" w:rsidRDefault="008C0EA1" w:rsidP="008C0EA1">
      <w:r w:rsidRPr="004F2DBE">
        <w:t>Webster, Frederick. (2005). A Perspective on the Evolution of Marketing Management. Journal of Public Policy. 24. 121-126. 10.1509/jppm.24.1.121.63888.</w:t>
      </w:r>
    </w:p>
    <w:p w14:paraId="4A065A6F" w14:textId="77777777" w:rsidR="008C0EA1" w:rsidRDefault="008C0EA1" w:rsidP="008C0EA1">
      <w:r w:rsidRPr="004F2DBE">
        <w:t>Jr, Frederick &amp; Malter, Alan. (2004). The Role of Marketing in the Corporation: A Perpetual Work in Progress. SSRN Electronic Journal. 10.2139/ssrn.530882.</w:t>
      </w:r>
    </w:p>
    <w:p w14:paraId="70C82BEA" w14:textId="77777777" w:rsidR="008C0EA1" w:rsidRDefault="008C0EA1" w:rsidP="008C0EA1">
      <w:r w:rsidRPr="006D2849">
        <w:rPr>
          <w:i/>
          <w:iCs/>
        </w:rPr>
        <w:t>Marketresearch.com</w:t>
      </w:r>
      <w:r w:rsidRPr="006D2849">
        <w:t xml:space="preserve"> (2024) </w:t>
      </w:r>
      <w:r w:rsidRPr="006D2849">
        <w:rPr>
          <w:i/>
          <w:iCs/>
        </w:rPr>
        <w:t>Market Research</w:t>
      </w:r>
      <w:r w:rsidRPr="006D2849">
        <w:t xml:space="preserve">. Available at: </w:t>
      </w:r>
      <w:hyperlink r:id="rId14" w:history="1">
        <w:r w:rsidRPr="006D2849">
          <w:rPr>
            <w:rStyle w:val="Hyperlink"/>
          </w:rPr>
          <w:t>https://www.marketresearch.com/Quaintel-Research-v4272/Shangri-La-International-Hotel-Management-37254570/</w:t>
        </w:r>
      </w:hyperlink>
    </w:p>
    <w:p w14:paraId="4A49A532" w14:textId="77777777" w:rsidR="008C0EA1" w:rsidRDefault="008C0EA1" w:rsidP="008C0EA1">
      <w:r w:rsidRPr="005E2782">
        <w:rPr>
          <w:i/>
          <w:iCs/>
          <w:sz w:val="22"/>
          <w:szCs w:val="22"/>
        </w:rPr>
        <w:lastRenderedPageBreak/>
        <w:t>Media</w:t>
      </w:r>
      <w:r w:rsidRPr="005E2782">
        <w:rPr>
          <w:sz w:val="22"/>
          <w:szCs w:val="22"/>
        </w:rPr>
        <w:t xml:space="preserve"> (2024) </w:t>
      </w:r>
      <w:r w:rsidRPr="005E2782">
        <w:rPr>
          <w:i/>
          <w:iCs/>
          <w:sz w:val="22"/>
          <w:szCs w:val="22"/>
        </w:rPr>
        <w:t>Whitbread PLC</w:t>
      </w:r>
      <w:r w:rsidRPr="005E2782">
        <w:rPr>
          <w:sz w:val="22"/>
          <w:szCs w:val="22"/>
        </w:rPr>
        <w:t xml:space="preserve">. Available at: </w:t>
      </w:r>
      <w:hyperlink r:id="rId15" w:history="1">
        <w:r w:rsidRPr="008D06E7">
          <w:rPr>
            <w:rStyle w:val="Hyperlink"/>
          </w:rPr>
          <w:t>https://www.whitbread.co.uk/media/?_categories=community</w:t>
        </w:r>
      </w:hyperlink>
    </w:p>
    <w:p w14:paraId="7BDBF569" w14:textId="77777777" w:rsidR="008C0EA1" w:rsidRDefault="008C0EA1" w:rsidP="00E80FD5">
      <w:pPr>
        <w:pStyle w:val="ListParagraph"/>
        <w:ind w:left="420"/>
        <w:rPr>
          <w:rFonts w:ascii="Arial" w:hAnsi="Arial" w:cs="Arial"/>
          <w:b/>
          <w:bCs/>
        </w:rPr>
      </w:pPr>
    </w:p>
    <w:p w14:paraId="27D5C7C5" w14:textId="77777777" w:rsidR="008C0EA1" w:rsidRDefault="008C0EA1" w:rsidP="00E80FD5">
      <w:pPr>
        <w:pStyle w:val="ListParagraph"/>
        <w:ind w:left="420"/>
        <w:rPr>
          <w:rFonts w:ascii="Arial" w:hAnsi="Arial" w:cs="Arial"/>
          <w:b/>
          <w:bCs/>
        </w:rPr>
      </w:pPr>
    </w:p>
    <w:p w14:paraId="54206ED4" w14:textId="77777777" w:rsidR="008C0EA1" w:rsidRDefault="008C0EA1" w:rsidP="00E80FD5">
      <w:pPr>
        <w:pStyle w:val="ListParagraph"/>
        <w:ind w:left="420"/>
        <w:rPr>
          <w:rFonts w:ascii="Arial" w:hAnsi="Arial" w:cs="Arial"/>
          <w:b/>
          <w:bCs/>
        </w:rPr>
      </w:pPr>
    </w:p>
    <w:p w14:paraId="2AB44509" w14:textId="77777777" w:rsidR="008C0EA1" w:rsidRDefault="008C0EA1" w:rsidP="00E80FD5">
      <w:pPr>
        <w:pStyle w:val="ListParagraph"/>
        <w:ind w:left="420"/>
        <w:rPr>
          <w:rFonts w:ascii="Arial" w:hAnsi="Arial" w:cs="Arial"/>
          <w:b/>
          <w:bCs/>
        </w:rPr>
      </w:pPr>
    </w:p>
    <w:p w14:paraId="1F786F33" w14:textId="77777777" w:rsidR="008C0EA1" w:rsidRDefault="008C0EA1" w:rsidP="00E80FD5">
      <w:pPr>
        <w:pStyle w:val="ListParagraph"/>
        <w:ind w:left="420"/>
        <w:rPr>
          <w:rFonts w:ascii="Arial" w:hAnsi="Arial" w:cs="Arial"/>
          <w:b/>
          <w:bCs/>
        </w:rPr>
      </w:pPr>
    </w:p>
    <w:p w14:paraId="66CF595C" w14:textId="77777777" w:rsidR="008C0EA1" w:rsidRDefault="008C0EA1" w:rsidP="00E80FD5">
      <w:pPr>
        <w:pStyle w:val="ListParagraph"/>
        <w:ind w:left="420"/>
        <w:rPr>
          <w:rFonts w:ascii="Arial" w:hAnsi="Arial" w:cs="Arial"/>
          <w:b/>
          <w:bCs/>
        </w:rPr>
      </w:pPr>
    </w:p>
    <w:p w14:paraId="21C4B6F9" w14:textId="77777777" w:rsidR="008C0EA1" w:rsidRDefault="008C0EA1" w:rsidP="00E80FD5">
      <w:pPr>
        <w:pStyle w:val="ListParagraph"/>
        <w:ind w:left="420"/>
        <w:rPr>
          <w:rFonts w:ascii="Arial" w:hAnsi="Arial" w:cs="Arial"/>
          <w:b/>
          <w:bCs/>
        </w:rPr>
      </w:pPr>
    </w:p>
    <w:p w14:paraId="72424C9D" w14:textId="77777777" w:rsidR="008C0EA1" w:rsidRDefault="008C0EA1" w:rsidP="00E80FD5">
      <w:pPr>
        <w:pStyle w:val="ListParagraph"/>
        <w:ind w:left="420"/>
        <w:rPr>
          <w:rFonts w:ascii="Arial" w:hAnsi="Arial" w:cs="Arial"/>
          <w:b/>
          <w:bCs/>
        </w:rPr>
      </w:pPr>
    </w:p>
    <w:p w14:paraId="3B8F5AF3" w14:textId="77777777" w:rsidR="008C0EA1" w:rsidRDefault="008C0EA1" w:rsidP="00E80FD5">
      <w:pPr>
        <w:pStyle w:val="ListParagraph"/>
        <w:ind w:left="420"/>
        <w:rPr>
          <w:rFonts w:ascii="Arial" w:hAnsi="Arial" w:cs="Arial"/>
          <w:b/>
          <w:bCs/>
        </w:rPr>
      </w:pPr>
    </w:p>
    <w:p w14:paraId="07B0555F" w14:textId="77777777" w:rsidR="008C0EA1" w:rsidRDefault="008C0EA1" w:rsidP="00E80FD5">
      <w:pPr>
        <w:pStyle w:val="ListParagraph"/>
        <w:ind w:left="420"/>
        <w:rPr>
          <w:rFonts w:ascii="Arial" w:hAnsi="Arial" w:cs="Arial"/>
          <w:b/>
          <w:bCs/>
        </w:rPr>
      </w:pPr>
    </w:p>
    <w:p w14:paraId="17E57D5C" w14:textId="77777777" w:rsidR="008C0EA1" w:rsidRDefault="008C0EA1" w:rsidP="00E80FD5">
      <w:pPr>
        <w:pStyle w:val="ListParagraph"/>
        <w:ind w:left="420"/>
        <w:rPr>
          <w:rFonts w:ascii="Arial" w:hAnsi="Arial" w:cs="Arial"/>
          <w:b/>
          <w:bCs/>
        </w:rPr>
      </w:pPr>
    </w:p>
    <w:p w14:paraId="56AB6ED8" w14:textId="77777777" w:rsidR="008C0EA1" w:rsidRPr="00E80FD5" w:rsidRDefault="008C0EA1" w:rsidP="00E80FD5">
      <w:pPr>
        <w:pStyle w:val="ListParagraph"/>
        <w:ind w:left="420"/>
        <w:rPr>
          <w:rFonts w:ascii="Arial" w:hAnsi="Arial" w:cs="Arial"/>
          <w:b/>
          <w:bCs/>
        </w:rPr>
      </w:pPr>
    </w:p>
    <w:sectPr w:rsidR="008C0EA1" w:rsidRPr="00E80F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Narrow">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C4498"/>
    <w:multiLevelType w:val="hybridMultilevel"/>
    <w:tmpl w:val="45B21642"/>
    <w:lvl w:ilvl="0" w:tplc="59C2D104">
      <w:start w:val="1"/>
      <w:numFmt w:val="decimal"/>
      <w:lvlText w:val="%1."/>
      <w:lvlJc w:val="left"/>
      <w:pPr>
        <w:ind w:left="420" w:hanging="360"/>
      </w:pPr>
      <w:rPr>
        <w:rFonts w:hint="default"/>
        <w:b w:val="0"/>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0EC5EC3"/>
    <w:multiLevelType w:val="hybridMultilevel"/>
    <w:tmpl w:val="D9841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67912"/>
    <w:multiLevelType w:val="hybridMultilevel"/>
    <w:tmpl w:val="15F4A46A"/>
    <w:lvl w:ilvl="0" w:tplc="D562A7C8">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446223D9"/>
    <w:multiLevelType w:val="hybridMultilevel"/>
    <w:tmpl w:val="E368C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131C07"/>
    <w:multiLevelType w:val="hybridMultilevel"/>
    <w:tmpl w:val="8D801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264999">
    <w:abstractNumId w:val="3"/>
  </w:num>
  <w:num w:numId="2" w16cid:durableId="1138495316">
    <w:abstractNumId w:val="0"/>
  </w:num>
  <w:num w:numId="3" w16cid:durableId="261449640">
    <w:abstractNumId w:val="2"/>
  </w:num>
  <w:num w:numId="4" w16cid:durableId="22291537">
    <w:abstractNumId w:val="1"/>
  </w:num>
  <w:num w:numId="5" w16cid:durableId="19179336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605"/>
    <w:rsid w:val="00016FBF"/>
    <w:rsid w:val="00026AB6"/>
    <w:rsid w:val="000750F6"/>
    <w:rsid w:val="000771E1"/>
    <w:rsid w:val="000B2367"/>
    <w:rsid w:val="000F1BF4"/>
    <w:rsid w:val="0017755F"/>
    <w:rsid w:val="00181246"/>
    <w:rsid w:val="0019472C"/>
    <w:rsid w:val="001B2445"/>
    <w:rsid w:val="001F3AC5"/>
    <w:rsid w:val="00210D17"/>
    <w:rsid w:val="00250024"/>
    <w:rsid w:val="00255B67"/>
    <w:rsid w:val="002E67EC"/>
    <w:rsid w:val="003436F9"/>
    <w:rsid w:val="00351A62"/>
    <w:rsid w:val="003958BB"/>
    <w:rsid w:val="003B6402"/>
    <w:rsid w:val="003C07FB"/>
    <w:rsid w:val="004002F3"/>
    <w:rsid w:val="00425E83"/>
    <w:rsid w:val="00441AC0"/>
    <w:rsid w:val="004913F0"/>
    <w:rsid w:val="00536E36"/>
    <w:rsid w:val="00580A7A"/>
    <w:rsid w:val="005869A8"/>
    <w:rsid w:val="005B578E"/>
    <w:rsid w:val="005E3F3A"/>
    <w:rsid w:val="005F762A"/>
    <w:rsid w:val="00657F30"/>
    <w:rsid w:val="006D7571"/>
    <w:rsid w:val="00703028"/>
    <w:rsid w:val="0072097A"/>
    <w:rsid w:val="007210D9"/>
    <w:rsid w:val="007B2EC4"/>
    <w:rsid w:val="007B70BD"/>
    <w:rsid w:val="007D23F0"/>
    <w:rsid w:val="007F2E20"/>
    <w:rsid w:val="00800565"/>
    <w:rsid w:val="0082386B"/>
    <w:rsid w:val="00833F84"/>
    <w:rsid w:val="008907EC"/>
    <w:rsid w:val="008951A1"/>
    <w:rsid w:val="008C0EA1"/>
    <w:rsid w:val="008F644E"/>
    <w:rsid w:val="00915024"/>
    <w:rsid w:val="00930329"/>
    <w:rsid w:val="0093205D"/>
    <w:rsid w:val="009420A9"/>
    <w:rsid w:val="00972166"/>
    <w:rsid w:val="009A3DCE"/>
    <w:rsid w:val="009B2510"/>
    <w:rsid w:val="009F4B1C"/>
    <w:rsid w:val="009F5834"/>
    <w:rsid w:val="00A76687"/>
    <w:rsid w:val="00A95726"/>
    <w:rsid w:val="00AD3899"/>
    <w:rsid w:val="00B767C7"/>
    <w:rsid w:val="00BD19E5"/>
    <w:rsid w:val="00C07605"/>
    <w:rsid w:val="00C673CB"/>
    <w:rsid w:val="00C71C39"/>
    <w:rsid w:val="00C72256"/>
    <w:rsid w:val="00CE579A"/>
    <w:rsid w:val="00CF557C"/>
    <w:rsid w:val="00D159A3"/>
    <w:rsid w:val="00D1613F"/>
    <w:rsid w:val="00DD0FB3"/>
    <w:rsid w:val="00E002F6"/>
    <w:rsid w:val="00E17794"/>
    <w:rsid w:val="00E6772F"/>
    <w:rsid w:val="00E75B0D"/>
    <w:rsid w:val="00E80256"/>
    <w:rsid w:val="00E80FD5"/>
    <w:rsid w:val="00EF2D53"/>
    <w:rsid w:val="00F12880"/>
    <w:rsid w:val="00F23586"/>
    <w:rsid w:val="00F537B9"/>
    <w:rsid w:val="00F870C2"/>
    <w:rsid w:val="00FE2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08C554"/>
  <w15:chartTrackingRefBased/>
  <w15:docId w15:val="{16D59B2E-A1CE-FF43-845A-6564DABA6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6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76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76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6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6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6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6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6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6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6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76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76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6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6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6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6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6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605"/>
    <w:rPr>
      <w:rFonts w:eastAsiaTheme="majorEastAsia" w:cstheme="majorBidi"/>
      <w:color w:val="272727" w:themeColor="text1" w:themeTint="D8"/>
    </w:rPr>
  </w:style>
  <w:style w:type="paragraph" w:styleId="Title">
    <w:name w:val="Title"/>
    <w:basedOn w:val="Normal"/>
    <w:next w:val="Normal"/>
    <w:link w:val="TitleChar"/>
    <w:uiPriority w:val="10"/>
    <w:qFormat/>
    <w:rsid w:val="00C076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6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6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6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605"/>
    <w:pPr>
      <w:spacing w:before="160"/>
      <w:jc w:val="center"/>
    </w:pPr>
    <w:rPr>
      <w:i/>
      <w:iCs/>
      <w:color w:val="404040" w:themeColor="text1" w:themeTint="BF"/>
    </w:rPr>
  </w:style>
  <w:style w:type="character" w:customStyle="1" w:styleId="QuoteChar">
    <w:name w:val="Quote Char"/>
    <w:basedOn w:val="DefaultParagraphFont"/>
    <w:link w:val="Quote"/>
    <w:uiPriority w:val="29"/>
    <w:rsid w:val="00C07605"/>
    <w:rPr>
      <w:i/>
      <w:iCs/>
      <w:color w:val="404040" w:themeColor="text1" w:themeTint="BF"/>
    </w:rPr>
  </w:style>
  <w:style w:type="paragraph" w:styleId="ListParagraph">
    <w:name w:val="List Paragraph"/>
    <w:basedOn w:val="Normal"/>
    <w:uiPriority w:val="34"/>
    <w:qFormat/>
    <w:rsid w:val="00C07605"/>
    <w:pPr>
      <w:ind w:left="720"/>
      <w:contextualSpacing/>
    </w:pPr>
  </w:style>
  <w:style w:type="character" w:styleId="IntenseEmphasis">
    <w:name w:val="Intense Emphasis"/>
    <w:basedOn w:val="DefaultParagraphFont"/>
    <w:uiPriority w:val="21"/>
    <w:qFormat/>
    <w:rsid w:val="00C07605"/>
    <w:rPr>
      <w:i/>
      <w:iCs/>
      <w:color w:val="0F4761" w:themeColor="accent1" w:themeShade="BF"/>
    </w:rPr>
  </w:style>
  <w:style w:type="paragraph" w:styleId="IntenseQuote">
    <w:name w:val="Intense Quote"/>
    <w:basedOn w:val="Normal"/>
    <w:next w:val="Normal"/>
    <w:link w:val="IntenseQuoteChar"/>
    <w:uiPriority w:val="30"/>
    <w:qFormat/>
    <w:rsid w:val="00C076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605"/>
    <w:rPr>
      <w:i/>
      <w:iCs/>
      <w:color w:val="0F4761" w:themeColor="accent1" w:themeShade="BF"/>
    </w:rPr>
  </w:style>
  <w:style w:type="character" w:styleId="IntenseReference">
    <w:name w:val="Intense Reference"/>
    <w:basedOn w:val="DefaultParagraphFont"/>
    <w:uiPriority w:val="32"/>
    <w:qFormat/>
    <w:rsid w:val="00C07605"/>
    <w:rPr>
      <w:b/>
      <w:bCs/>
      <w:smallCaps/>
      <w:color w:val="0F4761" w:themeColor="accent1" w:themeShade="BF"/>
      <w:spacing w:val="5"/>
    </w:rPr>
  </w:style>
  <w:style w:type="paragraph" w:styleId="TOC1">
    <w:name w:val="toc 1"/>
    <w:basedOn w:val="Normal"/>
    <w:next w:val="Normal"/>
    <w:autoRedefine/>
    <w:uiPriority w:val="39"/>
    <w:unhideWhenUsed/>
    <w:rsid w:val="00C07605"/>
    <w:pPr>
      <w:pBdr>
        <w:between w:val="double" w:sz="6" w:space="0" w:color="auto"/>
      </w:pBdr>
      <w:spacing w:before="120" w:after="120"/>
      <w:jc w:val="center"/>
    </w:pPr>
    <w:rPr>
      <w:b/>
      <w:bCs/>
      <w:i/>
      <w:iCs/>
    </w:rPr>
  </w:style>
  <w:style w:type="paragraph" w:styleId="TOC2">
    <w:name w:val="toc 2"/>
    <w:basedOn w:val="Normal"/>
    <w:next w:val="Normal"/>
    <w:autoRedefine/>
    <w:uiPriority w:val="39"/>
    <w:unhideWhenUsed/>
    <w:rsid w:val="00C07605"/>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unhideWhenUsed/>
    <w:rsid w:val="00C07605"/>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unhideWhenUsed/>
    <w:rsid w:val="00C07605"/>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unhideWhenUsed/>
    <w:rsid w:val="00C07605"/>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unhideWhenUsed/>
    <w:rsid w:val="00C07605"/>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unhideWhenUsed/>
    <w:rsid w:val="00C07605"/>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unhideWhenUsed/>
    <w:rsid w:val="00C07605"/>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unhideWhenUsed/>
    <w:rsid w:val="00C07605"/>
    <w:pPr>
      <w:pBdr>
        <w:between w:val="double" w:sz="6" w:space="0" w:color="auto"/>
      </w:pBdr>
      <w:spacing w:before="120" w:after="120"/>
      <w:ind w:left="1680"/>
      <w:jc w:val="center"/>
    </w:pPr>
    <w:rPr>
      <w:sz w:val="20"/>
      <w:szCs w:val="20"/>
    </w:rPr>
  </w:style>
  <w:style w:type="paragraph" w:styleId="NormalWeb">
    <w:name w:val="Normal (Web)"/>
    <w:basedOn w:val="Normal"/>
    <w:uiPriority w:val="99"/>
    <w:semiHidden/>
    <w:unhideWhenUsed/>
    <w:rsid w:val="000F1BF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C0EA1"/>
    <w:rPr>
      <w:color w:val="467886" w:themeColor="hyperlink"/>
      <w:u w:val="single"/>
    </w:rPr>
  </w:style>
  <w:style w:type="character" w:styleId="UnresolvedMention">
    <w:name w:val="Unresolved Mention"/>
    <w:basedOn w:val="DefaultParagraphFont"/>
    <w:uiPriority w:val="99"/>
    <w:semiHidden/>
    <w:unhideWhenUsed/>
    <w:rsid w:val="00425E83"/>
    <w:rPr>
      <w:color w:val="605E5C"/>
      <w:shd w:val="clear" w:color="auto" w:fill="E1DFDD"/>
    </w:rPr>
  </w:style>
  <w:style w:type="character" w:styleId="FollowedHyperlink">
    <w:name w:val="FollowedHyperlink"/>
    <w:basedOn w:val="DefaultParagraphFont"/>
    <w:uiPriority w:val="99"/>
    <w:semiHidden/>
    <w:unhideWhenUsed/>
    <w:rsid w:val="008F644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00575">
      <w:bodyDiv w:val="1"/>
      <w:marLeft w:val="0"/>
      <w:marRight w:val="0"/>
      <w:marTop w:val="0"/>
      <w:marBottom w:val="0"/>
      <w:divBdr>
        <w:top w:val="none" w:sz="0" w:space="0" w:color="auto"/>
        <w:left w:val="none" w:sz="0" w:space="0" w:color="auto"/>
        <w:bottom w:val="none" w:sz="0" w:space="0" w:color="auto"/>
        <w:right w:val="none" w:sz="0" w:space="0" w:color="auto"/>
      </w:divBdr>
    </w:div>
    <w:div w:id="336882883">
      <w:bodyDiv w:val="1"/>
      <w:marLeft w:val="0"/>
      <w:marRight w:val="0"/>
      <w:marTop w:val="0"/>
      <w:marBottom w:val="0"/>
      <w:divBdr>
        <w:top w:val="none" w:sz="0" w:space="0" w:color="auto"/>
        <w:left w:val="none" w:sz="0" w:space="0" w:color="auto"/>
        <w:bottom w:val="none" w:sz="0" w:space="0" w:color="auto"/>
        <w:right w:val="none" w:sz="0" w:space="0" w:color="auto"/>
      </w:divBdr>
    </w:div>
    <w:div w:id="437718865">
      <w:bodyDiv w:val="1"/>
      <w:marLeft w:val="0"/>
      <w:marRight w:val="0"/>
      <w:marTop w:val="0"/>
      <w:marBottom w:val="0"/>
      <w:divBdr>
        <w:top w:val="none" w:sz="0" w:space="0" w:color="auto"/>
        <w:left w:val="none" w:sz="0" w:space="0" w:color="auto"/>
        <w:bottom w:val="none" w:sz="0" w:space="0" w:color="auto"/>
        <w:right w:val="none" w:sz="0" w:space="0" w:color="auto"/>
      </w:divBdr>
      <w:divsChild>
        <w:div w:id="1421367503">
          <w:marLeft w:val="0"/>
          <w:marRight w:val="0"/>
          <w:marTop w:val="0"/>
          <w:marBottom w:val="0"/>
          <w:divBdr>
            <w:top w:val="none" w:sz="0" w:space="0" w:color="auto"/>
            <w:left w:val="none" w:sz="0" w:space="0" w:color="auto"/>
            <w:bottom w:val="none" w:sz="0" w:space="0" w:color="auto"/>
            <w:right w:val="none" w:sz="0" w:space="0" w:color="auto"/>
          </w:divBdr>
          <w:divsChild>
            <w:div w:id="159080890">
              <w:marLeft w:val="0"/>
              <w:marRight w:val="0"/>
              <w:marTop w:val="0"/>
              <w:marBottom w:val="0"/>
              <w:divBdr>
                <w:top w:val="none" w:sz="0" w:space="0" w:color="auto"/>
                <w:left w:val="none" w:sz="0" w:space="0" w:color="auto"/>
                <w:bottom w:val="none" w:sz="0" w:space="0" w:color="auto"/>
                <w:right w:val="none" w:sz="0" w:space="0" w:color="auto"/>
              </w:divBdr>
              <w:divsChild>
                <w:div w:id="11012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313883">
      <w:bodyDiv w:val="1"/>
      <w:marLeft w:val="0"/>
      <w:marRight w:val="0"/>
      <w:marTop w:val="0"/>
      <w:marBottom w:val="0"/>
      <w:divBdr>
        <w:top w:val="none" w:sz="0" w:space="0" w:color="auto"/>
        <w:left w:val="none" w:sz="0" w:space="0" w:color="auto"/>
        <w:bottom w:val="none" w:sz="0" w:space="0" w:color="auto"/>
        <w:right w:val="none" w:sz="0" w:space="0" w:color="auto"/>
      </w:divBdr>
      <w:divsChild>
        <w:div w:id="620302471">
          <w:marLeft w:val="0"/>
          <w:marRight w:val="0"/>
          <w:marTop w:val="0"/>
          <w:marBottom w:val="0"/>
          <w:divBdr>
            <w:top w:val="none" w:sz="0" w:space="0" w:color="auto"/>
            <w:left w:val="none" w:sz="0" w:space="0" w:color="auto"/>
            <w:bottom w:val="none" w:sz="0" w:space="0" w:color="auto"/>
            <w:right w:val="none" w:sz="0" w:space="0" w:color="auto"/>
          </w:divBdr>
          <w:divsChild>
            <w:div w:id="841548818">
              <w:marLeft w:val="0"/>
              <w:marRight w:val="0"/>
              <w:marTop w:val="0"/>
              <w:marBottom w:val="0"/>
              <w:divBdr>
                <w:top w:val="none" w:sz="0" w:space="0" w:color="auto"/>
                <w:left w:val="none" w:sz="0" w:space="0" w:color="auto"/>
                <w:bottom w:val="none" w:sz="0" w:space="0" w:color="auto"/>
                <w:right w:val="none" w:sz="0" w:space="0" w:color="auto"/>
              </w:divBdr>
              <w:divsChild>
                <w:div w:id="25135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053542">
      <w:bodyDiv w:val="1"/>
      <w:marLeft w:val="0"/>
      <w:marRight w:val="0"/>
      <w:marTop w:val="0"/>
      <w:marBottom w:val="0"/>
      <w:divBdr>
        <w:top w:val="none" w:sz="0" w:space="0" w:color="auto"/>
        <w:left w:val="none" w:sz="0" w:space="0" w:color="auto"/>
        <w:bottom w:val="none" w:sz="0" w:space="0" w:color="auto"/>
        <w:right w:val="none" w:sz="0" w:space="0" w:color="auto"/>
      </w:divBdr>
      <w:divsChild>
        <w:div w:id="232929802">
          <w:marLeft w:val="0"/>
          <w:marRight w:val="0"/>
          <w:marTop w:val="0"/>
          <w:marBottom w:val="0"/>
          <w:divBdr>
            <w:top w:val="none" w:sz="0" w:space="0" w:color="auto"/>
            <w:left w:val="none" w:sz="0" w:space="0" w:color="auto"/>
            <w:bottom w:val="none" w:sz="0" w:space="0" w:color="auto"/>
            <w:right w:val="none" w:sz="0" w:space="0" w:color="auto"/>
          </w:divBdr>
          <w:divsChild>
            <w:div w:id="1878548434">
              <w:marLeft w:val="0"/>
              <w:marRight w:val="0"/>
              <w:marTop w:val="0"/>
              <w:marBottom w:val="0"/>
              <w:divBdr>
                <w:top w:val="none" w:sz="0" w:space="0" w:color="auto"/>
                <w:left w:val="none" w:sz="0" w:space="0" w:color="auto"/>
                <w:bottom w:val="none" w:sz="0" w:space="0" w:color="auto"/>
                <w:right w:val="none" w:sz="0" w:space="0" w:color="auto"/>
              </w:divBdr>
              <w:divsChild>
                <w:div w:id="133006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281957">
      <w:bodyDiv w:val="1"/>
      <w:marLeft w:val="0"/>
      <w:marRight w:val="0"/>
      <w:marTop w:val="0"/>
      <w:marBottom w:val="0"/>
      <w:divBdr>
        <w:top w:val="none" w:sz="0" w:space="0" w:color="auto"/>
        <w:left w:val="none" w:sz="0" w:space="0" w:color="auto"/>
        <w:bottom w:val="none" w:sz="0" w:space="0" w:color="auto"/>
        <w:right w:val="none" w:sz="0" w:space="0" w:color="auto"/>
      </w:divBdr>
    </w:div>
    <w:div w:id="866911180">
      <w:bodyDiv w:val="1"/>
      <w:marLeft w:val="0"/>
      <w:marRight w:val="0"/>
      <w:marTop w:val="0"/>
      <w:marBottom w:val="0"/>
      <w:divBdr>
        <w:top w:val="none" w:sz="0" w:space="0" w:color="auto"/>
        <w:left w:val="none" w:sz="0" w:space="0" w:color="auto"/>
        <w:bottom w:val="none" w:sz="0" w:space="0" w:color="auto"/>
        <w:right w:val="none" w:sz="0" w:space="0" w:color="auto"/>
      </w:divBdr>
      <w:divsChild>
        <w:div w:id="1026325320">
          <w:marLeft w:val="0"/>
          <w:marRight w:val="0"/>
          <w:marTop w:val="0"/>
          <w:marBottom w:val="0"/>
          <w:divBdr>
            <w:top w:val="none" w:sz="0" w:space="0" w:color="auto"/>
            <w:left w:val="none" w:sz="0" w:space="0" w:color="auto"/>
            <w:bottom w:val="none" w:sz="0" w:space="0" w:color="auto"/>
            <w:right w:val="none" w:sz="0" w:space="0" w:color="auto"/>
          </w:divBdr>
          <w:divsChild>
            <w:div w:id="1512065721">
              <w:marLeft w:val="0"/>
              <w:marRight w:val="0"/>
              <w:marTop w:val="0"/>
              <w:marBottom w:val="0"/>
              <w:divBdr>
                <w:top w:val="none" w:sz="0" w:space="0" w:color="auto"/>
                <w:left w:val="none" w:sz="0" w:space="0" w:color="auto"/>
                <w:bottom w:val="none" w:sz="0" w:space="0" w:color="auto"/>
                <w:right w:val="none" w:sz="0" w:space="0" w:color="auto"/>
              </w:divBdr>
              <w:divsChild>
                <w:div w:id="178657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377584">
      <w:bodyDiv w:val="1"/>
      <w:marLeft w:val="0"/>
      <w:marRight w:val="0"/>
      <w:marTop w:val="0"/>
      <w:marBottom w:val="0"/>
      <w:divBdr>
        <w:top w:val="none" w:sz="0" w:space="0" w:color="auto"/>
        <w:left w:val="none" w:sz="0" w:space="0" w:color="auto"/>
        <w:bottom w:val="none" w:sz="0" w:space="0" w:color="auto"/>
        <w:right w:val="none" w:sz="0" w:space="0" w:color="auto"/>
      </w:divBdr>
      <w:divsChild>
        <w:div w:id="1140808021">
          <w:marLeft w:val="0"/>
          <w:marRight w:val="0"/>
          <w:marTop w:val="0"/>
          <w:marBottom w:val="0"/>
          <w:divBdr>
            <w:top w:val="none" w:sz="0" w:space="0" w:color="auto"/>
            <w:left w:val="none" w:sz="0" w:space="0" w:color="auto"/>
            <w:bottom w:val="none" w:sz="0" w:space="0" w:color="auto"/>
            <w:right w:val="none" w:sz="0" w:space="0" w:color="auto"/>
          </w:divBdr>
          <w:divsChild>
            <w:div w:id="685255444">
              <w:marLeft w:val="0"/>
              <w:marRight w:val="0"/>
              <w:marTop w:val="0"/>
              <w:marBottom w:val="0"/>
              <w:divBdr>
                <w:top w:val="none" w:sz="0" w:space="0" w:color="auto"/>
                <w:left w:val="none" w:sz="0" w:space="0" w:color="auto"/>
                <w:bottom w:val="none" w:sz="0" w:space="0" w:color="auto"/>
                <w:right w:val="none" w:sz="0" w:space="0" w:color="auto"/>
              </w:divBdr>
              <w:divsChild>
                <w:div w:id="132508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419206">
      <w:bodyDiv w:val="1"/>
      <w:marLeft w:val="0"/>
      <w:marRight w:val="0"/>
      <w:marTop w:val="0"/>
      <w:marBottom w:val="0"/>
      <w:divBdr>
        <w:top w:val="none" w:sz="0" w:space="0" w:color="auto"/>
        <w:left w:val="none" w:sz="0" w:space="0" w:color="auto"/>
        <w:bottom w:val="none" w:sz="0" w:space="0" w:color="auto"/>
        <w:right w:val="none" w:sz="0" w:space="0" w:color="auto"/>
      </w:divBdr>
      <w:divsChild>
        <w:div w:id="1075709747">
          <w:marLeft w:val="0"/>
          <w:marRight w:val="0"/>
          <w:marTop w:val="0"/>
          <w:marBottom w:val="0"/>
          <w:divBdr>
            <w:top w:val="none" w:sz="0" w:space="0" w:color="auto"/>
            <w:left w:val="none" w:sz="0" w:space="0" w:color="auto"/>
            <w:bottom w:val="none" w:sz="0" w:space="0" w:color="auto"/>
            <w:right w:val="none" w:sz="0" w:space="0" w:color="auto"/>
          </w:divBdr>
          <w:divsChild>
            <w:div w:id="1382680178">
              <w:marLeft w:val="0"/>
              <w:marRight w:val="0"/>
              <w:marTop w:val="0"/>
              <w:marBottom w:val="0"/>
              <w:divBdr>
                <w:top w:val="none" w:sz="0" w:space="0" w:color="auto"/>
                <w:left w:val="none" w:sz="0" w:space="0" w:color="auto"/>
                <w:bottom w:val="none" w:sz="0" w:space="0" w:color="auto"/>
                <w:right w:val="none" w:sz="0" w:space="0" w:color="auto"/>
              </w:divBdr>
              <w:divsChild>
                <w:div w:id="48728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255816">
      <w:bodyDiv w:val="1"/>
      <w:marLeft w:val="0"/>
      <w:marRight w:val="0"/>
      <w:marTop w:val="0"/>
      <w:marBottom w:val="0"/>
      <w:divBdr>
        <w:top w:val="none" w:sz="0" w:space="0" w:color="auto"/>
        <w:left w:val="none" w:sz="0" w:space="0" w:color="auto"/>
        <w:bottom w:val="none" w:sz="0" w:space="0" w:color="auto"/>
        <w:right w:val="none" w:sz="0" w:space="0" w:color="auto"/>
      </w:divBdr>
    </w:div>
    <w:div w:id="1190871250">
      <w:bodyDiv w:val="1"/>
      <w:marLeft w:val="0"/>
      <w:marRight w:val="0"/>
      <w:marTop w:val="0"/>
      <w:marBottom w:val="0"/>
      <w:divBdr>
        <w:top w:val="none" w:sz="0" w:space="0" w:color="auto"/>
        <w:left w:val="none" w:sz="0" w:space="0" w:color="auto"/>
        <w:bottom w:val="none" w:sz="0" w:space="0" w:color="auto"/>
        <w:right w:val="none" w:sz="0" w:space="0" w:color="auto"/>
      </w:divBdr>
      <w:divsChild>
        <w:div w:id="1187787524">
          <w:marLeft w:val="0"/>
          <w:marRight w:val="0"/>
          <w:marTop w:val="0"/>
          <w:marBottom w:val="0"/>
          <w:divBdr>
            <w:top w:val="none" w:sz="0" w:space="0" w:color="auto"/>
            <w:left w:val="none" w:sz="0" w:space="0" w:color="auto"/>
            <w:bottom w:val="none" w:sz="0" w:space="0" w:color="auto"/>
            <w:right w:val="none" w:sz="0" w:space="0" w:color="auto"/>
          </w:divBdr>
          <w:divsChild>
            <w:div w:id="103696691">
              <w:marLeft w:val="0"/>
              <w:marRight w:val="0"/>
              <w:marTop w:val="0"/>
              <w:marBottom w:val="0"/>
              <w:divBdr>
                <w:top w:val="none" w:sz="0" w:space="0" w:color="auto"/>
                <w:left w:val="none" w:sz="0" w:space="0" w:color="auto"/>
                <w:bottom w:val="none" w:sz="0" w:space="0" w:color="auto"/>
                <w:right w:val="none" w:sz="0" w:space="0" w:color="auto"/>
              </w:divBdr>
              <w:divsChild>
                <w:div w:id="154614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231827">
      <w:bodyDiv w:val="1"/>
      <w:marLeft w:val="0"/>
      <w:marRight w:val="0"/>
      <w:marTop w:val="0"/>
      <w:marBottom w:val="0"/>
      <w:divBdr>
        <w:top w:val="none" w:sz="0" w:space="0" w:color="auto"/>
        <w:left w:val="none" w:sz="0" w:space="0" w:color="auto"/>
        <w:bottom w:val="none" w:sz="0" w:space="0" w:color="auto"/>
        <w:right w:val="none" w:sz="0" w:space="0" w:color="auto"/>
      </w:divBdr>
      <w:divsChild>
        <w:div w:id="123231040">
          <w:marLeft w:val="0"/>
          <w:marRight w:val="0"/>
          <w:marTop w:val="0"/>
          <w:marBottom w:val="0"/>
          <w:divBdr>
            <w:top w:val="none" w:sz="0" w:space="0" w:color="auto"/>
            <w:left w:val="none" w:sz="0" w:space="0" w:color="auto"/>
            <w:bottom w:val="none" w:sz="0" w:space="0" w:color="auto"/>
            <w:right w:val="none" w:sz="0" w:space="0" w:color="auto"/>
          </w:divBdr>
          <w:divsChild>
            <w:div w:id="1885671295">
              <w:marLeft w:val="0"/>
              <w:marRight w:val="0"/>
              <w:marTop w:val="0"/>
              <w:marBottom w:val="0"/>
              <w:divBdr>
                <w:top w:val="none" w:sz="0" w:space="0" w:color="auto"/>
                <w:left w:val="none" w:sz="0" w:space="0" w:color="auto"/>
                <w:bottom w:val="none" w:sz="0" w:space="0" w:color="auto"/>
                <w:right w:val="none" w:sz="0" w:space="0" w:color="auto"/>
              </w:divBdr>
              <w:divsChild>
                <w:div w:id="196693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224141">
      <w:bodyDiv w:val="1"/>
      <w:marLeft w:val="0"/>
      <w:marRight w:val="0"/>
      <w:marTop w:val="0"/>
      <w:marBottom w:val="0"/>
      <w:divBdr>
        <w:top w:val="none" w:sz="0" w:space="0" w:color="auto"/>
        <w:left w:val="none" w:sz="0" w:space="0" w:color="auto"/>
        <w:bottom w:val="none" w:sz="0" w:space="0" w:color="auto"/>
        <w:right w:val="none" w:sz="0" w:space="0" w:color="auto"/>
      </w:divBdr>
    </w:div>
    <w:div w:id="1645112790">
      <w:bodyDiv w:val="1"/>
      <w:marLeft w:val="0"/>
      <w:marRight w:val="0"/>
      <w:marTop w:val="0"/>
      <w:marBottom w:val="0"/>
      <w:divBdr>
        <w:top w:val="none" w:sz="0" w:space="0" w:color="auto"/>
        <w:left w:val="none" w:sz="0" w:space="0" w:color="auto"/>
        <w:bottom w:val="none" w:sz="0" w:space="0" w:color="auto"/>
        <w:right w:val="none" w:sz="0" w:space="0" w:color="auto"/>
      </w:divBdr>
    </w:div>
    <w:div w:id="1778063599">
      <w:bodyDiv w:val="1"/>
      <w:marLeft w:val="0"/>
      <w:marRight w:val="0"/>
      <w:marTop w:val="0"/>
      <w:marBottom w:val="0"/>
      <w:divBdr>
        <w:top w:val="none" w:sz="0" w:space="0" w:color="auto"/>
        <w:left w:val="none" w:sz="0" w:space="0" w:color="auto"/>
        <w:bottom w:val="none" w:sz="0" w:space="0" w:color="auto"/>
        <w:right w:val="none" w:sz="0" w:space="0" w:color="auto"/>
      </w:divBdr>
      <w:divsChild>
        <w:div w:id="56099382">
          <w:marLeft w:val="0"/>
          <w:marRight w:val="0"/>
          <w:marTop w:val="0"/>
          <w:marBottom w:val="0"/>
          <w:divBdr>
            <w:top w:val="none" w:sz="0" w:space="0" w:color="auto"/>
            <w:left w:val="none" w:sz="0" w:space="0" w:color="auto"/>
            <w:bottom w:val="none" w:sz="0" w:space="0" w:color="auto"/>
            <w:right w:val="none" w:sz="0" w:space="0" w:color="auto"/>
          </w:divBdr>
          <w:divsChild>
            <w:div w:id="469712947">
              <w:marLeft w:val="0"/>
              <w:marRight w:val="0"/>
              <w:marTop w:val="0"/>
              <w:marBottom w:val="0"/>
              <w:divBdr>
                <w:top w:val="none" w:sz="0" w:space="0" w:color="auto"/>
                <w:left w:val="none" w:sz="0" w:space="0" w:color="auto"/>
                <w:bottom w:val="none" w:sz="0" w:space="0" w:color="auto"/>
                <w:right w:val="none" w:sz="0" w:space="0" w:color="auto"/>
              </w:divBdr>
              <w:divsChild>
                <w:div w:id="171943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555489">
      <w:bodyDiv w:val="1"/>
      <w:marLeft w:val="0"/>
      <w:marRight w:val="0"/>
      <w:marTop w:val="0"/>
      <w:marBottom w:val="0"/>
      <w:divBdr>
        <w:top w:val="none" w:sz="0" w:space="0" w:color="auto"/>
        <w:left w:val="none" w:sz="0" w:space="0" w:color="auto"/>
        <w:bottom w:val="none" w:sz="0" w:space="0" w:color="auto"/>
        <w:right w:val="none" w:sz="0" w:space="0" w:color="auto"/>
      </w:divBdr>
    </w:div>
    <w:div w:id="2080860122">
      <w:bodyDiv w:val="1"/>
      <w:marLeft w:val="0"/>
      <w:marRight w:val="0"/>
      <w:marTop w:val="0"/>
      <w:marBottom w:val="0"/>
      <w:divBdr>
        <w:top w:val="none" w:sz="0" w:space="0" w:color="auto"/>
        <w:left w:val="none" w:sz="0" w:space="0" w:color="auto"/>
        <w:bottom w:val="none" w:sz="0" w:space="0" w:color="auto"/>
        <w:right w:val="none" w:sz="0" w:space="0" w:color="auto"/>
      </w:divBdr>
      <w:divsChild>
        <w:div w:id="1406604199">
          <w:marLeft w:val="0"/>
          <w:marRight w:val="0"/>
          <w:marTop w:val="0"/>
          <w:marBottom w:val="0"/>
          <w:divBdr>
            <w:top w:val="none" w:sz="0" w:space="0" w:color="auto"/>
            <w:left w:val="none" w:sz="0" w:space="0" w:color="auto"/>
            <w:bottom w:val="none" w:sz="0" w:space="0" w:color="auto"/>
            <w:right w:val="none" w:sz="0" w:space="0" w:color="auto"/>
          </w:divBdr>
          <w:divsChild>
            <w:div w:id="998774364">
              <w:marLeft w:val="0"/>
              <w:marRight w:val="0"/>
              <w:marTop w:val="0"/>
              <w:marBottom w:val="0"/>
              <w:divBdr>
                <w:top w:val="none" w:sz="0" w:space="0" w:color="auto"/>
                <w:left w:val="none" w:sz="0" w:space="0" w:color="auto"/>
                <w:bottom w:val="none" w:sz="0" w:space="0" w:color="auto"/>
                <w:right w:val="none" w:sz="0" w:space="0" w:color="auto"/>
              </w:divBdr>
              <w:divsChild>
                <w:div w:id="139254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019075">
      <w:bodyDiv w:val="1"/>
      <w:marLeft w:val="0"/>
      <w:marRight w:val="0"/>
      <w:marTop w:val="0"/>
      <w:marBottom w:val="0"/>
      <w:divBdr>
        <w:top w:val="none" w:sz="0" w:space="0" w:color="auto"/>
        <w:left w:val="none" w:sz="0" w:space="0" w:color="auto"/>
        <w:bottom w:val="none" w:sz="0" w:space="0" w:color="auto"/>
        <w:right w:val="none" w:sz="0" w:space="0" w:color="auto"/>
      </w:divBdr>
      <w:divsChild>
        <w:div w:id="750810250">
          <w:marLeft w:val="0"/>
          <w:marRight w:val="0"/>
          <w:marTop w:val="0"/>
          <w:marBottom w:val="0"/>
          <w:divBdr>
            <w:top w:val="none" w:sz="0" w:space="0" w:color="auto"/>
            <w:left w:val="none" w:sz="0" w:space="0" w:color="auto"/>
            <w:bottom w:val="none" w:sz="0" w:space="0" w:color="auto"/>
            <w:right w:val="none" w:sz="0" w:space="0" w:color="auto"/>
          </w:divBdr>
          <w:divsChild>
            <w:div w:id="694841279">
              <w:marLeft w:val="0"/>
              <w:marRight w:val="0"/>
              <w:marTop w:val="0"/>
              <w:marBottom w:val="0"/>
              <w:divBdr>
                <w:top w:val="none" w:sz="0" w:space="0" w:color="auto"/>
                <w:left w:val="none" w:sz="0" w:space="0" w:color="auto"/>
                <w:bottom w:val="none" w:sz="0" w:space="0" w:color="auto"/>
                <w:right w:val="none" w:sz="0" w:space="0" w:color="auto"/>
              </w:divBdr>
              <w:divsChild>
                <w:div w:id="557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o.uk/sustainability/our-strategy-targets/" TargetMode="External"/><Relationship Id="rId13" Type="http://schemas.openxmlformats.org/officeDocument/2006/relationships/hyperlink" Target="https://www.unwto.org" TargetMode="External"/><Relationship Id="rId3" Type="http://schemas.openxmlformats.org/officeDocument/2006/relationships/styles" Target="styles.xml"/><Relationship Id="rId7" Type="http://schemas.openxmlformats.org/officeDocument/2006/relationships/hyperlink" Target="https://cdn.whitbread.co.uk/media/2024/05/" TargetMode="External"/><Relationship Id="rId12" Type="http://schemas.openxmlformats.org/officeDocument/2006/relationships/hyperlink" Target="https://www.whitbread.co.uk/sustainabilit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sitecore-cd.shangri-la.com/-/media/Project/Shangri-La-Group/Investor/Files/Public-Disclosures/Latest-Top-Publications" TargetMode="External"/><Relationship Id="rId11" Type="http://schemas.openxmlformats.org/officeDocument/2006/relationships/hyperlink" Target="https://www.unwto.org/news/international-tourism-to-reach-pre-pandemic-levels-in-2024" TargetMode="External"/><Relationship Id="rId5" Type="http://schemas.openxmlformats.org/officeDocument/2006/relationships/webSettings" Target="webSettings.xml"/><Relationship Id="rId15" Type="http://schemas.openxmlformats.org/officeDocument/2006/relationships/hyperlink" Target="https://www.whitbread.co.uk/media/?_categories=community" TargetMode="External"/><Relationship Id="rId10" Type="http://schemas.openxmlformats.org/officeDocument/2006/relationships/hyperlink" Target="https://www.shangri-la.com/group/media/media_post?post" TargetMode="External"/><Relationship Id="rId4" Type="http://schemas.openxmlformats.org/officeDocument/2006/relationships/settings" Target="settings.xml"/><Relationship Id="rId9" Type="http://schemas.openxmlformats.org/officeDocument/2006/relationships/hyperlink" Target="https://www.shangri-la.com/group/sustainability/" TargetMode="External"/><Relationship Id="rId14" Type="http://schemas.openxmlformats.org/officeDocument/2006/relationships/hyperlink" Target="https://www.marketresearch.com/Quaintel-Research-v4272/Shangri-La-International-Hotel-Management-372545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D42BC1-D692-214C-9ACA-374B6CE60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781</TotalTime>
  <Pages>11</Pages>
  <Words>2788</Words>
  <Characters>15894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Setalsingh</dc:creator>
  <cp:keywords/>
  <dc:description/>
  <cp:lastModifiedBy>Christopher Setalsingh</cp:lastModifiedBy>
  <cp:revision>8</cp:revision>
  <dcterms:created xsi:type="dcterms:W3CDTF">2024-10-13T17:51:00Z</dcterms:created>
  <dcterms:modified xsi:type="dcterms:W3CDTF">2024-10-18T18:49:00Z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27f4981fb212fea6ac99118adcbbf5e8e198fe809daf93281c5fcd5f1ac6e813</vt:lpwstr>
  </property>
</Properties>
</file>