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A623B" w14:textId="34785E17" w:rsidR="001E3A83" w:rsidRPr="00BC747D" w:rsidRDefault="009D4244" w:rsidP="00BC747D">
      <w:pPr>
        <w:spacing w:line="360" w:lineRule="auto"/>
        <w:rPr>
          <w:rFonts w:ascii="Arial" w:hAnsi="Arial" w:cs="Arial"/>
        </w:rPr>
      </w:pPr>
      <w:r w:rsidRPr="00BC747D">
        <w:rPr>
          <w:rFonts w:ascii="Arial" w:hAnsi="Arial" w:cs="Arial"/>
          <w:noProof/>
        </w:rPr>
        <w:drawing>
          <wp:inline distT="0" distB="0" distL="0" distR="0" wp14:anchorId="33EE23B0" wp14:editId="37D2FE73">
            <wp:extent cx="1813560" cy="723900"/>
            <wp:effectExtent l="0" t="0" r="0" b="0"/>
            <wp:docPr id="1231046590"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14:paraId="0BEDC853" w14:textId="207E5BBC" w:rsidR="009D4244" w:rsidRPr="00BC747D" w:rsidRDefault="009D4244" w:rsidP="00BC747D">
      <w:pPr>
        <w:spacing w:line="360" w:lineRule="auto"/>
        <w:jc w:val="center"/>
        <w:rPr>
          <w:rFonts w:ascii="Arial" w:hAnsi="Arial" w:cs="Arial"/>
          <w:b/>
          <w:bCs/>
          <w:sz w:val="36"/>
          <w:szCs w:val="36"/>
        </w:rPr>
      </w:pPr>
      <w:r w:rsidRPr="00BC747D">
        <w:rPr>
          <w:rFonts w:ascii="Arial" w:hAnsi="Arial" w:cs="Arial"/>
          <w:b/>
          <w:bCs/>
          <w:sz w:val="36"/>
          <w:szCs w:val="36"/>
        </w:rPr>
        <w:t>Programme: Master of Business Administration</w:t>
      </w:r>
    </w:p>
    <w:p w14:paraId="2B27FBE2" w14:textId="2A91FEE2" w:rsidR="009D4244" w:rsidRPr="00BC747D" w:rsidRDefault="009D4244" w:rsidP="00BC747D">
      <w:pPr>
        <w:spacing w:line="360" w:lineRule="auto"/>
        <w:jc w:val="center"/>
        <w:rPr>
          <w:rFonts w:ascii="Arial" w:hAnsi="Arial" w:cs="Arial"/>
          <w:b/>
          <w:bCs/>
          <w:sz w:val="36"/>
          <w:szCs w:val="36"/>
        </w:rPr>
      </w:pPr>
      <w:r w:rsidRPr="00BC747D">
        <w:rPr>
          <w:rFonts w:ascii="Arial" w:hAnsi="Arial" w:cs="Arial"/>
          <w:b/>
          <w:bCs/>
          <w:sz w:val="36"/>
          <w:szCs w:val="36"/>
        </w:rPr>
        <w:t>Module: Marketing Management</w:t>
      </w:r>
    </w:p>
    <w:p w14:paraId="6A927ADE" w14:textId="1E225FE1" w:rsidR="009D4244" w:rsidRPr="00BC747D" w:rsidRDefault="009D4244" w:rsidP="00BC747D">
      <w:pPr>
        <w:spacing w:line="360" w:lineRule="auto"/>
        <w:jc w:val="center"/>
        <w:rPr>
          <w:rFonts w:ascii="Arial" w:hAnsi="Arial" w:cs="Arial"/>
          <w:b/>
          <w:bCs/>
          <w:sz w:val="36"/>
          <w:szCs w:val="36"/>
        </w:rPr>
      </w:pPr>
      <w:r w:rsidRPr="00BC747D">
        <w:rPr>
          <w:rFonts w:ascii="Arial" w:hAnsi="Arial" w:cs="Arial"/>
          <w:b/>
          <w:bCs/>
          <w:sz w:val="36"/>
          <w:szCs w:val="36"/>
        </w:rPr>
        <w:t>Module Code: LCMB7024</w:t>
      </w:r>
    </w:p>
    <w:p w14:paraId="4CCA996C" w14:textId="46224412" w:rsidR="009D4244" w:rsidRPr="00BC747D" w:rsidRDefault="009D4244" w:rsidP="00BC747D">
      <w:pPr>
        <w:spacing w:line="360" w:lineRule="auto"/>
        <w:jc w:val="center"/>
        <w:rPr>
          <w:rFonts w:ascii="Arial" w:hAnsi="Arial" w:cs="Arial"/>
          <w:b/>
          <w:bCs/>
          <w:sz w:val="36"/>
          <w:szCs w:val="36"/>
        </w:rPr>
      </w:pPr>
      <w:r w:rsidRPr="00BC747D">
        <w:rPr>
          <w:rFonts w:ascii="Arial" w:hAnsi="Arial" w:cs="Arial"/>
          <w:b/>
          <w:bCs/>
          <w:sz w:val="36"/>
          <w:szCs w:val="36"/>
        </w:rPr>
        <w:t>Assignment Title: Marketing Environment Analysis</w:t>
      </w:r>
    </w:p>
    <w:p w14:paraId="1C9E5E1F" w14:textId="3DEBF7CC" w:rsidR="00EF731E" w:rsidRPr="00BC747D" w:rsidRDefault="00EF731E" w:rsidP="00BC747D">
      <w:pPr>
        <w:spacing w:line="360" w:lineRule="auto"/>
        <w:jc w:val="center"/>
        <w:rPr>
          <w:rFonts w:ascii="Arial" w:hAnsi="Arial" w:cs="Arial"/>
          <w:b/>
          <w:bCs/>
          <w:sz w:val="36"/>
          <w:szCs w:val="36"/>
        </w:rPr>
      </w:pPr>
      <w:r w:rsidRPr="00BC747D">
        <w:rPr>
          <w:rFonts w:ascii="Arial" w:hAnsi="Arial" w:cs="Arial"/>
          <w:b/>
          <w:bCs/>
          <w:sz w:val="36"/>
          <w:szCs w:val="36"/>
        </w:rPr>
        <w:t>Lecturer: Laila Maazouz, Taonga Kaonga, Sobere-Snithers</w:t>
      </w:r>
    </w:p>
    <w:p w14:paraId="2B0C85C6" w14:textId="77777777" w:rsidR="00BC747D" w:rsidRDefault="00BC747D" w:rsidP="00BC747D">
      <w:pPr>
        <w:spacing w:line="360" w:lineRule="auto"/>
        <w:jc w:val="center"/>
        <w:rPr>
          <w:rFonts w:ascii="Arial" w:hAnsi="Arial" w:cs="Arial"/>
          <w:b/>
          <w:bCs/>
          <w:sz w:val="36"/>
          <w:szCs w:val="36"/>
        </w:rPr>
      </w:pPr>
    </w:p>
    <w:p w14:paraId="5579D3DE" w14:textId="366A675F" w:rsidR="009D4244" w:rsidRPr="00BC747D" w:rsidRDefault="009D4244" w:rsidP="00BC747D">
      <w:pPr>
        <w:spacing w:line="360" w:lineRule="auto"/>
        <w:jc w:val="center"/>
        <w:rPr>
          <w:rFonts w:ascii="Arial" w:hAnsi="Arial" w:cs="Arial"/>
          <w:b/>
          <w:bCs/>
          <w:sz w:val="36"/>
          <w:szCs w:val="36"/>
        </w:rPr>
      </w:pPr>
      <w:r w:rsidRPr="00BC747D">
        <w:rPr>
          <w:rFonts w:ascii="Arial" w:hAnsi="Arial" w:cs="Arial"/>
          <w:b/>
          <w:bCs/>
          <w:sz w:val="36"/>
          <w:szCs w:val="36"/>
        </w:rPr>
        <w:t xml:space="preserve">Chosen Company: BHP </w:t>
      </w:r>
      <w:r w:rsidR="004C4385" w:rsidRPr="00BC747D">
        <w:rPr>
          <w:rFonts w:ascii="Arial" w:hAnsi="Arial" w:cs="Arial"/>
          <w:b/>
          <w:bCs/>
          <w:sz w:val="36"/>
          <w:szCs w:val="36"/>
        </w:rPr>
        <w:t xml:space="preserve">Group  Ltd </w:t>
      </w:r>
      <w:r w:rsidRPr="00BC747D">
        <w:rPr>
          <w:rFonts w:ascii="Arial" w:hAnsi="Arial" w:cs="Arial"/>
          <w:b/>
          <w:bCs/>
          <w:sz w:val="36"/>
          <w:szCs w:val="36"/>
        </w:rPr>
        <w:t>(Australia)</w:t>
      </w:r>
    </w:p>
    <w:p w14:paraId="7F2B335C" w14:textId="208E22D4" w:rsidR="00EF731E" w:rsidRPr="00BC747D" w:rsidRDefault="00EF731E" w:rsidP="00BC747D">
      <w:pPr>
        <w:spacing w:line="360" w:lineRule="auto"/>
        <w:jc w:val="center"/>
        <w:rPr>
          <w:rFonts w:ascii="Arial" w:hAnsi="Arial" w:cs="Arial"/>
          <w:b/>
          <w:bCs/>
          <w:sz w:val="36"/>
          <w:szCs w:val="36"/>
        </w:rPr>
      </w:pPr>
      <w:r w:rsidRPr="00BC747D">
        <w:rPr>
          <w:rFonts w:ascii="Arial" w:hAnsi="Arial" w:cs="Arial"/>
          <w:b/>
          <w:bCs/>
          <w:sz w:val="36"/>
          <w:szCs w:val="36"/>
        </w:rPr>
        <w:t>Word Count:</w:t>
      </w:r>
    </w:p>
    <w:p w14:paraId="6E51FA14" w14:textId="07DAF111" w:rsidR="00EF731E" w:rsidRPr="00BC747D" w:rsidRDefault="00EF731E" w:rsidP="00BC747D">
      <w:pPr>
        <w:spacing w:line="360" w:lineRule="auto"/>
        <w:jc w:val="center"/>
        <w:rPr>
          <w:rFonts w:ascii="Arial" w:hAnsi="Arial" w:cs="Arial"/>
          <w:b/>
          <w:bCs/>
          <w:sz w:val="36"/>
          <w:szCs w:val="36"/>
        </w:rPr>
      </w:pPr>
      <w:r w:rsidRPr="00BC747D">
        <w:rPr>
          <w:rFonts w:ascii="Arial" w:hAnsi="Arial" w:cs="Arial"/>
          <w:b/>
          <w:bCs/>
          <w:sz w:val="36"/>
          <w:szCs w:val="36"/>
        </w:rPr>
        <w:t>Submission Date:</w:t>
      </w:r>
    </w:p>
    <w:p w14:paraId="03C4F7FD" w14:textId="77777777" w:rsidR="00BC747D" w:rsidRDefault="00BC747D" w:rsidP="00BC747D">
      <w:pPr>
        <w:spacing w:line="360" w:lineRule="auto"/>
        <w:jc w:val="center"/>
        <w:rPr>
          <w:rFonts w:ascii="Arial" w:hAnsi="Arial" w:cs="Arial"/>
          <w:b/>
          <w:bCs/>
          <w:sz w:val="32"/>
          <w:szCs w:val="32"/>
        </w:rPr>
      </w:pPr>
    </w:p>
    <w:p w14:paraId="5E5A8354" w14:textId="02009A98" w:rsidR="009D4244" w:rsidRPr="00BC747D" w:rsidRDefault="009D4244" w:rsidP="00BC747D">
      <w:pPr>
        <w:spacing w:line="360" w:lineRule="auto"/>
        <w:jc w:val="center"/>
        <w:rPr>
          <w:rFonts w:ascii="Arial" w:hAnsi="Arial" w:cs="Arial"/>
          <w:b/>
          <w:bCs/>
          <w:sz w:val="32"/>
          <w:szCs w:val="32"/>
        </w:rPr>
      </w:pPr>
      <w:r w:rsidRPr="00BC747D">
        <w:rPr>
          <w:rFonts w:ascii="Arial" w:hAnsi="Arial" w:cs="Arial"/>
          <w:b/>
          <w:bCs/>
          <w:sz w:val="32"/>
          <w:szCs w:val="32"/>
        </w:rPr>
        <w:t>Student Name:</w:t>
      </w:r>
      <w:r w:rsidR="00721115">
        <w:rPr>
          <w:rFonts w:ascii="Arial" w:hAnsi="Arial" w:cs="Arial"/>
          <w:b/>
          <w:bCs/>
          <w:sz w:val="32"/>
          <w:szCs w:val="32"/>
        </w:rPr>
        <w:t>Sohil Qamran</w:t>
      </w:r>
    </w:p>
    <w:p w14:paraId="7BDC926F" w14:textId="7C4B73F5" w:rsidR="009D4244" w:rsidRPr="00BC747D" w:rsidRDefault="009D4244" w:rsidP="00BC747D">
      <w:pPr>
        <w:spacing w:line="360" w:lineRule="auto"/>
        <w:jc w:val="center"/>
        <w:rPr>
          <w:rFonts w:ascii="Arial" w:hAnsi="Arial" w:cs="Arial"/>
          <w:b/>
          <w:bCs/>
          <w:sz w:val="32"/>
          <w:szCs w:val="32"/>
        </w:rPr>
      </w:pPr>
      <w:r w:rsidRPr="00BC747D">
        <w:rPr>
          <w:rFonts w:ascii="Arial" w:hAnsi="Arial" w:cs="Arial"/>
          <w:b/>
          <w:bCs/>
          <w:sz w:val="32"/>
          <w:szCs w:val="32"/>
        </w:rPr>
        <w:t>Student ID:</w:t>
      </w:r>
      <w:r w:rsidR="00721115">
        <w:rPr>
          <w:rFonts w:ascii="Arial" w:hAnsi="Arial" w:cs="Arial"/>
          <w:b/>
          <w:bCs/>
          <w:sz w:val="32"/>
          <w:szCs w:val="32"/>
        </w:rPr>
        <w:t>2534038</w:t>
      </w:r>
    </w:p>
    <w:p w14:paraId="429384AA" w14:textId="77777777" w:rsidR="009D4244" w:rsidRPr="00BC747D" w:rsidRDefault="009D4244" w:rsidP="00BC747D">
      <w:pPr>
        <w:spacing w:line="360" w:lineRule="auto"/>
        <w:rPr>
          <w:rFonts w:ascii="Arial" w:hAnsi="Arial" w:cs="Arial"/>
        </w:rPr>
      </w:pPr>
      <w:r w:rsidRPr="00BC747D">
        <w:rPr>
          <w:rFonts w:ascii="Arial" w:hAnsi="Arial" w:cs="Arial"/>
        </w:rPr>
        <w:br w:type="page"/>
      </w:r>
    </w:p>
    <w:sdt>
      <w:sdtPr>
        <w:rPr>
          <w:rFonts w:ascii="Arial" w:eastAsiaTheme="minorHAnsi" w:hAnsi="Arial" w:cs="Arial"/>
          <w:b w:val="0"/>
          <w:kern w:val="2"/>
          <w:sz w:val="24"/>
          <w:szCs w:val="24"/>
          <w:lang w:val="en-IN"/>
          <w14:ligatures w14:val="standardContextual"/>
        </w:rPr>
        <w:id w:val="1563446998"/>
        <w:docPartObj>
          <w:docPartGallery w:val="Table of Contents"/>
          <w:docPartUnique/>
        </w:docPartObj>
      </w:sdtPr>
      <w:sdtEndPr>
        <w:rPr>
          <w:bCs/>
          <w:noProof/>
        </w:rPr>
      </w:sdtEndPr>
      <w:sdtContent>
        <w:p w14:paraId="6552BADC" w14:textId="7FFD2C46" w:rsidR="00BC747D" w:rsidRPr="00BC747D" w:rsidRDefault="00BC747D" w:rsidP="00BC747D">
          <w:pPr>
            <w:pStyle w:val="TOCHeading"/>
            <w:spacing w:line="360" w:lineRule="auto"/>
            <w:jc w:val="left"/>
            <w:rPr>
              <w:rFonts w:ascii="Arial" w:hAnsi="Arial" w:cs="Arial"/>
              <w:sz w:val="24"/>
              <w:szCs w:val="24"/>
            </w:rPr>
          </w:pPr>
          <w:r w:rsidRPr="00BC747D">
            <w:rPr>
              <w:rFonts w:ascii="Arial" w:hAnsi="Arial" w:cs="Arial"/>
              <w:sz w:val="24"/>
              <w:szCs w:val="24"/>
            </w:rPr>
            <w:t>Table of Contents</w:t>
          </w:r>
        </w:p>
        <w:p w14:paraId="1C75FD29" w14:textId="534BF319" w:rsidR="00BC747D" w:rsidRPr="00BC747D" w:rsidRDefault="00BC747D" w:rsidP="00BC747D">
          <w:pPr>
            <w:pStyle w:val="TOC1"/>
            <w:tabs>
              <w:tab w:val="right" w:leader="dot" w:pos="9016"/>
            </w:tabs>
            <w:spacing w:line="360" w:lineRule="auto"/>
            <w:jc w:val="left"/>
            <w:rPr>
              <w:rFonts w:ascii="Arial" w:eastAsiaTheme="minorEastAsia" w:hAnsi="Arial" w:cs="Arial"/>
              <w:noProof/>
              <w:lang w:eastAsia="en-IN"/>
            </w:rPr>
          </w:pPr>
          <w:r w:rsidRPr="00BC747D">
            <w:rPr>
              <w:rFonts w:ascii="Arial" w:hAnsi="Arial" w:cs="Arial"/>
            </w:rPr>
            <w:fldChar w:fldCharType="begin"/>
          </w:r>
          <w:r w:rsidRPr="00BC747D">
            <w:rPr>
              <w:rFonts w:ascii="Arial" w:hAnsi="Arial" w:cs="Arial"/>
            </w:rPr>
            <w:instrText xml:space="preserve"> TOC \o "1-3" \h \z \u </w:instrText>
          </w:r>
          <w:r w:rsidRPr="00BC747D">
            <w:rPr>
              <w:rFonts w:ascii="Arial" w:hAnsi="Arial" w:cs="Arial"/>
            </w:rPr>
            <w:fldChar w:fldCharType="separate"/>
          </w:r>
          <w:hyperlink w:anchor="_Toc233230638" w:history="1">
            <w:r w:rsidRPr="00BC747D">
              <w:rPr>
                <w:rStyle w:val="Hyperlink"/>
                <w:rFonts w:ascii="Arial" w:hAnsi="Arial" w:cs="Arial"/>
                <w:noProof/>
              </w:rPr>
              <w:t>Task 1: Marketing Environment Analysis</w:t>
            </w:r>
            <w:r w:rsidRPr="00BC747D">
              <w:rPr>
                <w:rFonts w:ascii="Arial" w:hAnsi="Arial" w:cs="Arial"/>
                <w:noProof/>
                <w:webHidden/>
              </w:rPr>
              <w:tab/>
            </w:r>
            <w:r w:rsidRPr="00BC747D">
              <w:rPr>
                <w:rFonts w:ascii="Arial" w:hAnsi="Arial" w:cs="Arial"/>
                <w:noProof/>
                <w:webHidden/>
              </w:rPr>
              <w:fldChar w:fldCharType="begin"/>
            </w:r>
            <w:r w:rsidRPr="00BC747D">
              <w:rPr>
                <w:rFonts w:ascii="Arial" w:hAnsi="Arial" w:cs="Arial"/>
                <w:noProof/>
                <w:webHidden/>
              </w:rPr>
              <w:instrText xml:space="preserve"> PAGEREF _Toc233230638 \h </w:instrText>
            </w:r>
            <w:r w:rsidRPr="00BC747D">
              <w:rPr>
                <w:rFonts w:ascii="Arial" w:hAnsi="Arial" w:cs="Arial"/>
                <w:noProof/>
                <w:webHidden/>
              </w:rPr>
            </w:r>
            <w:r w:rsidRPr="00BC747D">
              <w:rPr>
                <w:rFonts w:ascii="Arial" w:hAnsi="Arial" w:cs="Arial"/>
                <w:noProof/>
                <w:webHidden/>
              </w:rPr>
              <w:fldChar w:fldCharType="separate"/>
            </w:r>
            <w:r w:rsidRPr="00BC747D">
              <w:rPr>
                <w:rFonts w:ascii="Arial" w:hAnsi="Arial" w:cs="Arial"/>
                <w:noProof/>
                <w:webHidden/>
              </w:rPr>
              <w:t>3</w:t>
            </w:r>
            <w:r w:rsidRPr="00BC747D">
              <w:rPr>
                <w:rFonts w:ascii="Arial" w:hAnsi="Arial" w:cs="Arial"/>
                <w:noProof/>
                <w:webHidden/>
              </w:rPr>
              <w:fldChar w:fldCharType="end"/>
            </w:r>
          </w:hyperlink>
        </w:p>
        <w:p w14:paraId="757DDC7E" w14:textId="2D09AFD2" w:rsidR="00BC747D" w:rsidRPr="00BC747D" w:rsidRDefault="00000000" w:rsidP="00BC747D">
          <w:pPr>
            <w:pStyle w:val="TOC2"/>
            <w:tabs>
              <w:tab w:val="right" w:leader="dot" w:pos="9016"/>
            </w:tabs>
            <w:spacing w:line="360" w:lineRule="auto"/>
            <w:jc w:val="left"/>
            <w:rPr>
              <w:rFonts w:ascii="Arial" w:eastAsiaTheme="minorEastAsia" w:hAnsi="Arial" w:cs="Arial"/>
              <w:noProof/>
              <w:lang w:eastAsia="en-IN"/>
            </w:rPr>
          </w:pPr>
          <w:hyperlink w:anchor="_Toc233230639" w:history="1">
            <w:r w:rsidR="00BC747D" w:rsidRPr="00BC747D">
              <w:rPr>
                <w:rStyle w:val="Hyperlink"/>
                <w:rFonts w:ascii="Arial" w:hAnsi="Arial" w:cs="Arial"/>
                <w:noProof/>
              </w:rPr>
              <w:t>Core marketing framework (Kotler)</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_Toc233230639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3</w:t>
            </w:r>
            <w:r w:rsidR="00BC747D" w:rsidRPr="00BC747D">
              <w:rPr>
                <w:rFonts w:ascii="Arial" w:hAnsi="Arial" w:cs="Arial"/>
                <w:noProof/>
                <w:webHidden/>
              </w:rPr>
              <w:fldChar w:fldCharType="end"/>
            </w:r>
          </w:hyperlink>
        </w:p>
        <w:p w14:paraId="7880BC5D" w14:textId="21393F44" w:rsidR="00BC747D" w:rsidRPr="00BC747D" w:rsidRDefault="00000000" w:rsidP="00BC747D">
          <w:pPr>
            <w:pStyle w:val="TOC2"/>
            <w:tabs>
              <w:tab w:val="right" w:leader="dot" w:pos="9016"/>
            </w:tabs>
            <w:spacing w:line="360" w:lineRule="auto"/>
            <w:jc w:val="left"/>
            <w:rPr>
              <w:rFonts w:ascii="Arial" w:eastAsiaTheme="minorEastAsia" w:hAnsi="Arial" w:cs="Arial"/>
              <w:noProof/>
              <w:lang w:eastAsia="en-IN"/>
            </w:rPr>
          </w:pPr>
          <w:hyperlink w:anchor="_Toc233230640" w:history="1">
            <w:r w:rsidR="00BC747D" w:rsidRPr="00BC747D">
              <w:rPr>
                <w:rStyle w:val="Hyperlink"/>
                <w:rFonts w:ascii="Arial" w:hAnsi="Arial" w:cs="Arial"/>
                <w:noProof/>
              </w:rPr>
              <w:t>Nature Environment Actor</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_Toc233230640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3</w:t>
            </w:r>
            <w:r w:rsidR="00BC747D" w:rsidRPr="00BC747D">
              <w:rPr>
                <w:rFonts w:ascii="Arial" w:hAnsi="Arial" w:cs="Arial"/>
                <w:noProof/>
                <w:webHidden/>
              </w:rPr>
              <w:fldChar w:fldCharType="end"/>
            </w:r>
          </w:hyperlink>
        </w:p>
        <w:p w14:paraId="7DC73FE1" w14:textId="3746CC9E" w:rsidR="00BC747D" w:rsidRPr="00BC747D" w:rsidRDefault="00000000" w:rsidP="00BC747D">
          <w:pPr>
            <w:pStyle w:val="TOC3"/>
            <w:tabs>
              <w:tab w:val="right" w:leader="dot" w:pos="9016"/>
            </w:tabs>
            <w:spacing w:line="360" w:lineRule="auto"/>
            <w:jc w:val="left"/>
            <w:rPr>
              <w:rFonts w:ascii="Arial" w:eastAsiaTheme="minorEastAsia" w:hAnsi="Arial" w:cs="Arial"/>
              <w:noProof/>
              <w:lang w:eastAsia="en-IN"/>
            </w:rPr>
          </w:pPr>
          <w:hyperlink w:anchor="_Toc233230641" w:history="1">
            <w:r w:rsidR="00BC747D" w:rsidRPr="00BC747D">
              <w:rPr>
                <w:rStyle w:val="Hyperlink"/>
                <w:rFonts w:ascii="Arial" w:hAnsi="Arial" w:cs="Arial"/>
                <w:noProof/>
              </w:rPr>
              <w:t>Portfolio realignment and future-facing commodities</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_Toc233230641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3</w:t>
            </w:r>
            <w:r w:rsidR="00BC747D" w:rsidRPr="00BC747D">
              <w:rPr>
                <w:rFonts w:ascii="Arial" w:hAnsi="Arial" w:cs="Arial"/>
                <w:noProof/>
                <w:webHidden/>
              </w:rPr>
              <w:fldChar w:fldCharType="end"/>
            </w:r>
          </w:hyperlink>
        </w:p>
        <w:p w14:paraId="5FEAA3EE" w14:textId="4382E23A" w:rsidR="00BC747D" w:rsidRPr="00BC747D" w:rsidRDefault="00000000" w:rsidP="00BC747D">
          <w:pPr>
            <w:pStyle w:val="TOC3"/>
            <w:tabs>
              <w:tab w:val="right" w:leader="dot" w:pos="9016"/>
            </w:tabs>
            <w:spacing w:line="360" w:lineRule="auto"/>
            <w:jc w:val="left"/>
            <w:rPr>
              <w:rFonts w:ascii="Arial" w:eastAsiaTheme="minorEastAsia" w:hAnsi="Arial" w:cs="Arial"/>
              <w:noProof/>
              <w:lang w:eastAsia="en-IN"/>
            </w:rPr>
          </w:pPr>
          <w:hyperlink w:anchor="_Toc233230642" w:history="1">
            <w:r w:rsidR="00BC747D" w:rsidRPr="00BC747D">
              <w:rPr>
                <w:rStyle w:val="Hyperlink"/>
                <w:rFonts w:ascii="Arial" w:hAnsi="Arial" w:cs="Arial"/>
                <w:noProof/>
              </w:rPr>
              <w:t>The downstream value chain and scope 3 challenge</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_Toc233230642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4</w:t>
            </w:r>
            <w:r w:rsidR="00BC747D" w:rsidRPr="00BC747D">
              <w:rPr>
                <w:rFonts w:ascii="Arial" w:hAnsi="Arial" w:cs="Arial"/>
                <w:noProof/>
                <w:webHidden/>
              </w:rPr>
              <w:fldChar w:fldCharType="end"/>
            </w:r>
          </w:hyperlink>
        </w:p>
        <w:p w14:paraId="479FD1C7" w14:textId="6624C46B" w:rsidR="00BC747D" w:rsidRPr="00BC747D" w:rsidRDefault="00000000" w:rsidP="00BC747D">
          <w:pPr>
            <w:pStyle w:val="TOC2"/>
            <w:tabs>
              <w:tab w:val="right" w:leader="dot" w:pos="9016"/>
            </w:tabs>
            <w:spacing w:line="360" w:lineRule="auto"/>
            <w:jc w:val="left"/>
            <w:rPr>
              <w:rFonts w:ascii="Arial" w:eastAsiaTheme="minorEastAsia" w:hAnsi="Arial" w:cs="Arial"/>
              <w:noProof/>
              <w:lang w:eastAsia="en-IN"/>
            </w:rPr>
          </w:pPr>
          <w:hyperlink w:anchor="_Toc233230643" w:history="1">
            <w:r w:rsidR="00BC747D" w:rsidRPr="00BC747D">
              <w:rPr>
                <w:rStyle w:val="Hyperlink"/>
                <w:rFonts w:ascii="Arial" w:hAnsi="Arial" w:cs="Arial"/>
                <w:noProof/>
              </w:rPr>
              <w:t>Political and legal environmental actor</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_Toc233230643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5</w:t>
            </w:r>
            <w:r w:rsidR="00BC747D" w:rsidRPr="00BC747D">
              <w:rPr>
                <w:rFonts w:ascii="Arial" w:hAnsi="Arial" w:cs="Arial"/>
                <w:noProof/>
                <w:webHidden/>
              </w:rPr>
              <w:fldChar w:fldCharType="end"/>
            </w:r>
          </w:hyperlink>
        </w:p>
        <w:p w14:paraId="593FA3D8" w14:textId="525F4ECE" w:rsidR="00BC747D" w:rsidRPr="00BC747D" w:rsidRDefault="00000000" w:rsidP="00BC747D">
          <w:pPr>
            <w:pStyle w:val="TOC3"/>
            <w:tabs>
              <w:tab w:val="right" w:leader="dot" w:pos="9016"/>
            </w:tabs>
            <w:spacing w:line="360" w:lineRule="auto"/>
            <w:jc w:val="left"/>
            <w:rPr>
              <w:rFonts w:ascii="Arial" w:eastAsiaTheme="minorEastAsia" w:hAnsi="Arial" w:cs="Arial"/>
              <w:noProof/>
              <w:lang w:eastAsia="en-IN"/>
            </w:rPr>
          </w:pPr>
          <w:hyperlink w:anchor="_Toc233230644" w:history="1">
            <w:r w:rsidR="00BC747D" w:rsidRPr="00BC747D">
              <w:rPr>
                <w:rStyle w:val="Hyperlink"/>
                <w:rFonts w:ascii="Arial" w:hAnsi="Arial" w:cs="Arial"/>
                <w:noProof/>
              </w:rPr>
              <w:t>Domestic mandates: Australia's safeguard mechanism</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_Toc233230644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5</w:t>
            </w:r>
            <w:r w:rsidR="00BC747D" w:rsidRPr="00BC747D">
              <w:rPr>
                <w:rFonts w:ascii="Arial" w:hAnsi="Arial" w:cs="Arial"/>
                <w:noProof/>
                <w:webHidden/>
              </w:rPr>
              <w:fldChar w:fldCharType="end"/>
            </w:r>
          </w:hyperlink>
        </w:p>
        <w:p w14:paraId="797D8C87" w14:textId="33D6C81B" w:rsidR="00BC747D" w:rsidRPr="00BC747D" w:rsidRDefault="00000000" w:rsidP="00BC747D">
          <w:pPr>
            <w:pStyle w:val="TOC1"/>
            <w:tabs>
              <w:tab w:val="right" w:leader="dot" w:pos="9016"/>
            </w:tabs>
            <w:spacing w:line="360" w:lineRule="auto"/>
            <w:jc w:val="left"/>
            <w:rPr>
              <w:rFonts w:ascii="Arial" w:eastAsiaTheme="minorEastAsia" w:hAnsi="Arial" w:cs="Arial"/>
              <w:noProof/>
              <w:lang w:eastAsia="en-IN"/>
            </w:rPr>
          </w:pPr>
          <w:hyperlink w:anchor="_Toc233230645" w:history="1">
            <w:r w:rsidR="00BC747D" w:rsidRPr="00BC747D">
              <w:rPr>
                <w:rStyle w:val="Hyperlink"/>
                <w:rFonts w:ascii="Arial" w:hAnsi="Arial" w:cs="Arial"/>
                <w:noProof/>
              </w:rPr>
              <w:t>Task 2: Strategic Growth and Competitive Positioning</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_Toc233230645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7</w:t>
            </w:r>
            <w:r w:rsidR="00BC747D" w:rsidRPr="00BC747D">
              <w:rPr>
                <w:rFonts w:ascii="Arial" w:hAnsi="Arial" w:cs="Arial"/>
                <w:noProof/>
                <w:webHidden/>
              </w:rPr>
              <w:fldChar w:fldCharType="end"/>
            </w:r>
          </w:hyperlink>
        </w:p>
        <w:p w14:paraId="608508EF" w14:textId="6DB4C071" w:rsidR="00BC747D" w:rsidRPr="00BC747D" w:rsidRDefault="00000000" w:rsidP="00BC747D">
          <w:pPr>
            <w:pStyle w:val="TOC2"/>
            <w:tabs>
              <w:tab w:val="right" w:leader="dot" w:pos="9016"/>
            </w:tabs>
            <w:spacing w:line="360" w:lineRule="auto"/>
            <w:jc w:val="left"/>
            <w:rPr>
              <w:rFonts w:ascii="Arial" w:eastAsiaTheme="minorEastAsia" w:hAnsi="Arial" w:cs="Arial"/>
              <w:noProof/>
              <w:lang w:eastAsia="en-IN"/>
            </w:rPr>
          </w:pPr>
          <w:hyperlink w:anchor="_Toc233230646" w:history="1">
            <w:r w:rsidR="00BC747D" w:rsidRPr="00BC747D">
              <w:rPr>
                <w:rStyle w:val="Hyperlink"/>
                <w:rFonts w:ascii="Arial" w:hAnsi="Arial" w:cs="Arial"/>
                <w:noProof/>
              </w:rPr>
              <w:t>Ansoff Matrix</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_Toc233230646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7</w:t>
            </w:r>
            <w:r w:rsidR="00BC747D" w:rsidRPr="00BC747D">
              <w:rPr>
                <w:rFonts w:ascii="Arial" w:hAnsi="Arial" w:cs="Arial"/>
                <w:noProof/>
                <w:webHidden/>
              </w:rPr>
              <w:fldChar w:fldCharType="end"/>
            </w:r>
          </w:hyperlink>
        </w:p>
        <w:p w14:paraId="6AB49642" w14:textId="3A12AE42" w:rsidR="00BC747D" w:rsidRPr="00BC747D" w:rsidRDefault="00000000" w:rsidP="00BC747D">
          <w:pPr>
            <w:pStyle w:val="TOC2"/>
            <w:tabs>
              <w:tab w:val="right" w:leader="dot" w:pos="9016"/>
            </w:tabs>
            <w:spacing w:line="360" w:lineRule="auto"/>
            <w:jc w:val="left"/>
            <w:rPr>
              <w:rFonts w:ascii="Arial" w:eastAsiaTheme="minorEastAsia" w:hAnsi="Arial" w:cs="Arial"/>
              <w:noProof/>
              <w:lang w:eastAsia="en-IN"/>
            </w:rPr>
          </w:pPr>
          <w:hyperlink w:anchor="_Toc233230647" w:history="1">
            <w:r w:rsidR="00BC747D" w:rsidRPr="00BC747D">
              <w:rPr>
                <w:rStyle w:val="Hyperlink"/>
                <w:rFonts w:ascii="Arial" w:hAnsi="Arial" w:cs="Arial"/>
                <w:noProof/>
              </w:rPr>
              <w:t>Porter’s Framework for achieving competitive rivalry</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_Toc233230647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9</w:t>
            </w:r>
            <w:r w:rsidR="00BC747D" w:rsidRPr="00BC747D">
              <w:rPr>
                <w:rFonts w:ascii="Arial" w:hAnsi="Arial" w:cs="Arial"/>
                <w:noProof/>
                <w:webHidden/>
              </w:rPr>
              <w:fldChar w:fldCharType="end"/>
            </w:r>
          </w:hyperlink>
        </w:p>
        <w:p w14:paraId="2CF54F39" w14:textId="07EB071C" w:rsidR="00BC747D" w:rsidRPr="00BC747D" w:rsidRDefault="00000000" w:rsidP="00BC747D">
          <w:pPr>
            <w:pStyle w:val="TOC1"/>
            <w:tabs>
              <w:tab w:val="right" w:leader="dot" w:pos="9016"/>
            </w:tabs>
            <w:spacing w:line="360" w:lineRule="auto"/>
            <w:jc w:val="left"/>
            <w:rPr>
              <w:rFonts w:ascii="Arial" w:eastAsiaTheme="minorEastAsia" w:hAnsi="Arial" w:cs="Arial"/>
              <w:noProof/>
              <w:lang w:eastAsia="en-IN"/>
            </w:rPr>
          </w:pPr>
          <w:hyperlink w:anchor="_Toc233230648" w:history="1">
            <w:r w:rsidR="00BC747D" w:rsidRPr="00BC747D">
              <w:rPr>
                <w:rStyle w:val="Hyperlink"/>
                <w:rFonts w:ascii="Arial" w:hAnsi="Arial" w:cs="Arial"/>
                <w:noProof/>
              </w:rPr>
              <w:t>Task 3: Critical Reflection on AI Usage</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_Toc233230648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10</w:t>
            </w:r>
            <w:r w:rsidR="00BC747D" w:rsidRPr="00BC747D">
              <w:rPr>
                <w:rFonts w:ascii="Arial" w:hAnsi="Arial" w:cs="Arial"/>
                <w:noProof/>
                <w:webHidden/>
              </w:rPr>
              <w:fldChar w:fldCharType="end"/>
            </w:r>
          </w:hyperlink>
        </w:p>
        <w:p w14:paraId="59ED111A" w14:textId="677E9C07" w:rsidR="00BC747D" w:rsidRPr="00BC747D" w:rsidRDefault="00000000" w:rsidP="00BC747D">
          <w:pPr>
            <w:pStyle w:val="TOC2"/>
            <w:tabs>
              <w:tab w:val="right" w:leader="dot" w:pos="9016"/>
            </w:tabs>
            <w:spacing w:line="360" w:lineRule="auto"/>
            <w:jc w:val="left"/>
            <w:rPr>
              <w:rFonts w:ascii="Arial" w:eastAsiaTheme="minorEastAsia" w:hAnsi="Arial" w:cs="Arial"/>
              <w:noProof/>
              <w:lang w:eastAsia="en-IN"/>
            </w:rPr>
          </w:pPr>
          <w:hyperlink w:anchor="_Toc233230649" w:history="1">
            <w:r w:rsidR="00BC747D" w:rsidRPr="00BC747D">
              <w:rPr>
                <w:rStyle w:val="Hyperlink"/>
                <w:rFonts w:ascii="Arial" w:hAnsi="Arial" w:cs="Arial"/>
                <w:noProof/>
              </w:rPr>
              <w:t>Tood disclosure and functional application</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_Toc233230649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10</w:t>
            </w:r>
            <w:r w:rsidR="00BC747D" w:rsidRPr="00BC747D">
              <w:rPr>
                <w:rFonts w:ascii="Arial" w:hAnsi="Arial" w:cs="Arial"/>
                <w:noProof/>
                <w:webHidden/>
              </w:rPr>
              <w:fldChar w:fldCharType="end"/>
            </w:r>
          </w:hyperlink>
        </w:p>
        <w:p w14:paraId="76B5F2A6" w14:textId="1F25882C" w:rsidR="00BC747D" w:rsidRPr="00BC747D" w:rsidRDefault="00000000" w:rsidP="00BC747D">
          <w:pPr>
            <w:pStyle w:val="TOC2"/>
            <w:tabs>
              <w:tab w:val="right" w:leader="dot" w:pos="9016"/>
            </w:tabs>
            <w:spacing w:line="360" w:lineRule="auto"/>
            <w:jc w:val="left"/>
            <w:rPr>
              <w:rFonts w:ascii="Arial" w:eastAsiaTheme="minorEastAsia" w:hAnsi="Arial" w:cs="Arial"/>
              <w:noProof/>
              <w:lang w:eastAsia="en-IN"/>
            </w:rPr>
          </w:pPr>
          <w:hyperlink w:anchor="_Toc233230650" w:history="1">
            <w:r w:rsidR="00BC747D" w:rsidRPr="00BC747D">
              <w:rPr>
                <w:rStyle w:val="Hyperlink"/>
                <w:rFonts w:ascii="Arial" w:hAnsi="Arial" w:cs="Arial"/>
                <w:noProof/>
              </w:rPr>
              <w:t>Critical evaluation and hallucination mitigation</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_Toc233230650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10</w:t>
            </w:r>
            <w:r w:rsidR="00BC747D" w:rsidRPr="00BC747D">
              <w:rPr>
                <w:rFonts w:ascii="Arial" w:hAnsi="Arial" w:cs="Arial"/>
                <w:noProof/>
                <w:webHidden/>
              </w:rPr>
              <w:fldChar w:fldCharType="end"/>
            </w:r>
          </w:hyperlink>
        </w:p>
        <w:p w14:paraId="3D2AD333" w14:textId="7283EC1F" w:rsidR="00BC747D" w:rsidRPr="00BC747D" w:rsidRDefault="00000000" w:rsidP="00BC747D">
          <w:pPr>
            <w:pStyle w:val="TOC2"/>
            <w:tabs>
              <w:tab w:val="right" w:leader="dot" w:pos="9016"/>
            </w:tabs>
            <w:spacing w:line="360" w:lineRule="auto"/>
            <w:jc w:val="left"/>
            <w:rPr>
              <w:rFonts w:ascii="Arial" w:eastAsiaTheme="minorEastAsia" w:hAnsi="Arial" w:cs="Arial"/>
              <w:noProof/>
              <w:lang w:eastAsia="en-IN"/>
            </w:rPr>
          </w:pPr>
          <w:hyperlink w:anchor="_Toc233230651" w:history="1">
            <w:r w:rsidR="00BC747D" w:rsidRPr="00BC747D">
              <w:rPr>
                <w:rStyle w:val="Hyperlink"/>
                <w:rFonts w:ascii="Arial" w:hAnsi="Arial" w:cs="Arial"/>
                <w:noProof/>
              </w:rPr>
              <w:t>Contribution analysis</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_Toc233230651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10</w:t>
            </w:r>
            <w:r w:rsidR="00BC747D" w:rsidRPr="00BC747D">
              <w:rPr>
                <w:rFonts w:ascii="Arial" w:hAnsi="Arial" w:cs="Arial"/>
                <w:noProof/>
                <w:webHidden/>
              </w:rPr>
              <w:fldChar w:fldCharType="end"/>
            </w:r>
          </w:hyperlink>
        </w:p>
        <w:p w14:paraId="2EF51FF9" w14:textId="6D5817B5" w:rsidR="00BC747D" w:rsidRPr="00BC747D" w:rsidRDefault="00000000" w:rsidP="00BC747D">
          <w:pPr>
            <w:pStyle w:val="TOC2"/>
            <w:tabs>
              <w:tab w:val="right" w:leader="dot" w:pos="9016"/>
            </w:tabs>
            <w:spacing w:line="360" w:lineRule="auto"/>
            <w:jc w:val="left"/>
            <w:rPr>
              <w:rFonts w:ascii="Arial" w:eastAsiaTheme="minorEastAsia" w:hAnsi="Arial" w:cs="Arial"/>
              <w:noProof/>
              <w:lang w:eastAsia="en-IN"/>
            </w:rPr>
          </w:pPr>
          <w:hyperlink w:anchor="_Toc233230652" w:history="1">
            <w:r w:rsidR="00BC747D" w:rsidRPr="00BC747D">
              <w:rPr>
                <w:rStyle w:val="Hyperlink"/>
                <w:rFonts w:ascii="Arial" w:hAnsi="Arial" w:cs="Arial"/>
                <w:noProof/>
              </w:rPr>
              <w:t>Ethical and professional reflection</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_Toc233230652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11</w:t>
            </w:r>
            <w:r w:rsidR="00BC747D" w:rsidRPr="00BC747D">
              <w:rPr>
                <w:rFonts w:ascii="Arial" w:hAnsi="Arial" w:cs="Arial"/>
                <w:noProof/>
                <w:webHidden/>
              </w:rPr>
              <w:fldChar w:fldCharType="end"/>
            </w:r>
          </w:hyperlink>
        </w:p>
        <w:p w14:paraId="0CD86223" w14:textId="749033DB" w:rsidR="00BC747D" w:rsidRPr="00BC747D" w:rsidRDefault="00000000" w:rsidP="00BC747D">
          <w:pPr>
            <w:pStyle w:val="TOC1"/>
            <w:tabs>
              <w:tab w:val="right" w:leader="dot" w:pos="9016"/>
            </w:tabs>
            <w:spacing w:line="360" w:lineRule="auto"/>
            <w:jc w:val="left"/>
            <w:rPr>
              <w:rFonts w:ascii="Arial" w:eastAsiaTheme="minorEastAsia" w:hAnsi="Arial" w:cs="Arial"/>
              <w:noProof/>
              <w:lang w:eastAsia="en-IN"/>
            </w:rPr>
          </w:pPr>
          <w:hyperlink w:anchor="_Toc233230653" w:history="1">
            <w:r w:rsidR="00BC747D" w:rsidRPr="00BC747D">
              <w:rPr>
                <w:rStyle w:val="Hyperlink"/>
                <w:rFonts w:ascii="Arial" w:hAnsi="Arial" w:cs="Arial"/>
                <w:noProof/>
              </w:rPr>
              <w:t>References</w:t>
            </w:r>
            <w:r w:rsidR="00BC747D" w:rsidRPr="00BC747D">
              <w:rPr>
                <w:rFonts w:ascii="Arial" w:hAnsi="Arial" w:cs="Arial"/>
                <w:noProof/>
                <w:webHidden/>
              </w:rPr>
              <w:tab/>
            </w:r>
            <w:r w:rsidR="00BC747D" w:rsidRPr="00BC747D">
              <w:rPr>
                <w:rFonts w:ascii="Arial" w:hAnsi="Arial" w:cs="Arial"/>
                <w:noProof/>
                <w:webHidden/>
              </w:rPr>
              <w:fldChar w:fldCharType="begin"/>
            </w:r>
            <w:r w:rsidR="00BC747D" w:rsidRPr="00BC747D">
              <w:rPr>
                <w:rFonts w:ascii="Arial" w:hAnsi="Arial" w:cs="Arial"/>
                <w:noProof/>
                <w:webHidden/>
              </w:rPr>
              <w:instrText xml:space="preserve"> PAGEREF _Toc233230653 \h </w:instrText>
            </w:r>
            <w:r w:rsidR="00BC747D" w:rsidRPr="00BC747D">
              <w:rPr>
                <w:rFonts w:ascii="Arial" w:hAnsi="Arial" w:cs="Arial"/>
                <w:noProof/>
                <w:webHidden/>
              </w:rPr>
            </w:r>
            <w:r w:rsidR="00BC747D" w:rsidRPr="00BC747D">
              <w:rPr>
                <w:rFonts w:ascii="Arial" w:hAnsi="Arial" w:cs="Arial"/>
                <w:noProof/>
                <w:webHidden/>
              </w:rPr>
              <w:fldChar w:fldCharType="separate"/>
            </w:r>
            <w:r w:rsidR="00BC747D" w:rsidRPr="00BC747D">
              <w:rPr>
                <w:rFonts w:ascii="Arial" w:hAnsi="Arial" w:cs="Arial"/>
                <w:noProof/>
                <w:webHidden/>
              </w:rPr>
              <w:t>12</w:t>
            </w:r>
            <w:r w:rsidR="00BC747D" w:rsidRPr="00BC747D">
              <w:rPr>
                <w:rFonts w:ascii="Arial" w:hAnsi="Arial" w:cs="Arial"/>
                <w:noProof/>
                <w:webHidden/>
              </w:rPr>
              <w:fldChar w:fldCharType="end"/>
            </w:r>
          </w:hyperlink>
        </w:p>
        <w:p w14:paraId="31D76E2D" w14:textId="6439818D" w:rsidR="00BC747D" w:rsidRPr="00BC747D" w:rsidRDefault="00BC747D" w:rsidP="00BC747D">
          <w:pPr>
            <w:spacing w:line="360" w:lineRule="auto"/>
            <w:jc w:val="left"/>
            <w:rPr>
              <w:rFonts w:ascii="Arial" w:hAnsi="Arial" w:cs="Arial"/>
            </w:rPr>
          </w:pPr>
          <w:r w:rsidRPr="00BC747D">
            <w:rPr>
              <w:rFonts w:ascii="Arial" w:hAnsi="Arial" w:cs="Arial"/>
              <w:b/>
              <w:bCs/>
              <w:noProof/>
            </w:rPr>
            <w:fldChar w:fldCharType="end"/>
          </w:r>
        </w:p>
      </w:sdtContent>
    </w:sdt>
    <w:p w14:paraId="2D8341B4" w14:textId="77777777" w:rsidR="009D4244" w:rsidRPr="00BC747D" w:rsidRDefault="009D4244" w:rsidP="00BC747D">
      <w:pPr>
        <w:spacing w:line="360" w:lineRule="auto"/>
        <w:rPr>
          <w:rFonts w:ascii="Arial" w:hAnsi="Arial" w:cs="Arial"/>
        </w:rPr>
      </w:pPr>
      <w:r w:rsidRPr="00BC747D">
        <w:rPr>
          <w:rFonts w:ascii="Arial" w:hAnsi="Arial" w:cs="Arial"/>
        </w:rPr>
        <w:br w:type="page"/>
      </w:r>
    </w:p>
    <w:p w14:paraId="70B1F836" w14:textId="6D64B9B4" w:rsidR="009D4244" w:rsidRPr="00BC747D" w:rsidRDefault="009D4244" w:rsidP="00BC747D">
      <w:pPr>
        <w:pStyle w:val="Heading1"/>
        <w:spacing w:line="360" w:lineRule="auto"/>
        <w:rPr>
          <w:rFonts w:ascii="Arial" w:hAnsi="Arial" w:cs="Arial"/>
          <w:szCs w:val="24"/>
        </w:rPr>
      </w:pPr>
      <w:bookmarkStart w:id="0" w:name="_Toc233230638"/>
      <w:r w:rsidRPr="00BC747D">
        <w:rPr>
          <w:rFonts w:ascii="Arial" w:hAnsi="Arial" w:cs="Arial"/>
          <w:szCs w:val="24"/>
        </w:rPr>
        <w:lastRenderedPageBreak/>
        <w:t>Task 1: Marketing Environment Analysis</w:t>
      </w:r>
      <w:bookmarkEnd w:id="0"/>
      <w:r w:rsidRPr="00BC747D">
        <w:rPr>
          <w:rFonts w:ascii="Arial" w:hAnsi="Arial" w:cs="Arial"/>
          <w:szCs w:val="24"/>
        </w:rPr>
        <w:t xml:space="preserve"> </w:t>
      </w:r>
    </w:p>
    <w:p w14:paraId="2F5D6E23" w14:textId="2BB9EEE3" w:rsidR="009D4244" w:rsidRPr="00BC747D" w:rsidRDefault="006A6599" w:rsidP="00BC747D">
      <w:pPr>
        <w:pStyle w:val="Heading2"/>
        <w:spacing w:line="360" w:lineRule="auto"/>
        <w:rPr>
          <w:rFonts w:ascii="Arial" w:hAnsi="Arial" w:cs="Arial"/>
          <w:szCs w:val="24"/>
        </w:rPr>
      </w:pPr>
      <w:bookmarkStart w:id="1" w:name="_Toc233230639"/>
      <w:r w:rsidRPr="00BC747D">
        <w:rPr>
          <w:rFonts w:ascii="Arial" w:hAnsi="Arial" w:cs="Arial"/>
          <w:szCs w:val="24"/>
        </w:rPr>
        <w:t>Core marketing framework (Kotler)</w:t>
      </w:r>
      <w:bookmarkEnd w:id="1"/>
      <w:r w:rsidRPr="00BC747D">
        <w:rPr>
          <w:rFonts w:ascii="Arial" w:hAnsi="Arial" w:cs="Arial"/>
          <w:szCs w:val="24"/>
        </w:rPr>
        <w:t xml:space="preserve"> </w:t>
      </w:r>
    </w:p>
    <w:p w14:paraId="144DFCB6" w14:textId="681864CD" w:rsidR="006A6599" w:rsidRPr="00BC747D" w:rsidRDefault="008F45F4" w:rsidP="00BC747D">
      <w:pPr>
        <w:spacing w:line="360" w:lineRule="auto"/>
        <w:rPr>
          <w:rFonts w:ascii="Arial" w:hAnsi="Arial" w:cs="Arial"/>
        </w:rPr>
      </w:pPr>
      <w:r w:rsidRPr="00BC747D">
        <w:rPr>
          <w:rFonts w:ascii="Arial" w:hAnsi="Arial" w:cs="Arial"/>
        </w:rPr>
        <w:t xml:space="preserve">As per the views of Kotler et al. (2024), the marketing macro environment includes the larger societal forces that widely affect the whole macro environment, posing systemic threats and </w:t>
      </w:r>
      <w:r w:rsidR="00EF731E" w:rsidRPr="00BC747D">
        <w:rPr>
          <w:rFonts w:ascii="Arial" w:hAnsi="Arial" w:cs="Arial"/>
        </w:rPr>
        <w:t>shaping</w:t>
      </w:r>
      <w:r w:rsidRPr="00BC747D">
        <w:rPr>
          <w:rFonts w:ascii="Arial" w:hAnsi="Arial" w:cs="Arial"/>
        </w:rPr>
        <w:t xml:space="preserve"> the commercial opportunities for the </w:t>
      </w:r>
      <w:r w:rsidR="00EF731E" w:rsidRPr="00BC747D">
        <w:rPr>
          <w:rFonts w:ascii="Arial" w:hAnsi="Arial" w:cs="Arial"/>
        </w:rPr>
        <w:t>organisation</w:t>
      </w:r>
      <w:r w:rsidRPr="00BC747D">
        <w:rPr>
          <w:rFonts w:ascii="Arial" w:hAnsi="Arial" w:cs="Arial"/>
        </w:rPr>
        <w:t xml:space="preserve">. In the case of a global heavy industry sector, these macro forces are precipitating a basic structural transition. The large resource </w:t>
      </w:r>
      <w:r w:rsidR="00EF731E" w:rsidRPr="00BC747D">
        <w:rPr>
          <w:rFonts w:ascii="Arial" w:hAnsi="Arial" w:cs="Arial"/>
        </w:rPr>
        <w:t>organisations</w:t>
      </w:r>
      <w:r w:rsidRPr="00BC747D">
        <w:rPr>
          <w:rFonts w:ascii="Arial" w:hAnsi="Arial" w:cs="Arial"/>
        </w:rPr>
        <w:t xml:space="preserve"> can no longer depend wholly on the historical volumes of extraction. Instead, they are required to dynamically manage the external pressures to maintain their commercial and societal license to operate in the industry. For </w:t>
      </w:r>
      <w:r w:rsidR="00EF731E" w:rsidRPr="00BC747D">
        <w:rPr>
          <w:rFonts w:ascii="Arial" w:hAnsi="Arial" w:cs="Arial"/>
        </w:rPr>
        <w:t>a</w:t>
      </w:r>
      <w:r w:rsidRPr="00BC747D">
        <w:rPr>
          <w:rFonts w:ascii="Arial" w:hAnsi="Arial" w:cs="Arial"/>
        </w:rPr>
        <w:t xml:space="preserve"> diversified global resource enterprise such as BHP, navigating this macro environment needs and advanced understanding </w:t>
      </w:r>
      <w:r w:rsidR="00EF731E" w:rsidRPr="00BC747D">
        <w:rPr>
          <w:rFonts w:ascii="Arial" w:hAnsi="Arial" w:cs="Arial"/>
        </w:rPr>
        <w:t>of</w:t>
      </w:r>
      <w:r w:rsidRPr="00BC747D">
        <w:rPr>
          <w:rFonts w:ascii="Arial" w:hAnsi="Arial" w:cs="Arial"/>
        </w:rPr>
        <w:t xml:space="preserve"> how the external factors intersect with the customer value propositions and product strategy. Design analysis critically appraises the ways in which the 2 dominant macro environmental forces (the natural environment actor and the political/legal environment actor) converge to compel BHP to shift its basic portfolio towards the cleaner production methodologies and lower carbon products. </w:t>
      </w:r>
      <w:r w:rsidR="004C4385" w:rsidRPr="00BC747D">
        <w:rPr>
          <w:rFonts w:ascii="Arial" w:hAnsi="Arial" w:cs="Arial"/>
        </w:rPr>
        <w:t xml:space="preserve">As per Global Data (2026), BHP Group Ltd is </w:t>
      </w:r>
      <w:r w:rsidR="0025055C" w:rsidRPr="00BC747D">
        <w:rPr>
          <w:rFonts w:ascii="Arial" w:hAnsi="Arial" w:cs="Arial"/>
        </w:rPr>
        <w:t>a</w:t>
      </w:r>
      <w:r w:rsidR="004C4385" w:rsidRPr="00BC747D">
        <w:rPr>
          <w:rFonts w:ascii="Arial" w:hAnsi="Arial" w:cs="Arial"/>
        </w:rPr>
        <w:t xml:space="preserve"> global organisation of resources that is engaged in the production and extraction of essential commodities. </w:t>
      </w:r>
    </w:p>
    <w:p w14:paraId="6F5D12F8" w14:textId="7AF41ACF" w:rsidR="008F45F4" w:rsidRPr="00BC747D" w:rsidRDefault="008F45F4" w:rsidP="00BC747D">
      <w:pPr>
        <w:pStyle w:val="Heading2"/>
        <w:spacing w:line="360" w:lineRule="auto"/>
        <w:rPr>
          <w:rFonts w:ascii="Arial" w:hAnsi="Arial" w:cs="Arial"/>
          <w:szCs w:val="24"/>
        </w:rPr>
      </w:pPr>
      <w:bookmarkStart w:id="2" w:name="_Toc233230640"/>
      <w:r w:rsidRPr="00BC747D">
        <w:rPr>
          <w:rFonts w:ascii="Arial" w:hAnsi="Arial" w:cs="Arial"/>
          <w:szCs w:val="24"/>
        </w:rPr>
        <w:t xml:space="preserve">Nature Environment </w:t>
      </w:r>
      <w:r w:rsidRPr="00BC747D">
        <w:rPr>
          <w:rFonts w:ascii="Arial" w:hAnsi="Arial" w:cs="Arial"/>
          <w:szCs w:val="24"/>
          <w:lang w:val="en-IN"/>
        </w:rPr>
        <w:t>Actor</w:t>
      </w:r>
      <w:bookmarkEnd w:id="2"/>
    </w:p>
    <w:p w14:paraId="2B4AA9CD" w14:textId="63B1953F" w:rsidR="008F45F4" w:rsidRPr="00BC747D" w:rsidRDefault="00BC747D" w:rsidP="00BC747D">
      <w:pPr>
        <w:pStyle w:val="Heading3"/>
        <w:spacing w:line="360" w:lineRule="auto"/>
        <w:rPr>
          <w:rFonts w:ascii="Arial" w:hAnsi="Arial" w:cs="Arial"/>
          <w:szCs w:val="24"/>
        </w:rPr>
      </w:pPr>
      <w:bookmarkStart w:id="3" w:name="_Toc233230641"/>
      <w:r w:rsidRPr="00BC747D">
        <w:rPr>
          <w:rFonts w:ascii="Arial" w:hAnsi="Arial" w:cs="Arial"/>
          <w:szCs w:val="24"/>
        </w:rPr>
        <w:t>P</w:t>
      </w:r>
      <w:r w:rsidR="008F45F4" w:rsidRPr="00BC747D">
        <w:rPr>
          <w:rFonts w:ascii="Arial" w:hAnsi="Arial" w:cs="Arial"/>
          <w:szCs w:val="24"/>
        </w:rPr>
        <w:t xml:space="preserve">ortfolio realignment and </w:t>
      </w:r>
      <w:r w:rsidR="00EF731E" w:rsidRPr="00BC747D">
        <w:rPr>
          <w:rFonts w:ascii="Arial" w:hAnsi="Arial" w:cs="Arial"/>
          <w:szCs w:val="24"/>
        </w:rPr>
        <w:t>future-facing</w:t>
      </w:r>
      <w:r w:rsidR="008F45F4" w:rsidRPr="00BC747D">
        <w:rPr>
          <w:rFonts w:ascii="Arial" w:hAnsi="Arial" w:cs="Arial"/>
          <w:szCs w:val="24"/>
        </w:rPr>
        <w:t xml:space="preserve"> commodities</w:t>
      </w:r>
      <w:bookmarkEnd w:id="3"/>
    </w:p>
    <w:p w14:paraId="70F72C56" w14:textId="08760114" w:rsidR="008F45F4" w:rsidRPr="00BC747D" w:rsidRDefault="00EF731E" w:rsidP="00BC747D">
      <w:pPr>
        <w:spacing w:line="360" w:lineRule="auto"/>
        <w:rPr>
          <w:rFonts w:ascii="Arial" w:hAnsi="Arial" w:cs="Arial"/>
        </w:rPr>
      </w:pPr>
      <w:r w:rsidRPr="00BC747D">
        <w:rPr>
          <w:rFonts w:ascii="Arial" w:hAnsi="Arial" w:cs="Arial"/>
        </w:rPr>
        <w:t>The</w:t>
      </w:r>
      <w:r w:rsidR="008F45F4" w:rsidRPr="00BC747D">
        <w:rPr>
          <w:rFonts w:ascii="Arial" w:hAnsi="Arial" w:cs="Arial"/>
        </w:rPr>
        <w:t xml:space="preserve"> natural environment actor consists of the physical environment and natural resources that are required as the inputs by the industrial marketers or are directly affected by the operational activities (Kotler et al., 2024). In the case of BHP, the sector </w:t>
      </w:r>
      <w:r w:rsidRPr="00BC747D">
        <w:rPr>
          <w:rFonts w:ascii="Arial" w:hAnsi="Arial" w:cs="Arial"/>
        </w:rPr>
        <w:t>faces</w:t>
      </w:r>
      <w:r w:rsidR="008F45F4" w:rsidRPr="00BC747D">
        <w:rPr>
          <w:rFonts w:ascii="Arial" w:hAnsi="Arial" w:cs="Arial"/>
        </w:rPr>
        <w:t xml:space="preserve"> unprecedented pressure because of the finite nature of the carbon budgets and the increasing physical impact of global climate change. In reaction to this environmental macro force, BHP executed a vital, </w:t>
      </w:r>
      <w:r w:rsidRPr="00BC747D">
        <w:rPr>
          <w:rFonts w:ascii="Arial" w:hAnsi="Arial" w:cs="Arial"/>
        </w:rPr>
        <w:t>multibillion-dollar</w:t>
      </w:r>
      <w:r w:rsidR="008F45F4" w:rsidRPr="00BC747D">
        <w:rPr>
          <w:rFonts w:ascii="Arial" w:hAnsi="Arial" w:cs="Arial"/>
        </w:rPr>
        <w:t xml:space="preserve"> product portfolio realignment. The </w:t>
      </w:r>
      <w:r w:rsidRPr="00BC747D">
        <w:rPr>
          <w:rFonts w:ascii="Arial" w:hAnsi="Arial" w:cs="Arial"/>
        </w:rPr>
        <w:t>organisation</w:t>
      </w:r>
      <w:r w:rsidR="008F45F4" w:rsidRPr="00BC747D">
        <w:rPr>
          <w:rFonts w:ascii="Arial" w:hAnsi="Arial" w:cs="Arial"/>
        </w:rPr>
        <w:t xml:space="preserve"> has widely divested from the assets of </w:t>
      </w:r>
      <w:r w:rsidRPr="00BC747D">
        <w:rPr>
          <w:rFonts w:ascii="Arial" w:hAnsi="Arial" w:cs="Arial"/>
        </w:rPr>
        <w:t>high-carbon</w:t>
      </w:r>
      <w:r w:rsidR="008F45F4" w:rsidRPr="00BC747D">
        <w:rPr>
          <w:rFonts w:ascii="Arial" w:hAnsi="Arial" w:cs="Arial"/>
        </w:rPr>
        <w:t xml:space="preserve"> fossil fuels, like thermal coal, while deliberately repositioning the brand equity around what it called ‘</w:t>
      </w:r>
      <w:r w:rsidRPr="00BC747D">
        <w:rPr>
          <w:rFonts w:ascii="Arial" w:hAnsi="Arial" w:cs="Arial"/>
        </w:rPr>
        <w:t>future-facing</w:t>
      </w:r>
      <w:r w:rsidR="008F45F4" w:rsidRPr="00BC747D">
        <w:rPr>
          <w:rFonts w:ascii="Arial" w:hAnsi="Arial" w:cs="Arial"/>
        </w:rPr>
        <w:t xml:space="preserve"> commodities’, particularly nickel, copper and iron ore. From the B2B marketing perspective, this shows the structural transition and the definition of </w:t>
      </w:r>
      <w:r w:rsidRPr="00BC747D">
        <w:rPr>
          <w:rFonts w:ascii="Arial" w:hAnsi="Arial" w:cs="Arial"/>
        </w:rPr>
        <w:t xml:space="preserve">the </w:t>
      </w:r>
      <w:r w:rsidR="008F45F4" w:rsidRPr="00BC747D">
        <w:rPr>
          <w:rFonts w:ascii="Arial" w:hAnsi="Arial" w:cs="Arial"/>
        </w:rPr>
        <w:t>product. Nickel and copper are the physical building blocks that are required for global electrification, renewable energy infrastructure and electric vehicles (EVs)</w:t>
      </w:r>
      <w:r w:rsidR="004C4385" w:rsidRPr="00BC747D">
        <w:rPr>
          <w:rFonts w:ascii="Arial" w:hAnsi="Arial" w:cs="Arial"/>
        </w:rPr>
        <w:t xml:space="preserve"> </w:t>
      </w:r>
      <w:r w:rsidR="004C4385" w:rsidRPr="00BC747D">
        <w:rPr>
          <w:rFonts w:ascii="Arial" w:hAnsi="Arial" w:cs="Arial"/>
        </w:rPr>
        <w:lastRenderedPageBreak/>
        <w:t>(Nguyen et al., 2021)</w:t>
      </w:r>
      <w:r w:rsidR="008F45F4" w:rsidRPr="00BC747D">
        <w:rPr>
          <w:rFonts w:ascii="Arial" w:hAnsi="Arial" w:cs="Arial"/>
        </w:rPr>
        <w:t>. By relocating its capital expenditure towards the assets</w:t>
      </w:r>
      <w:r w:rsidRPr="00BC747D">
        <w:rPr>
          <w:rFonts w:ascii="Arial" w:hAnsi="Arial" w:cs="Arial"/>
        </w:rPr>
        <w:t>, such</w:t>
      </w:r>
      <w:r w:rsidR="008F45F4" w:rsidRPr="00BC747D">
        <w:rPr>
          <w:rFonts w:ascii="Arial" w:hAnsi="Arial" w:cs="Arial"/>
        </w:rPr>
        <w:t xml:space="preserve"> as </w:t>
      </w:r>
      <w:r w:rsidRPr="00BC747D">
        <w:rPr>
          <w:rFonts w:ascii="Arial" w:hAnsi="Arial" w:cs="Arial"/>
        </w:rPr>
        <w:t xml:space="preserve">the </w:t>
      </w:r>
      <w:r w:rsidR="008F45F4" w:rsidRPr="00BC747D">
        <w:rPr>
          <w:rFonts w:ascii="Arial" w:hAnsi="Arial" w:cs="Arial"/>
        </w:rPr>
        <w:t xml:space="preserve">Escondida copper mine in Chile and the operations of Western Australia Nickel, BHP is structurally matching the outputs of the resources to the physical barriers and demands of the rapidly decarbonising natural world. This shift allows the company to market its goods not only as raw materials but as important enablers of the global green transition. </w:t>
      </w:r>
    </w:p>
    <w:p w14:paraId="223EC413" w14:textId="7FC504D7" w:rsidR="008F45F4" w:rsidRPr="00BC747D" w:rsidRDefault="008F45F4" w:rsidP="00BC747D">
      <w:pPr>
        <w:pStyle w:val="Heading3"/>
        <w:spacing w:line="360" w:lineRule="auto"/>
        <w:rPr>
          <w:rFonts w:ascii="Arial" w:hAnsi="Arial" w:cs="Arial"/>
          <w:szCs w:val="24"/>
        </w:rPr>
      </w:pPr>
      <w:bookmarkStart w:id="4" w:name="_Toc233230642"/>
      <w:r w:rsidRPr="00BC747D">
        <w:rPr>
          <w:rFonts w:ascii="Arial" w:hAnsi="Arial" w:cs="Arial"/>
          <w:szCs w:val="24"/>
        </w:rPr>
        <w:t>The downstream value chain and scope 3 challenge</w:t>
      </w:r>
      <w:bookmarkEnd w:id="4"/>
    </w:p>
    <w:p w14:paraId="639CBE03" w14:textId="77777777" w:rsidR="00623C45" w:rsidRPr="00BC747D" w:rsidRDefault="00623C45" w:rsidP="00BC747D">
      <w:pPr>
        <w:keepNext/>
        <w:spacing w:line="360" w:lineRule="auto"/>
        <w:rPr>
          <w:rFonts w:ascii="Arial" w:hAnsi="Arial" w:cs="Arial"/>
        </w:rPr>
      </w:pPr>
      <w:r w:rsidRPr="00BC747D">
        <w:rPr>
          <w:rFonts w:ascii="Arial" w:hAnsi="Arial" w:cs="Arial"/>
          <w:i/>
          <w:iCs/>
          <w:noProof/>
        </w:rPr>
        <w:drawing>
          <wp:inline distT="0" distB="0" distL="0" distR="0" wp14:anchorId="5267496B" wp14:editId="18415BB3">
            <wp:extent cx="5731510" cy="2199640"/>
            <wp:effectExtent l="152400" t="152400" r="364490" b="353060"/>
            <wp:docPr id="7816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0659" name=""/>
                    <pic:cNvPicPr/>
                  </pic:nvPicPr>
                  <pic:blipFill>
                    <a:blip r:embed="rId9"/>
                    <a:stretch>
                      <a:fillRect/>
                    </a:stretch>
                  </pic:blipFill>
                  <pic:spPr>
                    <a:xfrm>
                      <a:off x="0" y="0"/>
                      <a:ext cx="5731510" cy="2199640"/>
                    </a:xfrm>
                    <a:prstGeom prst="rect">
                      <a:avLst/>
                    </a:prstGeom>
                    <a:ln>
                      <a:noFill/>
                    </a:ln>
                    <a:effectLst>
                      <a:outerShdw blurRad="292100" dist="139700" dir="2700000" algn="tl" rotWithShape="0">
                        <a:srgbClr val="333333">
                          <a:alpha val="65000"/>
                        </a:srgbClr>
                      </a:outerShdw>
                    </a:effectLst>
                  </pic:spPr>
                </pic:pic>
              </a:graphicData>
            </a:graphic>
          </wp:inline>
        </w:drawing>
      </w:r>
    </w:p>
    <w:p w14:paraId="32724276" w14:textId="7D1CBE5C" w:rsidR="00623C45" w:rsidRPr="00BC747D" w:rsidRDefault="00623C45" w:rsidP="00BC747D">
      <w:pPr>
        <w:pStyle w:val="Caption"/>
        <w:spacing w:line="360" w:lineRule="auto"/>
        <w:rPr>
          <w:rFonts w:ascii="Arial" w:hAnsi="Arial" w:cs="Arial"/>
          <w:szCs w:val="24"/>
        </w:rPr>
      </w:pPr>
      <w:r w:rsidRPr="00BC747D">
        <w:rPr>
          <w:rFonts w:ascii="Arial" w:hAnsi="Arial" w:cs="Arial"/>
          <w:szCs w:val="24"/>
        </w:rPr>
        <w:t xml:space="preserve">Figure </w:t>
      </w:r>
      <w:r w:rsidRPr="00BC747D">
        <w:rPr>
          <w:rFonts w:ascii="Arial" w:hAnsi="Arial" w:cs="Arial"/>
          <w:szCs w:val="24"/>
        </w:rPr>
        <w:fldChar w:fldCharType="begin"/>
      </w:r>
      <w:r w:rsidRPr="00BC747D">
        <w:rPr>
          <w:rFonts w:ascii="Arial" w:hAnsi="Arial" w:cs="Arial"/>
          <w:szCs w:val="24"/>
        </w:rPr>
        <w:instrText xml:space="preserve"> SEQ Figure \* ARABIC </w:instrText>
      </w:r>
      <w:r w:rsidRPr="00BC747D">
        <w:rPr>
          <w:rFonts w:ascii="Arial" w:hAnsi="Arial" w:cs="Arial"/>
          <w:szCs w:val="24"/>
        </w:rPr>
        <w:fldChar w:fldCharType="separate"/>
      </w:r>
      <w:r w:rsidRPr="00BC747D">
        <w:rPr>
          <w:rFonts w:ascii="Arial" w:hAnsi="Arial" w:cs="Arial"/>
          <w:noProof/>
          <w:szCs w:val="24"/>
        </w:rPr>
        <w:t>1</w:t>
      </w:r>
      <w:r w:rsidRPr="00BC747D">
        <w:rPr>
          <w:rFonts w:ascii="Arial" w:hAnsi="Arial" w:cs="Arial"/>
          <w:szCs w:val="24"/>
        </w:rPr>
        <w:fldChar w:fldCharType="end"/>
      </w:r>
      <w:r w:rsidRPr="00BC747D">
        <w:rPr>
          <w:rFonts w:ascii="Arial" w:hAnsi="Arial" w:cs="Arial"/>
          <w:szCs w:val="24"/>
        </w:rPr>
        <w:t>: Value chain greenhouse gas (GHG) emissions targets and goals of BHP</w:t>
      </w:r>
    </w:p>
    <w:p w14:paraId="243E80D4" w14:textId="7A9C2A67" w:rsidR="00623C45" w:rsidRPr="00BC747D" w:rsidRDefault="00623C45" w:rsidP="00BC747D">
      <w:pPr>
        <w:spacing w:line="360" w:lineRule="auto"/>
        <w:rPr>
          <w:rFonts w:ascii="Arial" w:hAnsi="Arial" w:cs="Arial"/>
        </w:rPr>
      </w:pPr>
      <w:r w:rsidRPr="00BC747D">
        <w:rPr>
          <w:rFonts w:ascii="Arial" w:hAnsi="Arial" w:cs="Arial"/>
        </w:rPr>
        <w:t>(Source: BHP, 2025</w:t>
      </w:r>
      <w:r w:rsidR="004C4385" w:rsidRPr="00BC747D">
        <w:rPr>
          <w:rFonts w:ascii="Arial" w:hAnsi="Arial" w:cs="Arial"/>
        </w:rPr>
        <w:t>a</w:t>
      </w:r>
      <w:r w:rsidRPr="00BC747D">
        <w:rPr>
          <w:rFonts w:ascii="Arial" w:hAnsi="Arial" w:cs="Arial"/>
        </w:rPr>
        <w:t>)</w:t>
      </w:r>
    </w:p>
    <w:p w14:paraId="70BF785C" w14:textId="41E889F2" w:rsidR="002E1BD3" w:rsidRPr="00BC747D" w:rsidRDefault="00EF731E" w:rsidP="00BC747D">
      <w:pPr>
        <w:spacing w:line="360" w:lineRule="auto"/>
        <w:rPr>
          <w:rFonts w:ascii="Arial" w:hAnsi="Arial" w:cs="Arial"/>
        </w:rPr>
      </w:pPr>
      <w:r w:rsidRPr="00BC747D">
        <w:rPr>
          <w:rFonts w:ascii="Arial" w:hAnsi="Arial" w:cs="Arial"/>
        </w:rPr>
        <w:t>Managing</w:t>
      </w:r>
      <w:r w:rsidR="004E27BC" w:rsidRPr="00BC747D">
        <w:rPr>
          <w:rFonts w:ascii="Arial" w:hAnsi="Arial" w:cs="Arial"/>
        </w:rPr>
        <w:t xml:space="preserve"> the operational emissions (</w:t>
      </w:r>
      <w:r w:rsidRPr="00BC747D">
        <w:rPr>
          <w:rFonts w:ascii="Arial" w:hAnsi="Arial" w:cs="Arial"/>
        </w:rPr>
        <w:t>Scope 1</w:t>
      </w:r>
      <w:r w:rsidR="004E27BC" w:rsidRPr="00BC747D">
        <w:rPr>
          <w:rFonts w:ascii="Arial" w:hAnsi="Arial" w:cs="Arial"/>
        </w:rPr>
        <w:t xml:space="preserve"> and </w:t>
      </w:r>
      <w:r w:rsidRPr="00BC747D">
        <w:rPr>
          <w:rFonts w:ascii="Arial" w:hAnsi="Arial" w:cs="Arial"/>
        </w:rPr>
        <w:t>Scope 2</w:t>
      </w:r>
      <w:r w:rsidR="004E27BC" w:rsidRPr="00BC747D">
        <w:rPr>
          <w:rFonts w:ascii="Arial" w:hAnsi="Arial" w:cs="Arial"/>
        </w:rPr>
        <w:t xml:space="preserve">) is a fundamental baseline, the most critical barrier emerging from the natural environment actor resides within the value chain of BHP, particularly its Scope 3 emissions. As per the Climate Transition Actor Plan (2024) of BHP, the value chain emissions </w:t>
      </w:r>
      <w:r w:rsidRPr="00BC747D">
        <w:rPr>
          <w:rFonts w:ascii="Arial" w:hAnsi="Arial" w:cs="Arial"/>
        </w:rPr>
        <w:t>comprise</w:t>
      </w:r>
      <w:r w:rsidR="004E27BC" w:rsidRPr="00BC747D">
        <w:rPr>
          <w:rFonts w:ascii="Arial" w:hAnsi="Arial" w:cs="Arial"/>
        </w:rPr>
        <w:t xml:space="preserve"> </w:t>
      </w:r>
      <w:r w:rsidR="004C4385" w:rsidRPr="00BC747D">
        <w:rPr>
          <w:rFonts w:ascii="Arial" w:hAnsi="Arial" w:cs="Arial"/>
        </w:rPr>
        <w:t>377.6 Mt CO2-e for the FY2024</w:t>
      </w:r>
      <w:r w:rsidR="004E27BC" w:rsidRPr="00BC747D">
        <w:rPr>
          <w:rFonts w:ascii="Arial" w:hAnsi="Arial" w:cs="Arial"/>
        </w:rPr>
        <w:t>. Of this stock, about 83% stamps directly from the downstream processing of the BHP, steel making</w:t>
      </w:r>
      <w:r w:rsidRPr="00BC747D">
        <w:rPr>
          <w:rFonts w:ascii="Arial" w:hAnsi="Arial" w:cs="Arial"/>
        </w:rPr>
        <w:t>,</w:t>
      </w:r>
      <w:r w:rsidR="004E27BC" w:rsidRPr="00BC747D">
        <w:rPr>
          <w:rFonts w:ascii="Arial" w:hAnsi="Arial" w:cs="Arial"/>
        </w:rPr>
        <w:t xml:space="preserve"> coal and supplied iron ore within the steel mills of the customers, particularly in Japan, China and South Korea</w:t>
      </w:r>
      <w:r w:rsidR="004C4385" w:rsidRPr="00BC747D">
        <w:rPr>
          <w:rFonts w:ascii="Arial" w:hAnsi="Arial" w:cs="Arial"/>
        </w:rPr>
        <w:t xml:space="preserve"> (World Economic Forum, 2024)</w:t>
      </w:r>
      <w:r w:rsidR="004E27BC" w:rsidRPr="00BC747D">
        <w:rPr>
          <w:rFonts w:ascii="Arial" w:hAnsi="Arial" w:cs="Arial"/>
        </w:rPr>
        <w:t xml:space="preserve">. As these emissions </w:t>
      </w:r>
      <w:r w:rsidRPr="00BC747D">
        <w:rPr>
          <w:rFonts w:ascii="Arial" w:hAnsi="Arial" w:cs="Arial"/>
        </w:rPr>
        <w:t>take</w:t>
      </w:r>
      <w:r w:rsidR="004E27BC" w:rsidRPr="00BC747D">
        <w:rPr>
          <w:rFonts w:ascii="Arial" w:hAnsi="Arial" w:cs="Arial"/>
        </w:rPr>
        <w:t xml:space="preserve"> place within the independent customer operations, BHP doesn't have direct management control over them</w:t>
      </w:r>
      <w:r w:rsidR="002E1BD3" w:rsidRPr="00BC747D">
        <w:rPr>
          <w:rFonts w:ascii="Arial" w:hAnsi="Arial" w:cs="Arial"/>
        </w:rPr>
        <w:t xml:space="preserve"> (BHP, 2026</w:t>
      </w:r>
      <w:r w:rsidR="00623C45" w:rsidRPr="00BC747D">
        <w:rPr>
          <w:rFonts w:ascii="Arial" w:hAnsi="Arial" w:cs="Arial"/>
        </w:rPr>
        <w:t>a</w:t>
      </w:r>
      <w:r w:rsidR="002E1BD3" w:rsidRPr="00BC747D">
        <w:rPr>
          <w:rFonts w:ascii="Arial" w:hAnsi="Arial" w:cs="Arial"/>
        </w:rPr>
        <w:t>)</w:t>
      </w:r>
      <w:r w:rsidR="004E27BC" w:rsidRPr="00BC747D">
        <w:rPr>
          <w:rFonts w:ascii="Arial" w:hAnsi="Arial" w:cs="Arial"/>
        </w:rPr>
        <w:t xml:space="preserve">. Meanwhile, as per the contemporary marketing theory, the raw material supplier </w:t>
      </w:r>
      <w:r w:rsidRPr="00BC747D">
        <w:rPr>
          <w:rFonts w:ascii="Arial" w:hAnsi="Arial" w:cs="Arial"/>
        </w:rPr>
        <w:t>needs</w:t>
      </w:r>
      <w:r w:rsidR="004E27BC" w:rsidRPr="00BC747D">
        <w:rPr>
          <w:rFonts w:ascii="Arial" w:hAnsi="Arial" w:cs="Arial"/>
        </w:rPr>
        <w:t xml:space="preserve"> to actively assist the downstream sustainability in order to preserve the market share, because the industrial B2B consumers highly demand </w:t>
      </w:r>
      <w:r w:rsidRPr="00BC747D">
        <w:rPr>
          <w:rFonts w:ascii="Arial" w:hAnsi="Arial" w:cs="Arial"/>
        </w:rPr>
        <w:t>low-carbon</w:t>
      </w:r>
      <w:r w:rsidR="004E27BC" w:rsidRPr="00BC747D">
        <w:rPr>
          <w:rFonts w:ascii="Arial" w:hAnsi="Arial" w:cs="Arial"/>
        </w:rPr>
        <w:t xml:space="preserve"> supply inputs. To address </w:t>
      </w:r>
      <w:r w:rsidR="004E27BC" w:rsidRPr="00BC747D">
        <w:rPr>
          <w:rFonts w:ascii="Arial" w:hAnsi="Arial" w:cs="Arial"/>
        </w:rPr>
        <w:lastRenderedPageBreak/>
        <w:t xml:space="preserve">this, BHP has moved from the transactional supply model to the </w:t>
      </w:r>
      <w:r w:rsidRPr="00BC747D">
        <w:rPr>
          <w:rFonts w:ascii="Arial" w:hAnsi="Arial" w:cs="Arial"/>
        </w:rPr>
        <w:t>partnership-based</w:t>
      </w:r>
      <w:r w:rsidR="004E27BC" w:rsidRPr="00BC747D">
        <w:rPr>
          <w:rFonts w:ascii="Arial" w:hAnsi="Arial" w:cs="Arial"/>
        </w:rPr>
        <w:t xml:space="preserve">, highly collaborative marketing strategy. The company has now established </w:t>
      </w:r>
      <w:r w:rsidRPr="00BC747D">
        <w:rPr>
          <w:rFonts w:ascii="Arial" w:hAnsi="Arial" w:cs="Arial"/>
        </w:rPr>
        <w:t>a</w:t>
      </w:r>
      <w:r w:rsidR="004E27BC" w:rsidRPr="00BC747D">
        <w:rPr>
          <w:rFonts w:ascii="Arial" w:hAnsi="Arial" w:cs="Arial"/>
        </w:rPr>
        <w:t xml:space="preserve"> formal technical partnership with the major producers of steel, including HBIS Group and China Baowu Steel Group, </w:t>
      </w:r>
      <w:r w:rsidR="00F51F74" w:rsidRPr="00BC747D">
        <w:rPr>
          <w:rFonts w:ascii="Arial" w:hAnsi="Arial" w:cs="Arial"/>
        </w:rPr>
        <w:t>co-</w:t>
      </w:r>
      <w:r w:rsidR="004E27BC" w:rsidRPr="00BC747D">
        <w:rPr>
          <w:rFonts w:ascii="Arial" w:hAnsi="Arial" w:cs="Arial"/>
        </w:rPr>
        <w:t xml:space="preserve">investing in the pathways of technology that are designed to decarbonise the steel value chain. </w:t>
      </w:r>
    </w:p>
    <w:p w14:paraId="46C70C65" w14:textId="24ECB9ED" w:rsidR="002C09A0" w:rsidRPr="00BC747D" w:rsidRDefault="002C09A0" w:rsidP="00BC747D">
      <w:pPr>
        <w:spacing w:line="360" w:lineRule="auto"/>
        <w:rPr>
          <w:rFonts w:ascii="Arial" w:hAnsi="Arial" w:cs="Arial"/>
        </w:rPr>
      </w:pPr>
      <w:r w:rsidRPr="00BC747D">
        <w:rPr>
          <w:rFonts w:ascii="Arial" w:hAnsi="Arial" w:cs="Arial"/>
        </w:rPr>
        <w:t xml:space="preserve">These technological interventions environmental demand of the macro environment. As shown above, these value chain partnerships emphasise adopting the traditional blast furnace roots through carbon capture, usage and storage (CCUS) to attain the short to medium term emission intensity decreases. Concurrently, they also explored the secondary pathway of shifting towards the </w:t>
      </w:r>
      <w:r w:rsidR="00EF731E" w:rsidRPr="00BC747D">
        <w:rPr>
          <w:rFonts w:ascii="Arial" w:hAnsi="Arial" w:cs="Arial"/>
        </w:rPr>
        <w:t>hydrogen-based</w:t>
      </w:r>
      <w:r w:rsidRPr="00BC747D">
        <w:rPr>
          <w:rFonts w:ascii="Arial" w:hAnsi="Arial" w:cs="Arial"/>
        </w:rPr>
        <w:t xml:space="preserve"> direct reduced iron (DRI) and electric arc furnaces (EAFs), which can achieve about 85% of decrease in the intensity of carbon</w:t>
      </w:r>
      <w:r w:rsidR="004C4385" w:rsidRPr="00BC747D">
        <w:rPr>
          <w:rFonts w:ascii="Arial" w:hAnsi="Arial" w:cs="Arial"/>
        </w:rPr>
        <w:t xml:space="preserve"> (BHP, 2025b)</w:t>
      </w:r>
      <w:r w:rsidRPr="00BC747D">
        <w:rPr>
          <w:rFonts w:ascii="Arial" w:hAnsi="Arial" w:cs="Arial"/>
        </w:rPr>
        <w:t xml:space="preserve">. Using these collaborative research and development investments, BHP directly addresses the natural environmental actor and ensures that its iron ore </w:t>
      </w:r>
      <w:r w:rsidR="00EF731E" w:rsidRPr="00BC747D">
        <w:rPr>
          <w:rFonts w:ascii="Arial" w:hAnsi="Arial" w:cs="Arial"/>
        </w:rPr>
        <w:t>remains</w:t>
      </w:r>
      <w:r w:rsidRPr="00BC747D">
        <w:rPr>
          <w:rFonts w:ascii="Arial" w:hAnsi="Arial" w:cs="Arial"/>
        </w:rPr>
        <w:t xml:space="preserve"> the </w:t>
      </w:r>
      <w:r w:rsidR="00EF731E" w:rsidRPr="00BC747D">
        <w:rPr>
          <w:rFonts w:ascii="Arial" w:hAnsi="Arial" w:cs="Arial"/>
        </w:rPr>
        <w:t>preferred</w:t>
      </w:r>
      <w:r w:rsidRPr="00BC747D">
        <w:rPr>
          <w:rFonts w:ascii="Arial" w:hAnsi="Arial" w:cs="Arial"/>
        </w:rPr>
        <w:t xml:space="preserve">, commercially viable input as the global steelmakers experience increasing pressure due to </w:t>
      </w:r>
      <w:r w:rsidR="00EF731E" w:rsidRPr="00BC747D">
        <w:rPr>
          <w:rFonts w:ascii="Arial" w:hAnsi="Arial" w:cs="Arial"/>
        </w:rPr>
        <w:t xml:space="preserve">a </w:t>
      </w:r>
      <w:r w:rsidRPr="00BC747D">
        <w:rPr>
          <w:rFonts w:ascii="Arial" w:hAnsi="Arial" w:cs="Arial"/>
        </w:rPr>
        <w:t xml:space="preserve">decrease in carbon outputs. </w:t>
      </w:r>
    </w:p>
    <w:p w14:paraId="0DDA39EE" w14:textId="64D308E5" w:rsidR="002C09A0" w:rsidRPr="00BC747D" w:rsidRDefault="002C09A0" w:rsidP="00BC747D">
      <w:pPr>
        <w:pStyle w:val="Heading2"/>
        <w:spacing w:line="360" w:lineRule="auto"/>
        <w:rPr>
          <w:rFonts w:ascii="Arial" w:hAnsi="Arial" w:cs="Arial"/>
          <w:szCs w:val="24"/>
        </w:rPr>
      </w:pPr>
      <w:bookmarkStart w:id="5" w:name="_Toc233230643"/>
      <w:r w:rsidRPr="00BC747D">
        <w:rPr>
          <w:rFonts w:ascii="Arial" w:hAnsi="Arial" w:cs="Arial"/>
          <w:szCs w:val="24"/>
        </w:rPr>
        <w:t>Political and legal environmental actor</w:t>
      </w:r>
      <w:bookmarkEnd w:id="5"/>
    </w:p>
    <w:p w14:paraId="6FBDAB6E" w14:textId="1679CD0F" w:rsidR="002C09A0" w:rsidRPr="00BC747D" w:rsidRDefault="00BC747D" w:rsidP="00BC747D">
      <w:pPr>
        <w:pStyle w:val="Heading3"/>
        <w:spacing w:line="360" w:lineRule="auto"/>
        <w:rPr>
          <w:rFonts w:ascii="Arial" w:hAnsi="Arial" w:cs="Arial"/>
          <w:szCs w:val="24"/>
        </w:rPr>
      </w:pPr>
      <w:bookmarkStart w:id="6" w:name="_Toc233230644"/>
      <w:r w:rsidRPr="00BC747D">
        <w:rPr>
          <w:rFonts w:ascii="Arial" w:hAnsi="Arial" w:cs="Arial"/>
          <w:szCs w:val="24"/>
        </w:rPr>
        <w:t>D</w:t>
      </w:r>
      <w:r w:rsidR="002C09A0" w:rsidRPr="00BC747D">
        <w:rPr>
          <w:rFonts w:ascii="Arial" w:hAnsi="Arial" w:cs="Arial"/>
          <w:szCs w:val="24"/>
        </w:rPr>
        <w:t xml:space="preserve">omestic mandates: </w:t>
      </w:r>
      <w:r w:rsidR="00EF731E" w:rsidRPr="00BC747D">
        <w:rPr>
          <w:rFonts w:ascii="Arial" w:hAnsi="Arial" w:cs="Arial"/>
          <w:szCs w:val="24"/>
        </w:rPr>
        <w:t>Australia's</w:t>
      </w:r>
      <w:r w:rsidR="002C09A0" w:rsidRPr="00BC747D">
        <w:rPr>
          <w:rFonts w:ascii="Arial" w:hAnsi="Arial" w:cs="Arial"/>
          <w:szCs w:val="24"/>
        </w:rPr>
        <w:t xml:space="preserve"> safeguard mechanism</w:t>
      </w:r>
      <w:bookmarkEnd w:id="6"/>
    </w:p>
    <w:p w14:paraId="054A5C19" w14:textId="47F8B127" w:rsidR="00623C45" w:rsidRPr="00BC747D" w:rsidRDefault="00EF731E" w:rsidP="00BC747D">
      <w:pPr>
        <w:spacing w:line="360" w:lineRule="auto"/>
        <w:rPr>
          <w:rFonts w:ascii="Arial" w:hAnsi="Arial" w:cs="Arial"/>
        </w:rPr>
      </w:pPr>
      <w:r w:rsidRPr="00BC747D">
        <w:rPr>
          <w:rFonts w:ascii="Arial" w:hAnsi="Arial" w:cs="Arial"/>
        </w:rPr>
        <w:t>The</w:t>
      </w:r>
      <w:r w:rsidR="002C09A0" w:rsidRPr="00BC747D">
        <w:rPr>
          <w:rFonts w:ascii="Arial" w:hAnsi="Arial" w:cs="Arial"/>
        </w:rPr>
        <w:t xml:space="preserve"> legal and political environment includes the government agencies, loss and influential pressure groups that affect all </w:t>
      </w:r>
      <w:r w:rsidRPr="00BC747D">
        <w:rPr>
          <w:rFonts w:ascii="Arial" w:hAnsi="Arial" w:cs="Arial"/>
        </w:rPr>
        <w:t xml:space="preserve">and </w:t>
      </w:r>
      <w:r w:rsidR="002C09A0" w:rsidRPr="00BC747D">
        <w:rPr>
          <w:rFonts w:ascii="Arial" w:hAnsi="Arial" w:cs="Arial"/>
        </w:rPr>
        <w:t xml:space="preserve">limit the individuals or different </w:t>
      </w:r>
      <w:r w:rsidRPr="00BC747D">
        <w:rPr>
          <w:rFonts w:ascii="Arial" w:hAnsi="Arial" w:cs="Arial"/>
        </w:rPr>
        <w:t>organisations</w:t>
      </w:r>
      <w:r w:rsidR="002C09A0" w:rsidRPr="00BC747D">
        <w:rPr>
          <w:rFonts w:ascii="Arial" w:hAnsi="Arial" w:cs="Arial"/>
        </w:rPr>
        <w:t xml:space="preserve"> within the given society (Kotler et al., 2024). </w:t>
      </w:r>
      <w:r w:rsidRPr="00BC747D">
        <w:rPr>
          <w:rFonts w:ascii="Arial" w:hAnsi="Arial" w:cs="Arial"/>
        </w:rPr>
        <w:t>Governments</w:t>
      </w:r>
      <w:r w:rsidR="002C09A0" w:rsidRPr="00BC747D">
        <w:rPr>
          <w:rFonts w:ascii="Arial" w:hAnsi="Arial" w:cs="Arial"/>
        </w:rPr>
        <w:t xml:space="preserve"> </w:t>
      </w:r>
      <w:r w:rsidRPr="00BC747D">
        <w:rPr>
          <w:rFonts w:ascii="Arial" w:hAnsi="Arial" w:cs="Arial"/>
        </w:rPr>
        <w:t>around</w:t>
      </w:r>
      <w:r w:rsidR="002C09A0" w:rsidRPr="00BC747D">
        <w:rPr>
          <w:rFonts w:ascii="Arial" w:hAnsi="Arial" w:cs="Arial"/>
        </w:rPr>
        <w:t xml:space="preserve"> the </w:t>
      </w:r>
      <w:r w:rsidRPr="00BC747D">
        <w:rPr>
          <w:rFonts w:ascii="Arial" w:hAnsi="Arial" w:cs="Arial"/>
        </w:rPr>
        <w:t>globe</w:t>
      </w:r>
      <w:r w:rsidR="002C09A0" w:rsidRPr="00BC747D">
        <w:rPr>
          <w:rFonts w:ascii="Arial" w:hAnsi="Arial" w:cs="Arial"/>
        </w:rPr>
        <w:t xml:space="preserve"> are increasing the usage of legislative mechanisms to internalise the environmental costs, shifting the climate compliance from the voluntary CSR initiatives to the strict and legally binding operational requirements. For BHP, the most immediate domestic legal force is the reformed Safeguard Mechanism of Australia, which has entered its enforcement phase and full compliance.  This regulatory framework is applicable strictly to facilitate emitting more than 1,00,000 tonnes of carbon dioxide equivalent (CO2-e) of direct emissions per year, capturing the primary coal, iron ore and nickel operations of BHP</w:t>
      </w:r>
      <w:r w:rsidR="00623C45" w:rsidRPr="00BC747D">
        <w:rPr>
          <w:rFonts w:ascii="Arial" w:hAnsi="Arial" w:cs="Arial"/>
        </w:rPr>
        <w:t xml:space="preserve"> (Department of Climate Change, Energy, the Environment and Water, 2026)</w:t>
      </w:r>
      <w:r w:rsidR="002C09A0" w:rsidRPr="00BC747D">
        <w:rPr>
          <w:rFonts w:ascii="Arial" w:hAnsi="Arial" w:cs="Arial"/>
        </w:rPr>
        <w:t xml:space="preserve">. Under the reformed rules that are administered by the Clean Energy Regulators, keyboard facilities are legally mandated to decrease their fundamental emissions intensity by 4.9% yearly until 2030. If the facility </w:t>
      </w:r>
      <w:r w:rsidRPr="00BC747D">
        <w:rPr>
          <w:rFonts w:ascii="Arial" w:hAnsi="Arial" w:cs="Arial"/>
        </w:rPr>
        <w:t>increases</w:t>
      </w:r>
      <w:r w:rsidR="002C09A0" w:rsidRPr="00BC747D">
        <w:rPr>
          <w:rFonts w:ascii="Arial" w:hAnsi="Arial" w:cs="Arial"/>
        </w:rPr>
        <w:t xml:space="preserve"> its </w:t>
      </w:r>
      <w:r w:rsidR="002C09A0" w:rsidRPr="00BC747D">
        <w:rPr>
          <w:rFonts w:ascii="Arial" w:hAnsi="Arial" w:cs="Arial"/>
        </w:rPr>
        <w:lastRenderedPageBreak/>
        <w:t xml:space="preserve">decreasing legislated baseline, the liable entity must manage the increased emissions by surrendering and purchasing the regulatory carbon credits, like the Australian carbon credit units (ACCUs) or face severe civil penalties. </w:t>
      </w:r>
      <w:r w:rsidR="00623C45" w:rsidRPr="00BC747D">
        <w:rPr>
          <w:rFonts w:ascii="Arial" w:hAnsi="Arial" w:cs="Arial"/>
        </w:rPr>
        <w:t>As several structural technologies are required to fully upgrade the mining emissions (like fugitive methane capturing systems and heavy battery electric haul trucks)</w:t>
      </w:r>
      <w:r w:rsidRPr="00BC747D">
        <w:rPr>
          <w:rFonts w:ascii="Arial" w:hAnsi="Arial" w:cs="Arial"/>
        </w:rPr>
        <w:t>, which</w:t>
      </w:r>
      <w:r w:rsidR="00623C45" w:rsidRPr="00BC747D">
        <w:rPr>
          <w:rFonts w:ascii="Arial" w:hAnsi="Arial" w:cs="Arial"/>
        </w:rPr>
        <w:t xml:space="preserve"> are not yet commercially deployable at the scale, this legal actor leads to the direct financial liability (BHP, 2026b). BHP is forced to manage the balance between its operational cost structures and the proactive capital allocation for carbon offset procurement and abatement, which can help the company to prove that legal mechanisms can directly change the economics of mineral extraction.</w:t>
      </w:r>
    </w:p>
    <w:p w14:paraId="77D1D902" w14:textId="77777777" w:rsidR="00623C45" w:rsidRPr="00BC747D" w:rsidRDefault="00623C45" w:rsidP="00BC747D">
      <w:pPr>
        <w:spacing w:line="360" w:lineRule="auto"/>
        <w:rPr>
          <w:rFonts w:ascii="Arial" w:hAnsi="Arial" w:cs="Arial"/>
        </w:rPr>
      </w:pPr>
    </w:p>
    <w:p w14:paraId="659811D6" w14:textId="77777777" w:rsidR="00623C45" w:rsidRPr="00BC747D" w:rsidRDefault="00623C45" w:rsidP="00BC747D">
      <w:pPr>
        <w:keepNext/>
        <w:spacing w:line="360" w:lineRule="auto"/>
        <w:rPr>
          <w:rFonts w:ascii="Arial" w:hAnsi="Arial" w:cs="Arial"/>
        </w:rPr>
      </w:pPr>
      <w:r w:rsidRPr="00BC747D">
        <w:rPr>
          <w:rFonts w:ascii="Arial" w:hAnsi="Arial" w:cs="Arial"/>
          <w:noProof/>
        </w:rPr>
        <w:drawing>
          <wp:inline distT="0" distB="0" distL="0" distR="0" wp14:anchorId="04DD12ED" wp14:editId="2C9673FF">
            <wp:extent cx="5731510" cy="4791710"/>
            <wp:effectExtent l="152400" t="152400" r="364490" b="370840"/>
            <wp:docPr id="1274429965" name="Picture 3" descr="Value chain GHG emission reductions | B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lue chain GHG emission reductions | BH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791710"/>
                    </a:xfrm>
                    <a:prstGeom prst="rect">
                      <a:avLst/>
                    </a:prstGeom>
                    <a:ln>
                      <a:noFill/>
                    </a:ln>
                    <a:effectLst>
                      <a:outerShdw blurRad="292100" dist="139700" dir="2700000" algn="tl" rotWithShape="0">
                        <a:srgbClr val="333333">
                          <a:alpha val="65000"/>
                        </a:srgbClr>
                      </a:outerShdw>
                    </a:effectLst>
                  </pic:spPr>
                </pic:pic>
              </a:graphicData>
            </a:graphic>
          </wp:inline>
        </w:drawing>
      </w:r>
    </w:p>
    <w:p w14:paraId="126724D9" w14:textId="1CC182C3" w:rsidR="00623C45" w:rsidRPr="00BC747D" w:rsidRDefault="00623C45" w:rsidP="00BC747D">
      <w:pPr>
        <w:pStyle w:val="Caption"/>
        <w:spacing w:line="360" w:lineRule="auto"/>
        <w:rPr>
          <w:rFonts w:ascii="Arial" w:hAnsi="Arial" w:cs="Arial"/>
          <w:szCs w:val="24"/>
        </w:rPr>
      </w:pPr>
      <w:r w:rsidRPr="00BC747D">
        <w:rPr>
          <w:rFonts w:ascii="Arial" w:hAnsi="Arial" w:cs="Arial"/>
          <w:szCs w:val="24"/>
        </w:rPr>
        <w:t xml:space="preserve">Figure </w:t>
      </w:r>
      <w:r w:rsidRPr="00BC747D">
        <w:rPr>
          <w:rFonts w:ascii="Arial" w:hAnsi="Arial" w:cs="Arial"/>
          <w:szCs w:val="24"/>
        </w:rPr>
        <w:fldChar w:fldCharType="begin"/>
      </w:r>
      <w:r w:rsidRPr="00BC747D">
        <w:rPr>
          <w:rFonts w:ascii="Arial" w:hAnsi="Arial" w:cs="Arial"/>
          <w:szCs w:val="24"/>
        </w:rPr>
        <w:instrText xml:space="preserve"> SEQ Figure \* ARABIC </w:instrText>
      </w:r>
      <w:r w:rsidRPr="00BC747D">
        <w:rPr>
          <w:rFonts w:ascii="Arial" w:hAnsi="Arial" w:cs="Arial"/>
          <w:szCs w:val="24"/>
        </w:rPr>
        <w:fldChar w:fldCharType="separate"/>
      </w:r>
      <w:r w:rsidRPr="00BC747D">
        <w:rPr>
          <w:rFonts w:ascii="Arial" w:hAnsi="Arial" w:cs="Arial"/>
          <w:noProof/>
          <w:szCs w:val="24"/>
        </w:rPr>
        <w:t>2</w:t>
      </w:r>
      <w:r w:rsidRPr="00BC747D">
        <w:rPr>
          <w:rFonts w:ascii="Arial" w:hAnsi="Arial" w:cs="Arial"/>
          <w:szCs w:val="24"/>
        </w:rPr>
        <w:fldChar w:fldCharType="end"/>
      </w:r>
      <w:r w:rsidRPr="00BC747D">
        <w:rPr>
          <w:rFonts w:ascii="Arial" w:hAnsi="Arial" w:cs="Arial"/>
          <w:szCs w:val="24"/>
        </w:rPr>
        <w:t>: Value Chain GHG emission reductions</w:t>
      </w:r>
    </w:p>
    <w:p w14:paraId="555883FA" w14:textId="54139A8B" w:rsidR="00623C45" w:rsidRPr="00BC747D" w:rsidRDefault="00623C45" w:rsidP="00BC747D">
      <w:pPr>
        <w:spacing w:line="360" w:lineRule="auto"/>
        <w:rPr>
          <w:rFonts w:ascii="Arial" w:hAnsi="Arial" w:cs="Arial"/>
        </w:rPr>
      </w:pPr>
      <w:r w:rsidRPr="00BC747D">
        <w:rPr>
          <w:rFonts w:ascii="Arial" w:hAnsi="Arial" w:cs="Arial"/>
        </w:rPr>
        <w:lastRenderedPageBreak/>
        <w:t>(Source: BHP, 2025</w:t>
      </w:r>
      <w:r w:rsidR="004C4385" w:rsidRPr="00BC747D">
        <w:rPr>
          <w:rFonts w:ascii="Arial" w:hAnsi="Arial" w:cs="Arial"/>
        </w:rPr>
        <w:t>a</w:t>
      </w:r>
      <w:r w:rsidRPr="00BC747D">
        <w:rPr>
          <w:rFonts w:ascii="Arial" w:hAnsi="Arial" w:cs="Arial"/>
        </w:rPr>
        <w:t>)</w:t>
      </w:r>
    </w:p>
    <w:p w14:paraId="4CADA297" w14:textId="4DB883B5" w:rsidR="00623C45" w:rsidRPr="00BC747D" w:rsidRDefault="008725CF" w:rsidP="00BC747D">
      <w:pPr>
        <w:pStyle w:val="Heading1"/>
        <w:spacing w:line="360" w:lineRule="auto"/>
        <w:rPr>
          <w:rFonts w:ascii="Arial" w:hAnsi="Arial" w:cs="Arial"/>
          <w:szCs w:val="24"/>
        </w:rPr>
      </w:pPr>
      <w:bookmarkStart w:id="7" w:name="_Toc233230645"/>
      <w:r w:rsidRPr="00BC747D">
        <w:rPr>
          <w:rFonts w:ascii="Arial" w:hAnsi="Arial" w:cs="Arial"/>
          <w:szCs w:val="24"/>
        </w:rPr>
        <w:t>Task 2: Strategic Growth and Competitive Positioning</w:t>
      </w:r>
      <w:bookmarkEnd w:id="7"/>
    </w:p>
    <w:p w14:paraId="63EA00BE" w14:textId="5C54DDDB" w:rsidR="008725CF" w:rsidRPr="00BC747D" w:rsidRDefault="008725CF" w:rsidP="00BC747D">
      <w:pPr>
        <w:spacing w:line="360" w:lineRule="auto"/>
        <w:rPr>
          <w:rFonts w:ascii="Arial" w:hAnsi="Arial" w:cs="Arial"/>
        </w:rPr>
      </w:pPr>
      <w:r w:rsidRPr="00BC747D">
        <w:rPr>
          <w:rFonts w:ascii="Arial" w:hAnsi="Arial" w:cs="Arial"/>
        </w:rPr>
        <w:t xml:space="preserve">On the basis of the environmental analysis presented above, BHP is required to proactively manage the external pressures by choosing clear pathways for growth. When the </w:t>
      </w:r>
      <w:r w:rsidR="00EF731E" w:rsidRPr="00BC747D">
        <w:rPr>
          <w:rFonts w:ascii="Arial" w:hAnsi="Arial" w:cs="Arial"/>
        </w:rPr>
        <w:t>organisation</w:t>
      </w:r>
      <w:r w:rsidRPr="00BC747D">
        <w:rPr>
          <w:rFonts w:ascii="Arial" w:hAnsi="Arial" w:cs="Arial"/>
        </w:rPr>
        <w:t xml:space="preserve"> faces </w:t>
      </w:r>
      <w:r w:rsidR="00EF731E" w:rsidRPr="00BC747D">
        <w:rPr>
          <w:rFonts w:ascii="Arial" w:hAnsi="Arial" w:cs="Arial"/>
        </w:rPr>
        <w:t xml:space="preserve">a </w:t>
      </w:r>
      <w:r w:rsidRPr="00BC747D">
        <w:rPr>
          <w:rFonts w:ascii="Arial" w:hAnsi="Arial" w:cs="Arial"/>
        </w:rPr>
        <w:t xml:space="preserve">massive transition </w:t>
      </w:r>
      <w:r w:rsidR="00EF731E" w:rsidRPr="00BC747D">
        <w:rPr>
          <w:rFonts w:ascii="Arial" w:hAnsi="Arial" w:cs="Arial"/>
        </w:rPr>
        <w:t>in</w:t>
      </w:r>
      <w:r w:rsidRPr="00BC747D">
        <w:rPr>
          <w:rFonts w:ascii="Arial" w:hAnsi="Arial" w:cs="Arial"/>
        </w:rPr>
        <w:t xml:space="preserve"> its business environment, it cannot stand still. It is required to decide how to grow while making changes </w:t>
      </w:r>
      <w:r w:rsidR="00EF731E" w:rsidRPr="00BC747D">
        <w:rPr>
          <w:rFonts w:ascii="Arial" w:hAnsi="Arial" w:cs="Arial"/>
        </w:rPr>
        <w:t>to the</w:t>
      </w:r>
      <w:r w:rsidRPr="00BC747D">
        <w:rPr>
          <w:rFonts w:ascii="Arial" w:hAnsi="Arial" w:cs="Arial"/>
        </w:rPr>
        <w:t xml:space="preserve"> arts business model. To evaluate how the company can achieve </w:t>
      </w:r>
      <w:r w:rsidR="00EF731E" w:rsidRPr="00BC747D">
        <w:rPr>
          <w:rFonts w:ascii="Arial" w:hAnsi="Arial" w:cs="Arial"/>
        </w:rPr>
        <w:t>long-term</w:t>
      </w:r>
      <w:r w:rsidRPr="00BC747D">
        <w:rPr>
          <w:rFonts w:ascii="Arial" w:hAnsi="Arial" w:cs="Arial"/>
        </w:rPr>
        <w:t xml:space="preserve"> growth while also moving towards </w:t>
      </w:r>
      <w:r w:rsidR="00EF731E" w:rsidRPr="00BC747D">
        <w:rPr>
          <w:rFonts w:ascii="Arial" w:hAnsi="Arial" w:cs="Arial"/>
        </w:rPr>
        <w:t>a low-carbon</w:t>
      </w:r>
      <w:r w:rsidRPr="00BC747D">
        <w:rPr>
          <w:rFonts w:ascii="Arial" w:hAnsi="Arial" w:cs="Arial"/>
        </w:rPr>
        <w:t xml:space="preserve"> business model, </w:t>
      </w:r>
      <w:r w:rsidR="00EF731E" w:rsidRPr="00BC747D">
        <w:rPr>
          <w:rFonts w:ascii="Arial" w:hAnsi="Arial" w:cs="Arial"/>
        </w:rPr>
        <w:t xml:space="preserve">the </w:t>
      </w:r>
      <w:r w:rsidRPr="00BC747D">
        <w:rPr>
          <w:rFonts w:ascii="Arial" w:hAnsi="Arial" w:cs="Arial"/>
        </w:rPr>
        <w:t xml:space="preserve">Ansoff matrix has been used. This classic marketing framework is helpful </w:t>
      </w:r>
      <w:r w:rsidR="00EF731E" w:rsidRPr="00BC747D">
        <w:rPr>
          <w:rFonts w:ascii="Arial" w:hAnsi="Arial" w:cs="Arial"/>
        </w:rPr>
        <w:t>for honing</w:t>
      </w:r>
      <w:r w:rsidRPr="00BC747D">
        <w:rPr>
          <w:rFonts w:ascii="Arial" w:hAnsi="Arial" w:cs="Arial"/>
        </w:rPr>
        <w:t xml:space="preserve"> stations to select between the 4 different growth strategies on the basis of whether they are working with existing or new products and existing or new markets. By integrating Michael Porter’s Generic Strategies with the Ansoff Matrix, it will be evaluated how BHP can develop a lasting competitive rivalry over its competitors during the global green transition. </w:t>
      </w:r>
    </w:p>
    <w:p w14:paraId="76D7FD84" w14:textId="196F4866" w:rsidR="008725CF" w:rsidRPr="00BC747D" w:rsidRDefault="007D27F5" w:rsidP="00BC747D">
      <w:pPr>
        <w:pStyle w:val="Heading2"/>
        <w:spacing w:line="360" w:lineRule="auto"/>
        <w:rPr>
          <w:rFonts w:ascii="Arial" w:hAnsi="Arial" w:cs="Arial"/>
          <w:szCs w:val="24"/>
        </w:rPr>
      </w:pPr>
      <w:bookmarkStart w:id="8" w:name="_Toc233230646"/>
      <w:r w:rsidRPr="00BC747D">
        <w:rPr>
          <w:rFonts w:ascii="Arial" w:hAnsi="Arial" w:cs="Arial"/>
          <w:szCs w:val="24"/>
        </w:rPr>
        <w:t>Ansoff Matrix</w:t>
      </w:r>
      <w:bookmarkEnd w:id="8"/>
      <w:r w:rsidRPr="00BC747D">
        <w:rPr>
          <w:rFonts w:ascii="Arial" w:hAnsi="Arial" w:cs="Arial"/>
          <w:szCs w:val="24"/>
        </w:rPr>
        <w:t xml:space="preserve"> </w:t>
      </w:r>
    </w:p>
    <w:p w14:paraId="7335B2D8" w14:textId="5EC2EBC2" w:rsidR="007D27F5" w:rsidRPr="00BC747D" w:rsidRDefault="007D27F5" w:rsidP="00BC747D">
      <w:pPr>
        <w:spacing w:line="360" w:lineRule="auto"/>
        <w:rPr>
          <w:rFonts w:ascii="Arial" w:hAnsi="Arial" w:cs="Arial"/>
        </w:rPr>
      </w:pPr>
      <w:r w:rsidRPr="00BC747D">
        <w:rPr>
          <w:rFonts w:ascii="Arial" w:hAnsi="Arial" w:cs="Arial"/>
        </w:rPr>
        <w:t xml:space="preserve">Ansoff matrix </w:t>
      </w:r>
      <w:r w:rsidR="00EF731E" w:rsidRPr="00BC747D">
        <w:rPr>
          <w:rFonts w:ascii="Arial" w:hAnsi="Arial" w:cs="Arial"/>
        </w:rPr>
        <w:t>provides</w:t>
      </w:r>
      <w:r w:rsidRPr="00BC747D">
        <w:rPr>
          <w:rFonts w:ascii="Arial" w:hAnsi="Arial" w:cs="Arial"/>
        </w:rPr>
        <w:t xml:space="preserve"> 4 different pathways for growth of the </w:t>
      </w:r>
      <w:r w:rsidR="00EF731E" w:rsidRPr="00BC747D">
        <w:rPr>
          <w:rFonts w:ascii="Arial" w:hAnsi="Arial" w:cs="Arial"/>
        </w:rPr>
        <w:t>organisation,</w:t>
      </w:r>
      <w:r w:rsidRPr="00BC747D">
        <w:rPr>
          <w:rFonts w:ascii="Arial" w:hAnsi="Arial" w:cs="Arial"/>
        </w:rPr>
        <w:t xml:space="preserve"> including market penetration, market development</w:t>
      </w:r>
      <w:r w:rsidR="00EF731E" w:rsidRPr="00BC747D">
        <w:rPr>
          <w:rFonts w:ascii="Arial" w:hAnsi="Arial" w:cs="Arial"/>
        </w:rPr>
        <w:t>,</w:t>
      </w:r>
      <w:r w:rsidRPr="00BC747D">
        <w:rPr>
          <w:rFonts w:ascii="Arial" w:hAnsi="Arial" w:cs="Arial"/>
        </w:rPr>
        <w:t xml:space="preserve"> diversification and product development. In the case of BHP, the movement toward the </w:t>
      </w:r>
      <w:r w:rsidR="00EF731E" w:rsidRPr="00BC747D">
        <w:rPr>
          <w:rFonts w:ascii="Arial" w:hAnsi="Arial" w:cs="Arial"/>
        </w:rPr>
        <w:t>low-carbon</w:t>
      </w:r>
      <w:r w:rsidRPr="00BC747D">
        <w:rPr>
          <w:rFonts w:ascii="Arial" w:hAnsi="Arial" w:cs="Arial"/>
        </w:rPr>
        <w:t xml:space="preserve"> economy needs </w:t>
      </w:r>
      <w:r w:rsidR="00EF731E" w:rsidRPr="00BC747D">
        <w:rPr>
          <w:rFonts w:ascii="Arial" w:hAnsi="Arial" w:cs="Arial"/>
        </w:rPr>
        <w:t>a</w:t>
      </w:r>
      <w:r w:rsidRPr="00BC747D">
        <w:rPr>
          <w:rFonts w:ascii="Arial" w:hAnsi="Arial" w:cs="Arial"/>
        </w:rPr>
        <w:t xml:space="preserve"> mixture of these strategies to decrease the risk and capture new market value. </w:t>
      </w:r>
    </w:p>
    <w:tbl>
      <w:tblPr>
        <w:tblStyle w:val="TableGrid"/>
        <w:tblW w:w="0" w:type="auto"/>
        <w:tblLook w:val="04A0" w:firstRow="1" w:lastRow="0" w:firstColumn="1" w:lastColumn="0" w:noHBand="0" w:noVBand="1"/>
      </w:tblPr>
      <w:tblGrid>
        <w:gridCol w:w="3005"/>
        <w:gridCol w:w="3005"/>
        <w:gridCol w:w="3006"/>
      </w:tblGrid>
      <w:tr w:rsidR="007D27F5" w:rsidRPr="00BC747D" w14:paraId="032BEAB3" w14:textId="77777777" w:rsidTr="007D27F5">
        <w:tc>
          <w:tcPr>
            <w:tcW w:w="3005" w:type="dxa"/>
          </w:tcPr>
          <w:p w14:paraId="3A78B21F" w14:textId="77777777" w:rsidR="007D27F5" w:rsidRPr="00BC747D" w:rsidRDefault="007D27F5" w:rsidP="00BC747D">
            <w:pPr>
              <w:spacing w:line="360" w:lineRule="auto"/>
              <w:rPr>
                <w:rFonts w:ascii="Arial" w:hAnsi="Arial" w:cs="Arial"/>
              </w:rPr>
            </w:pPr>
          </w:p>
        </w:tc>
        <w:tc>
          <w:tcPr>
            <w:tcW w:w="3005" w:type="dxa"/>
          </w:tcPr>
          <w:p w14:paraId="43562774" w14:textId="17DBC374" w:rsidR="007D27F5" w:rsidRPr="00BC747D" w:rsidRDefault="007D27F5" w:rsidP="00BC747D">
            <w:pPr>
              <w:spacing w:line="360" w:lineRule="auto"/>
              <w:rPr>
                <w:rFonts w:ascii="Arial" w:hAnsi="Arial" w:cs="Arial"/>
                <w:b/>
                <w:bCs/>
              </w:rPr>
            </w:pPr>
            <w:r w:rsidRPr="00BC747D">
              <w:rPr>
                <w:rFonts w:ascii="Arial" w:hAnsi="Arial" w:cs="Arial"/>
                <w:b/>
                <w:bCs/>
              </w:rPr>
              <w:t xml:space="preserve">Existing </w:t>
            </w:r>
            <w:r w:rsidR="00BC747D" w:rsidRPr="00BC747D">
              <w:rPr>
                <w:rFonts w:ascii="Arial" w:hAnsi="Arial" w:cs="Arial"/>
                <w:b/>
                <w:bCs/>
              </w:rPr>
              <w:t>Products</w:t>
            </w:r>
          </w:p>
        </w:tc>
        <w:tc>
          <w:tcPr>
            <w:tcW w:w="3006" w:type="dxa"/>
          </w:tcPr>
          <w:p w14:paraId="5B345EF6" w14:textId="0940953C" w:rsidR="007D27F5" w:rsidRPr="00BC747D" w:rsidRDefault="00BC747D" w:rsidP="00BC747D">
            <w:pPr>
              <w:spacing w:line="360" w:lineRule="auto"/>
              <w:rPr>
                <w:rFonts w:ascii="Arial" w:hAnsi="Arial" w:cs="Arial"/>
                <w:b/>
                <w:bCs/>
              </w:rPr>
            </w:pPr>
            <w:r w:rsidRPr="00BC747D">
              <w:rPr>
                <w:rFonts w:ascii="Arial" w:hAnsi="Arial" w:cs="Arial"/>
                <w:b/>
                <w:bCs/>
              </w:rPr>
              <w:t>New Products</w:t>
            </w:r>
          </w:p>
        </w:tc>
      </w:tr>
      <w:tr w:rsidR="007D27F5" w:rsidRPr="00BC747D" w14:paraId="42CE20AF" w14:textId="77777777" w:rsidTr="007D27F5">
        <w:tc>
          <w:tcPr>
            <w:tcW w:w="3005" w:type="dxa"/>
          </w:tcPr>
          <w:p w14:paraId="46D774A6" w14:textId="4625A26A" w:rsidR="007D27F5" w:rsidRPr="00BC747D" w:rsidRDefault="00BC747D" w:rsidP="00BC747D">
            <w:pPr>
              <w:spacing w:line="360" w:lineRule="auto"/>
              <w:rPr>
                <w:rFonts w:ascii="Arial" w:hAnsi="Arial" w:cs="Arial"/>
                <w:b/>
                <w:bCs/>
              </w:rPr>
            </w:pPr>
            <w:r w:rsidRPr="00BC747D">
              <w:rPr>
                <w:rFonts w:ascii="Arial" w:hAnsi="Arial" w:cs="Arial"/>
                <w:b/>
                <w:bCs/>
              </w:rPr>
              <w:t>E</w:t>
            </w:r>
            <w:r w:rsidR="007D27F5" w:rsidRPr="00BC747D">
              <w:rPr>
                <w:rFonts w:ascii="Arial" w:hAnsi="Arial" w:cs="Arial"/>
                <w:b/>
                <w:bCs/>
              </w:rPr>
              <w:t xml:space="preserve">xisting </w:t>
            </w:r>
            <w:r w:rsidRPr="00BC747D">
              <w:rPr>
                <w:rFonts w:ascii="Arial" w:hAnsi="Arial" w:cs="Arial"/>
                <w:b/>
                <w:bCs/>
              </w:rPr>
              <w:t>Markets</w:t>
            </w:r>
          </w:p>
        </w:tc>
        <w:tc>
          <w:tcPr>
            <w:tcW w:w="3005" w:type="dxa"/>
          </w:tcPr>
          <w:p w14:paraId="384E8B8A" w14:textId="0ED036A0" w:rsidR="007D27F5" w:rsidRPr="00BC747D" w:rsidRDefault="00BC747D" w:rsidP="00BC747D">
            <w:pPr>
              <w:spacing w:line="360" w:lineRule="auto"/>
              <w:rPr>
                <w:rFonts w:ascii="Arial" w:hAnsi="Arial" w:cs="Arial"/>
              </w:rPr>
            </w:pPr>
            <w:r w:rsidRPr="00BC747D">
              <w:rPr>
                <w:rFonts w:ascii="Arial" w:hAnsi="Arial" w:cs="Arial"/>
              </w:rPr>
              <w:t>Market Penetration</w:t>
            </w:r>
          </w:p>
          <w:p w14:paraId="52A2D0CF" w14:textId="576F0261" w:rsidR="007D27F5" w:rsidRPr="00BC747D" w:rsidRDefault="007D27F5" w:rsidP="00BC747D">
            <w:pPr>
              <w:spacing w:line="360" w:lineRule="auto"/>
              <w:rPr>
                <w:rFonts w:ascii="Arial" w:hAnsi="Arial" w:cs="Arial"/>
              </w:rPr>
            </w:pPr>
            <w:r w:rsidRPr="00BC747D">
              <w:rPr>
                <w:rFonts w:ascii="Arial" w:hAnsi="Arial" w:cs="Arial"/>
              </w:rPr>
              <w:t>(</w:t>
            </w:r>
            <w:r w:rsidR="00EF731E" w:rsidRPr="00BC747D">
              <w:rPr>
                <w:rFonts w:ascii="Arial" w:hAnsi="Arial" w:cs="Arial"/>
              </w:rPr>
              <w:t>high-grade</w:t>
            </w:r>
            <w:r w:rsidRPr="00BC747D">
              <w:rPr>
                <w:rFonts w:ascii="Arial" w:hAnsi="Arial" w:cs="Arial"/>
              </w:rPr>
              <w:t xml:space="preserve"> iron ore)</w:t>
            </w:r>
          </w:p>
        </w:tc>
        <w:tc>
          <w:tcPr>
            <w:tcW w:w="3006" w:type="dxa"/>
          </w:tcPr>
          <w:p w14:paraId="7A512F14" w14:textId="7334E5FE" w:rsidR="007D27F5" w:rsidRPr="00BC747D" w:rsidRDefault="00BC747D" w:rsidP="00BC747D">
            <w:pPr>
              <w:spacing w:line="360" w:lineRule="auto"/>
              <w:rPr>
                <w:rFonts w:ascii="Arial" w:hAnsi="Arial" w:cs="Arial"/>
              </w:rPr>
            </w:pPr>
            <w:r w:rsidRPr="00BC747D">
              <w:rPr>
                <w:rFonts w:ascii="Arial" w:hAnsi="Arial" w:cs="Arial"/>
              </w:rPr>
              <w:t>Product Development</w:t>
            </w:r>
          </w:p>
          <w:p w14:paraId="4B317123" w14:textId="7005814E" w:rsidR="007D27F5" w:rsidRPr="00BC747D" w:rsidRDefault="007D27F5" w:rsidP="00BC747D">
            <w:pPr>
              <w:spacing w:line="360" w:lineRule="auto"/>
              <w:rPr>
                <w:rFonts w:ascii="Arial" w:hAnsi="Arial" w:cs="Arial"/>
              </w:rPr>
            </w:pPr>
            <w:r w:rsidRPr="00BC747D">
              <w:rPr>
                <w:rFonts w:ascii="Arial" w:hAnsi="Arial" w:cs="Arial"/>
              </w:rPr>
              <w:t xml:space="preserve"> (carbon abated raw materials/green hydrogen)</w:t>
            </w:r>
          </w:p>
        </w:tc>
      </w:tr>
      <w:tr w:rsidR="007D27F5" w:rsidRPr="00BC747D" w14:paraId="35A66AA5" w14:textId="77777777" w:rsidTr="007D27F5">
        <w:tc>
          <w:tcPr>
            <w:tcW w:w="3005" w:type="dxa"/>
          </w:tcPr>
          <w:p w14:paraId="78C8B2A9" w14:textId="7100785E" w:rsidR="007D27F5" w:rsidRPr="00BC747D" w:rsidRDefault="00BC747D" w:rsidP="00BC747D">
            <w:pPr>
              <w:spacing w:line="360" w:lineRule="auto"/>
              <w:rPr>
                <w:rFonts w:ascii="Arial" w:hAnsi="Arial" w:cs="Arial"/>
                <w:b/>
                <w:bCs/>
              </w:rPr>
            </w:pPr>
            <w:r w:rsidRPr="00BC747D">
              <w:rPr>
                <w:rFonts w:ascii="Arial" w:hAnsi="Arial" w:cs="Arial"/>
                <w:b/>
                <w:bCs/>
              </w:rPr>
              <w:t>N</w:t>
            </w:r>
            <w:r w:rsidR="007D27F5" w:rsidRPr="00BC747D">
              <w:rPr>
                <w:rFonts w:ascii="Arial" w:hAnsi="Arial" w:cs="Arial"/>
                <w:b/>
                <w:bCs/>
              </w:rPr>
              <w:t xml:space="preserve">ew </w:t>
            </w:r>
            <w:r w:rsidRPr="00BC747D">
              <w:rPr>
                <w:rFonts w:ascii="Arial" w:hAnsi="Arial" w:cs="Arial"/>
                <w:b/>
                <w:bCs/>
              </w:rPr>
              <w:t>Markets</w:t>
            </w:r>
          </w:p>
        </w:tc>
        <w:tc>
          <w:tcPr>
            <w:tcW w:w="3005" w:type="dxa"/>
          </w:tcPr>
          <w:p w14:paraId="040EDD71" w14:textId="0B9FCE94" w:rsidR="007D27F5" w:rsidRPr="00BC747D" w:rsidRDefault="00BC747D" w:rsidP="00BC747D">
            <w:pPr>
              <w:spacing w:line="360" w:lineRule="auto"/>
              <w:rPr>
                <w:rFonts w:ascii="Arial" w:hAnsi="Arial" w:cs="Arial"/>
              </w:rPr>
            </w:pPr>
            <w:r w:rsidRPr="00BC747D">
              <w:rPr>
                <w:rFonts w:ascii="Arial" w:hAnsi="Arial" w:cs="Arial"/>
              </w:rPr>
              <w:t>Market Development</w:t>
            </w:r>
          </w:p>
          <w:p w14:paraId="467AFC79" w14:textId="44B9A254" w:rsidR="007D27F5" w:rsidRPr="00BC747D" w:rsidRDefault="007D27F5" w:rsidP="00BC747D">
            <w:pPr>
              <w:spacing w:line="360" w:lineRule="auto"/>
              <w:rPr>
                <w:rFonts w:ascii="Arial" w:hAnsi="Arial" w:cs="Arial"/>
              </w:rPr>
            </w:pPr>
            <w:r w:rsidRPr="00BC747D">
              <w:rPr>
                <w:rFonts w:ascii="Arial" w:hAnsi="Arial" w:cs="Arial"/>
              </w:rPr>
              <w:t xml:space="preserve"> (copper and nickel into new battery value chains)</w:t>
            </w:r>
          </w:p>
        </w:tc>
        <w:tc>
          <w:tcPr>
            <w:tcW w:w="3006" w:type="dxa"/>
          </w:tcPr>
          <w:p w14:paraId="4B1F0930" w14:textId="06B12938" w:rsidR="007D27F5" w:rsidRPr="00BC747D" w:rsidRDefault="007D27F5" w:rsidP="00BC747D">
            <w:pPr>
              <w:spacing w:line="360" w:lineRule="auto"/>
              <w:rPr>
                <w:rFonts w:ascii="Arial" w:hAnsi="Arial" w:cs="Arial"/>
              </w:rPr>
            </w:pPr>
            <w:r w:rsidRPr="00BC747D">
              <w:rPr>
                <w:rFonts w:ascii="Arial" w:hAnsi="Arial" w:cs="Arial"/>
              </w:rPr>
              <w:t>Diversification</w:t>
            </w:r>
          </w:p>
          <w:p w14:paraId="77348A31" w14:textId="48A3DAC1" w:rsidR="007D27F5" w:rsidRPr="00BC747D" w:rsidRDefault="007D27F5" w:rsidP="00BC747D">
            <w:pPr>
              <w:spacing w:line="360" w:lineRule="auto"/>
              <w:rPr>
                <w:rFonts w:ascii="Arial" w:hAnsi="Arial" w:cs="Arial"/>
              </w:rPr>
            </w:pPr>
            <w:r w:rsidRPr="00BC747D">
              <w:rPr>
                <w:rFonts w:ascii="Arial" w:hAnsi="Arial" w:cs="Arial"/>
              </w:rPr>
              <w:t>(Jansen Potash Project for sustainable farming)</w:t>
            </w:r>
          </w:p>
        </w:tc>
      </w:tr>
    </w:tbl>
    <w:p w14:paraId="4B175755" w14:textId="77777777" w:rsidR="007D27F5" w:rsidRPr="00BC747D" w:rsidRDefault="007D27F5" w:rsidP="00BC747D">
      <w:pPr>
        <w:spacing w:line="360" w:lineRule="auto"/>
        <w:rPr>
          <w:rFonts w:ascii="Arial" w:hAnsi="Arial" w:cs="Arial"/>
        </w:rPr>
      </w:pPr>
    </w:p>
    <w:p w14:paraId="7884BBD4" w14:textId="6BECEAED" w:rsidR="007D27F5" w:rsidRPr="00BC747D" w:rsidRDefault="00BC747D" w:rsidP="00BC747D">
      <w:pPr>
        <w:spacing w:line="360" w:lineRule="auto"/>
        <w:rPr>
          <w:rFonts w:ascii="Arial" w:hAnsi="Arial" w:cs="Arial"/>
          <w:b/>
          <w:bCs/>
          <w:i/>
          <w:iCs/>
        </w:rPr>
      </w:pPr>
      <w:r w:rsidRPr="00BC747D">
        <w:rPr>
          <w:rFonts w:ascii="Arial" w:hAnsi="Arial" w:cs="Arial"/>
          <w:b/>
          <w:bCs/>
          <w:i/>
          <w:iCs/>
        </w:rPr>
        <w:t>Market Penetration</w:t>
      </w:r>
    </w:p>
    <w:p w14:paraId="316ED438" w14:textId="532B8652" w:rsidR="007D27F5" w:rsidRPr="00BC747D" w:rsidRDefault="00EF731E" w:rsidP="00BC747D">
      <w:pPr>
        <w:spacing w:line="360" w:lineRule="auto"/>
        <w:rPr>
          <w:rFonts w:ascii="Arial" w:hAnsi="Arial" w:cs="Arial"/>
        </w:rPr>
      </w:pPr>
      <w:r w:rsidRPr="00BC747D">
        <w:rPr>
          <w:rFonts w:ascii="Arial" w:hAnsi="Arial" w:cs="Arial"/>
        </w:rPr>
        <w:t>It</w:t>
      </w:r>
      <w:r w:rsidR="007D27F5" w:rsidRPr="00BC747D">
        <w:rPr>
          <w:rFonts w:ascii="Arial" w:hAnsi="Arial" w:cs="Arial"/>
        </w:rPr>
        <w:t xml:space="preserve"> takes place when the </w:t>
      </w:r>
      <w:r w:rsidRPr="00BC747D">
        <w:rPr>
          <w:rFonts w:ascii="Arial" w:hAnsi="Arial" w:cs="Arial"/>
        </w:rPr>
        <w:t>organisation</w:t>
      </w:r>
      <w:r w:rsidR="007D27F5" w:rsidRPr="00BC747D">
        <w:rPr>
          <w:rFonts w:ascii="Arial" w:hAnsi="Arial" w:cs="Arial"/>
        </w:rPr>
        <w:t xml:space="preserve"> tries to sell more of its existing products </w:t>
      </w:r>
      <w:r w:rsidRPr="00BC747D">
        <w:rPr>
          <w:rFonts w:ascii="Arial" w:hAnsi="Arial" w:cs="Arial"/>
        </w:rPr>
        <w:t>to</w:t>
      </w:r>
      <w:r w:rsidR="007D27F5" w:rsidRPr="00BC747D">
        <w:rPr>
          <w:rFonts w:ascii="Arial" w:hAnsi="Arial" w:cs="Arial"/>
        </w:rPr>
        <w:t xml:space="preserve"> the current customer base. For BHP, this includes selling the existing </w:t>
      </w:r>
      <w:r w:rsidRPr="00BC747D">
        <w:rPr>
          <w:rFonts w:ascii="Arial" w:hAnsi="Arial" w:cs="Arial"/>
        </w:rPr>
        <w:t>high-grade</w:t>
      </w:r>
      <w:r w:rsidR="007D27F5" w:rsidRPr="00BC747D">
        <w:rPr>
          <w:rFonts w:ascii="Arial" w:hAnsi="Arial" w:cs="Arial"/>
        </w:rPr>
        <w:t xml:space="preserve"> iron ore and metallurgical coal to the established </w:t>
      </w:r>
      <w:r w:rsidRPr="00BC747D">
        <w:rPr>
          <w:rFonts w:ascii="Arial" w:hAnsi="Arial" w:cs="Arial"/>
        </w:rPr>
        <w:t>steel-making</w:t>
      </w:r>
      <w:r w:rsidR="007D27F5" w:rsidRPr="00BC747D">
        <w:rPr>
          <w:rFonts w:ascii="Arial" w:hAnsi="Arial" w:cs="Arial"/>
        </w:rPr>
        <w:t xml:space="preserve"> customers of Asia. Even during the period of green transition</w:t>
      </w:r>
      <w:r w:rsidRPr="00BC747D">
        <w:rPr>
          <w:rFonts w:ascii="Arial" w:hAnsi="Arial" w:cs="Arial"/>
        </w:rPr>
        <w:t>,</w:t>
      </w:r>
      <w:r w:rsidR="007D27F5" w:rsidRPr="00BC747D">
        <w:rPr>
          <w:rFonts w:ascii="Arial" w:hAnsi="Arial" w:cs="Arial"/>
        </w:rPr>
        <w:t xml:space="preserve"> the world still requires </w:t>
      </w:r>
      <w:r w:rsidRPr="00BC747D">
        <w:rPr>
          <w:rFonts w:ascii="Arial" w:hAnsi="Arial" w:cs="Arial"/>
        </w:rPr>
        <w:t>a</w:t>
      </w:r>
      <w:r w:rsidR="007D27F5" w:rsidRPr="00BC747D">
        <w:rPr>
          <w:rFonts w:ascii="Arial" w:hAnsi="Arial" w:cs="Arial"/>
        </w:rPr>
        <w:t xml:space="preserve"> massive amount of steel for </w:t>
      </w:r>
      <w:r w:rsidR="007D27F5" w:rsidRPr="00BC747D">
        <w:rPr>
          <w:rFonts w:ascii="Arial" w:hAnsi="Arial" w:cs="Arial"/>
        </w:rPr>
        <w:lastRenderedPageBreak/>
        <w:t>infrastructure. Market penetration can be achieved by BHP by convincing the existing clients that using the premium</w:t>
      </w:r>
      <w:r w:rsidRPr="00BC747D">
        <w:rPr>
          <w:rFonts w:ascii="Arial" w:hAnsi="Arial" w:cs="Arial"/>
        </w:rPr>
        <w:t>,</w:t>
      </w:r>
      <w:r w:rsidR="007D27F5" w:rsidRPr="00BC747D">
        <w:rPr>
          <w:rFonts w:ascii="Arial" w:hAnsi="Arial" w:cs="Arial"/>
        </w:rPr>
        <w:t xml:space="preserve"> </w:t>
      </w:r>
      <w:r w:rsidRPr="00BC747D">
        <w:rPr>
          <w:rFonts w:ascii="Arial" w:hAnsi="Arial" w:cs="Arial"/>
        </w:rPr>
        <w:t>high-priority</w:t>
      </w:r>
      <w:r w:rsidR="007D27F5" w:rsidRPr="00BC747D">
        <w:rPr>
          <w:rFonts w:ascii="Arial" w:hAnsi="Arial" w:cs="Arial"/>
        </w:rPr>
        <w:t xml:space="preserve"> iron ore of BHP helps them decrease their own emissions quickly</w:t>
      </w:r>
      <w:r w:rsidR="0025055C" w:rsidRPr="00BC747D">
        <w:rPr>
          <w:rFonts w:ascii="Arial" w:hAnsi="Arial" w:cs="Arial"/>
        </w:rPr>
        <w:t xml:space="preserve"> (The Guardian, 2026)</w:t>
      </w:r>
      <w:r w:rsidR="007D27F5" w:rsidRPr="00BC747D">
        <w:rPr>
          <w:rFonts w:ascii="Arial" w:hAnsi="Arial" w:cs="Arial"/>
        </w:rPr>
        <w:t xml:space="preserve">. </w:t>
      </w:r>
      <w:r w:rsidR="004C4385" w:rsidRPr="00BC747D">
        <w:rPr>
          <w:rFonts w:ascii="Arial" w:hAnsi="Arial" w:cs="Arial"/>
        </w:rPr>
        <w:t>It n</w:t>
      </w:r>
      <w:r w:rsidR="007D27F5" w:rsidRPr="00BC747D">
        <w:rPr>
          <w:rFonts w:ascii="Arial" w:hAnsi="Arial" w:cs="Arial"/>
        </w:rPr>
        <w:t xml:space="preserve">eeds </w:t>
      </w:r>
      <w:r w:rsidRPr="00BC747D">
        <w:rPr>
          <w:rFonts w:ascii="Arial" w:hAnsi="Arial" w:cs="Arial"/>
        </w:rPr>
        <w:t>high-grade</w:t>
      </w:r>
      <w:r w:rsidR="007D27F5" w:rsidRPr="00BC747D">
        <w:rPr>
          <w:rFonts w:ascii="Arial" w:hAnsi="Arial" w:cs="Arial"/>
        </w:rPr>
        <w:t xml:space="preserve"> iron ore</w:t>
      </w:r>
      <w:r w:rsidRPr="00BC747D">
        <w:rPr>
          <w:rFonts w:ascii="Arial" w:hAnsi="Arial" w:cs="Arial"/>
        </w:rPr>
        <w:t>,</w:t>
      </w:r>
      <w:r w:rsidR="007D27F5" w:rsidRPr="00BC747D">
        <w:rPr>
          <w:rFonts w:ascii="Arial" w:hAnsi="Arial" w:cs="Arial"/>
        </w:rPr>
        <w:t xml:space="preserve"> less coal</w:t>
      </w:r>
      <w:r w:rsidRPr="00BC747D">
        <w:rPr>
          <w:rFonts w:ascii="Arial" w:hAnsi="Arial" w:cs="Arial"/>
        </w:rPr>
        <w:t>,</w:t>
      </w:r>
      <w:r w:rsidR="007D27F5" w:rsidRPr="00BC747D">
        <w:rPr>
          <w:rFonts w:ascii="Arial" w:hAnsi="Arial" w:cs="Arial"/>
        </w:rPr>
        <w:t xml:space="preserve"> and less energy to melt in the traditional blast furnaces. If the organization will market the environmental efficiency of the current premium products, it can capture </w:t>
      </w:r>
      <w:r w:rsidRPr="00BC747D">
        <w:rPr>
          <w:rFonts w:ascii="Arial" w:hAnsi="Arial" w:cs="Arial"/>
        </w:rPr>
        <w:t xml:space="preserve">a </w:t>
      </w:r>
      <w:r w:rsidR="007D27F5" w:rsidRPr="00BC747D">
        <w:rPr>
          <w:rFonts w:ascii="Arial" w:hAnsi="Arial" w:cs="Arial"/>
        </w:rPr>
        <w:t xml:space="preserve">larger share of the purchases from the current clients who are desperate to meet their climate targets without completely replacing </w:t>
      </w:r>
      <w:r w:rsidRPr="00BC747D">
        <w:rPr>
          <w:rFonts w:ascii="Arial" w:hAnsi="Arial" w:cs="Arial"/>
        </w:rPr>
        <w:t>their</w:t>
      </w:r>
      <w:r w:rsidR="007D27F5" w:rsidRPr="00BC747D">
        <w:rPr>
          <w:rFonts w:ascii="Arial" w:hAnsi="Arial" w:cs="Arial"/>
        </w:rPr>
        <w:t xml:space="preserve"> costly factory machinery.</w:t>
      </w:r>
    </w:p>
    <w:p w14:paraId="65356C1B" w14:textId="77777777" w:rsidR="007D27F5" w:rsidRPr="00BC747D" w:rsidRDefault="007D27F5" w:rsidP="00BC747D">
      <w:pPr>
        <w:spacing w:line="360" w:lineRule="auto"/>
        <w:rPr>
          <w:rFonts w:ascii="Arial" w:hAnsi="Arial" w:cs="Arial"/>
          <w:b/>
          <w:bCs/>
          <w:i/>
          <w:iCs/>
        </w:rPr>
      </w:pPr>
      <w:r w:rsidRPr="00BC747D">
        <w:rPr>
          <w:rFonts w:ascii="Arial" w:hAnsi="Arial" w:cs="Arial"/>
          <w:b/>
          <w:bCs/>
          <w:i/>
          <w:iCs/>
        </w:rPr>
        <w:t>Product development</w:t>
      </w:r>
    </w:p>
    <w:p w14:paraId="3A98DFFF" w14:textId="38D1E1A1" w:rsidR="002C09A0" w:rsidRPr="00BC747D" w:rsidRDefault="007D27F5" w:rsidP="00BC747D">
      <w:pPr>
        <w:spacing w:line="360" w:lineRule="auto"/>
        <w:rPr>
          <w:rFonts w:ascii="Arial" w:hAnsi="Arial" w:cs="Arial"/>
        </w:rPr>
      </w:pPr>
      <w:r w:rsidRPr="00BC747D">
        <w:rPr>
          <w:rFonts w:ascii="Arial" w:hAnsi="Arial" w:cs="Arial"/>
        </w:rPr>
        <w:t xml:space="preserve">It includes the creation of a </w:t>
      </w:r>
      <w:r w:rsidR="00EF731E" w:rsidRPr="00BC747D">
        <w:rPr>
          <w:rFonts w:ascii="Arial" w:hAnsi="Arial" w:cs="Arial"/>
        </w:rPr>
        <w:t>completely</w:t>
      </w:r>
      <w:r w:rsidRPr="00BC747D">
        <w:rPr>
          <w:rFonts w:ascii="Arial" w:hAnsi="Arial" w:cs="Arial"/>
        </w:rPr>
        <w:t xml:space="preserve"> new product or </w:t>
      </w:r>
      <w:r w:rsidR="00EF731E" w:rsidRPr="00BC747D">
        <w:rPr>
          <w:rFonts w:ascii="Arial" w:hAnsi="Arial" w:cs="Arial"/>
        </w:rPr>
        <w:t xml:space="preserve">a </w:t>
      </w:r>
      <w:r w:rsidRPr="00BC747D">
        <w:rPr>
          <w:rFonts w:ascii="Arial" w:hAnsi="Arial" w:cs="Arial"/>
        </w:rPr>
        <w:t xml:space="preserve">heavily modified product and selling them into the existing customer networks. This is where the technology partnership of BHP became the central growth strategy. BHP is not only selling the raw rocks anymore. It is developing </w:t>
      </w:r>
      <w:r w:rsidR="00EF731E" w:rsidRPr="00BC747D">
        <w:rPr>
          <w:rFonts w:ascii="Arial" w:hAnsi="Arial" w:cs="Arial"/>
        </w:rPr>
        <w:t>well-modified</w:t>
      </w:r>
      <w:r w:rsidRPr="00BC747D">
        <w:rPr>
          <w:rFonts w:ascii="Arial" w:hAnsi="Arial" w:cs="Arial"/>
        </w:rPr>
        <w:t xml:space="preserve">, </w:t>
      </w:r>
      <w:r w:rsidR="00EF731E" w:rsidRPr="00BC747D">
        <w:rPr>
          <w:rFonts w:ascii="Arial" w:hAnsi="Arial" w:cs="Arial"/>
        </w:rPr>
        <w:t>low-carbon</w:t>
      </w:r>
      <w:r w:rsidRPr="00BC747D">
        <w:rPr>
          <w:rFonts w:ascii="Arial" w:hAnsi="Arial" w:cs="Arial"/>
        </w:rPr>
        <w:t xml:space="preserve"> raw material inputs</w:t>
      </w:r>
      <w:r w:rsidR="0025055C" w:rsidRPr="00BC747D">
        <w:rPr>
          <w:rFonts w:ascii="Arial" w:hAnsi="Arial" w:cs="Arial"/>
        </w:rPr>
        <w:t xml:space="preserve"> (World Bank Group, 2026)</w:t>
      </w:r>
      <w:r w:rsidRPr="00BC747D">
        <w:rPr>
          <w:rFonts w:ascii="Arial" w:hAnsi="Arial" w:cs="Arial"/>
        </w:rPr>
        <w:t xml:space="preserve">. It is working with the downstream steelmakers to develop the carbon capture systems and testing direct reduced iron (DRI) modules. It is creating ‘cleaner raw materials’ tailored for the contemporary, </w:t>
      </w:r>
      <w:r w:rsidR="00EF731E" w:rsidRPr="00BC747D">
        <w:rPr>
          <w:rFonts w:ascii="Arial" w:hAnsi="Arial" w:cs="Arial"/>
        </w:rPr>
        <w:t>low-emission</w:t>
      </w:r>
      <w:r w:rsidRPr="00BC747D">
        <w:rPr>
          <w:rFonts w:ascii="Arial" w:hAnsi="Arial" w:cs="Arial"/>
        </w:rPr>
        <w:t xml:space="preserve"> steel factories. Moreover</w:t>
      </w:r>
      <w:r w:rsidR="00EF731E" w:rsidRPr="00BC747D">
        <w:rPr>
          <w:rFonts w:ascii="Arial" w:hAnsi="Arial" w:cs="Arial"/>
        </w:rPr>
        <w:t>,</w:t>
      </w:r>
      <w:r w:rsidRPr="00BC747D">
        <w:rPr>
          <w:rFonts w:ascii="Arial" w:hAnsi="Arial" w:cs="Arial"/>
        </w:rPr>
        <w:t xml:space="preserve"> the investments are also made in green hydrogen technologies. If the company can successfully supply the green hydrogen along with its minerals to the traditional </w:t>
      </w:r>
      <w:r w:rsidR="00EF731E" w:rsidRPr="00BC747D">
        <w:rPr>
          <w:rFonts w:ascii="Arial" w:hAnsi="Arial" w:cs="Arial"/>
        </w:rPr>
        <w:t>steel-making</w:t>
      </w:r>
      <w:r w:rsidRPr="00BC747D">
        <w:rPr>
          <w:rFonts w:ascii="Arial" w:hAnsi="Arial" w:cs="Arial"/>
        </w:rPr>
        <w:t xml:space="preserve"> customers, it </w:t>
      </w:r>
      <w:r w:rsidR="00EF731E" w:rsidRPr="00BC747D">
        <w:rPr>
          <w:rFonts w:ascii="Arial" w:hAnsi="Arial" w:cs="Arial"/>
        </w:rPr>
        <w:t>will lead</w:t>
      </w:r>
      <w:r w:rsidRPr="00BC747D">
        <w:rPr>
          <w:rFonts w:ascii="Arial" w:hAnsi="Arial" w:cs="Arial"/>
        </w:rPr>
        <w:t xml:space="preserve"> to a whole new product stream for the audience</w:t>
      </w:r>
      <w:r w:rsidR="00EF731E" w:rsidRPr="00BC747D">
        <w:rPr>
          <w:rFonts w:ascii="Arial" w:hAnsi="Arial" w:cs="Arial"/>
        </w:rPr>
        <w:t>,</w:t>
      </w:r>
      <w:r w:rsidRPr="00BC747D">
        <w:rPr>
          <w:rFonts w:ascii="Arial" w:hAnsi="Arial" w:cs="Arial"/>
        </w:rPr>
        <w:t xml:space="preserve"> which is already known. </w:t>
      </w:r>
    </w:p>
    <w:p w14:paraId="55A80DA2" w14:textId="274710C4" w:rsidR="007D27F5" w:rsidRPr="00BC747D" w:rsidRDefault="007D27F5" w:rsidP="00BC747D">
      <w:pPr>
        <w:spacing w:line="360" w:lineRule="auto"/>
        <w:rPr>
          <w:rFonts w:ascii="Arial" w:hAnsi="Arial" w:cs="Arial"/>
          <w:b/>
          <w:bCs/>
          <w:i/>
          <w:iCs/>
        </w:rPr>
      </w:pPr>
      <w:r w:rsidRPr="00BC747D">
        <w:rPr>
          <w:rFonts w:ascii="Arial" w:hAnsi="Arial" w:cs="Arial"/>
          <w:b/>
          <w:bCs/>
          <w:i/>
          <w:iCs/>
        </w:rPr>
        <w:t>Market development</w:t>
      </w:r>
    </w:p>
    <w:p w14:paraId="3E43C769" w14:textId="4CE25A4F" w:rsidR="007D27F5" w:rsidRPr="00BC747D" w:rsidRDefault="00EF731E" w:rsidP="00BC747D">
      <w:pPr>
        <w:spacing w:line="360" w:lineRule="auto"/>
        <w:rPr>
          <w:rFonts w:ascii="Arial" w:hAnsi="Arial" w:cs="Arial"/>
        </w:rPr>
      </w:pPr>
      <w:r w:rsidRPr="00BC747D">
        <w:rPr>
          <w:rFonts w:ascii="Arial" w:hAnsi="Arial" w:cs="Arial"/>
        </w:rPr>
        <w:t>It</w:t>
      </w:r>
      <w:r w:rsidR="007D27F5" w:rsidRPr="00BC747D">
        <w:rPr>
          <w:rFonts w:ascii="Arial" w:hAnsi="Arial" w:cs="Arial"/>
        </w:rPr>
        <w:t xml:space="preserve"> happens when the </w:t>
      </w:r>
      <w:r w:rsidRPr="00BC747D">
        <w:rPr>
          <w:rFonts w:ascii="Arial" w:hAnsi="Arial" w:cs="Arial"/>
        </w:rPr>
        <w:t>organisation</w:t>
      </w:r>
      <w:r w:rsidR="007D27F5" w:rsidRPr="00BC747D">
        <w:rPr>
          <w:rFonts w:ascii="Arial" w:hAnsi="Arial" w:cs="Arial"/>
        </w:rPr>
        <w:t xml:space="preserve"> takes the goods and introduces them to </w:t>
      </w:r>
      <w:r w:rsidRPr="00BC747D">
        <w:rPr>
          <w:rFonts w:ascii="Arial" w:hAnsi="Arial" w:cs="Arial"/>
        </w:rPr>
        <w:t>a</w:t>
      </w:r>
      <w:r w:rsidR="007D27F5" w:rsidRPr="00BC747D">
        <w:rPr>
          <w:rFonts w:ascii="Arial" w:hAnsi="Arial" w:cs="Arial"/>
        </w:rPr>
        <w:t xml:space="preserve"> whole new market or </w:t>
      </w:r>
      <w:r w:rsidRPr="00BC747D">
        <w:rPr>
          <w:rFonts w:ascii="Arial" w:hAnsi="Arial" w:cs="Arial"/>
        </w:rPr>
        <w:t>a</w:t>
      </w:r>
      <w:r w:rsidR="007D27F5" w:rsidRPr="00BC747D">
        <w:rPr>
          <w:rFonts w:ascii="Arial" w:hAnsi="Arial" w:cs="Arial"/>
        </w:rPr>
        <w:t xml:space="preserve"> customer segment. In the case of BHP, this strategy is widely visible in the nickel and copper business lines. Historically, BHP was viewed </w:t>
      </w:r>
      <w:r w:rsidR="0025055C" w:rsidRPr="00BC747D">
        <w:rPr>
          <w:rFonts w:ascii="Arial" w:hAnsi="Arial" w:cs="Arial"/>
        </w:rPr>
        <w:t>as selling</w:t>
      </w:r>
      <w:r w:rsidR="007D27F5" w:rsidRPr="00BC747D">
        <w:rPr>
          <w:rFonts w:ascii="Arial" w:hAnsi="Arial" w:cs="Arial"/>
        </w:rPr>
        <w:t xml:space="preserve"> </w:t>
      </w:r>
      <w:r w:rsidR="0025055C" w:rsidRPr="00BC747D">
        <w:rPr>
          <w:rFonts w:ascii="Arial" w:hAnsi="Arial" w:cs="Arial"/>
        </w:rPr>
        <w:t>its</w:t>
      </w:r>
      <w:r w:rsidR="007D27F5" w:rsidRPr="00BC747D">
        <w:rPr>
          <w:rFonts w:ascii="Arial" w:hAnsi="Arial" w:cs="Arial"/>
        </w:rPr>
        <w:t xml:space="preserve"> metals primarily to the traditional industrial manufacturers and the construction </w:t>
      </w:r>
      <w:r w:rsidRPr="00BC747D">
        <w:rPr>
          <w:rFonts w:ascii="Arial" w:hAnsi="Arial" w:cs="Arial"/>
        </w:rPr>
        <w:t>organisations</w:t>
      </w:r>
      <w:r w:rsidR="007D27F5" w:rsidRPr="00BC747D">
        <w:rPr>
          <w:rFonts w:ascii="Arial" w:hAnsi="Arial" w:cs="Arial"/>
        </w:rPr>
        <w:t>. Meanwhile</w:t>
      </w:r>
      <w:r w:rsidRPr="00BC747D">
        <w:rPr>
          <w:rFonts w:ascii="Arial" w:hAnsi="Arial" w:cs="Arial"/>
        </w:rPr>
        <w:t>,</w:t>
      </w:r>
      <w:r w:rsidR="007D27F5" w:rsidRPr="00BC747D">
        <w:rPr>
          <w:rFonts w:ascii="Arial" w:hAnsi="Arial" w:cs="Arial"/>
        </w:rPr>
        <w:t xml:space="preserve"> the introduction of the green economy has </w:t>
      </w:r>
      <w:r w:rsidRPr="00BC747D">
        <w:rPr>
          <w:rFonts w:ascii="Arial" w:hAnsi="Arial" w:cs="Arial"/>
        </w:rPr>
        <w:t>opened</w:t>
      </w:r>
      <w:r w:rsidR="007D27F5" w:rsidRPr="00BC747D">
        <w:rPr>
          <w:rFonts w:ascii="Arial" w:hAnsi="Arial" w:cs="Arial"/>
        </w:rPr>
        <w:t xml:space="preserve"> a huge new market segment of renewable energy grid developers and electric vehicles (EVs). The company is actively redirecting its existing nickel and copper outputs away from the traditional manufacturing and into these new, </w:t>
      </w:r>
      <w:r w:rsidRPr="00BC747D">
        <w:rPr>
          <w:rFonts w:ascii="Arial" w:hAnsi="Arial" w:cs="Arial"/>
        </w:rPr>
        <w:t>high-growth</w:t>
      </w:r>
      <w:r w:rsidR="007D27F5" w:rsidRPr="00BC747D">
        <w:rPr>
          <w:rFonts w:ascii="Arial" w:hAnsi="Arial" w:cs="Arial"/>
        </w:rPr>
        <w:t xml:space="preserve"> technological sectors. For example, a major supply agreement has been signed between BHP and the automobile manufacturers to provide </w:t>
      </w:r>
      <w:r w:rsidRPr="00BC747D">
        <w:rPr>
          <w:rFonts w:ascii="Arial" w:hAnsi="Arial" w:cs="Arial"/>
        </w:rPr>
        <w:t>high-purity</w:t>
      </w:r>
      <w:r w:rsidR="007D27F5" w:rsidRPr="00BC747D">
        <w:rPr>
          <w:rFonts w:ascii="Arial" w:hAnsi="Arial" w:cs="Arial"/>
        </w:rPr>
        <w:t xml:space="preserve"> nickel directly for the production lines of EV </w:t>
      </w:r>
      <w:r w:rsidRPr="00BC747D">
        <w:rPr>
          <w:rFonts w:ascii="Arial" w:hAnsi="Arial" w:cs="Arial"/>
        </w:rPr>
        <w:t>batteries</w:t>
      </w:r>
      <w:r w:rsidR="0025055C" w:rsidRPr="00BC747D">
        <w:rPr>
          <w:rFonts w:ascii="Arial" w:hAnsi="Arial" w:cs="Arial"/>
        </w:rPr>
        <w:t xml:space="preserve"> (BHP, 2021)</w:t>
      </w:r>
      <w:r w:rsidR="007D27F5" w:rsidRPr="00BC747D">
        <w:rPr>
          <w:rFonts w:ascii="Arial" w:hAnsi="Arial" w:cs="Arial"/>
        </w:rPr>
        <w:t xml:space="preserve">. This is a classic market development approach, </w:t>
      </w:r>
      <w:r w:rsidRPr="00BC747D">
        <w:rPr>
          <w:rFonts w:ascii="Arial" w:hAnsi="Arial" w:cs="Arial"/>
        </w:rPr>
        <w:t>which</w:t>
      </w:r>
      <w:r w:rsidR="007D27F5" w:rsidRPr="00BC747D">
        <w:rPr>
          <w:rFonts w:ascii="Arial" w:hAnsi="Arial" w:cs="Arial"/>
        </w:rPr>
        <w:t xml:space="preserve"> is </w:t>
      </w:r>
      <w:r w:rsidR="007D27F5" w:rsidRPr="00BC747D">
        <w:rPr>
          <w:rFonts w:ascii="Arial" w:hAnsi="Arial" w:cs="Arial"/>
        </w:rPr>
        <w:lastRenderedPageBreak/>
        <w:t xml:space="preserve">taking the existing mind commodities and finding </w:t>
      </w:r>
      <w:r w:rsidRPr="00BC747D">
        <w:rPr>
          <w:rFonts w:ascii="Arial" w:hAnsi="Arial" w:cs="Arial"/>
        </w:rPr>
        <w:t>a</w:t>
      </w:r>
      <w:r w:rsidR="007D27F5" w:rsidRPr="00BC747D">
        <w:rPr>
          <w:rFonts w:ascii="Arial" w:hAnsi="Arial" w:cs="Arial"/>
        </w:rPr>
        <w:t xml:space="preserve"> brand new luxury customer base for it.</w:t>
      </w:r>
    </w:p>
    <w:p w14:paraId="58E4E190" w14:textId="77777777" w:rsidR="007D27F5" w:rsidRPr="00BC747D" w:rsidRDefault="007D27F5" w:rsidP="00BC747D">
      <w:pPr>
        <w:spacing w:line="360" w:lineRule="auto"/>
        <w:rPr>
          <w:rFonts w:ascii="Arial" w:hAnsi="Arial" w:cs="Arial"/>
          <w:b/>
          <w:bCs/>
          <w:i/>
          <w:iCs/>
        </w:rPr>
      </w:pPr>
      <w:r w:rsidRPr="00BC747D">
        <w:rPr>
          <w:rFonts w:ascii="Arial" w:hAnsi="Arial" w:cs="Arial"/>
          <w:b/>
          <w:bCs/>
          <w:i/>
          <w:iCs/>
        </w:rPr>
        <w:t>Diversification</w:t>
      </w:r>
    </w:p>
    <w:p w14:paraId="7A404AA2" w14:textId="012AFA7B" w:rsidR="007D27F5" w:rsidRPr="00BC747D" w:rsidRDefault="007D27F5" w:rsidP="00BC747D">
      <w:pPr>
        <w:spacing w:line="360" w:lineRule="auto"/>
        <w:rPr>
          <w:rFonts w:ascii="Arial" w:hAnsi="Arial" w:cs="Arial"/>
        </w:rPr>
      </w:pPr>
      <w:r w:rsidRPr="00BC747D">
        <w:rPr>
          <w:rFonts w:ascii="Arial" w:hAnsi="Arial" w:cs="Arial"/>
        </w:rPr>
        <w:t xml:space="preserve">It is the most risky quadrant of growth as it needs the </w:t>
      </w:r>
      <w:r w:rsidR="00EF731E" w:rsidRPr="00BC747D">
        <w:rPr>
          <w:rFonts w:ascii="Arial" w:hAnsi="Arial" w:cs="Arial"/>
        </w:rPr>
        <w:t>organisation</w:t>
      </w:r>
      <w:r w:rsidRPr="00BC747D">
        <w:rPr>
          <w:rFonts w:ascii="Arial" w:hAnsi="Arial" w:cs="Arial"/>
        </w:rPr>
        <w:t xml:space="preserve"> to enter </w:t>
      </w:r>
      <w:r w:rsidR="00EF731E" w:rsidRPr="00BC747D">
        <w:rPr>
          <w:rFonts w:ascii="Arial" w:hAnsi="Arial" w:cs="Arial"/>
        </w:rPr>
        <w:t>a</w:t>
      </w:r>
      <w:r w:rsidRPr="00BC747D">
        <w:rPr>
          <w:rFonts w:ascii="Arial" w:hAnsi="Arial" w:cs="Arial"/>
        </w:rPr>
        <w:t xml:space="preserve"> whole </w:t>
      </w:r>
      <w:r w:rsidR="00EF731E" w:rsidRPr="00BC747D">
        <w:rPr>
          <w:rFonts w:ascii="Arial" w:hAnsi="Arial" w:cs="Arial"/>
        </w:rPr>
        <w:t>new market</w:t>
      </w:r>
      <w:r w:rsidRPr="00BC747D">
        <w:rPr>
          <w:rFonts w:ascii="Arial" w:hAnsi="Arial" w:cs="Arial"/>
        </w:rPr>
        <w:t xml:space="preserve"> with completely new products. For a mining </w:t>
      </w:r>
      <w:r w:rsidR="00EF731E" w:rsidRPr="00BC747D">
        <w:rPr>
          <w:rFonts w:ascii="Arial" w:hAnsi="Arial" w:cs="Arial"/>
        </w:rPr>
        <w:t>organisation</w:t>
      </w:r>
      <w:r w:rsidRPr="00BC747D">
        <w:rPr>
          <w:rFonts w:ascii="Arial" w:hAnsi="Arial" w:cs="Arial"/>
        </w:rPr>
        <w:t xml:space="preserve"> completely </w:t>
      </w:r>
      <w:r w:rsidR="00EF731E" w:rsidRPr="00BC747D">
        <w:rPr>
          <w:rFonts w:ascii="Arial" w:hAnsi="Arial" w:cs="Arial"/>
        </w:rPr>
        <w:t>dependent</w:t>
      </w:r>
      <w:r w:rsidRPr="00BC747D">
        <w:rPr>
          <w:rFonts w:ascii="Arial" w:hAnsi="Arial" w:cs="Arial"/>
        </w:rPr>
        <w:t xml:space="preserve"> on fossil fuels, diversification is necessary for </w:t>
      </w:r>
      <w:r w:rsidR="00EF731E" w:rsidRPr="00BC747D">
        <w:rPr>
          <w:rFonts w:ascii="Arial" w:hAnsi="Arial" w:cs="Arial"/>
        </w:rPr>
        <w:t>long-term</w:t>
      </w:r>
      <w:r w:rsidRPr="00BC747D">
        <w:rPr>
          <w:rFonts w:ascii="Arial" w:hAnsi="Arial" w:cs="Arial"/>
        </w:rPr>
        <w:t xml:space="preserve"> survival. The major diversification move of BHP is its </w:t>
      </w:r>
      <w:r w:rsidR="00EF731E" w:rsidRPr="00BC747D">
        <w:rPr>
          <w:rFonts w:ascii="Arial" w:hAnsi="Arial" w:cs="Arial"/>
        </w:rPr>
        <w:t>multi-billion-dollar</w:t>
      </w:r>
      <w:r w:rsidRPr="00BC747D">
        <w:rPr>
          <w:rFonts w:ascii="Arial" w:hAnsi="Arial" w:cs="Arial"/>
        </w:rPr>
        <w:t xml:space="preserve"> </w:t>
      </w:r>
      <w:r w:rsidR="00EF731E" w:rsidRPr="00BC747D">
        <w:rPr>
          <w:rFonts w:ascii="Arial" w:hAnsi="Arial" w:cs="Arial"/>
        </w:rPr>
        <w:t>investment</w:t>
      </w:r>
      <w:r w:rsidRPr="00BC747D">
        <w:rPr>
          <w:rFonts w:ascii="Arial" w:hAnsi="Arial" w:cs="Arial"/>
        </w:rPr>
        <w:t xml:space="preserve"> in the Jansen Potash project in Saskatchewan, Canada</w:t>
      </w:r>
      <w:r w:rsidR="0025055C" w:rsidRPr="00BC747D">
        <w:rPr>
          <w:rFonts w:ascii="Arial" w:hAnsi="Arial" w:cs="Arial"/>
        </w:rPr>
        <w:t xml:space="preserve"> (Ralph et al., 2023)</w:t>
      </w:r>
      <w:r w:rsidRPr="00BC747D">
        <w:rPr>
          <w:rFonts w:ascii="Arial" w:hAnsi="Arial" w:cs="Arial"/>
        </w:rPr>
        <w:t xml:space="preserve">. Potash is the </w:t>
      </w:r>
      <w:r w:rsidR="00EF731E" w:rsidRPr="00BC747D">
        <w:rPr>
          <w:rFonts w:ascii="Arial" w:hAnsi="Arial" w:cs="Arial"/>
        </w:rPr>
        <w:t>potassium-rich</w:t>
      </w:r>
      <w:r w:rsidRPr="00BC747D">
        <w:rPr>
          <w:rFonts w:ascii="Arial" w:hAnsi="Arial" w:cs="Arial"/>
        </w:rPr>
        <w:t xml:space="preserve"> salt </w:t>
      </w:r>
      <w:r w:rsidR="00EF731E" w:rsidRPr="00BC747D">
        <w:rPr>
          <w:rFonts w:ascii="Arial" w:hAnsi="Arial" w:cs="Arial"/>
        </w:rPr>
        <w:t>that</w:t>
      </w:r>
      <w:r w:rsidRPr="00BC747D">
        <w:rPr>
          <w:rFonts w:ascii="Arial" w:hAnsi="Arial" w:cs="Arial"/>
        </w:rPr>
        <w:t xml:space="preserve"> is used </w:t>
      </w:r>
      <w:r w:rsidR="00EF731E" w:rsidRPr="00BC747D">
        <w:rPr>
          <w:rFonts w:ascii="Arial" w:hAnsi="Arial" w:cs="Arial"/>
        </w:rPr>
        <w:t>primarily</w:t>
      </w:r>
      <w:r w:rsidRPr="00BC747D">
        <w:rPr>
          <w:rFonts w:ascii="Arial" w:hAnsi="Arial" w:cs="Arial"/>
        </w:rPr>
        <w:t xml:space="preserve"> as </w:t>
      </w:r>
      <w:r w:rsidR="00EF731E" w:rsidRPr="00BC747D">
        <w:rPr>
          <w:rFonts w:ascii="Arial" w:hAnsi="Arial" w:cs="Arial"/>
        </w:rPr>
        <w:t>a</w:t>
      </w:r>
      <w:r w:rsidRPr="00BC747D">
        <w:rPr>
          <w:rFonts w:ascii="Arial" w:hAnsi="Arial" w:cs="Arial"/>
        </w:rPr>
        <w:t xml:space="preserve"> nutrient for agricultural </w:t>
      </w:r>
      <w:r w:rsidR="00EF731E" w:rsidRPr="00BC747D">
        <w:rPr>
          <w:rFonts w:ascii="Arial" w:hAnsi="Arial" w:cs="Arial"/>
        </w:rPr>
        <w:t>fertilisers</w:t>
      </w:r>
      <w:r w:rsidRPr="00BC747D">
        <w:rPr>
          <w:rFonts w:ascii="Arial" w:hAnsi="Arial" w:cs="Arial"/>
        </w:rPr>
        <w:t xml:space="preserve">. This project presents a whole new product (potash) sold into </w:t>
      </w:r>
      <w:r w:rsidR="00EF731E" w:rsidRPr="00BC747D">
        <w:rPr>
          <w:rFonts w:ascii="Arial" w:hAnsi="Arial" w:cs="Arial"/>
        </w:rPr>
        <w:t>a</w:t>
      </w:r>
      <w:r w:rsidRPr="00BC747D">
        <w:rPr>
          <w:rFonts w:ascii="Arial" w:hAnsi="Arial" w:cs="Arial"/>
        </w:rPr>
        <w:t xml:space="preserve"> whole new market segment (the global agricultural sector). As the change in the climate shifts the global weather patterns and also places pressure on the finite arable land, the demand for </w:t>
      </w:r>
      <w:r w:rsidR="00EF731E" w:rsidRPr="00BC747D">
        <w:rPr>
          <w:rFonts w:ascii="Arial" w:hAnsi="Arial" w:cs="Arial"/>
        </w:rPr>
        <w:t>high-yielding</w:t>
      </w:r>
      <w:r w:rsidRPr="00BC747D">
        <w:rPr>
          <w:rFonts w:ascii="Arial" w:hAnsi="Arial" w:cs="Arial"/>
        </w:rPr>
        <w:t xml:space="preserve"> and sustainable food production is skyrocketing. The entrance </w:t>
      </w:r>
      <w:r w:rsidR="00EF731E" w:rsidRPr="00BC747D">
        <w:rPr>
          <w:rFonts w:ascii="Arial" w:hAnsi="Arial" w:cs="Arial"/>
        </w:rPr>
        <w:t>into the</w:t>
      </w:r>
      <w:r w:rsidRPr="00BC747D">
        <w:rPr>
          <w:rFonts w:ascii="Arial" w:hAnsi="Arial" w:cs="Arial"/>
        </w:rPr>
        <w:t xml:space="preserve"> potash market is exciting</w:t>
      </w:r>
      <w:r w:rsidR="00EF731E" w:rsidRPr="00BC747D">
        <w:rPr>
          <w:rFonts w:ascii="Arial" w:hAnsi="Arial" w:cs="Arial"/>
        </w:rPr>
        <w:t>,</w:t>
      </w:r>
      <w:r w:rsidRPr="00BC747D">
        <w:rPr>
          <w:rFonts w:ascii="Arial" w:hAnsi="Arial" w:cs="Arial"/>
        </w:rPr>
        <w:t xml:space="preserve"> and BHP is completely decoupling a portion of its future revenue from the supply chain of metals, pivoting towards food security globally. This offers a structural hedge against the </w:t>
      </w:r>
      <w:r w:rsidR="00EF731E" w:rsidRPr="00BC747D">
        <w:rPr>
          <w:rFonts w:ascii="Arial" w:hAnsi="Arial" w:cs="Arial"/>
        </w:rPr>
        <w:t>long-term</w:t>
      </w:r>
      <w:r w:rsidRPr="00BC747D">
        <w:rPr>
          <w:rFonts w:ascii="Arial" w:hAnsi="Arial" w:cs="Arial"/>
        </w:rPr>
        <w:t xml:space="preserve"> decrease in the traditional industrial commodities.    </w:t>
      </w:r>
    </w:p>
    <w:p w14:paraId="1D13DC6C" w14:textId="15C1CF0E" w:rsidR="00623C45" w:rsidRPr="00BC747D" w:rsidRDefault="00317BC9" w:rsidP="00BC747D">
      <w:pPr>
        <w:pStyle w:val="Heading2"/>
        <w:spacing w:line="360" w:lineRule="auto"/>
        <w:rPr>
          <w:rFonts w:ascii="Arial" w:hAnsi="Arial" w:cs="Arial"/>
          <w:szCs w:val="24"/>
        </w:rPr>
      </w:pPr>
      <w:bookmarkStart w:id="9" w:name="_Toc233230647"/>
      <w:r w:rsidRPr="00BC747D">
        <w:rPr>
          <w:rFonts w:ascii="Arial" w:hAnsi="Arial" w:cs="Arial"/>
          <w:szCs w:val="24"/>
        </w:rPr>
        <w:t>Porter’s Framework for achieving competitive rivalry</w:t>
      </w:r>
      <w:bookmarkEnd w:id="9"/>
      <w:r w:rsidRPr="00BC747D">
        <w:rPr>
          <w:rFonts w:ascii="Arial" w:hAnsi="Arial" w:cs="Arial"/>
          <w:szCs w:val="24"/>
        </w:rPr>
        <w:t xml:space="preserve"> </w:t>
      </w:r>
    </w:p>
    <w:p w14:paraId="41106339" w14:textId="5E1EADCD" w:rsidR="00317BC9" w:rsidRPr="00BC747D" w:rsidRDefault="00317BC9" w:rsidP="00BC747D">
      <w:pPr>
        <w:spacing w:line="360" w:lineRule="auto"/>
        <w:rPr>
          <w:rFonts w:ascii="Arial" w:hAnsi="Arial" w:cs="Arial"/>
        </w:rPr>
      </w:pPr>
      <w:r w:rsidRPr="00BC747D">
        <w:rPr>
          <w:rFonts w:ascii="Arial" w:hAnsi="Arial" w:cs="Arial"/>
        </w:rPr>
        <w:t xml:space="preserve">In order to successfully ensure growth strategies, BHP is required to maintain competitive rivalry. As per Michael Porter, </w:t>
      </w:r>
      <w:r w:rsidR="00EF731E" w:rsidRPr="00BC747D">
        <w:rPr>
          <w:rFonts w:ascii="Arial" w:hAnsi="Arial" w:cs="Arial"/>
        </w:rPr>
        <w:t>organisations</w:t>
      </w:r>
      <w:r w:rsidRPr="00BC747D">
        <w:rPr>
          <w:rFonts w:ascii="Arial" w:hAnsi="Arial" w:cs="Arial"/>
        </w:rPr>
        <w:t xml:space="preserve"> can compete either by differentiation or by cost. Historically</w:t>
      </w:r>
      <w:r w:rsidR="00EF731E" w:rsidRPr="00BC747D">
        <w:rPr>
          <w:rFonts w:ascii="Arial" w:hAnsi="Arial" w:cs="Arial"/>
        </w:rPr>
        <w:t>,</w:t>
      </w:r>
      <w:r w:rsidRPr="00BC747D">
        <w:rPr>
          <w:rFonts w:ascii="Arial" w:hAnsi="Arial" w:cs="Arial"/>
        </w:rPr>
        <w:t xml:space="preserve"> it has been viewed that the mining </w:t>
      </w:r>
      <w:r w:rsidR="00EF731E" w:rsidRPr="00BC747D">
        <w:rPr>
          <w:rFonts w:ascii="Arial" w:hAnsi="Arial" w:cs="Arial"/>
        </w:rPr>
        <w:t>organisations</w:t>
      </w:r>
      <w:r w:rsidRPr="00BC747D">
        <w:rPr>
          <w:rFonts w:ascii="Arial" w:hAnsi="Arial" w:cs="Arial"/>
        </w:rPr>
        <w:t xml:space="preserve"> operate as the cost leaders. As the minerals are fundamental commodities, the organizations having lowest cost of extraction generally wins. BHP has always been viewed </w:t>
      </w:r>
      <w:r w:rsidR="00EF731E" w:rsidRPr="00BC747D">
        <w:rPr>
          <w:rFonts w:ascii="Arial" w:hAnsi="Arial" w:cs="Arial"/>
        </w:rPr>
        <w:t>as enjoying</w:t>
      </w:r>
      <w:r w:rsidRPr="00BC747D">
        <w:rPr>
          <w:rFonts w:ascii="Arial" w:hAnsi="Arial" w:cs="Arial"/>
        </w:rPr>
        <w:t xml:space="preserve"> low operational </w:t>
      </w:r>
      <w:r w:rsidR="00EF731E" w:rsidRPr="00BC747D">
        <w:rPr>
          <w:rFonts w:ascii="Arial" w:hAnsi="Arial" w:cs="Arial"/>
        </w:rPr>
        <w:t>costs</w:t>
      </w:r>
      <w:r w:rsidRPr="00BC747D">
        <w:rPr>
          <w:rFonts w:ascii="Arial" w:hAnsi="Arial" w:cs="Arial"/>
        </w:rPr>
        <w:t xml:space="preserve"> as it operates on </w:t>
      </w:r>
      <w:r w:rsidR="00EF731E" w:rsidRPr="00BC747D">
        <w:rPr>
          <w:rFonts w:ascii="Arial" w:hAnsi="Arial" w:cs="Arial"/>
        </w:rPr>
        <w:t>a</w:t>
      </w:r>
      <w:r w:rsidRPr="00BC747D">
        <w:rPr>
          <w:rFonts w:ascii="Arial" w:hAnsi="Arial" w:cs="Arial"/>
        </w:rPr>
        <w:t xml:space="preserve"> massive scale and has </w:t>
      </w:r>
      <w:r w:rsidR="00EF731E" w:rsidRPr="00BC747D">
        <w:rPr>
          <w:rFonts w:ascii="Arial" w:hAnsi="Arial" w:cs="Arial"/>
        </w:rPr>
        <w:t>high-quality</w:t>
      </w:r>
      <w:r w:rsidRPr="00BC747D">
        <w:rPr>
          <w:rFonts w:ascii="Arial" w:hAnsi="Arial" w:cs="Arial"/>
        </w:rPr>
        <w:t xml:space="preserve"> geographic assets in Australia. Meanwhile</w:t>
      </w:r>
      <w:r w:rsidR="00EF731E" w:rsidRPr="00BC747D">
        <w:rPr>
          <w:rFonts w:ascii="Arial" w:hAnsi="Arial" w:cs="Arial"/>
        </w:rPr>
        <w:t>,</w:t>
      </w:r>
      <w:r w:rsidRPr="00BC747D">
        <w:rPr>
          <w:rFonts w:ascii="Arial" w:hAnsi="Arial" w:cs="Arial"/>
        </w:rPr>
        <w:t xml:space="preserve"> the </w:t>
      </w:r>
      <w:r w:rsidR="00EF731E" w:rsidRPr="00BC747D">
        <w:rPr>
          <w:rFonts w:ascii="Arial" w:hAnsi="Arial" w:cs="Arial"/>
        </w:rPr>
        <w:t>low-carbon</w:t>
      </w:r>
      <w:r w:rsidRPr="00BC747D">
        <w:rPr>
          <w:rFonts w:ascii="Arial" w:hAnsi="Arial" w:cs="Arial"/>
        </w:rPr>
        <w:t xml:space="preserve"> transition allows the company to overlay the differentiation strategy on top of its cost leadership</w:t>
      </w:r>
      <w:r w:rsidR="00EF731E" w:rsidRPr="00BC747D">
        <w:rPr>
          <w:rFonts w:ascii="Arial" w:hAnsi="Arial" w:cs="Arial"/>
        </w:rPr>
        <w:t>,</w:t>
      </w:r>
      <w:r w:rsidRPr="00BC747D">
        <w:rPr>
          <w:rFonts w:ascii="Arial" w:hAnsi="Arial" w:cs="Arial"/>
        </w:rPr>
        <w:t xml:space="preserve"> which creates a powerful hybrid advantage for the </w:t>
      </w:r>
      <w:r w:rsidR="00EF731E" w:rsidRPr="00BC747D">
        <w:rPr>
          <w:rFonts w:ascii="Arial" w:hAnsi="Arial" w:cs="Arial"/>
        </w:rPr>
        <w:t>organisation</w:t>
      </w:r>
      <w:r w:rsidRPr="00BC747D">
        <w:rPr>
          <w:rFonts w:ascii="Arial" w:hAnsi="Arial" w:cs="Arial"/>
        </w:rPr>
        <w:t xml:space="preserve">. The hybrid positioning can create a massive challenge to entry for the small rivals in the industry. The small mining firms generally lack the huge amount of capital investment which is required and the green technologies or the value chain R&amp;D. </w:t>
      </w:r>
      <w:r w:rsidR="00EF731E" w:rsidRPr="00BC747D">
        <w:rPr>
          <w:rFonts w:ascii="Arial" w:hAnsi="Arial" w:cs="Arial"/>
        </w:rPr>
        <w:t>By</w:t>
      </w:r>
      <w:r w:rsidRPr="00BC747D">
        <w:rPr>
          <w:rFonts w:ascii="Arial" w:hAnsi="Arial" w:cs="Arial"/>
        </w:rPr>
        <w:t xml:space="preserve"> managing the traditional law operational cost and simultaneously offering the low carbon product attributes, BHP can secure a good position as the preferred global supplier of raw materials. </w:t>
      </w:r>
    </w:p>
    <w:p w14:paraId="53BCE290" w14:textId="0EBE9E02" w:rsidR="00623C45" w:rsidRPr="00BC747D" w:rsidRDefault="00317BC9" w:rsidP="00BC747D">
      <w:pPr>
        <w:pStyle w:val="Heading1"/>
        <w:spacing w:line="360" w:lineRule="auto"/>
        <w:rPr>
          <w:rFonts w:ascii="Arial" w:hAnsi="Arial" w:cs="Arial"/>
          <w:szCs w:val="24"/>
        </w:rPr>
      </w:pPr>
      <w:bookmarkStart w:id="10" w:name="_Toc233230648"/>
      <w:r w:rsidRPr="00BC747D">
        <w:rPr>
          <w:rFonts w:ascii="Arial" w:hAnsi="Arial" w:cs="Arial"/>
          <w:szCs w:val="24"/>
        </w:rPr>
        <w:lastRenderedPageBreak/>
        <w:t>Task 3: Critical Reflection on AI Usage</w:t>
      </w:r>
      <w:bookmarkEnd w:id="10"/>
      <w:r w:rsidRPr="00BC747D">
        <w:rPr>
          <w:rFonts w:ascii="Arial" w:hAnsi="Arial" w:cs="Arial"/>
          <w:szCs w:val="24"/>
        </w:rPr>
        <w:t xml:space="preserve"> </w:t>
      </w:r>
    </w:p>
    <w:p w14:paraId="0EAD3897" w14:textId="7F6DA07A" w:rsidR="00317BC9" w:rsidRPr="00BC747D" w:rsidRDefault="00317BC9" w:rsidP="00BC747D">
      <w:pPr>
        <w:pStyle w:val="Heading2"/>
        <w:spacing w:line="360" w:lineRule="auto"/>
        <w:rPr>
          <w:rFonts w:ascii="Arial" w:hAnsi="Arial" w:cs="Arial"/>
          <w:szCs w:val="24"/>
        </w:rPr>
      </w:pPr>
      <w:bookmarkStart w:id="11" w:name="_Toc233230649"/>
      <w:r w:rsidRPr="00BC747D">
        <w:rPr>
          <w:rFonts w:ascii="Arial" w:hAnsi="Arial" w:cs="Arial"/>
          <w:szCs w:val="24"/>
        </w:rPr>
        <w:t>To</w:t>
      </w:r>
      <w:r w:rsidR="00BC747D" w:rsidRPr="00BC747D">
        <w:rPr>
          <w:rFonts w:ascii="Arial" w:hAnsi="Arial" w:cs="Arial"/>
          <w:szCs w:val="24"/>
        </w:rPr>
        <w:t>o</w:t>
      </w:r>
      <w:r w:rsidRPr="00BC747D">
        <w:rPr>
          <w:rFonts w:ascii="Arial" w:hAnsi="Arial" w:cs="Arial"/>
          <w:szCs w:val="24"/>
        </w:rPr>
        <w:t>d disclosure and functional application</w:t>
      </w:r>
      <w:bookmarkEnd w:id="11"/>
    </w:p>
    <w:p w14:paraId="79C086D1" w14:textId="39D49240" w:rsidR="00317BC9" w:rsidRPr="00BC747D" w:rsidRDefault="00EF731E" w:rsidP="00BC747D">
      <w:pPr>
        <w:spacing w:line="360" w:lineRule="auto"/>
        <w:rPr>
          <w:rFonts w:ascii="Arial" w:hAnsi="Arial" w:cs="Arial"/>
        </w:rPr>
      </w:pPr>
      <w:r w:rsidRPr="00BC747D">
        <w:rPr>
          <w:rFonts w:ascii="Arial" w:hAnsi="Arial" w:cs="Arial"/>
        </w:rPr>
        <w:t>In</w:t>
      </w:r>
      <w:r w:rsidR="00317BC9" w:rsidRPr="00BC747D">
        <w:rPr>
          <w:rFonts w:ascii="Arial" w:hAnsi="Arial" w:cs="Arial"/>
        </w:rPr>
        <w:t xml:space="preserve"> writing this strategic marketing analysis, generative AI was used strictly within the boundaries that are authorised in the specification of the assessment. Particularly</w:t>
      </w:r>
      <w:r w:rsidRPr="00BC747D">
        <w:rPr>
          <w:rFonts w:ascii="Arial" w:hAnsi="Arial" w:cs="Arial"/>
        </w:rPr>
        <w:t>,</w:t>
      </w:r>
      <w:r w:rsidR="00317BC9" w:rsidRPr="00BC747D">
        <w:rPr>
          <w:rFonts w:ascii="Arial" w:hAnsi="Arial" w:cs="Arial"/>
        </w:rPr>
        <w:t xml:space="preserve"> the air assistance was limited to the categories of bibliographic </w:t>
      </w:r>
      <w:r w:rsidRPr="00BC747D">
        <w:rPr>
          <w:rFonts w:ascii="Arial" w:hAnsi="Arial" w:cs="Arial"/>
        </w:rPr>
        <w:t>cross-referencing</w:t>
      </w:r>
      <w:r w:rsidR="00317BC9" w:rsidRPr="00BC747D">
        <w:rPr>
          <w:rFonts w:ascii="Arial" w:hAnsi="Arial" w:cs="Arial"/>
        </w:rPr>
        <w:t xml:space="preserve">, research assistance and structural </w:t>
      </w:r>
      <w:r w:rsidRPr="00BC747D">
        <w:rPr>
          <w:rFonts w:ascii="Arial" w:hAnsi="Arial" w:cs="Arial"/>
        </w:rPr>
        <w:t>proofreading</w:t>
      </w:r>
      <w:r w:rsidR="00317BC9" w:rsidRPr="00BC747D">
        <w:rPr>
          <w:rFonts w:ascii="Arial" w:hAnsi="Arial" w:cs="Arial"/>
        </w:rPr>
        <w:t xml:space="preserve">. Advanced language models were used to summarise the critical corporate disclosures, like </w:t>
      </w:r>
      <w:r w:rsidRPr="00BC747D">
        <w:rPr>
          <w:rFonts w:ascii="Arial" w:hAnsi="Arial" w:cs="Arial"/>
        </w:rPr>
        <w:t xml:space="preserve">the </w:t>
      </w:r>
      <w:r w:rsidR="00317BC9" w:rsidRPr="00BC747D">
        <w:rPr>
          <w:rFonts w:ascii="Arial" w:hAnsi="Arial" w:cs="Arial"/>
          <w:i/>
          <w:iCs/>
        </w:rPr>
        <w:t xml:space="preserve">BHP Climate Transition Action Plan 2024, </w:t>
      </w:r>
      <w:r w:rsidR="00317BC9" w:rsidRPr="00BC747D">
        <w:rPr>
          <w:rFonts w:ascii="Arial" w:hAnsi="Arial" w:cs="Arial"/>
        </w:rPr>
        <w:t xml:space="preserve">and to </w:t>
      </w:r>
      <w:r w:rsidRPr="00BC747D">
        <w:rPr>
          <w:rFonts w:ascii="Arial" w:hAnsi="Arial" w:cs="Arial"/>
        </w:rPr>
        <w:t>cross-examine</w:t>
      </w:r>
      <w:r w:rsidR="00317BC9" w:rsidRPr="00BC747D">
        <w:rPr>
          <w:rFonts w:ascii="Arial" w:hAnsi="Arial" w:cs="Arial"/>
        </w:rPr>
        <w:t xml:space="preserve"> the industry data and </w:t>
      </w:r>
      <w:r w:rsidRPr="00BC747D">
        <w:rPr>
          <w:rFonts w:ascii="Arial" w:hAnsi="Arial" w:cs="Arial"/>
        </w:rPr>
        <w:t xml:space="preserve">its </w:t>
      </w:r>
      <w:r w:rsidR="00317BC9" w:rsidRPr="00BC747D">
        <w:rPr>
          <w:rFonts w:ascii="Arial" w:hAnsi="Arial" w:cs="Arial"/>
        </w:rPr>
        <w:t xml:space="preserve">relation to the impact of </w:t>
      </w:r>
      <w:r w:rsidRPr="00BC747D">
        <w:rPr>
          <w:rFonts w:ascii="Arial" w:hAnsi="Arial" w:cs="Arial"/>
        </w:rPr>
        <w:t xml:space="preserve">the </w:t>
      </w:r>
      <w:r w:rsidR="00317BC9" w:rsidRPr="00BC747D">
        <w:rPr>
          <w:rFonts w:ascii="Arial" w:hAnsi="Arial" w:cs="Arial"/>
        </w:rPr>
        <w:t xml:space="preserve">Safeguard Mechanism of Australia. Moreover, the AI tools helped me in formatting the final output as per the guidelines of </w:t>
      </w:r>
      <w:r w:rsidRPr="00BC747D">
        <w:rPr>
          <w:rFonts w:ascii="Arial" w:hAnsi="Arial" w:cs="Arial"/>
        </w:rPr>
        <w:t xml:space="preserve">the </w:t>
      </w:r>
      <w:r w:rsidR="00317BC9" w:rsidRPr="00BC747D">
        <w:rPr>
          <w:rFonts w:ascii="Arial" w:hAnsi="Arial" w:cs="Arial"/>
        </w:rPr>
        <w:t xml:space="preserve">UWTSD Harvard referencing style. N Astro compliance with the academic honesty mandates of the module, AI was totally excluded from the core composition and structural </w:t>
      </w:r>
      <w:r w:rsidRPr="00BC747D">
        <w:rPr>
          <w:rFonts w:ascii="Arial" w:hAnsi="Arial" w:cs="Arial"/>
        </w:rPr>
        <w:t>organisation</w:t>
      </w:r>
      <w:r w:rsidR="00317BC9" w:rsidRPr="00BC747D">
        <w:rPr>
          <w:rFonts w:ascii="Arial" w:hAnsi="Arial" w:cs="Arial"/>
        </w:rPr>
        <w:t xml:space="preserve"> of the text. The conceptual synthesis and strategic directions were purely written by me. </w:t>
      </w:r>
    </w:p>
    <w:p w14:paraId="196BD76A" w14:textId="0D7533F6" w:rsidR="00317BC9" w:rsidRPr="00BC747D" w:rsidRDefault="00317BC9" w:rsidP="00BC747D">
      <w:pPr>
        <w:pStyle w:val="Heading2"/>
        <w:spacing w:line="360" w:lineRule="auto"/>
        <w:rPr>
          <w:rFonts w:ascii="Arial" w:hAnsi="Arial" w:cs="Arial"/>
          <w:szCs w:val="24"/>
        </w:rPr>
      </w:pPr>
      <w:bookmarkStart w:id="12" w:name="_Toc233230650"/>
      <w:r w:rsidRPr="00BC747D">
        <w:rPr>
          <w:rFonts w:ascii="Arial" w:hAnsi="Arial" w:cs="Arial"/>
          <w:szCs w:val="24"/>
        </w:rPr>
        <w:t>Critical evaluation and hallucination mitigation</w:t>
      </w:r>
      <w:bookmarkEnd w:id="12"/>
    </w:p>
    <w:p w14:paraId="6C8C1766" w14:textId="475252B4" w:rsidR="00317BC9" w:rsidRPr="00BC747D" w:rsidRDefault="00EF731E" w:rsidP="00BC747D">
      <w:pPr>
        <w:spacing w:line="360" w:lineRule="auto"/>
        <w:rPr>
          <w:rFonts w:ascii="Arial" w:hAnsi="Arial" w:cs="Arial"/>
        </w:rPr>
      </w:pPr>
      <w:r w:rsidRPr="00BC747D">
        <w:rPr>
          <w:rFonts w:ascii="Arial" w:hAnsi="Arial" w:cs="Arial"/>
        </w:rPr>
        <w:t>A</w:t>
      </w:r>
      <w:r w:rsidR="00317BC9" w:rsidRPr="00BC747D">
        <w:rPr>
          <w:rFonts w:ascii="Arial" w:hAnsi="Arial" w:cs="Arial"/>
        </w:rPr>
        <w:t xml:space="preserve"> rigorous validation protocol was used to ensure that the academic integrity has been maintained in the report and to remove the AI hallucination (situations in which the large language models invent false data or </w:t>
      </w:r>
      <w:r w:rsidRPr="00BC747D">
        <w:rPr>
          <w:rFonts w:ascii="Arial" w:hAnsi="Arial" w:cs="Arial"/>
        </w:rPr>
        <w:t>non-existent</w:t>
      </w:r>
      <w:r w:rsidR="00317BC9" w:rsidRPr="00BC747D">
        <w:rPr>
          <w:rFonts w:ascii="Arial" w:hAnsi="Arial" w:cs="Arial"/>
        </w:rPr>
        <w:t xml:space="preserve"> citations). Every regulatory figure, statistical claim and corporate target that was generated during the preliminary research phase was manually </w:t>
      </w:r>
      <w:r w:rsidRPr="00BC747D">
        <w:rPr>
          <w:rFonts w:ascii="Arial" w:hAnsi="Arial" w:cs="Arial"/>
        </w:rPr>
        <w:t>cross-referenced</w:t>
      </w:r>
      <w:r w:rsidR="00317BC9" w:rsidRPr="00BC747D">
        <w:rPr>
          <w:rFonts w:ascii="Arial" w:hAnsi="Arial" w:cs="Arial"/>
        </w:rPr>
        <w:t xml:space="preserve"> against the primary authoritative sources that were found by me. For example, when the initial outputs of AI presented </w:t>
      </w:r>
      <w:r w:rsidRPr="00BC747D">
        <w:rPr>
          <w:rFonts w:ascii="Arial" w:hAnsi="Arial" w:cs="Arial"/>
        </w:rPr>
        <w:t>differences</w:t>
      </w:r>
      <w:r w:rsidR="00317BC9" w:rsidRPr="00BC747D">
        <w:rPr>
          <w:rFonts w:ascii="Arial" w:hAnsi="Arial" w:cs="Arial"/>
        </w:rPr>
        <w:t xml:space="preserve"> of percentages for the Scope 3 emission obligations of BHP, the data was </w:t>
      </w:r>
      <w:r w:rsidRPr="00BC747D">
        <w:rPr>
          <w:rFonts w:ascii="Arial" w:hAnsi="Arial" w:cs="Arial"/>
        </w:rPr>
        <w:t>cross-checked</w:t>
      </w:r>
      <w:r w:rsidR="00317BC9" w:rsidRPr="00BC747D">
        <w:rPr>
          <w:rFonts w:ascii="Arial" w:hAnsi="Arial" w:cs="Arial"/>
        </w:rPr>
        <w:t xml:space="preserve"> directly against the Annual Report 2025 of BHP. This process of verification has exposed the minor discrepancies in the early </w:t>
      </w:r>
      <w:r w:rsidRPr="00BC747D">
        <w:rPr>
          <w:rFonts w:ascii="Arial" w:hAnsi="Arial" w:cs="Arial"/>
        </w:rPr>
        <w:t>summarisation</w:t>
      </w:r>
      <w:r w:rsidR="00317BC9" w:rsidRPr="00BC747D">
        <w:rPr>
          <w:rFonts w:ascii="Arial" w:hAnsi="Arial" w:cs="Arial"/>
        </w:rPr>
        <w:t xml:space="preserve"> of data, where the AI conflicted </w:t>
      </w:r>
      <w:r w:rsidRPr="00BC747D">
        <w:rPr>
          <w:rFonts w:ascii="Arial" w:hAnsi="Arial" w:cs="Arial"/>
        </w:rPr>
        <w:t xml:space="preserve">with </w:t>
      </w:r>
      <w:r w:rsidR="00317BC9" w:rsidRPr="00BC747D">
        <w:rPr>
          <w:rFonts w:ascii="Arial" w:hAnsi="Arial" w:cs="Arial"/>
        </w:rPr>
        <w:t xml:space="preserve">historical baseline data </w:t>
      </w:r>
      <w:r w:rsidRPr="00BC747D">
        <w:rPr>
          <w:rFonts w:ascii="Arial" w:hAnsi="Arial" w:cs="Arial"/>
        </w:rPr>
        <w:t>and</w:t>
      </w:r>
      <w:r w:rsidR="00317BC9" w:rsidRPr="00BC747D">
        <w:rPr>
          <w:rFonts w:ascii="Arial" w:hAnsi="Arial" w:cs="Arial"/>
        </w:rPr>
        <w:t xml:space="preserve"> the projected 2030 targets of the company. Moreover</w:t>
      </w:r>
      <w:r w:rsidRPr="00BC747D">
        <w:rPr>
          <w:rFonts w:ascii="Arial" w:hAnsi="Arial" w:cs="Arial"/>
        </w:rPr>
        <w:t>,</w:t>
      </w:r>
      <w:r w:rsidR="00317BC9" w:rsidRPr="00BC747D">
        <w:rPr>
          <w:rFonts w:ascii="Arial" w:hAnsi="Arial" w:cs="Arial"/>
        </w:rPr>
        <w:t xml:space="preserve"> the legal boundaries cited in relation to the operational triggers for </w:t>
      </w:r>
      <w:r w:rsidRPr="00BC747D">
        <w:rPr>
          <w:rFonts w:ascii="Arial" w:hAnsi="Arial" w:cs="Arial"/>
        </w:rPr>
        <w:t xml:space="preserve">the </w:t>
      </w:r>
      <w:r w:rsidR="00317BC9" w:rsidRPr="00BC747D">
        <w:rPr>
          <w:rFonts w:ascii="Arial" w:hAnsi="Arial" w:cs="Arial"/>
        </w:rPr>
        <w:t xml:space="preserve">Safeguard Mechanism were also validated directly using the official portal of the Clean Energy </w:t>
      </w:r>
      <w:r w:rsidRPr="00BC747D">
        <w:rPr>
          <w:rFonts w:ascii="Arial" w:hAnsi="Arial" w:cs="Arial"/>
        </w:rPr>
        <w:t>Regulators</w:t>
      </w:r>
      <w:r w:rsidR="00317BC9" w:rsidRPr="00BC747D">
        <w:rPr>
          <w:rFonts w:ascii="Arial" w:hAnsi="Arial" w:cs="Arial"/>
        </w:rPr>
        <w:t xml:space="preserve">. There is a </w:t>
      </w:r>
      <w:r w:rsidRPr="00BC747D">
        <w:rPr>
          <w:rFonts w:ascii="Arial" w:hAnsi="Arial" w:cs="Arial"/>
        </w:rPr>
        <w:t>stopover</w:t>
      </w:r>
      <w:r w:rsidR="00317BC9" w:rsidRPr="00BC747D">
        <w:rPr>
          <w:rFonts w:ascii="Arial" w:hAnsi="Arial" w:cs="Arial"/>
        </w:rPr>
        <w:t xml:space="preserve"> site </w:t>
      </w:r>
      <w:r w:rsidRPr="00BC747D">
        <w:rPr>
          <w:rFonts w:ascii="Arial" w:hAnsi="Arial" w:cs="Arial"/>
        </w:rPr>
        <w:t xml:space="preserve">that </w:t>
      </w:r>
      <w:r w:rsidR="00317BC9" w:rsidRPr="00BC747D">
        <w:rPr>
          <w:rFonts w:ascii="Arial" w:hAnsi="Arial" w:cs="Arial"/>
        </w:rPr>
        <w:t xml:space="preserve">has ensured that there </w:t>
      </w:r>
      <w:r w:rsidRPr="00BC747D">
        <w:rPr>
          <w:rFonts w:ascii="Arial" w:hAnsi="Arial" w:cs="Arial"/>
        </w:rPr>
        <w:t>are</w:t>
      </w:r>
      <w:r w:rsidR="00317BC9" w:rsidRPr="00BC747D">
        <w:rPr>
          <w:rFonts w:ascii="Arial" w:hAnsi="Arial" w:cs="Arial"/>
        </w:rPr>
        <w:t xml:space="preserve"> no manufacturer citations, logical errors or inaccurate statistics of the industry were incorporated into the final document.</w:t>
      </w:r>
    </w:p>
    <w:p w14:paraId="5D1A1222" w14:textId="77777777" w:rsidR="00317BC9" w:rsidRPr="00BC747D" w:rsidRDefault="00317BC9" w:rsidP="00BC747D">
      <w:pPr>
        <w:pStyle w:val="Heading2"/>
        <w:spacing w:line="360" w:lineRule="auto"/>
        <w:rPr>
          <w:rFonts w:ascii="Arial" w:hAnsi="Arial" w:cs="Arial"/>
          <w:szCs w:val="24"/>
        </w:rPr>
      </w:pPr>
      <w:bookmarkStart w:id="13" w:name="_Toc233230651"/>
      <w:r w:rsidRPr="00BC747D">
        <w:rPr>
          <w:rFonts w:ascii="Arial" w:hAnsi="Arial" w:cs="Arial"/>
          <w:szCs w:val="24"/>
        </w:rPr>
        <w:t>Contribution analysis</w:t>
      </w:r>
      <w:bookmarkEnd w:id="13"/>
    </w:p>
    <w:p w14:paraId="7FC12287" w14:textId="4EB699FF" w:rsidR="00317BC9" w:rsidRPr="00BC747D" w:rsidRDefault="00317BC9" w:rsidP="00BC747D">
      <w:pPr>
        <w:spacing w:line="360" w:lineRule="auto"/>
        <w:rPr>
          <w:rFonts w:ascii="Arial" w:hAnsi="Arial" w:cs="Arial"/>
        </w:rPr>
      </w:pPr>
      <w:r w:rsidRPr="00BC747D">
        <w:rPr>
          <w:rFonts w:ascii="Arial" w:hAnsi="Arial" w:cs="Arial"/>
        </w:rPr>
        <w:t xml:space="preserve">There was a clear line of demarcation </w:t>
      </w:r>
      <w:r w:rsidR="00EF731E" w:rsidRPr="00BC747D">
        <w:rPr>
          <w:rFonts w:ascii="Arial" w:hAnsi="Arial" w:cs="Arial"/>
        </w:rPr>
        <w:t>that</w:t>
      </w:r>
      <w:r w:rsidRPr="00BC747D">
        <w:rPr>
          <w:rFonts w:ascii="Arial" w:hAnsi="Arial" w:cs="Arial"/>
        </w:rPr>
        <w:t xml:space="preserve"> separated the mechanical contributions of the AI from my very own original critical analysis. Air was acting purely as the </w:t>
      </w:r>
      <w:r w:rsidRPr="00BC747D">
        <w:rPr>
          <w:rFonts w:ascii="Arial" w:hAnsi="Arial" w:cs="Arial"/>
        </w:rPr>
        <w:lastRenderedPageBreak/>
        <w:t xml:space="preserve">intellectual filing helper and the language editor. It helped me in streamlining the raw data and refining my grammatical errors for the initial drafts. However, the intellectual architecture </w:t>
      </w:r>
      <w:r w:rsidR="00EF731E" w:rsidRPr="00BC747D">
        <w:rPr>
          <w:rFonts w:ascii="Arial" w:hAnsi="Arial" w:cs="Arial"/>
        </w:rPr>
        <w:t>of</w:t>
      </w:r>
      <w:r w:rsidR="0019742B" w:rsidRPr="00BC747D">
        <w:rPr>
          <w:rFonts w:ascii="Arial" w:hAnsi="Arial" w:cs="Arial"/>
        </w:rPr>
        <w:t xml:space="preserve"> the report was completely </w:t>
      </w:r>
      <w:r w:rsidR="00EF731E" w:rsidRPr="00BC747D">
        <w:rPr>
          <w:rFonts w:ascii="Arial" w:hAnsi="Arial" w:cs="Arial"/>
        </w:rPr>
        <w:t>human-driven</w:t>
      </w:r>
      <w:r w:rsidR="0019742B" w:rsidRPr="00BC747D">
        <w:rPr>
          <w:rFonts w:ascii="Arial" w:hAnsi="Arial" w:cs="Arial"/>
        </w:rPr>
        <w:t xml:space="preserve">. The critical evaluation in relation to how the downstream Scope 3 partnership </w:t>
      </w:r>
      <w:r w:rsidR="00EF731E" w:rsidRPr="00BC747D">
        <w:rPr>
          <w:rFonts w:ascii="Arial" w:hAnsi="Arial" w:cs="Arial"/>
        </w:rPr>
        <w:t>acts</w:t>
      </w:r>
      <w:r w:rsidR="0019742B" w:rsidRPr="00BC747D">
        <w:rPr>
          <w:rFonts w:ascii="Arial" w:hAnsi="Arial" w:cs="Arial"/>
        </w:rPr>
        <w:t xml:space="preserve"> as the B2B brand defence strategy, the argument for green differentiation/hybrid low cost positioning strategy under </w:t>
      </w:r>
      <w:r w:rsidR="00EF731E" w:rsidRPr="00BC747D">
        <w:rPr>
          <w:rFonts w:ascii="Arial" w:hAnsi="Arial" w:cs="Arial"/>
        </w:rPr>
        <w:t>Porter's</w:t>
      </w:r>
      <w:r w:rsidR="0019742B" w:rsidRPr="00BC747D">
        <w:rPr>
          <w:rFonts w:ascii="Arial" w:hAnsi="Arial" w:cs="Arial"/>
        </w:rPr>
        <w:t xml:space="preserve"> framework</w:t>
      </w:r>
      <w:r w:rsidR="00EF731E" w:rsidRPr="00BC747D">
        <w:rPr>
          <w:rFonts w:ascii="Arial" w:hAnsi="Arial" w:cs="Arial"/>
        </w:rPr>
        <w:t>,</w:t>
      </w:r>
      <w:r w:rsidR="0019742B" w:rsidRPr="00BC747D">
        <w:rPr>
          <w:rFonts w:ascii="Arial" w:hAnsi="Arial" w:cs="Arial"/>
        </w:rPr>
        <w:t xml:space="preserve"> presented my own original academic synthesis. </w:t>
      </w:r>
    </w:p>
    <w:p w14:paraId="2BFB283D" w14:textId="38AD8397" w:rsidR="0019742B" w:rsidRPr="00BC747D" w:rsidRDefault="0019742B" w:rsidP="00BC747D">
      <w:pPr>
        <w:pStyle w:val="Heading2"/>
        <w:spacing w:line="360" w:lineRule="auto"/>
        <w:rPr>
          <w:rFonts w:ascii="Arial" w:hAnsi="Arial" w:cs="Arial"/>
          <w:szCs w:val="24"/>
        </w:rPr>
      </w:pPr>
      <w:bookmarkStart w:id="14" w:name="_Toc233230652"/>
      <w:r w:rsidRPr="00BC747D">
        <w:rPr>
          <w:rFonts w:ascii="Arial" w:hAnsi="Arial" w:cs="Arial"/>
          <w:szCs w:val="24"/>
        </w:rPr>
        <w:t>Ethical and professional reflection</w:t>
      </w:r>
      <w:bookmarkEnd w:id="14"/>
    </w:p>
    <w:p w14:paraId="0F95C84F" w14:textId="3186B2FD" w:rsidR="0019742B" w:rsidRPr="00BC747D" w:rsidRDefault="00EF731E" w:rsidP="00BC747D">
      <w:pPr>
        <w:spacing w:line="360" w:lineRule="auto"/>
        <w:rPr>
          <w:rFonts w:ascii="Arial" w:hAnsi="Arial" w:cs="Arial"/>
        </w:rPr>
      </w:pPr>
      <w:r w:rsidRPr="00BC747D">
        <w:rPr>
          <w:rFonts w:ascii="Arial" w:hAnsi="Arial" w:cs="Arial"/>
        </w:rPr>
        <w:t>Presenting</w:t>
      </w:r>
      <w:r w:rsidR="0019742B" w:rsidRPr="00BC747D">
        <w:rPr>
          <w:rFonts w:ascii="Arial" w:hAnsi="Arial" w:cs="Arial"/>
        </w:rPr>
        <w:t xml:space="preserve"> on this process shows the significant ethical implications in relation to the AI development in contemporary marketing management. Professionally</w:t>
      </w:r>
      <w:r w:rsidRPr="00BC747D">
        <w:rPr>
          <w:rFonts w:ascii="Arial" w:hAnsi="Arial" w:cs="Arial"/>
        </w:rPr>
        <w:t>,</w:t>
      </w:r>
      <w:r w:rsidR="0019742B" w:rsidRPr="00BC747D">
        <w:rPr>
          <w:rFonts w:ascii="Arial" w:hAnsi="Arial" w:cs="Arial"/>
        </w:rPr>
        <w:t xml:space="preserve"> AI helps us </w:t>
      </w:r>
      <w:r w:rsidRPr="00BC747D">
        <w:rPr>
          <w:rFonts w:ascii="Arial" w:hAnsi="Arial" w:cs="Arial"/>
        </w:rPr>
        <w:t>as an</w:t>
      </w:r>
      <w:r w:rsidR="0019742B" w:rsidRPr="00BC747D">
        <w:rPr>
          <w:rFonts w:ascii="Arial" w:hAnsi="Arial" w:cs="Arial"/>
        </w:rPr>
        <w:t xml:space="preserve"> invaluable efficiency multiplier and helps the managers to process the critical macro environmental variables and trade regulations quickly. Meanwhile, the </w:t>
      </w:r>
      <w:r w:rsidRPr="00BC747D">
        <w:rPr>
          <w:rFonts w:ascii="Arial" w:hAnsi="Arial" w:cs="Arial"/>
        </w:rPr>
        <w:t>non-critical</w:t>
      </w:r>
      <w:r w:rsidR="0019742B" w:rsidRPr="00BC747D">
        <w:rPr>
          <w:rFonts w:ascii="Arial" w:hAnsi="Arial" w:cs="Arial"/>
        </w:rPr>
        <w:t xml:space="preserve"> dependence on these tools </w:t>
      </w:r>
      <w:r w:rsidRPr="00BC747D">
        <w:rPr>
          <w:rFonts w:ascii="Arial" w:hAnsi="Arial" w:cs="Arial"/>
        </w:rPr>
        <w:t>poses</w:t>
      </w:r>
      <w:r w:rsidR="0019742B" w:rsidRPr="00BC747D">
        <w:rPr>
          <w:rFonts w:ascii="Arial" w:hAnsi="Arial" w:cs="Arial"/>
        </w:rPr>
        <w:t xml:space="preserve"> severe ethical hazards</w:t>
      </w:r>
      <w:r w:rsidRPr="00BC747D">
        <w:rPr>
          <w:rFonts w:ascii="Arial" w:hAnsi="Arial" w:cs="Arial"/>
        </w:rPr>
        <w:t>,</w:t>
      </w:r>
      <w:r w:rsidR="0019742B" w:rsidRPr="00BC747D">
        <w:rPr>
          <w:rFonts w:ascii="Arial" w:hAnsi="Arial" w:cs="Arial"/>
        </w:rPr>
        <w:t xml:space="preserve"> such as data privacy breaches when uploading corporate information, potential reproduction of the algorithmic bias, and erosion </w:t>
      </w:r>
      <w:r w:rsidRPr="00BC747D">
        <w:rPr>
          <w:rFonts w:ascii="Arial" w:hAnsi="Arial" w:cs="Arial"/>
        </w:rPr>
        <w:t xml:space="preserve">of </w:t>
      </w:r>
      <w:r w:rsidR="0019742B" w:rsidRPr="00BC747D">
        <w:rPr>
          <w:rFonts w:ascii="Arial" w:hAnsi="Arial" w:cs="Arial"/>
        </w:rPr>
        <w:t xml:space="preserve">the authentic intellectual ownership of data.  </w:t>
      </w:r>
    </w:p>
    <w:p w14:paraId="26D87C78" w14:textId="5DE61716" w:rsidR="00EF731E" w:rsidRPr="00BC747D" w:rsidRDefault="00EF731E" w:rsidP="00BC747D">
      <w:pPr>
        <w:spacing w:line="360" w:lineRule="auto"/>
        <w:rPr>
          <w:rFonts w:ascii="Arial" w:hAnsi="Arial" w:cs="Arial"/>
        </w:rPr>
      </w:pPr>
    </w:p>
    <w:p w14:paraId="7A3B7A73" w14:textId="2FB7035A" w:rsidR="00EF731E" w:rsidRPr="006A2F01" w:rsidRDefault="00EF731E" w:rsidP="00BC747D">
      <w:pPr>
        <w:spacing w:line="360" w:lineRule="auto"/>
        <w:rPr>
          <w:rFonts w:ascii="Arial" w:hAnsi="Arial" w:cs="Arial"/>
          <w:b/>
          <w:bCs/>
          <w:i/>
          <w:iCs/>
        </w:rPr>
      </w:pPr>
      <w:r w:rsidRPr="006A2F01">
        <w:rPr>
          <w:rFonts w:ascii="Arial" w:hAnsi="Arial" w:cs="Arial"/>
          <w:b/>
          <w:bCs/>
          <w:i/>
          <w:iCs/>
        </w:rPr>
        <w:t>AI Declaration</w:t>
      </w:r>
    </w:p>
    <w:p w14:paraId="2BFA827B" w14:textId="5722E458" w:rsidR="00EF731E" w:rsidRPr="00BC747D" w:rsidRDefault="00EF731E" w:rsidP="00BC747D">
      <w:pPr>
        <w:spacing w:line="360" w:lineRule="auto"/>
        <w:rPr>
          <w:rFonts w:ascii="Arial" w:hAnsi="Arial" w:cs="Arial"/>
        </w:rPr>
      </w:pPr>
      <w:r w:rsidRPr="00BC747D">
        <w:rPr>
          <w:rFonts w:ascii="Arial" w:hAnsi="Arial" w:cs="Arial"/>
        </w:rPr>
        <w:t xml:space="preserve">I acknowledge the use of the large language models to support the primary background information, data summaries, and text proofreading for this report. All the text, strategic conclusions, and conceptual framework applications were written wholly by my own hand, and all the referenced sources have been independently verified for better accuracy. </w:t>
      </w:r>
    </w:p>
    <w:p w14:paraId="3F0AC440" w14:textId="77777777" w:rsidR="002E1BD3" w:rsidRPr="00BC747D" w:rsidRDefault="002E1BD3" w:rsidP="00BC747D">
      <w:pPr>
        <w:spacing w:line="360" w:lineRule="auto"/>
        <w:rPr>
          <w:rFonts w:ascii="Arial" w:hAnsi="Arial" w:cs="Arial"/>
        </w:rPr>
      </w:pPr>
    </w:p>
    <w:p w14:paraId="3E8F8CD9" w14:textId="1148C87F" w:rsidR="002E1BD3" w:rsidRPr="00BC747D" w:rsidRDefault="002E1BD3" w:rsidP="00BC747D">
      <w:pPr>
        <w:pStyle w:val="Heading1"/>
        <w:spacing w:line="360" w:lineRule="auto"/>
        <w:rPr>
          <w:rFonts w:ascii="Arial" w:hAnsi="Arial" w:cs="Arial"/>
        </w:rPr>
      </w:pPr>
      <w:r w:rsidRPr="00BC747D">
        <w:rPr>
          <w:rFonts w:ascii="Arial" w:hAnsi="Arial" w:cs="Arial"/>
        </w:rPr>
        <w:br w:type="page"/>
      </w:r>
      <w:bookmarkStart w:id="15" w:name="_Toc233230653"/>
      <w:r w:rsidRPr="00BC747D">
        <w:rPr>
          <w:rFonts w:ascii="Arial" w:hAnsi="Arial" w:cs="Arial"/>
        </w:rPr>
        <w:lastRenderedPageBreak/>
        <w:t>References</w:t>
      </w:r>
      <w:bookmarkEnd w:id="15"/>
    </w:p>
    <w:p w14:paraId="048397F4" w14:textId="77777777" w:rsidR="00BC747D" w:rsidRPr="00BC747D" w:rsidRDefault="00BC747D" w:rsidP="00BC747D">
      <w:pPr>
        <w:spacing w:line="360" w:lineRule="auto"/>
        <w:rPr>
          <w:rFonts w:ascii="Arial" w:hAnsi="Arial" w:cs="Arial"/>
        </w:rPr>
      </w:pPr>
      <w:r w:rsidRPr="00BC747D">
        <w:rPr>
          <w:rFonts w:ascii="Arial" w:hAnsi="Arial" w:cs="Arial"/>
        </w:rPr>
        <w:t xml:space="preserve">BHP (2021) </w:t>
      </w:r>
      <w:r w:rsidRPr="00BC747D">
        <w:rPr>
          <w:rFonts w:ascii="Arial" w:hAnsi="Arial" w:cs="Arial"/>
          <w:i/>
          <w:iCs/>
        </w:rPr>
        <w:t>BHP enters into nickel supply agreement with Tesla Inc.</w:t>
      </w:r>
      <w:r w:rsidRPr="00BC747D">
        <w:rPr>
          <w:rFonts w:ascii="Arial" w:hAnsi="Arial" w:cs="Arial"/>
        </w:rPr>
        <w:t xml:space="preserve"> Available at: </w:t>
      </w:r>
      <w:hyperlink r:id="rId11" w:tgtFrame="_blank" w:history="1">
        <w:r w:rsidRPr="00BC747D">
          <w:rPr>
            <w:rStyle w:val="Hyperlink"/>
            <w:rFonts w:ascii="Arial" w:hAnsi="Arial" w:cs="Arial"/>
            <w:color w:val="auto"/>
          </w:rPr>
          <w:t>https://www.bhp.com/news/media-centre/releases/2021/07/bhp-enters-into-nickel-supply-agreement-with-tesla-inc</w:t>
        </w:r>
      </w:hyperlink>
      <w:r w:rsidRPr="00BC747D">
        <w:rPr>
          <w:rFonts w:ascii="Arial" w:hAnsi="Arial" w:cs="Arial"/>
        </w:rPr>
        <w:t xml:space="preserve"> (Accessed: 24 June 2026).</w:t>
      </w:r>
    </w:p>
    <w:p w14:paraId="4769226A" w14:textId="77777777" w:rsidR="00BC747D" w:rsidRPr="00BC747D" w:rsidRDefault="00BC747D" w:rsidP="00BC747D">
      <w:pPr>
        <w:spacing w:line="360" w:lineRule="auto"/>
        <w:rPr>
          <w:rFonts w:ascii="Arial" w:hAnsi="Arial" w:cs="Arial"/>
        </w:rPr>
      </w:pPr>
      <w:r w:rsidRPr="00BC747D">
        <w:rPr>
          <w:rFonts w:ascii="Arial" w:hAnsi="Arial" w:cs="Arial"/>
        </w:rPr>
        <w:t xml:space="preserve">BHP (2025a) </w:t>
      </w:r>
      <w:r w:rsidRPr="00BC747D">
        <w:rPr>
          <w:rFonts w:ascii="Arial" w:hAnsi="Arial" w:cs="Arial"/>
          <w:i/>
          <w:iCs/>
        </w:rPr>
        <w:t>Value chain GHG emissions (Scope 3 emissions)</w:t>
      </w:r>
      <w:r w:rsidRPr="00BC747D">
        <w:rPr>
          <w:rFonts w:ascii="Arial" w:hAnsi="Arial" w:cs="Arial"/>
        </w:rPr>
        <w:t xml:space="preserve">. Available at: </w:t>
      </w:r>
      <w:hyperlink r:id="rId12" w:tgtFrame="_blank" w:history="1">
        <w:r w:rsidRPr="00BC747D">
          <w:rPr>
            <w:rStyle w:val="Hyperlink"/>
            <w:rFonts w:ascii="Arial" w:hAnsi="Arial" w:cs="Arial"/>
            <w:color w:val="auto"/>
          </w:rPr>
          <w:t>https://www.bhp.com/sustainability/climate-change/value-chain-ghg-emission-reductions</w:t>
        </w:r>
      </w:hyperlink>
      <w:r w:rsidRPr="00BC747D">
        <w:rPr>
          <w:rFonts w:ascii="Arial" w:hAnsi="Arial" w:cs="Arial"/>
        </w:rPr>
        <w:t xml:space="preserve"> (Accessed: 24 June 2026).</w:t>
      </w:r>
    </w:p>
    <w:p w14:paraId="275A0DE2" w14:textId="77777777" w:rsidR="00BC747D" w:rsidRPr="00BC747D" w:rsidRDefault="00BC747D" w:rsidP="00BC747D">
      <w:pPr>
        <w:spacing w:line="360" w:lineRule="auto"/>
        <w:rPr>
          <w:rFonts w:ascii="Arial" w:hAnsi="Arial" w:cs="Arial"/>
        </w:rPr>
      </w:pPr>
      <w:r w:rsidRPr="00BC747D">
        <w:rPr>
          <w:rFonts w:ascii="Arial" w:hAnsi="Arial" w:cs="Arial"/>
        </w:rPr>
        <w:t xml:space="preserve">BHP (2025b) </w:t>
      </w:r>
      <w:r w:rsidRPr="00BC747D">
        <w:rPr>
          <w:rFonts w:ascii="Arial" w:hAnsi="Arial" w:cs="Arial"/>
          <w:i/>
          <w:iCs/>
        </w:rPr>
        <w:t>Steelmaking decarbonisation: Transition to new pathways, progress and industry insights</w:t>
      </w:r>
      <w:r w:rsidRPr="00BC747D">
        <w:rPr>
          <w:rFonts w:ascii="Arial" w:hAnsi="Arial" w:cs="Arial"/>
        </w:rPr>
        <w:t xml:space="preserve">. Available at: </w:t>
      </w:r>
      <w:hyperlink r:id="rId13" w:tgtFrame="_blank" w:history="1">
        <w:r w:rsidRPr="00BC747D">
          <w:rPr>
            <w:rStyle w:val="Hyperlink"/>
            <w:rFonts w:ascii="Arial" w:hAnsi="Arial" w:cs="Arial"/>
            <w:color w:val="auto"/>
          </w:rPr>
          <w:t>https://www.bhp.com/news/bhp-insights/2025/12/steelmaking-decarbonisation</w:t>
        </w:r>
      </w:hyperlink>
      <w:r w:rsidRPr="00BC747D">
        <w:rPr>
          <w:rFonts w:ascii="Arial" w:hAnsi="Arial" w:cs="Arial"/>
        </w:rPr>
        <w:t xml:space="preserve"> (Accessed: 24 June 2026).</w:t>
      </w:r>
    </w:p>
    <w:p w14:paraId="44D3549E" w14:textId="77777777" w:rsidR="00BC747D" w:rsidRPr="00BC747D" w:rsidRDefault="00BC747D" w:rsidP="00BC747D">
      <w:pPr>
        <w:spacing w:line="360" w:lineRule="auto"/>
        <w:rPr>
          <w:rFonts w:ascii="Arial" w:hAnsi="Arial" w:cs="Arial"/>
        </w:rPr>
      </w:pPr>
      <w:r w:rsidRPr="00BC747D">
        <w:rPr>
          <w:rFonts w:ascii="Arial" w:hAnsi="Arial" w:cs="Arial"/>
        </w:rPr>
        <w:t xml:space="preserve">BHP (2026a) </w:t>
      </w:r>
      <w:r w:rsidRPr="00BC747D">
        <w:rPr>
          <w:rFonts w:ascii="Arial" w:hAnsi="Arial" w:cs="Arial"/>
          <w:i/>
          <w:iCs/>
        </w:rPr>
        <w:t>Our latest Climate Transition Action Plan (CTAP)</w:t>
      </w:r>
      <w:r w:rsidRPr="00BC747D">
        <w:rPr>
          <w:rFonts w:ascii="Arial" w:hAnsi="Arial" w:cs="Arial"/>
        </w:rPr>
        <w:t xml:space="preserve">. Available at: </w:t>
      </w:r>
      <w:hyperlink r:id="rId14" w:tgtFrame="_blank" w:history="1">
        <w:r w:rsidRPr="00BC747D">
          <w:rPr>
            <w:rStyle w:val="Hyperlink"/>
            <w:rFonts w:ascii="Arial" w:hAnsi="Arial" w:cs="Arial"/>
            <w:color w:val="auto"/>
          </w:rPr>
          <w:t>https://www.bhp.com/sustainability/climate-change/climate-transition-action-plan</w:t>
        </w:r>
      </w:hyperlink>
      <w:r w:rsidRPr="00BC747D">
        <w:rPr>
          <w:rFonts w:ascii="Arial" w:hAnsi="Arial" w:cs="Arial"/>
        </w:rPr>
        <w:t xml:space="preserve"> (Accessed: 24 June 2026).</w:t>
      </w:r>
    </w:p>
    <w:p w14:paraId="7A62101B" w14:textId="77777777" w:rsidR="00BC747D" w:rsidRPr="00BC747D" w:rsidRDefault="00BC747D" w:rsidP="00BC747D">
      <w:pPr>
        <w:spacing w:line="360" w:lineRule="auto"/>
        <w:rPr>
          <w:rFonts w:ascii="Arial" w:hAnsi="Arial" w:cs="Arial"/>
        </w:rPr>
      </w:pPr>
      <w:r w:rsidRPr="00BC747D">
        <w:rPr>
          <w:rFonts w:ascii="Arial" w:hAnsi="Arial" w:cs="Arial"/>
        </w:rPr>
        <w:t xml:space="preserve">BHP (2026b) </w:t>
      </w:r>
      <w:r w:rsidRPr="00BC747D">
        <w:rPr>
          <w:rFonts w:ascii="Arial" w:hAnsi="Arial" w:cs="Arial"/>
          <w:i/>
          <w:iCs/>
        </w:rPr>
        <w:t>Carbon offsetting</w:t>
      </w:r>
      <w:r w:rsidRPr="00BC747D">
        <w:rPr>
          <w:rFonts w:ascii="Arial" w:hAnsi="Arial" w:cs="Arial"/>
        </w:rPr>
        <w:t xml:space="preserve">. Available at: </w:t>
      </w:r>
      <w:hyperlink r:id="rId15" w:tgtFrame="_blank" w:history="1">
        <w:r w:rsidRPr="00BC747D">
          <w:rPr>
            <w:rStyle w:val="Hyperlink"/>
            <w:rFonts w:ascii="Arial" w:hAnsi="Arial" w:cs="Arial"/>
            <w:color w:val="auto"/>
          </w:rPr>
          <w:t>https://www.bhp.com/sustainability/climate-change/carbon-offsetting</w:t>
        </w:r>
      </w:hyperlink>
      <w:r w:rsidRPr="00BC747D">
        <w:rPr>
          <w:rFonts w:ascii="Arial" w:hAnsi="Arial" w:cs="Arial"/>
        </w:rPr>
        <w:t xml:space="preserve"> (Accessed: 24 June 2026).</w:t>
      </w:r>
    </w:p>
    <w:p w14:paraId="1F10CC6E" w14:textId="77777777" w:rsidR="00BC747D" w:rsidRPr="00BC747D" w:rsidRDefault="00BC747D" w:rsidP="00BC747D">
      <w:pPr>
        <w:spacing w:line="360" w:lineRule="auto"/>
        <w:rPr>
          <w:rFonts w:ascii="Arial" w:hAnsi="Arial" w:cs="Arial"/>
        </w:rPr>
      </w:pPr>
      <w:r w:rsidRPr="00BC747D">
        <w:rPr>
          <w:rFonts w:ascii="Arial" w:hAnsi="Arial" w:cs="Arial"/>
        </w:rPr>
        <w:t xml:space="preserve">Department of Climate Change, Energy, the Environment and Water (2026) </w:t>
      </w:r>
      <w:r w:rsidRPr="00BC747D">
        <w:rPr>
          <w:rFonts w:ascii="Arial" w:hAnsi="Arial" w:cs="Arial"/>
          <w:i/>
          <w:iCs/>
        </w:rPr>
        <w:t>Safeguard Mechanism overview</w:t>
      </w:r>
      <w:r w:rsidRPr="00BC747D">
        <w:rPr>
          <w:rFonts w:ascii="Arial" w:hAnsi="Arial" w:cs="Arial"/>
        </w:rPr>
        <w:t xml:space="preserve">. Available at: </w:t>
      </w:r>
      <w:hyperlink r:id="rId16" w:tgtFrame="_blank" w:history="1">
        <w:r w:rsidRPr="00BC747D">
          <w:rPr>
            <w:rStyle w:val="Hyperlink"/>
            <w:rFonts w:ascii="Arial" w:hAnsi="Arial" w:cs="Arial"/>
            <w:color w:val="auto"/>
          </w:rPr>
          <w:t>https://www.dcceew.gov.au/climate-change/emissions-reporting/national-greenhouse-energy-reporting-scheme/safeguard-mechanism</w:t>
        </w:r>
      </w:hyperlink>
      <w:r w:rsidRPr="00BC747D">
        <w:rPr>
          <w:rFonts w:ascii="Arial" w:hAnsi="Arial" w:cs="Arial"/>
        </w:rPr>
        <w:t xml:space="preserve"> (Accessed: 24 June 2026).</w:t>
      </w:r>
    </w:p>
    <w:p w14:paraId="627F4BBC" w14:textId="77777777" w:rsidR="00BC747D" w:rsidRPr="00BC747D" w:rsidRDefault="00BC747D" w:rsidP="00BC747D">
      <w:pPr>
        <w:spacing w:line="360" w:lineRule="auto"/>
        <w:rPr>
          <w:rFonts w:ascii="Arial" w:hAnsi="Arial" w:cs="Arial"/>
        </w:rPr>
      </w:pPr>
      <w:r w:rsidRPr="00BC747D">
        <w:rPr>
          <w:rFonts w:ascii="Arial" w:hAnsi="Arial" w:cs="Arial"/>
        </w:rPr>
        <w:t xml:space="preserve">Global Data (2026) </w:t>
      </w:r>
      <w:r w:rsidRPr="00BC747D">
        <w:rPr>
          <w:rFonts w:ascii="Arial" w:hAnsi="Arial" w:cs="Arial"/>
          <w:i/>
          <w:iCs/>
        </w:rPr>
        <w:t>BHP Group Ltd: Overview</w:t>
      </w:r>
      <w:r w:rsidRPr="00BC747D">
        <w:rPr>
          <w:rFonts w:ascii="Arial" w:hAnsi="Arial" w:cs="Arial"/>
        </w:rPr>
        <w:t xml:space="preserve">. Available at: </w:t>
      </w:r>
      <w:hyperlink r:id="rId17" w:tgtFrame="_blank" w:history="1">
        <w:r w:rsidRPr="00BC747D">
          <w:rPr>
            <w:rStyle w:val="Hyperlink"/>
            <w:rFonts w:ascii="Arial" w:hAnsi="Arial" w:cs="Arial"/>
            <w:color w:val="auto"/>
          </w:rPr>
          <w:t>https://www.globaldata.com/company-profile/bhp/</w:t>
        </w:r>
      </w:hyperlink>
      <w:r w:rsidRPr="00BC747D">
        <w:rPr>
          <w:rFonts w:ascii="Arial" w:hAnsi="Arial" w:cs="Arial"/>
        </w:rPr>
        <w:t xml:space="preserve"> (Accessed: 24 June 2026).</w:t>
      </w:r>
    </w:p>
    <w:p w14:paraId="488958D8" w14:textId="77777777" w:rsidR="00BC747D" w:rsidRPr="00BC747D" w:rsidRDefault="00BC747D" w:rsidP="00BC747D">
      <w:pPr>
        <w:spacing w:line="360" w:lineRule="auto"/>
        <w:rPr>
          <w:rFonts w:ascii="Arial" w:hAnsi="Arial" w:cs="Arial"/>
        </w:rPr>
      </w:pPr>
      <w:r w:rsidRPr="00BC747D">
        <w:rPr>
          <w:rFonts w:ascii="Arial" w:hAnsi="Arial" w:cs="Arial"/>
        </w:rPr>
        <w:t xml:space="preserve">Kotler, P., Armstrong, G., Harris, L.C. and He, H. (2024) </w:t>
      </w:r>
      <w:r w:rsidRPr="00BC747D">
        <w:rPr>
          <w:rFonts w:ascii="Arial" w:hAnsi="Arial" w:cs="Arial"/>
          <w:i/>
          <w:iCs/>
        </w:rPr>
        <w:t>Principles of marketing</w:t>
      </w:r>
      <w:r w:rsidRPr="00BC747D">
        <w:rPr>
          <w:rFonts w:ascii="Arial" w:hAnsi="Arial" w:cs="Arial"/>
        </w:rPr>
        <w:t>. 19th edn. Harlow: Pearson.</w:t>
      </w:r>
    </w:p>
    <w:p w14:paraId="58221F5F" w14:textId="77777777" w:rsidR="00BC747D" w:rsidRPr="00BC747D" w:rsidRDefault="00BC747D" w:rsidP="00BC747D">
      <w:pPr>
        <w:spacing w:line="360" w:lineRule="auto"/>
        <w:rPr>
          <w:rFonts w:ascii="Arial" w:hAnsi="Arial" w:cs="Arial"/>
        </w:rPr>
      </w:pPr>
      <w:r w:rsidRPr="00BC747D">
        <w:rPr>
          <w:rFonts w:ascii="Arial" w:hAnsi="Arial" w:cs="Arial"/>
        </w:rPr>
        <w:t xml:space="preserve">Nguyen, R.T., Eggert, R.G., Severson, M.H. and Anderson, C.G. (2021) 'Global electrification of vehicles and intertwined material supply chains of cobalt, copper and nickel', </w:t>
      </w:r>
      <w:r w:rsidRPr="00BC747D">
        <w:rPr>
          <w:rFonts w:ascii="Arial" w:hAnsi="Arial" w:cs="Arial"/>
          <w:i/>
          <w:iCs/>
        </w:rPr>
        <w:t>Resources, Conservation and Recycling</w:t>
      </w:r>
      <w:r w:rsidRPr="00BC747D">
        <w:rPr>
          <w:rFonts w:ascii="Arial" w:hAnsi="Arial" w:cs="Arial"/>
        </w:rPr>
        <w:t xml:space="preserve">, 167, p. 105198. Available at: </w:t>
      </w:r>
      <w:hyperlink r:id="rId18" w:tgtFrame="_blank" w:history="1">
        <w:r w:rsidRPr="00BC747D">
          <w:rPr>
            <w:rStyle w:val="Hyperlink"/>
            <w:rFonts w:ascii="Arial" w:hAnsi="Arial" w:cs="Arial"/>
            <w:color w:val="auto"/>
          </w:rPr>
          <w:t>https://www.sciencedirect.com/science/article/am/pii/S0921344920305152</w:t>
        </w:r>
      </w:hyperlink>
      <w:r w:rsidRPr="00BC747D">
        <w:rPr>
          <w:rFonts w:ascii="Arial" w:hAnsi="Arial" w:cs="Arial"/>
        </w:rPr>
        <w:t xml:space="preserve"> (Accessed: 24 June 2026).</w:t>
      </w:r>
    </w:p>
    <w:p w14:paraId="301A759A" w14:textId="77777777" w:rsidR="00BC747D" w:rsidRPr="00BC747D" w:rsidRDefault="00BC747D" w:rsidP="00BC747D">
      <w:pPr>
        <w:spacing w:line="360" w:lineRule="auto"/>
        <w:rPr>
          <w:rFonts w:ascii="Arial" w:hAnsi="Arial" w:cs="Arial"/>
        </w:rPr>
      </w:pPr>
      <w:r w:rsidRPr="00BC747D">
        <w:rPr>
          <w:rFonts w:ascii="Arial" w:hAnsi="Arial" w:cs="Arial"/>
        </w:rPr>
        <w:lastRenderedPageBreak/>
        <w:t xml:space="preserve">Ralph, S., Loney, J.C., Riley, B., Johnson, R. and Klug, S. (2023) 'Richard Riegert Memorial Lecture: the Canadian Critical Minerals Strategy: unearthing energy Security in Canada', </w:t>
      </w:r>
      <w:r w:rsidRPr="00BC747D">
        <w:rPr>
          <w:rFonts w:ascii="Arial" w:hAnsi="Arial" w:cs="Arial"/>
          <w:i/>
          <w:iCs/>
        </w:rPr>
        <w:t>Alberta Law Review</w:t>
      </w:r>
      <w:r w:rsidRPr="00BC747D">
        <w:rPr>
          <w:rFonts w:ascii="Arial" w:hAnsi="Arial" w:cs="Arial"/>
        </w:rPr>
        <w:t xml:space="preserve">, pp. 385–385. Available at: </w:t>
      </w:r>
      <w:hyperlink r:id="rId19" w:tgtFrame="_blank" w:history="1">
        <w:r w:rsidRPr="00BC747D">
          <w:rPr>
            <w:rStyle w:val="Hyperlink"/>
            <w:rFonts w:ascii="Arial" w:hAnsi="Arial" w:cs="Arial"/>
            <w:color w:val="auto"/>
          </w:rPr>
          <w:t>https://journals.library.ualberta.ca/www.albertalawreview.com/index.php/ALR/article/download/2769/2718</w:t>
        </w:r>
      </w:hyperlink>
      <w:r w:rsidRPr="00BC747D">
        <w:rPr>
          <w:rFonts w:ascii="Arial" w:hAnsi="Arial" w:cs="Arial"/>
        </w:rPr>
        <w:t xml:space="preserve"> (Accessed: 24 June 2026)</w:t>
      </w:r>
    </w:p>
    <w:p w14:paraId="021E529E" w14:textId="77777777" w:rsidR="00BC747D" w:rsidRPr="00BC747D" w:rsidRDefault="00BC747D" w:rsidP="00BC747D">
      <w:pPr>
        <w:spacing w:line="360" w:lineRule="auto"/>
        <w:rPr>
          <w:rFonts w:ascii="Arial" w:hAnsi="Arial" w:cs="Arial"/>
        </w:rPr>
      </w:pPr>
      <w:r w:rsidRPr="00BC747D">
        <w:rPr>
          <w:rFonts w:ascii="Arial" w:hAnsi="Arial" w:cs="Arial"/>
        </w:rPr>
        <w:t xml:space="preserve">The Guardian (2026) 'Revealed: the internal BHP memo that slammed the brakes on the world’s biggest miner’s climate push', </w:t>
      </w:r>
      <w:r w:rsidRPr="00BC747D">
        <w:rPr>
          <w:rFonts w:ascii="Arial" w:hAnsi="Arial" w:cs="Arial"/>
          <w:i/>
          <w:iCs/>
        </w:rPr>
        <w:t>The Guardian</w:t>
      </w:r>
      <w:r w:rsidRPr="00BC747D">
        <w:rPr>
          <w:rFonts w:ascii="Arial" w:hAnsi="Arial" w:cs="Arial"/>
        </w:rPr>
        <w:t xml:space="preserve">, 25 May. Available at: </w:t>
      </w:r>
      <w:hyperlink r:id="rId20" w:tgtFrame="_blank" w:history="1">
        <w:r w:rsidRPr="00BC747D">
          <w:rPr>
            <w:rStyle w:val="Hyperlink"/>
            <w:rFonts w:ascii="Arial" w:hAnsi="Arial" w:cs="Arial"/>
            <w:color w:val="auto"/>
          </w:rPr>
          <w:t>https://www.theguardian.com/world/ng-interactive/2026/may/25/bhp-files-internal-memo-revealed</w:t>
        </w:r>
      </w:hyperlink>
      <w:r w:rsidRPr="00BC747D">
        <w:rPr>
          <w:rFonts w:ascii="Arial" w:hAnsi="Arial" w:cs="Arial"/>
        </w:rPr>
        <w:t xml:space="preserve"> (Accessed: 24 June 2026).</w:t>
      </w:r>
    </w:p>
    <w:p w14:paraId="60541751" w14:textId="77777777" w:rsidR="00BC747D" w:rsidRPr="00BC747D" w:rsidRDefault="00BC747D" w:rsidP="00BC747D">
      <w:pPr>
        <w:spacing w:line="360" w:lineRule="auto"/>
        <w:rPr>
          <w:rFonts w:ascii="Arial" w:hAnsi="Arial" w:cs="Arial"/>
        </w:rPr>
      </w:pPr>
      <w:r w:rsidRPr="00BC747D">
        <w:rPr>
          <w:rFonts w:ascii="Arial" w:hAnsi="Arial" w:cs="Arial"/>
        </w:rPr>
        <w:t xml:space="preserve">World Bank Group (2026) </w:t>
      </w:r>
      <w:r w:rsidRPr="00BC747D">
        <w:rPr>
          <w:rFonts w:ascii="Arial" w:hAnsi="Arial" w:cs="Arial"/>
          <w:i/>
          <w:iCs/>
        </w:rPr>
        <w:t>Mining Value Chains</w:t>
      </w:r>
      <w:r w:rsidRPr="00BC747D">
        <w:rPr>
          <w:rFonts w:ascii="Arial" w:hAnsi="Arial" w:cs="Arial"/>
        </w:rPr>
        <w:t xml:space="preserve">. Available at: </w:t>
      </w:r>
      <w:hyperlink r:id="rId21" w:tgtFrame="_blank" w:history="1">
        <w:r w:rsidRPr="00BC747D">
          <w:rPr>
            <w:rStyle w:val="Hyperlink"/>
            <w:rFonts w:ascii="Arial" w:hAnsi="Arial" w:cs="Arial"/>
            <w:color w:val="auto"/>
          </w:rPr>
          <w:t>https://documents1.worldbank.org/curated/en/099101723140622516/pdf/P17516105e95da0de0a34c0dd670e6f75cf.pdf</w:t>
        </w:r>
      </w:hyperlink>
      <w:r w:rsidRPr="00BC747D">
        <w:rPr>
          <w:rFonts w:ascii="Arial" w:hAnsi="Arial" w:cs="Arial"/>
        </w:rPr>
        <w:t xml:space="preserve"> (Accessed: 24 June 2026).</w:t>
      </w:r>
    </w:p>
    <w:p w14:paraId="150F66CE" w14:textId="77777777" w:rsidR="00BC747D" w:rsidRPr="00BC747D" w:rsidRDefault="00BC747D" w:rsidP="00BC747D">
      <w:pPr>
        <w:spacing w:line="360" w:lineRule="auto"/>
        <w:rPr>
          <w:rFonts w:ascii="Arial" w:hAnsi="Arial" w:cs="Arial"/>
        </w:rPr>
      </w:pPr>
      <w:r w:rsidRPr="00BC747D">
        <w:rPr>
          <w:rFonts w:ascii="Arial" w:hAnsi="Arial" w:cs="Arial"/>
        </w:rPr>
        <w:t xml:space="preserve">World Economic Forum (2024) </w:t>
      </w:r>
      <w:r w:rsidRPr="00BC747D">
        <w:rPr>
          <w:rFonts w:ascii="Arial" w:hAnsi="Arial" w:cs="Arial"/>
          <w:i/>
          <w:iCs/>
        </w:rPr>
        <w:t>BHP’s approach to Scope 3 reporting supports progress towards value chain decarbonization</w:t>
      </w:r>
      <w:r w:rsidRPr="00BC747D">
        <w:rPr>
          <w:rFonts w:ascii="Arial" w:hAnsi="Arial" w:cs="Arial"/>
        </w:rPr>
        <w:t xml:space="preserve">. Available at: </w:t>
      </w:r>
      <w:hyperlink r:id="rId22" w:tgtFrame="_blank" w:history="1">
        <w:r w:rsidRPr="00BC747D">
          <w:rPr>
            <w:rStyle w:val="Hyperlink"/>
            <w:rFonts w:ascii="Arial" w:hAnsi="Arial" w:cs="Arial"/>
            <w:color w:val="auto"/>
          </w:rPr>
          <w:t>https://www3.weforum.org/docs/WEF_ISSB_Knowledge_Hub_BHP_Case_Study_November_2024.pdf</w:t>
        </w:r>
      </w:hyperlink>
      <w:r w:rsidRPr="00BC747D">
        <w:rPr>
          <w:rFonts w:ascii="Arial" w:hAnsi="Arial" w:cs="Arial"/>
        </w:rPr>
        <w:t xml:space="preserve"> (Accessed: 24 June 2026).</w:t>
      </w:r>
    </w:p>
    <w:sectPr w:rsidR="00BC747D" w:rsidRPr="00BC747D">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A0D79" w14:textId="77777777" w:rsidR="00BF50BE" w:rsidRDefault="00BF50BE" w:rsidP="00BC747D">
      <w:pPr>
        <w:spacing w:after="0" w:line="240" w:lineRule="auto"/>
      </w:pPr>
      <w:r>
        <w:separator/>
      </w:r>
    </w:p>
  </w:endnote>
  <w:endnote w:type="continuationSeparator" w:id="0">
    <w:p w14:paraId="16FE316D" w14:textId="77777777" w:rsidR="00BF50BE" w:rsidRDefault="00BF50BE" w:rsidP="00BC7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489614"/>
      <w:docPartObj>
        <w:docPartGallery w:val="Page Numbers (Bottom of Page)"/>
        <w:docPartUnique/>
      </w:docPartObj>
    </w:sdtPr>
    <w:sdtEndPr>
      <w:rPr>
        <w:noProof/>
      </w:rPr>
    </w:sdtEndPr>
    <w:sdtContent>
      <w:p w14:paraId="2BF96EEF" w14:textId="077961B8" w:rsidR="00BC747D" w:rsidRDefault="00BC74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2AC3D5" w14:textId="77777777" w:rsidR="00BC747D" w:rsidRDefault="00BC7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2C6AC" w14:textId="77777777" w:rsidR="00BF50BE" w:rsidRDefault="00BF50BE" w:rsidP="00BC747D">
      <w:pPr>
        <w:spacing w:after="0" w:line="240" w:lineRule="auto"/>
      </w:pPr>
      <w:r>
        <w:separator/>
      </w:r>
    </w:p>
  </w:footnote>
  <w:footnote w:type="continuationSeparator" w:id="0">
    <w:p w14:paraId="35DF8C30" w14:textId="77777777" w:rsidR="00BF50BE" w:rsidRDefault="00BF50BE" w:rsidP="00BC7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63F6B"/>
    <w:multiLevelType w:val="hybridMultilevel"/>
    <w:tmpl w:val="C6CAD65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70E1BF2"/>
    <w:multiLevelType w:val="multilevel"/>
    <w:tmpl w:val="9836CF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89512646">
    <w:abstractNumId w:val="1"/>
  </w:num>
  <w:num w:numId="2" w16cid:durableId="233124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CEB"/>
    <w:rsid w:val="00012631"/>
    <w:rsid w:val="00053A65"/>
    <w:rsid w:val="000A05FE"/>
    <w:rsid w:val="00106ED7"/>
    <w:rsid w:val="001115C3"/>
    <w:rsid w:val="00116352"/>
    <w:rsid w:val="00147DA9"/>
    <w:rsid w:val="00151467"/>
    <w:rsid w:val="0019742B"/>
    <w:rsid w:val="001E3A83"/>
    <w:rsid w:val="0025055C"/>
    <w:rsid w:val="00252174"/>
    <w:rsid w:val="002B26F5"/>
    <w:rsid w:val="002B4905"/>
    <w:rsid w:val="002C09A0"/>
    <w:rsid w:val="002E1BD3"/>
    <w:rsid w:val="00317BC9"/>
    <w:rsid w:val="003547B5"/>
    <w:rsid w:val="0039547A"/>
    <w:rsid w:val="003A0E7A"/>
    <w:rsid w:val="00445B1D"/>
    <w:rsid w:val="004C4385"/>
    <w:rsid w:val="004E27BC"/>
    <w:rsid w:val="004F2B7F"/>
    <w:rsid w:val="00502A36"/>
    <w:rsid w:val="00561F88"/>
    <w:rsid w:val="00590660"/>
    <w:rsid w:val="00623C45"/>
    <w:rsid w:val="00635B1B"/>
    <w:rsid w:val="006A2F01"/>
    <w:rsid w:val="006A6599"/>
    <w:rsid w:val="006D4B21"/>
    <w:rsid w:val="00721115"/>
    <w:rsid w:val="00725B88"/>
    <w:rsid w:val="00740C72"/>
    <w:rsid w:val="007D27F5"/>
    <w:rsid w:val="00826CF1"/>
    <w:rsid w:val="0084548A"/>
    <w:rsid w:val="008725CF"/>
    <w:rsid w:val="008F45F4"/>
    <w:rsid w:val="00947724"/>
    <w:rsid w:val="00951BDB"/>
    <w:rsid w:val="00964568"/>
    <w:rsid w:val="0099256C"/>
    <w:rsid w:val="009C2231"/>
    <w:rsid w:val="009D4244"/>
    <w:rsid w:val="00A51BF0"/>
    <w:rsid w:val="00A63438"/>
    <w:rsid w:val="00A63CEB"/>
    <w:rsid w:val="00A923EE"/>
    <w:rsid w:val="00BC53B5"/>
    <w:rsid w:val="00BC747D"/>
    <w:rsid w:val="00BD23E0"/>
    <w:rsid w:val="00BF50BE"/>
    <w:rsid w:val="00C07D1C"/>
    <w:rsid w:val="00CA4B74"/>
    <w:rsid w:val="00CF5545"/>
    <w:rsid w:val="00D57D55"/>
    <w:rsid w:val="00DD4F16"/>
    <w:rsid w:val="00EC2DE8"/>
    <w:rsid w:val="00EF731E"/>
    <w:rsid w:val="00F120F7"/>
    <w:rsid w:val="00F26AEC"/>
    <w:rsid w:val="00F51F74"/>
    <w:rsid w:val="00F86030"/>
    <w:rsid w:val="00FF0A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B69BD"/>
  <w15:chartTrackingRefBased/>
  <w15:docId w15:val="{F3A87209-756B-42FF-A0F6-22D8650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B88"/>
    <w:pPr>
      <w:jc w:val="both"/>
    </w:pPr>
    <w:rPr>
      <w:rFonts w:ascii="Times New Roman" w:hAnsi="Times New Roman"/>
    </w:rPr>
  </w:style>
  <w:style w:type="paragraph" w:styleId="Heading1">
    <w:name w:val="heading 1"/>
    <w:basedOn w:val="Normal"/>
    <w:next w:val="Normal"/>
    <w:link w:val="Heading1Char"/>
    <w:autoRedefine/>
    <w:uiPriority w:val="9"/>
    <w:qFormat/>
    <w:rsid w:val="00CA4B74"/>
    <w:pPr>
      <w:keepNext/>
      <w:keepLines/>
      <w:spacing w:before="360" w:after="80" w:line="240" w:lineRule="auto"/>
      <w:outlineLvl w:val="0"/>
    </w:pPr>
    <w:rPr>
      <w:rFonts w:eastAsiaTheme="majorEastAsia" w:cstheme="majorBidi"/>
      <w:b/>
      <w:kern w:val="0"/>
      <w:szCs w:val="40"/>
      <w:lang w:val="en-US"/>
      <w14:ligatures w14:val="none"/>
    </w:rPr>
  </w:style>
  <w:style w:type="paragraph" w:styleId="Heading2">
    <w:name w:val="heading 2"/>
    <w:basedOn w:val="Normal"/>
    <w:next w:val="Normal"/>
    <w:link w:val="Heading2Char"/>
    <w:autoRedefine/>
    <w:uiPriority w:val="9"/>
    <w:unhideWhenUsed/>
    <w:qFormat/>
    <w:rsid w:val="00561F88"/>
    <w:pPr>
      <w:keepNext/>
      <w:keepLines/>
      <w:spacing w:before="160" w:after="80" w:line="240" w:lineRule="auto"/>
      <w:outlineLvl w:val="1"/>
    </w:pPr>
    <w:rPr>
      <w:rFonts w:eastAsiaTheme="majorEastAsia" w:cstheme="majorBidi"/>
      <w:b/>
      <w:kern w:val="0"/>
      <w:szCs w:val="32"/>
      <w:lang w:val="en-US"/>
      <w14:ligatures w14:val="none"/>
    </w:rPr>
  </w:style>
  <w:style w:type="paragraph" w:styleId="Heading3">
    <w:name w:val="heading 3"/>
    <w:basedOn w:val="Normal"/>
    <w:next w:val="Normal"/>
    <w:link w:val="Heading3Char"/>
    <w:autoRedefine/>
    <w:uiPriority w:val="9"/>
    <w:unhideWhenUsed/>
    <w:qFormat/>
    <w:rsid w:val="005906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A63CE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63CE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63CE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63CE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63CE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63CE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B74"/>
    <w:rPr>
      <w:rFonts w:ascii="Times New Roman" w:eastAsiaTheme="majorEastAsia" w:hAnsi="Times New Roman" w:cstheme="majorBidi"/>
      <w:b/>
      <w:kern w:val="0"/>
      <w:szCs w:val="40"/>
      <w:lang w:val="en-US"/>
      <w14:ligatures w14:val="none"/>
    </w:rPr>
  </w:style>
  <w:style w:type="character" w:customStyle="1" w:styleId="Heading2Char">
    <w:name w:val="Heading 2 Char"/>
    <w:basedOn w:val="DefaultParagraphFont"/>
    <w:link w:val="Heading2"/>
    <w:uiPriority w:val="9"/>
    <w:rsid w:val="00561F88"/>
    <w:rPr>
      <w:rFonts w:ascii="Times New Roman" w:eastAsiaTheme="majorEastAsia" w:hAnsi="Times New Roman" w:cstheme="majorBidi"/>
      <w:b/>
      <w:kern w:val="0"/>
      <w:szCs w:val="32"/>
      <w:lang w:val="en-US"/>
      <w14:ligatures w14:val="none"/>
    </w:rPr>
  </w:style>
  <w:style w:type="character" w:customStyle="1" w:styleId="Heading3Char">
    <w:name w:val="Heading 3 Char"/>
    <w:basedOn w:val="DefaultParagraphFont"/>
    <w:link w:val="Heading3"/>
    <w:uiPriority w:val="9"/>
    <w:rsid w:val="00590660"/>
    <w:rPr>
      <w:rFonts w:ascii="Times New Roman" w:eastAsiaTheme="majorEastAsia" w:hAnsi="Times New Roman" w:cstheme="majorBidi"/>
      <w:b/>
      <w:szCs w:val="28"/>
    </w:rPr>
  </w:style>
  <w:style w:type="paragraph" w:styleId="Caption">
    <w:name w:val="caption"/>
    <w:basedOn w:val="Normal"/>
    <w:next w:val="Normal"/>
    <w:autoRedefine/>
    <w:uiPriority w:val="35"/>
    <w:unhideWhenUsed/>
    <w:qFormat/>
    <w:rsid w:val="000A05FE"/>
    <w:rPr>
      <w:iCs/>
      <w:szCs w:val="18"/>
    </w:rPr>
  </w:style>
  <w:style w:type="paragraph" w:styleId="TOCHeading">
    <w:name w:val="TOC Heading"/>
    <w:basedOn w:val="Heading1"/>
    <w:next w:val="Normal"/>
    <w:autoRedefine/>
    <w:uiPriority w:val="39"/>
    <w:unhideWhenUsed/>
    <w:qFormat/>
    <w:rsid w:val="004F2B7F"/>
    <w:pPr>
      <w:outlineLvl w:val="9"/>
    </w:pPr>
    <w:rPr>
      <w:sz w:val="28"/>
    </w:rPr>
  </w:style>
  <w:style w:type="character" w:customStyle="1" w:styleId="Heading4Char">
    <w:name w:val="Heading 4 Char"/>
    <w:basedOn w:val="DefaultParagraphFont"/>
    <w:link w:val="Heading4"/>
    <w:uiPriority w:val="9"/>
    <w:semiHidden/>
    <w:rsid w:val="00A63C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C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C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C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C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CEB"/>
    <w:rPr>
      <w:rFonts w:eastAsiaTheme="majorEastAsia" w:cstheme="majorBidi"/>
      <w:color w:val="272727" w:themeColor="text1" w:themeTint="D8"/>
    </w:rPr>
  </w:style>
  <w:style w:type="paragraph" w:styleId="Title">
    <w:name w:val="Title"/>
    <w:basedOn w:val="Normal"/>
    <w:next w:val="Normal"/>
    <w:link w:val="TitleChar"/>
    <w:uiPriority w:val="10"/>
    <w:qFormat/>
    <w:rsid w:val="00A63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CE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CEB"/>
    <w:pPr>
      <w:spacing w:before="160"/>
      <w:jc w:val="center"/>
    </w:pPr>
    <w:rPr>
      <w:i/>
      <w:iCs/>
      <w:color w:val="404040" w:themeColor="text1" w:themeTint="BF"/>
    </w:rPr>
  </w:style>
  <w:style w:type="character" w:customStyle="1" w:styleId="QuoteChar">
    <w:name w:val="Quote Char"/>
    <w:basedOn w:val="DefaultParagraphFont"/>
    <w:link w:val="Quote"/>
    <w:uiPriority w:val="29"/>
    <w:rsid w:val="00A63CEB"/>
    <w:rPr>
      <w:rFonts w:ascii="Times New Roman" w:hAnsi="Times New Roman"/>
      <w:i/>
      <w:iCs/>
      <w:color w:val="404040" w:themeColor="text1" w:themeTint="BF"/>
    </w:rPr>
  </w:style>
  <w:style w:type="paragraph" w:styleId="ListParagraph">
    <w:name w:val="List Paragraph"/>
    <w:basedOn w:val="Normal"/>
    <w:uiPriority w:val="34"/>
    <w:qFormat/>
    <w:rsid w:val="00A63CEB"/>
    <w:pPr>
      <w:ind w:left="720"/>
      <w:contextualSpacing/>
    </w:pPr>
  </w:style>
  <w:style w:type="character" w:styleId="IntenseEmphasis">
    <w:name w:val="Intense Emphasis"/>
    <w:basedOn w:val="DefaultParagraphFont"/>
    <w:uiPriority w:val="21"/>
    <w:qFormat/>
    <w:rsid w:val="00A63CEB"/>
    <w:rPr>
      <w:i/>
      <w:iCs/>
      <w:color w:val="0F4761" w:themeColor="accent1" w:themeShade="BF"/>
    </w:rPr>
  </w:style>
  <w:style w:type="paragraph" w:styleId="IntenseQuote">
    <w:name w:val="Intense Quote"/>
    <w:basedOn w:val="Normal"/>
    <w:next w:val="Normal"/>
    <w:link w:val="IntenseQuoteChar"/>
    <w:uiPriority w:val="30"/>
    <w:qFormat/>
    <w:rsid w:val="00A63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CEB"/>
    <w:rPr>
      <w:rFonts w:ascii="Times New Roman" w:hAnsi="Times New Roman"/>
      <w:i/>
      <w:iCs/>
      <w:color w:val="0F4761" w:themeColor="accent1" w:themeShade="BF"/>
    </w:rPr>
  </w:style>
  <w:style w:type="character" w:styleId="IntenseReference">
    <w:name w:val="Intense Reference"/>
    <w:basedOn w:val="DefaultParagraphFont"/>
    <w:uiPriority w:val="32"/>
    <w:qFormat/>
    <w:rsid w:val="00A63CEB"/>
    <w:rPr>
      <w:b/>
      <w:bCs/>
      <w:smallCaps/>
      <w:color w:val="0F4761" w:themeColor="accent1" w:themeShade="BF"/>
      <w:spacing w:val="5"/>
    </w:rPr>
  </w:style>
  <w:style w:type="character" w:styleId="Hyperlink">
    <w:name w:val="Hyperlink"/>
    <w:basedOn w:val="DefaultParagraphFont"/>
    <w:uiPriority w:val="99"/>
    <w:unhideWhenUsed/>
    <w:rsid w:val="002E1BD3"/>
    <w:rPr>
      <w:color w:val="467886" w:themeColor="hyperlink"/>
      <w:u w:val="single"/>
    </w:rPr>
  </w:style>
  <w:style w:type="character" w:styleId="UnresolvedMention">
    <w:name w:val="Unresolved Mention"/>
    <w:basedOn w:val="DefaultParagraphFont"/>
    <w:uiPriority w:val="99"/>
    <w:semiHidden/>
    <w:unhideWhenUsed/>
    <w:rsid w:val="002E1BD3"/>
    <w:rPr>
      <w:color w:val="605E5C"/>
      <w:shd w:val="clear" w:color="auto" w:fill="E1DFDD"/>
    </w:rPr>
  </w:style>
  <w:style w:type="table" w:styleId="TableGrid">
    <w:name w:val="Table Grid"/>
    <w:basedOn w:val="TableNormal"/>
    <w:uiPriority w:val="39"/>
    <w:rsid w:val="007D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7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47D"/>
    <w:rPr>
      <w:rFonts w:ascii="Times New Roman" w:hAnsi="Times New Roman"/>
    </w:rPr>
  </w:style>
  <w:style w:type="paragraph" w:styleId="Footer">
    <w:name w:val="footer"/>
    <w:basedOn w:val="Normal"/>
    <w:link w:val="FooterChar"/>
    <w:uiPriority w:val="99"/>
    <w:unhideWhenUsed/>
    <w:rsid w:val="00BC7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47D"/>
    <w:rPr>
      <w:rFonts w:ascii="Times New Roman" w:hAnsi="Times New Roman"/>
    </w:rPr>
  </w:style>
  <w:style w:type="paragraph" w:styleId="TOC1">
    <w:name w:val="toc 1"/>
    <w:basedOn w:val="Normal"/>
    <w:next w:val="Normal"/>
    <w:autoRedefine/>
    <w:uiPriority w:val="39"/>
    <w:unhideWhenUsed/>
    <w:rsid w:val="00BC747D"/>
    <w:pPr>
      <w:spacing w:after="100"/>
    </w:pPr>
  </w:style>
  <w:style w:type="paragraph" w:styleId="TOC2">
    <w:name w:val="toc 2"/>
    <w:basedOn w:val="Normal"/>
    <w:next w:val="Normal"/>
    <w:autoRedefine/>
    <w:uiPriority w:val="39"/>
    <w:unhideWhenUsed/>
    <w:rsid w:val="00BC747D"/>
    <w:pPr>
      <w:spacing w:after="100"/>
      <w:ind w:left="240"/>
    </w:pPr>
  </w:style>
  <w:style w:type="paragraph" w:styleId="TOC3">
    <w:name w:val="toc 3"/>
    <w:basedOn w:val="Normal"/>
    <w:next w:val="Normal"/>
    <w:autoRedefine/>
    <w:uiPriority w:val="39"/>
    <w:unhideWhenUsed/>
    <w:rsid w:val="00BC747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https%3A%2F%2Fwww.bhp.com%2Fnews%2Fbhp-insights%2F2025%2F12%2Fsteelmaking-decarbonisation" TargetMode="External"/><Relationship Id="rId18" Type="http://schemas.openxmlformats.org/officeDocument/2006/relationships/hyperlink" Target="https://www.google.com/search?q=https%3A%2F%2Fwww.sciencedirect.com%2Fscience%2Farticle%2Fam%2Fpii%2FS0921344920305152" TargetMode="External"/><Relationship Id="rId3" Type="http://schemas.openxmlformats.org/officeDocument/2006/relationships/styles" Target="styles.xml"/><Relationship Id="rId21" Type="http://schemas.openxmlformats.org/officeDocument/2006/relationships/hyperlink" Target="https://www.google.com/search?q=https%3A%2F%2Fdocuments1.worldbank.org%2Fcurated%2Fen%2F099101723140622516%2Fpdf%2FP17516105e95da0de0a34c0dd670e6f75cf.pdf" TargetMode="External"/><Relationship Id="rId7" Type="http://schemas.openxmlformats.org/officeDocument/2006/relationships/endnotes" Target="endnotes.xml"/><Relationship Id="rId12" Type="http://schemas.openxmlformats.org/officeDocument/2006/relationships/hyperlink" Target="https://www.google.com/search?q=https%3A%2F%2Fwww.bhp.com%2Fsustainability%2Fclimate-change%2Fvalue-chain-ghg-emission-reductions" TargetMode="External"/><Relationship Id="rId17" Type="http://schemas.openxmlformats.org/officeDocument/2006/relationships/hyperlink" Target="https://www.google.com/search?q=https%3A%2F%2Fwww.globaldata.com%2Fcompany-profile%2Fbhp%2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cceew.gov.au/climate-change/emissions-reporting/national-greenhouse-energy-reporting-scheme/safeguard-mechanism" TargetMode="External"/><Relationship Id="rId20" Type="http://schemas.openxmlformats.org/officeDocument/2006/relationships/hyperlink" Target="https://www.google.com/search?q=https%3A%2F%2Fwww.theguardian.com%2Fworld%2Fng-interactive%2F2026%2Fmay%2F25%2Fbhp-files-internal-memo-reveal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https%3A%2F%2Fwww.bhp.com%2Fnews%2Fmedia-centre%2Freleases%2F2021%2F07%2Fbhp-enters-into-nickel-supply-agreement-with-tesla-inc"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ogle.com/search?q=https%3A%2F%2Fwww.bhp.com%2Fsustainability%2Fclimate-change%2Fcarbon-offsetting"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google.com/search?q=https%3A%2F%2Fjournals.library.ualberta.ca%2Fwww.albertalawreview.com%2Findex.php%2FALR%2Farticle%2Fdownload%2F2769%2F271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hp.com/sustainability/climate-change/climate-transition-action-plan" TargetMode="External"/><Relationship Id="rId22" Type="http://schemas.openxmlformats.org/officeDocument/2006/relationships/hyperlink" Target="https://www.google.com/search?q=https%3A%2F%2Fwww3.weforum.org%2Fdocs%2FWEF_ISSB_Knowledge_Hub_BHP_Case_Study_November_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B83A4-1062-4DAE-A328-9544ECA4C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3722</Words>
  <Characters>21220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 NA</cp:lastModifiedBy>
  <cp:revision>42</cp:revision>
  <dcterms:created xsi:type="dcterms:W3CDTF">2026-06-24T14:25:00Z</dcterms:created>
  <dcterms:modified xsi:type="dcterms:W3CDTF">2026-06-24T19:39:00Z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1130e748-b93e-4364-b968-94f5959ad685</vt:lpwstr>
  </property>
</Properties>
</file>