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6FC94" w14:textId="77777777" w:rsidR="000B3A1E" w:rsidRPr="0026421D" w:rsidRDefault="000B3A1E" w:rsidP="0026421D">
      <w:pPr>
        <w:pStyle w:val="Normal1"/>
        <w:spacing w:line="360" w:lineRule="auto"/>
        <w:jc w:val="center"/>
        <w:rPr>
          <w:rFonts w:ascii="Arial" w:hAnsi="Arial" w:cs="Arial"/>
          <w:b/>
          <w:bCs/>
          <w:i/>
          <w:iCs/>
          <w:sz w:val="32"/>
          <w:szCs w:val="32"/>
        </w:rPr>
      </w:pPr>
      <w:r w:rsidRPr="0026421D">
        <w:rPr>
          <w:rFonts w:ascii="Arial" w:hAnsi="Arial" w:cs="Arial"/>
          <w:b/>
          <w:bCs/>
          <w:i/>
          <w:iCs/>
          <w:sz w:val="32"/>
          <w:szCs w:val="32"/>
        </w:rPr>
        <w:t>Type 1 Diabetes as a Public Health Issue: Measurement, Control, Community Consequences and Health and Social Care Support</w:t>
      </w:r>
    </w:p>
    <w:p w14:paraId="2DFA5677" w14:textId="77777777" w:rsidR="000B3A1E" w:rsidRDefault="000B3A1E" w:rsidP="0026421D">
      <w:pPr>
        <w:pStyle w:val="Normal1"/>
        <w:spacing w:line="360" w:lineRule="auto"/>
        <w:jc w:val="left"/>
        <w:rPr>
          <w:rFonts w:ascii="Arial" w:hAnsi="Arial" w:cs="Arial"/>
          <w:b/>
          <w:bCs/>
          <w:sz w:val="32"/>
          <w:szCs w:val="32"/>
        </w:rPr>
      </w:pPr>
    </w:p>
    <w:p w14:paraId="29AAF5EF" w14:textId="77777777" w:rsidR="0026421D" w:rsidRPr="0026421D" w:rsidRDefault="0026421D" w:rsidP="0026421D">
      <w:pPr>
        <w:pStyle w:val="Normal1"/>
        <w:spacing w:line="360" w:lineRule="auto"/>
        <w:jc w:val="left"/>
        <w:rPr>
          <w:rFonts w:ascii="Arial" w:hAnsi="Arial" w:cs="Arial"/>
          <w:b/>
          <w:bCs/>
          <w:sz w:val="32"/>
          <w:szCs w:val="32"/>
        </w:rPr>
      </w:pPr>
    </w:p>
    <w:p w14:paraId="25A9E5DC" w14:textId="02450C6D" w:rsidR="000B3A1E" w:rsidRPr="0026421D" w:rsidRDefault="000B3A1E" w:rsidP="0026421D">
      <w:pPr>
        <w:pStyle w:val="Normal1"/>
        <w:spacing w:line="360" w:lineRule="auto"/>
        <w:jc w:val="left"/>
        <w:rPr>
          <w:rFonts w:ascii="Arial" w:hAnsi="Arial" w:cs="Arial"/>
          <w:b/>
          <w:bCs/>
          <w:sz w:val="32"/>
          <w:szCs w:val="32"/>
        </w:rPr>
      </w:pPr>
      <w:r w:rsidRPr="0026421D">
        <w:rPr>
          <w:rFonts w:ascii="Arial" w:hAnsi="Arial" w:cs="Arial"/>
          <w:b/>
          <w:bCs/>
          <w:sz w:val="32"/>
          <w:szCs w:val="32"/>
        </w:rPr>
        <w:t xml:space="preserve">Module: </w:t>
      </w:r>
      <w:r w:rsidRPr="0026421D">
        <w:rPr>
          <w:rFonts w:ascii="Arial" w:hAnsi="Arial" w:cs="Arial"/>
          <w:sz w:val="32"/>
          <w:szCs w:val="32"/>
        </w:rPr>
        <w:t>Introduction to Public Health</w:t>
      </w:r>
    </w:p>
    <w:p w14:paraId="1F962F31" w14:textId="3A130833" w:rsidR="000B3A1E" w:rsidRPr="0026421D" w:rsidRDefault="000B3A1E" w:rsidP="0026421D">
      <w:pPr>
        <w:pStyle w:val="Normal1"/>
        <w:spacing w:line="360" w:lineRule="auto"/>
        <w:jc w:val="left"/>
        <w:rPr>
          <w:rFonts w:ascii="Arial" w:hAnsi="Arial" w:cs="Arial"/>
          <w:sz w:val="32"/>
          <w:szCs w:val="32"/>
        </w:rPr>
      </w:pPr>
      <w:r w:rsidRPr="0026421D">
        <w:rPr>
          <w:rFonts w:ascii="Arial" w:hAnsi="Arial" w:cs="Arial"/>
          <w:b/>
          <w:bCs/>
          <w:sz w:val="32"/>
          <w:szCs w:val="32"/>
        </w:rPr>
        <w:t>Module Code:</w:t>
      </w:r>
      <w:r w:rsidRPr="0026421D">
        <w:rPr>
          <w:rFonts w:ascii="Arial" w:hAnsi="Arial" w:cs="Arial"/>
          <w:sz w:val="32"/>
          <w:szCs w:val="32"/>
        </w:rPr>
        <w:t xml:space="preserve"> LCHS4008</w:t>
      </w:r>
    </w:p>
    <w:p w14:paraId="6293DD6C" w14:textId="7F7D8D47" w:rsidR="000B3A1E" w:rsidRPr="0026421D" w:rsidRDefault="000B3A1E" w:rsidP="0026421D">
      <w:pPr>
        <w:pStyle w:val="Normal1"/>
        <w:spacing w:line="360" w:lineRule="auto"/>
        <w:jc w:val="left"/>
        <w:rPr>
          <w:rFonts w:ascii="Arial" w:hAnsi="Arial" w:cs="Arial"/>
          <w:b/>
          <w:bCs/>
          <w:sz w:val="32"/>
          <w:szCs w:val="32"/>
        </w:rPr>
      </w:pPr>
      <w:r w:rsidRPr="0026421D">
        <w:rPr>
          <w:rFonts w:ascii="Arial" w:hAnsi="Arial" w:cs="Arial"/>
          <w:b/>
          <w:bCs/>
          <w:sz w:val="32"/>
          <w:szCs w:val="32"/>
        </w:rPr>
        <w:t xml:space="preserve">Component 2: </w:t>
      </w:r>
      <w:r w:rsidRPr="0026421D">
        <w:rPr>
          <w:rFonts w:ascii="Arial" w:hAnsi="Arial" w:cs="Arial"/>
          <w:sz w:val="32"/>
          <w:szCs w:val="32"/>
        </w:rPr>
        <w:t>Report on a Health Issue</w:t>
      </w:r>
    </w:p>
    <w:p w14:paraId="5DA274D7" w14:textId="3DDE2F49" w:rsidR="000B3A1E" w:rsidRPr="0026421D" w:rsidRDefault="000B3A1E" w:rsidP="0026421D">
      <w:pPr>
        <w:pStyle w:val="Normal1"/>
        <w:spacing w:line="360" w:lineRule="auto"/>
        <w:jc w:val="left"/>
        <w:rPr>
          <w:rFonts w:ascii="Arial" w:hAnsi="Arial" w:cs="Arial"/>
          <w:sz w:val="32"/>
          <w:szCs w:val="32"/>
        </w:rPr>
      </w:pPr>
      <w:r w:rsidRPr="0026421D">
        <w:rPr>
          <w:rFonts w:ascii="Arial" w:hAnsi="Arial" w:cs="Arial"/>
          <w:b/>
          <w:bCs/>
          <w:sz w:val="32"/>
          <w:szCs w:val="32"/>
        </w:rPr>
        <w:t>Student Name:</w:t>
      </w:r>
      <w:r w:rsidRPr="0026421D">
        <w:rPr>
          <w:rFonts w:ascii="Arial" w:hAnsi="Arial" w:cs="Arial"/>
          <w:sz w:val="32"/>
          <w:szCs w:val="32"/>
        </w:rPr>
        <w:t xml:space="preserve"> </w:t>
      </w:r>
      <w:r w:rsidR="009F2E98">
        <w:rPr>
          <w:rFonts w:ascii="Arial" w:hAnsi="Arial" w:cs="Arial"/>
          <w:sz w:val="32"/>
          <w:szCs w:val="32"/>
        </w:rPr>
        <w:t xml:space="preserve">Teodora </w:t>
      </w:r>
      <w:r w:rsidR="00F35A5D">
        <w:rPr>
          <w:rFonts w:ascii="Arial" w:hAnsi="Arial" w:cs="Arial"/>
          <w:sz w:val="32"/>
          <w:szCs w:val="32"/>
        </w:rPr>
        <w:t>Stoyanova Ganchevska</w:t>
      </w:r>
      <w:r w:rsidRPr="0026421D">
        <w:rPr>
          <w:rFonts w:ascii="Arial" w:hAnsi="Arial" w:cs="Arial"/>
          <w:sz w:val="32"/>
          <w:szCs w:val="32"/>
        </w:rPr>
        <w:br/>
      </w:r>
      <w:r w:rsidRPr="0026421D">
        <w:rPr>
          <w:rFonts w:ascii="Arial" w:hAnsi="Arial" w:cs="Arial"/>
          <w:b/>
          <w:bCs/>
          <w:sz w:val="32"/>
          <w:szCs w:val="32"/>
        </w:rPr>
        <w:t>Student ID:</w:t>
      </w:r>
      <w:r w:rsidRPr="0026421D">
        <w:rPr>
          <w:rFonts w:ascii="Arial" w:hAnsi="Arial" w:cs="Arial"/>
          <w:sz w:val="32"/>
          <w:szCs w:val="32"/>
        </w:rPr>
        <w:t xml:space="preserve"> </w:t>
      </w:r>
      <w:r w:rsidR="00931DE8">
        <w:rPr>
          <w:rFonts w:ascii="Arial" w:hAnsi="Arial" w:cs="Arial"/>
          <w:sz w:val="32"/>
          <w:szCs w:val="32"/>
        </w:rPr>
        <w:t>2532550</w:t>
      </w:r>
      <w:r w:rsidRPr="0026421D">
        <w:rPr>
          <w:rFonts w:ascii="Arial" w:hAnsi="Arial" w:cs="Arial"/>
          <w:sz w:val="32"/>
          <w:szCs w:val="32"/>
        </w:rPr>
        <w:br/>
      </w:r>
      <w:r w:rsidRPr="0026421D">
        <w:rPr>
          <w:rFonts w:ascii="Arial" w:hAnsi="Arial" w:cs="Arial"/>
          <w:b/>
          <w:bCs/>
          <w:sz w:val="32"/>
          <w:szCs w:val="32"/>
        </w:rPr>
        <w:t>Lecturer’s Name:</w:t>
      </w:r>
      <w:r w:rsidRPr="0026421D">
        <w:rPr>
          <w:rFonts w:ascii="Arial" w:hAnsi="Arial" w:cs="Arial"/>
          <w:sz w:val="32"/>
          <w:szCs w:val="32"/>
        </w:rPr>
        <w:t xml:space="preserve"> </w:t>
      </w:r>
      <w:r w:rsidR="000913B0">
        <w:rPr>
          <w:rFonts w:ascii="Arial" w:hAnsi="Arial" w:cs="Arial"/>
          <w:sz w:val="32"/>
          <w:szCs w:val="32"/>
        </w:rPr>
        <w:t xml:space="preserve">Mr. </w:t>
      </w:r>
      <w:r w:rsidR="000913B0" w:rsidRPr="000913B0">
        <w:rPr>
          <w:rFonts w:ascii="Arial" w:hAnsi="Arial" w:cs="Arial"/>
          <w:sz w:val="32"/>
          <w:szCs w:val="32"/>
        </w:rPr>
        <w:t>Muhammad Aliyu</w:t>
      </w:r>
      <w:r w:rsidRPr="0026421D">
        <w:rPr>
          <w:rFonts w:ascii="Arial" w:hAnsi="Arial" w:cs="Arial"/>
          <w:sz w:val="32"/>
          <w:szCs w:val="32"/>
        </w:rPr>
        <w:br/>
      </w:r>
      <w:r w:rsidRPr="0026421D">
        <w:rPr>
          <w:rFonts w:ascii="Arial" w:hAnsi="Arial" w:cs="Arial"/>
          <w:b/>
          <w:bCs/>
          <w:sz w:val="32"/>
          <w:szCs w:val="32"/>
        </w:rPr>
        <w:t>Programme:</w:t>
      </w:r>
      <w:r w:rsidRPr="0026421D">
        <w:rPr>
          <w:rFonts w:ascii="Arial" w:hAnsi="Arial" w:cs="Arial"/>
          <w:sz w:val="32"/>
          <w:szCs w:val="32"/>
        </w:rPr>
        <w:t xml:space="preserve"> Certificate of Higher Education Skills for the Workplace</w:t>
      </w:r>
      <w:r w:rsidRPr="0026421D">
        <w:rPr>
          <w:rFonts w:ascii="Arial" w:hAnsi="Arial" w:cs="Arial"/>
          <w:sz w:val="32"/>
          <w:szCs w:val="32"/>
        </w:rPr>
        <w:br/>
      </w:r>
    </w:p>
    <w:p w14:paraId="4343D3DE" w14:textId="77777777" w:rsidR="000B3A1E" w:rsidRPr="0026421D" w:rsidRDefault="000B3A1E" w:rsidP="0026421D">
      <w:pPr>
        <w:pStyle w:val="Normal1"/>
        <w:spacing w:line="360" w:lineRule="auto"/>
        <w:rPr>
          <w:rFonts w:ascii="Arial" w:hAnsi="Arial" w:cs="Arial"/>
          <w:sz w:val="32"/>
          <w:szCs w:val="32"/>
        </w:rPr>
      </w:pPr>
    </w:p>
    <w:p w14:paraId="25058AF2" w14:textId="77777777" w:rsidR="000B3A1E" w:rsidRPr="0026421D" w:rsidRDefault="000B3A1E" w:rsidP="0026421D">
      <w:pPr>
        <w:spacing w:line="360" w:lineRule="auto"/>
        <w:jc w:val="left"/>
        <w:rPr>
          <w:rFonts w:ascii="Arial" w:eastAsia="Calibri" w:hAnsi="Arial" w:cs="Arial"/>
          <w:b/>
          <w:color w:val="156082" w:themeColor="accent1"/>
          <w:sz w:val="32"/>
          <w:szCs w:val="32"/>
          <w:lang w:eastAsia="en-US" w:bidi="ar-SA"/>
        </w:rPr>
      </w:pPr>
      <w:r w:rsidRPr="0026421D">
        <w:rPr>
          <w:rFonts w:ascii="Arial" w:hAnsi="Arial" w:cs="Arial"/>
          <w:sz w:val="32"/>
          <w:szCs w:val="32"/>
        </w:rPr>
        <w:br w:type="page"/>
      </w:r>
    </w:p>
    <w:sdt>
      <w:sdtPr>
        <w:rPr>
          <w:rFonts w:ascii="Arial" w:eastAsiaTheme="minorEastAsia" w:hAnsi="Arial" w:cs="Arial"/>
          <w:b/>
          <w:bCs/>
          <w:color w:val="156082" w:themeColor="accent1"/>
          <w:kern w:val="2"/>
          <w:sz w:val="24"/>
          <w:szCs w:val="30"/>
          <w:lang w:val="en-GB" w:eastAsia="zh-CN" w:bidi="th-TH"/>
          <w14:ligatures w14:val="standardContextual"/>
        </w:rPr>
        <w:id w:val="-390346579"/>
        <w:docPartObj>
          <w:docPartGallery w:val="Table of Contents"/>
          <w:docPartUnique/>
        </w:docPartObj>
      </w:sdtPr>
      <w:sdtEndPr>
        <w:rPr>
          <w:noProof/>
          <w:color w:val="000000" w:themeColor="text1"/>
          <w:sz w:val="22"/>
          <w:szCs w:val="22"/>
        </w:rPr>
      </w:sdtEndPr>
      <w:sdtContent>
        <w:p w14:paraId="2F13D6DC" w14:textId="2743F017" w:rsidR="00C2459E" w:rsidRPr="0026421D" w:rsidRDefault="00C2459E" w:rsidP="0026421D">
          <w:pPr>
            <w:pStyle w:val="TOCHeading"/>
            <w:spacing w:line="360" w:lineRule="auto"/>
            <w:rPr>
              <w:rFonts w:ascii="Arial" w:hAnsi="Arial" w:cs="Arial"/>
              <w:b/>
              <w:bCs/>
              <w:color w:val="156082" w:themeColor="accent1"/>
              <w:szCs w:val="30"/>
              <w:lang w:val="en-GB"/>
            </w:rPr>
          </w:pPr>
          <w:r w:rsidRPr="0026421D">
            <w:rPr>
              <w:rFonts w:ascii="Arial" w:hAnsi="Arial" w:cs="Arial"/>
              <w:b/>
              <w:bCs/>
              <w:color w:val="156082" w:themeColor="accent1"/>
              <w:szCs w:val="30"/>
              <w:lang w:val="en-GB"/>
            </w:rPr>
            <w:t>Table of Contents</w:t>
          </w:r>
        </w:p>
        <w:p w14:paraId="7371BA2B" w14:textId="3A7AE1BC" w:rsidR="001101FA" w:rsidRPr="001101FA" w:rsidRDefault="00C2459E" w:rsidP="001101FA">
          <w:pPr>
            <w:pStyle w:val="TOC1"/>
            <w:tabs>
              <w:tab w:val="right" w:leader="dot" w:pos="9350"/>
            </w:tabs>
            <w:spacing w:line="276" w:lineRule="auto"/>
            <w:rPr>
              <w:rFonts w:ascii="Arial" w:hAnsi="Arial" w:cs="Arial"/>
              <w:noProof/>
              <w:color w:val="auto"/>
              <w:kern w:val="0"/>
              <w:sz w:val="22"/>
              <w:szCs w:val="22"/>
              <w:lang w:eastAsia="en-GB" w:bidi="ar-SA"/>
              <w14:ligatures w14:val="none"/>
            </w:rPr>
          </w:pPr>
          <w:r w:rsidRPr="001101FA">
            <w:rPr>
              <w:rFonts w:ascii="Arial" w:hAnsi="Arial" w:cs="Arial"/>
              <w:sz w:val="22"/>
              <w:szCs w:val="22"/>
            </w:rPr>
            <w:fldChar w:fldCharType="begin"/>
          </w:r>
          <w:r w:rsidRPr="001101FA">
            <w:rPr>
              <w:rFonts w:ascii="Arial" w:hAnsi="Arial" w:cs="Arial"/>
              <w:sz w:val="22"/>
              <w:szCs w:val="22"/>
            </w:rPr>
            <w:instrText xml:space="preserve"> TOC \o "1-3" \h \z \u </w:instrText>
          </w:r>
          <w:r w:rsidRPr="001101FA">
            <w:rPr>
              <w:rFonts w:ascii="Arial" w:hAnsi="Arial" w:cs="Arial"/>
              <w:sz w:val="22"/>
              <w:szCs w:val="22"/>
            </w:rPr>
            <w:fldChar w:fldCharType="separate"/>
          </w:r>
          <w:hyperlink w:anchor="_Toc237903721" w:history="1">
            <w:r w:rsidR="001101FA" w:rsidRPr="001101FA">
              <w:rPr>
                <w:rStyle w:val="Hyperlink"/>
                <w:rFonts w:ascii="Arial" w:hAnsi="Arial" w:cs="Arial"/>
                <w:noProof/>
              </w:rPr>
              <w:t>1. Introduction</w:t>
            </w:r>
            <w:r w:rsidR="001101FA" w:rsidRPr="001101FA">
              <w:rPr>
                <w:rFonts w:ascii="Arial" w:hAnsi="Arial" w:cs="Arial"/>
                <w:noProof/>
                <w:webHidden/>
              </w:rPr>
              <w:tab/>
            </w:r>
            <w:r w:rsidR="001101FA" w:rsidRPr="001101FA">
              <w:rPr>
                <w:rFonts w:ascii="Arial" w:hAnsi="Arial" w:cs="Arial"/>
                <w:noProof/>
                <w:webHidden/>
              </w:rPr>
              <w:fldChar w:fldCharType="begin"/>
            </w:r>
            <w:r w:rsidR="001101FA" w:rsidRPr="001101FA">
              <w:rPr>
                <w:rFonts w:ascii="Arial" w:hAnsi="Arial" w:cs="Arial"/>
                <w:noProof/>
                <w:webHidden/>
              </w:rPr>
              <w:instrText xml:space="preserve"> PAGEREF _Toc237903721 \h </w:instrText>
            </w:r>
            <w:r w:rsidR="001101FA" w:rsidRPr="001101FA">
              <w:rPr>
                <w:rFonts w:ascii="Arial" w:hAnsi="Arial" w:cs="Arial"/>
                <w:noProof/>
                <w:webHidden/>
              </w:rPr>
            </w:r>
            <w:r w:rsidR="001101FA" w:rsidRPr="001101FA">
              <w:rPr>
                <w:rFonts w:ascii="Arial" w:hAnsi="Arial" w:cs="Arial"/>
                <w:noProof/>
                <w:webHidden/>
              </w:rPr>
              <w:fldChar w:fldCharType="separate"/>
            </w:r>
            <w:r w:rsidR="001101FA">
              <w:rPr>
                <w:rFonts w:ascii="Arial" w:hAnsi="Arial" w:cs="Arial"/>
                <w:noProof/>
                <w:webHidden/>
              </w:rPr>
              <w:t>3</w:t>
            </w:r>
            <w:r w:rsidR="001101FA" w:rsidRPr="001101FA">
              <w:rPr>
                <w:rFonts w:ascii="Arial" w:hAnsi="Arial" w:cs="Arial"/>
                <w:noProof/>
                <w:webHidden/>
              </w:rPr>
              <w:fldChar w:fldCharType="end"/>
            </w:r>
          </w:hyperlink>
        </w:p>
        <w:p w14:paraId="6CFFE70C" w14:textId="1032F5E0" w:rsidR="001101FA" w:rsidRPr="001101FA" w:rsidRDefault="001101FA" w:rsidP="001101FA">
          <w:pPr>
            <w:pStyle w:val="TOC1"/>
            <w:tabs>
              <w:tab w:val="right" w:leader="dot" w:pos="9350"/>
            </w:tabs>
            <w:spacing w:line="276" w:lineRule="auto"/>
            <w:rPr>
              <w:rFonts w:ascii="Arial" w:hAnsi="Arial" w:cs="Arial"/>
              <w:noProof/>
              <w:color w:val="auto"/>
              <w:kern w:val="0"/>
              <w:sz w:val="22"/>
              <w:szCs w:val="22"/>
              <w:lang w:eastAsia="en-GB" w:bidi="ar-SA"/>
              <w14:ligatures w14:val="none"/>
            </w:rPr>
          </w:pPr>
          <w:hyperlink w:anchor="_Toc237903722" w:history="1">
            <w:r w:rsidRPr="001101FA">
              <w:rPr>
                <w:rStyle w:val="Hyperlink"/>
                <w:rFonts w:ascii="Arial" w:hAnsi="Arial" w:cs="Arial"/>
                <w:noProof/>
              </w:rPr>
              <w:t>2. Approaches Used to Measure and Monitor Type 1 Diabetes</w:t>
            </w:r>
            <w:r w:rsidRPr="001101FA">
              <w:rPr>
                <w:rFonts w:ascii="Arial" w:hAnsi="Arial" w:cs="Arial"/>
                <w:noProof/>
                <w:webHidden/>
              </w:rPr>
              <w:tab/>
            </w:r>
            <w:r w:rsidRPr="001101FA">
              <w:rPr>
                <w:rFonts w:ascii="Arial" w:hAnsi="Arial" w:cs="Arial"/>
                <w:noProof/>
                <w:webHidden/>
              </w:rPr>
              <w:fldChar w:fldCharType="begin"/>
            </w:r>
            <w:r w:rsidRPr="001101FA">
              <w:rPr>
                <w:rFonts w:ascii="Arial" w:hAnsi="Arial" w:cs="Arial"/>
                <w:noProof/>
                <w:webHidden/>
              </w:rPr>
              <w:instrText xml:space="preserve"> PAGEREF _Toc237903722 \h </w:instrText>
            </w:r>
            <w:r w:rsidRPr="001101FA">
              <w:rPr>
                <w:rFonts w:ascii="Arial" w:hAnsi="Arial" w:cs="Arial"/>
                <w:noProof/>
                <w:webHidden/>
              </w:rPr>
            </w:r>
            <w:r w:rsidRPr="001101FA">
              <w:rPr>
                <w:rFonts w:ascii="Arial" w:hAnsi="Arial" w:cs="Arial"/>
                <w:noProof/>
                <w:webHidden/>
              </w:rPr>
              <w:fldChar w:fldCharType="separate"/>
            </w:r>
            <w:r>
              <w:rPr>
                <w:rFonts w:ascii="Arial" w:hAnsi="Arial" w:cs="Arial"/>
                <w:noProof/>
                <w:webHidden/>
              </w:rPr>
              <w:t>4</w:t>
            </w:r>
            <w:r w:rsidRPr="001101FA">
              <w:rPr>
                <w:rFonts w:ascii="Arial" w:hAnsi="Arial" w:cs="Arial"/>
                <w:noProof/>
                <w:webHidden/>
              </w:rPr>
              <w:fldChar w:fldCharType="end"/>
            </w:r>
          </w:hyperlink>
        </w:p>
        <w:p w14:paraId="304FB910" w14:textId="7B144C92" w:rsidR="001101FA" w:rsidRPr="001101FA" w:rsidRDefault="001101FA" w:rsidP="001101FA">
          <w:pPr>
            <w:pStyle w:val="TOC2"/>
            <w:tabs>
              <w:tab w:val="right" w:leader="dot" w:pos="9350"/>
            </w:tabs>
            <w:spacing w:line="276" w:lineRule="auto"/>
            <w:rPr>
              <w:rFonts w:ascii="Arial" w:hAnsi="Arial" w:cs="Arial"/>
              <w:noProof/>
              <w:color w:val="auto"/>
              <w:kern w:val="0"/>
              <w:sz w:val="22"/>
              <w:szCs w:val="22"/>
              <w:lang w:eastAsia="en-GB" w:bidi="ar-SA"/>
              <w14:ligatures w14:val="none"/>
            </w:rPr>
          </w:pPr>
          <w:hyperlink w:anchor="_Toc237903723" w:history="1">
            <w:r w:rsidRPr="001101FA">
              <w:rPr>
                <w:rStyle w:val="Hyperlink"/>
                <w:rFonts w:ascii="Arial" w:hAnsi="Arial" w:cs="Arial"/>
                <w:noProof/>
              </w:rPr>
              <w:t>2.1 Population-level measurement</w:t>
            </w:r>
            <w:r w:rsidRPr="001101FA">
              <w:rPr>
                <w:rFonts w:ascii="Arial" w:hAnsi="Arial" w:cs="Arial"/>
                <w:noProof/>
                <w:webHidden/>
              </w:rPr>
              <w:tab/>
            </w:r>
            <w:r w:rsidRPr="001101FA">
              <w:rPr>
                <w:rFonts w:ascii="Arial" w:hAnsi="Arial" w:cs="Arial"/>
                <w:noProof/>
                <w:webHidden/>
              </w:rPr>
              <w:fldChar w:fldCharType="begin"/>
            </w:r>
            <w:r w:rsidRPr="001101FA">
              <w:rPr>
                <w:rFonts w:ascii="Arial" w:hAnsi="Arial" w:cs="Arial"/>
                <w:noProof/>
                <w:webHidden/>
              </w:rPr>
              <w:instrText xml:space="preserve"> PAGEREF _Toc237903723 \h </w:instrText>
            </w:r>
            <w:r w:rsidRPr="001101FA">
              <w:rPr>
                <w:rFonts w:ascii="Arial" w:hAnsi="Arial" w:cs="Arial"/>
                <w:noProof/>
                <w:webHidden/>
              </w:rPr>
            </w:r>
            <w:r w:rsidRPr="001101FA">
              <w:rPr>
                <w:rFonts w:ascii="Arial" w:hAnsi="Arial" w:cs="Arial"/>
                <w:noProof/>
                <w:webHidden/>
              </w:rPr>
              <w:fldChar w:fldCharType="separate"/>
            </w:r>
            <w:r>
              <w:rPr>
                <w:rFonts w:ascii="Arial" w:hAnsi="Arial" w:cs="Arial"/>
                <w:noProof/>
                <w:webHidden/>
              </w:rPr>
              <w:t>4</w:t>
            </w:r>
            <w:r w:rsidRPr="001101FA">
              <w:rPr>
                <w:rFonts w:ascii="Arial" w:hAnsi="Arial" w:cs="Arial"/>
                <w:noProof/>
                <w:webHidden/>
              </w:rPr>
              <w:fldChar w:fldCharType="end"/>
            </w:r>
          </w:hyperlink>
        </w:p>
        <w:p w14:paraId="7D7B5E78" w14:textId="76B50AF5" w:rsidR="001101FA" w:rsidRPr="001101FA" w:rsidRDefault="001101FA" w:rsidP="001101FA">
          <w:pPr>
            <w:pStyle w:val="TOC2"/>
            <w:tabs>
              <w:tab w:val="right" w:leader="dot" w:pos="9350"/>
            </w:tabs>
            <w:spacing w:line="276" w:lineRule="auto"/>
            <w:rPr>
              <w:rFonts w:ascii="Arial" w:hAnsi="Arial" w:cs="Arial"/>
              <w:noProof/>
              <w:color w:val="auto"/>
              <w:kern w:val="0"/>
              <w:sz w:val="22"/>
              <w:szCs w:val="22"/>
              <w:lang w:eastAsia="en-GB" w:bidi="ar-SA"/>
              <w14:ligatures w14:val="none"/>
            </w:rPr>
          </w:pPr>
          <w:hyperlink w:anchor="_Toc237903724" w:history="1">
            <w:r w:rsidRPr="001101FA">
              <w:rPr>
                <w:rStyle w:val="Hyperlink"/>
                <w:rFonts w:ascii="Arial" w:hAnsi="Arial" w:cs="Arial"/>
                <w:noProof/>
              </w:rPr>
              <w:t>2.2 Public-health surveillance</w:t>
            </w:r>
            <w:r w:rsidRPr="001101FA">
              <w:rPr>
                <w:rFonts w:ascii="Arial" w:hAnsi="Arial" w:cs="Arial"/>
                <w:noProof/>
                <w:webHidden/>
              </w:rPr>
              <w:tab/>
            </w:r>
            <w:r w:rsidRPr="001101FA">
              <w:rPr>
                <w:rFonts w:ascii="Arial" w:hAnsi="Arial" w:cs="Arial"/>
                <w:noProof/>
                <w:webHidden/>
              </w:rPr>
              <w:fldChar w:fldCharType="begin"/>
            </w:r>
            <w:r w:rsidRPr="001101FA">
              <w:rPr>
                <w:rFonts w:ascii="Arial" w:hAnsi="Arial" w:cs="Arial"/>
                <w:noProof/>
                <w:webHidden/>
              </w:rPr>
              <w:instrText xml:space="preserve"> PAGEREF _Toc237903724 \h </w:instrText>
            </w:r>
            <w:r w:rsidRPr="001101FA">
              <w:rPr>
                <w:rFonts w:ascii="Arial" w:hAnsi="Arial" w:cs="Arial"/>
                <w:noProof/>
                <w:webHidden/>
              </w:rPr>
            </w:r>
            <w:r w:rsidRPr="001101FA">
              <w:rPr>
                <w:rFonts w:ascii="Arial" w:hAnsi="Arial" w:cs="Arial"/>
                <w:noProof/>
                <w:webHidden/>
              </w:rPr>
              <w:fldChar w:fldCharType="separate"/>
            </w:r>
            <w:r>
              <w:rPr>
                <w:rFonts w:ascii="Arial" w:hAnsi="Arial" w:cs="Arial"/>
                <w:noProof/>
                <w:webHidden/>
              </w:rPr>
              <w:t>4</w:t>
            </w:r>
            <w:r w:rsidRPr="001101FA">
              <w:rPr>
                <w:rFonts w:ascii="Arial" w:hAnsi="Arial" w:cs="Arial"/>
                <w:noProof/>
                <w:webHidden/>
              </w:rPr>
              <w:fldChar w:fldCharType="end"/>
            </w:r>
          </w:hyperlink>
        </w:p>
        <w:p w14:paraId="00E422A0" w14:textId="2F3CBEEE" w:rsidR="001101FA" w:rsidRPr="001101FA" w:rsidRDefault="001101FA" w:rsidP="001101FA">
          <w:pPr>
            <w:pStyle w:val="TOC2"/>
            <w:tabs>
              <w:tab w:val="right" w:leader="dot" w:pos="9350"/>
            </w:tabs>
            <w:spacing w:line="276" w:lineRule="auto"/>
            <w:rPr>
              <w:rFonts w:ascii="Arial" w:hAnsi="Arial" w:cs="Arial"/>
              <w:noProof/>
              <w:color w:val="auto"/>
              <w:kern w:val="0"/>
              <w:sz w:val="22"/>
              <w:szCs w:val="22"/>
              <w:lang w:eastAsia="en-GB" w:bidi="ar-SA"/>
              <w14:ligatures w14:val="none"/>
            </w:rPr>
          </w:pPr>
          <w:hyperlink w:anchor="_Toc237903725" w:history="1">
            <w:r w:rsidRPr="001101FA">
              <w:rPr>
                <w:rStyle w:val="Hyperlink"/>
                <w:rFonts w:ascii="Arial" w:hAnsi="Arial" w:cs="Arial"/>
                <w:noProof/>
              </w:rPr>
              <w:t>2.3 Individual clinical monitoring</w:t>
            </w:r>
            <w:r w:rsidRPr="001101FA">
              <w:rPr>
                <w:rFonts w:ascii="Arial" w:hAnsi="Arial" w:cs="Arial"/>
                <w:noProof/>
                <w:webHidden/>
              </w:rPr>
              <w:tab/>
            </w:r>
            <w:r w:rsidRPr="001101FA">
              <w:rPr>
                <w:rFonts w:ascii="Arial" w:hAnsi="Arial" w:cs="Arial"/>
                <w:noProof/>
                <w:webHidden/>
              </w:rPr>
              <w:fldChar w:fldCharType="begin"/>
            </w:r>
            <w:r w:rsidRPr="001101FA">
              <w:rPr>
                <w:rFonts w:ascii="Arial" w:hAnsi="Arial" w:cs="Arial"/>
                <w:noProof/>
                <w:webHidden/>
              </w:rPr>
              <w:instrText xml:space="preserve"> PAGEREF _Toc237903725 \h </w:instrText>
            </w:r>
            <w:r w:rsidRPr="001101FA">
              <w:rPr>
                <w:rFonts w:ascii="Arial" w:hAnsi="Arial" w:cs="Arial"/>
                <w:noProof/>
                <w:webHidden/>
              </w:rPr>
            </w:r>
            <w:r w:rsidRPr="001101FA">
              <w:rPr>
                <w:rFonts w:ascii="Arial" w:hAnsi="Arial" w:cs="Arial"/>
                <w:noProof/>
                <w:webHidden/>
              </w:rPr>
              <w:fldChar w:fldCharType="separate"/>
            </w:r>
            <w:r>
              <w:rPr>
                <w:rFonts w:ascii="Arial" w:hAnsi="Arial" w:cs="Arial"/>
                <w:noProof/>
                <w:webHidden/>
              </w:rPr>
              <w:t>5</w:t>
            </w:r>
            <w:r w:rsidRPr="001101FA">
              <w:rPr>
                <w:rFonts w:ascii="Arial" w:hAnsi="Arial" w:cs="Arial"/>
                <w:noProof/>
                <w:webHidden/>
              </w:rPr>
              <w:fldChar w:fldCharType="end"/>
            </w:r>
          </w:hyperlink>
        </w:p>
        <w:p w14:paraId="4B10FF82" w14:textId="60899AAB" w:rsidR="001101FA" w:rsidRPr="001101FA" w:rsidRDefault="001101FA" w:rsidP="001101FA">
          <w:pPr>
            <w:pStyle w:val="TOC1"/>
            <w:tabs>
              <w:tab w:val="right" w:leader="dot" w:pos="9350"/>
            </w:tabs>
            <w:spacing w:line="276" w:lineRule="auto"/>
            <w:rPr>
              <w:rFonts w:ascii="Arial" w:hAnsi="Arial" w:cs="Arial"/>
              <w:noProof/>
              <w:color w:val="auto"/>
              <w:kern w:val="0"/>
              <w:sz w:val="22"/>
              <w:szCs w:val="22"/>
              <w:lang w:eastAsia="en-GB" w:bidi="ar-SA"/>
              <w14:ligatures w14:val="none"/>
            </w:rPr>
          </w:pPr>
          <w:hyperlink w:anchor="_Toc237903726" w:history="1">
            <w:r w:rsidRPr="001101FA">
              <w:rPr>
                <w:rStyle w:val="Hyperlink"/>
                <w:rFonts w:ascii="Arial" w:hAnsi="Arial" w:cs="Arial"/>
                <w:noProof/>
              </w:rPr>
              <w:t>3. How Type 1 Diabetes Is Controlled</w:t>
            </w:r>
            <w:r w:rsidRPr="001101FA">
              <w:rPr>
                <w:rFonts w:ascii="Arial" w:hAnsi="Arial" w:cs="Arial"/>
                <w:noProof/>
                <w:webHidden/>
              </w:rPr>
              <w:tab/>
            </w:r>
            <w:r w:rsidRPr="001101FA">
              <w:rPr>
                <w:rFonts w:ascii="Arial" w:hAnsi="Arial" w:cs="Arial"/>
                <w:noProof/>
                <w:webHidden/>
              </w:rPr>
              <w:fldChar w:fldCharType="begin"/>
            </w:r>
            <w:r w:rsidRPr="001101FA">
              <w:rPr>
                <w:rFonts w:ascii="Arial" w:hAnsi="Arial" w:cs="Arial"/>
                <w:noProof/>
                <w:webHidden/>
              </w:rPr>
              <w:instrText xml:space="preserve"> PAGEREF _Toc237903726 \h </w:instrText>
            </w:r>
            <w:r w:rsidRPr="001101FA">
              <w:rPr>
                <w:rFonts w:ascii="Arial" w:hAnsi="Arial" w:cs="Arial"/>
                <w:noProof/>
                <w:webHidden/>
              </w:rPr>
            </w:r>
            <w:r w:rsidRPr="001101FA">
              <w:rPr>
                <w:rFonts w:ascii="Arial" w:hAnsi="Arial" w:cs="Arial"/>
                <w:noProof/>
                <w:webHidden/>
              </w:rPr>
              <w:fldChar w:fldCharType="separate"/>
            </w:r>
            <w:r>
              <w:rPr>
                <w:rFonts w:ascii="Arial" w:hAnsi="Arial" w:cs="Arial"/>
                <w:noProof/>
                <w:webHidden/>
              </w:rPr>
              <w:t>6</w:t>
            </w:r>
            <w:r w:rsidRPr="001101FA">
              <w:rPr>
                <w:rFonts w:ascii="Arial" w:hAnsi="Arial" w:cs="Arial"/>
                <w:noProof/>
                <w:webHidden/>
              </w:rPr>
              <w:fldChar w:fldCharType="end"/>
            </w:r>
          </w:hyperlink>
        </w:p>
        <w:p w14:paraId="6626FE95" w14:textId="79D74BC4" w:rsidR="001101FA" w:rsidRPr="001101FA" w:rsidRDefault="001101FA" w:rsidP="001101FA">
          <w:pPr>
            <w:pStyle w:val="TOC2"/>
            <w:tabs>
              <w:tab w:val="right" w:leader="dot" w:pos="9350"/>
            </w:tabs>
            <w:spacing w:line="276" w:lineRule="auto"/>
            <w:rPr>
              <w:rFonts w:ascii="Arial" w:hAnsi="Arial" w:cs="Arial"/>
              <w:noProof/>
              <w:color w:val="auto"/>
              <w:kern w:val="0"/>
              <w:sz w:val="22"/>
              <w:szCs w:val="22"/>
              <w:lang w:eastAsia="en-GB" w:bidi="ar-SA"/>
              <w14:ligatures w14:val="none"/>
            </w:rPr>
          </w:pPr>
          <w:hyperlink w:anchor="_Toc237903727" w:history="1">
            <w:r w:rsidRPr="001101FA">
              <w:rPr>
                <w:rStyle w:val="Hyperlink"/>
                <w:rFonts w:ascii="Arial" w:hAnsi="Arial" w:cs="Arial"/>
                <w:noProof/>
              </w:rPr>
              <w:t>3.1 Daily and acute control</w:t>
            </w:r>
            <w:r w:rsidRPr="001101FA">
              <w:rPr>
                <w:rFonts w:ascii="Arial" w:hAnsi="Arial" w:cs="Arial"/>
                <w:noProof/>
                <w:webHidden/>
              </w:rPr>
              <w:tab/>
            </w:r>
            <w:r w:rsidRPr="001101FA">
              <w:rPr>
                <w:rFonts w:ascii="Arial" w:hAnsi="Arial" w:cs="Arial"/>
                <w:noProof/>
                <w:webHidden/>
              </w:rPr>
              <w:fldChar w:fldCharType="begin"/>
            </w:r>
            <w:r w:rsidRPr="001101FA">
              <w:rPr>
                <w:rFonts w:ascii="Arial" w:hAnsi="Arial" w:cs="Arial"/>
                <w:noProof/>
                <w:webHidden/>
              </w:rPr>
              <w:instrText xml:space="preserve"> PAGEREF _Toc237903727 \h </w:instrText>
            </w:r>
            <w:r w:rsidRPr="001101FA">
              <w:rPr>
                <w:rFonts w:ascii="Arial" w:hAnsi="Arial" w:cs="Arial"/>
                <w:noProof/>
                <w:webHidden/>
              </w:rPr>
            </w:r>
            <w:r w:rsidRPr="001101FA">
              <w:rPr>
                <w:rFonts w:ascii="Arial" w:hAnsi="Arial" w:cs="Arial"/>
                <w:noProof/>
                <w:webHidden/>
              </w:rPr>
              <w:fldChar w:fldCharType="separate"/>
            </w:r>
            <w:r>
              <w:rPr>
                <w:rFonts w:ascii="Arial" w:hAnsi="Arial" w:cs="Arial"/>
                <w:noProof/>
                <w:webHidden/>
              </w:rPr>
              <w:t>6</w:t>
            </w:r>
            <w:r w:rsidRPr="001101FA">
              <w:rPr>
                <w:rFonts w:ascii="Arial" w:hAnsi="Arial" w:cs="Arial"/>
                <w:noProof/>
                <w:webHidden/>
              </w:rPr>
              <w:fldChar w:fldCharType="end"/>
            </w:r>
          </w:hyperlink>
        </w:p>
        <w:p w14:paraId="01019611" w14:textId="52438D49" w:rsidR="001101FA" w:rsidRPr="001101FA" w:rsidRDefault="001101FA" w:rsidP="001101FA">
          <w:pPr>
            <w:pStyle w:val="TOC2"/>
            <w:tabs>
              <w:tab w:val="right" w:leader="dot" w:pos="9350"/>
            </w:tabs>
            <w:spacing w:line="276" w:lineRule="auto"/>
            <w:rPr>
              <w:rFonts w:ascii="Arial" w:hAnsi="Arial" w:cs="Arial"/>
              <w:noProof/>
              <w:color w:val="auto"/>
              <w:kern w:val="0"/>
              <w:sz w:val="22"/>
              <w:szCs w:val="22"/>
              <w:lang w:eastAsia="en-GB" w:bidi="ar-SA"/>
              <w14:ligatures w14:val="none"/>
            </w:rPr>
          </w:pPr>
          <w:hyperlink w:anchor="_Toc237903728" w:history="1">
            <w:r w:rsidRPr="001101FA">
              <w:rPr>
                <w:rStyle w:val="Hyperlink"/>
                <w:rFonts w:ascii="Arial" w:hAnsi="Arial" w:cs="Arial"/>
                <w:noProof/>
              </w:rPr>
              <w:t>3.2 Long-term control</w:t>
            </w:r>
            <w:r w:rsidRPr="001101FA">
              <w:rPr>
                <w:rFonts w:ascii="Arial" w:hAnsi="Arial" w:cs="Arial"/>
                <w:noProof/>
                <w:webHidden/>
              </w:rPr>
              <w:tab/>
            </w:r>
            <w:r w:rsidRPr="001101FA">
              <w:rPr>
                <w:rFonts w:ascii="Arial" w:hAnsi="Arial" w:cs="Arial"/>
                <w:noProof/>
                <w:webHidden/>
              </w:rPr>
              <w:fldChar w:fldCharType="begin"/>
            </w:r>
            <w:r w:rsidRPr="001101FA">
              <w:rPr>
                <w:rFonts w:ascii="Arial" w:hAnsi="Arial" w:cs="Arial"/>
                <w:noProof/>
                <w:webHidden/>
              </w:rPr>
              <w:instrText xml:space="preserve"> PAGEREF _Toc237903728 \h </w:instrText>
            </w:r>
            <w:r w:rsidRPr="001101FA">
              <w:rPr>
                <w:rFonts w:ascii="Arial" w:hAnsi="Arial" w:cs="Arial"/>
                <w:noProof/>
                <w:webHidden/>
              </w:rPr>
            </w:r>
            <w:r w:rsidRPr="001101FA">
              <w:rPr>
                <w:rFonts w:ascii="Arial" w:hAnsi="Arial" w:cs="Arial"/>
                <w:noProof/>
                <w:webHidden/>
              </w:rPr>
              <w:fldChar w:fldCharType="separate"/>
            </w:r>
            <w:r>
              <w:rPr>
                <w:rFonts w:ascii="Arial" w:hAnsi="Arial" w:cs="Arial"/>
                <w:noProof/>
                <w:webHidden/>
              </w:rPr>
              <w:t>6</w:t>
            </w:r>
            <w:r w:rsidRPr="001101FA">
              <w:rPr>
                <w:rFonts w:ascii="Arial" w:hAnsi="Arial" w:cs="Arial"/>
                <w:noProof/>
                <w:webHidden/>
              </w:rPr>
              <w:fldChar w:fldCharType="end"/>
            </w:r>
          </w:hyperlink>
        </w:p>
        <w:p w14:paraId="34E6A7EC" w14:textId="27B7A5BD" w:rsidR="001101FA" w:rsidRPr="001101FA" w:rsidRDefault="001101FA" w:rsidP="001101FA">
          <w:pPr>
            <w:pStyle w:val="TOC1"/>
            <w:tabs>
              <w:tab w:val="right" w:leader="dot" w:pos="9350"/>
            </w:tabs>
            <w:spacing w:line="276" w:lineRule="auto"/>
            <w:rPr>
              <w:rFonts w:ascii="Arial" w:hAnsi="Arial" w:cs="Arial"/>
              <w:noProof/>
              <w:color w:val="auto"/>
              <w:kern w:val="0"/>
              <w:sz w:val="22"/>
              <w:szCs w:val="22"/>
              <w:lang w:eastAsia="en-GB" w:bidi="ar-SA"/>
              <w14:ligatures w14:val="none"/>
            </w:rPr>
          </w:pPr>
          <w:hyperlink w:anchor="_Toc237903729" w:history="1">
            <w:r w:rsidRPr="001101FA">
              <w:rPr>
                <w:rStyle w:val="Hyperlink"/>
                <w:rFonts w:ascii="Arial" w:hAnsi="Arial" w:cs="Arial"/>
                <w:noProof/>
              </w:rPr>
              <w:t>4. Consequences for People in the Community</w:t>
            </w:r>
            <w:r w:rsidRPr="001101FA">
              <w:rPr>
                <w:rFonts w:ascii="Arial" w:hAnsi="Arial" w:cs="Arial"/>
                <w:noProof/>
                <w:webHidden/>
              </w:rPr>
              <w:tab/>
            </w:r>
            <w:r w:rsidRPr="001101FA">
              <w:rPr>
                <w:rFonts w:ascii="Arial" w:hAnsi="Arial" w:cs="Arial"/>
                <w:noProof/>
                <w:webHidden/>
              </w:rPr>
              <w:fldChar w:fldCharType="begin"/>
            </w:r>
            <w:r w:rsidRPr="001101FA">
              <w:rPr>
                <w:rFonts w:ascii="Arial" w:hAnsi="Arial" w:cs="Arial"/>
                <w:noProof/>
                <w:webHidden/>
              </w:rPr>
              <w:instrText xml:space="preserve"> PAGEREF _Toc237903729 \h </w:instrText>
            </w:r>
            <w:r w:rsidRPr="001101FA">
              <w:rPr>
                <w:rFonts w:ascii="Arial" w:hAnsi="Arial" w:cs="Arial"/>
                <w:noProof/>
                <w:webHidden/>
              </w:rPr>
            </w:r>
            <w:r w:rsidRPr="001101FA">
              <w:rPr>
                <w:rFonts w:ascii="Arial" w:hAnsi="Arial" w:cs="Arial"/>
                <w:noProof/>
                <w:webHidden/>
              </w:rPr>
              <w:fldChar w:fldCharType="separate"/>
            </w:r>
            <w:r>
              <w:rPr>
                <w:rFonts w:ascii="Arial" w:hAnsi="Arial" w:cs="Arial"/>
                <w:noProof/>
                <w:webHidden/>
              </w:rPr>
              <w:t>7</w:t>
            </w:r>
            <w:r w:rsidRPr="001101FA">
              <w:rPr>
                <w:rFonts w:ascii="Arial" w:hAnsi="Arial" w:cs="Arial"/>
                <w:noProof/>
                <w:webHidden/>
              </w:rPr>
              <w:fldChar w:fldCharType="end"/>
            </w:r>
          </w:hyperlink>
        </w:p>
        <w:p w14:paraId="0FC4E6D9" w14:textId="6FB0A1F1" w:rsidR="001101FA" w:rsidRPr="001101FA" w:rsidRDefault="001101FA" w:rsidP="001101FA">
          <w:pPr>
            <w:pStyle w:val="TOC2"/>
            <w:tabs>
              <w:tab w:val="right" w:leader="dot" w:pos="9350"/>
            </w:tabs>
            <w:spacing w:line="276" w:lineRule="auto"/>
            <w:rPr>
              <w:rFonts w:ascii="Arial" w:hAnsi="Arial" w:cs="Arial"/>
              <w:noProof/>
              <w:color w:val="auto"/>
              <w:kern w:val="0"/>
              <w:sz w:val="22"/>
              <w:szCs w:val="22"/>
              <w:lang w:eastAsia="en-GB" w:bidi="ar-SA"/>
              <w14:ligatures w14:val="none"/>
            </w:rPr>
          </w:pPr>
          <w:hyperlink w:anchor="_Toc237903730" w:history="1">
            <w:r w:rsidRPr="001101FA">
              <w:rPr>
                <w:rStyle w:val="Hyperlink"/>
                <w:rFonts w:ascii="Arial" w:hAnsi="Arial" w:cs="Arial"/>
                <w:noProof/>
              </w:rPr>
              <w:t>4.1 Physical consequences</w:t>
            </w:r>
            <w:r w:rsidRPr="001101FA">
              <w:rPr>
                <w:rFonts w:ascii="Arial" w:hAnsi="Arial" w:cs="Arial"/>
                <w:noProof/>
                <w:webHidden/>
              </w:rPr>
              <w:tab/>
            </w:r>
            <w:r w:rsidRPr="001101FA">
              <w:rPr>
                <w:rFonts w:ascii="Arial" w:hAnsi="Arial" w:cs="Arial"/>
                <w:noProof/>
                <w:webHidden/>
              </w:rPr>
              <w:fldChar w:fldCharType="begin"/>
            </w:r>
            <w:r w:rsidRPr="001101FA">
              <w:rPr>
                <w:rFonts w:ascii="Arial" w:hAnsi="Arial" w:cs="Arial"/>
                <w:noProof/>
                <w:webHidden/>
              </w:rPr>
              <w:instrText xml:space="preserve"> PAGEREF _Toc237903730 \h </w:instrText>
            </w:r>
            <w:r w:rsidRPr="001101FA">
              <w:rPr>
                <w:rFonts w:ascii="Arial" w:hAnsi="Arial" w:cs="Arial"/>
                <w:noProof/>
                <w:webHidden/>
              </w:rPr>
            </w:r>
            <w:r w:rsidRPr="001101FA">
              <w:rPr>
                <w:rFonts w:ascii="Arial" w:hAnsi="Arial" w:cs="Arial"/>
                <w:noProof/>
                <w:webHidden/>
              </w:rPr>
              <w:fldChar w:fldCharType="separate"/>
            </w:r>
            <w:r>
              <w:rPr>
                <w:rFonts w:ascii="Arial" w:hAnsi="Arial" w:cs="Arial"/>
                <w:noProof/>
                <w:webHidden/>
              </w:rPr>
              <w:t>7</w:t>
            </w:r>
            <w:r w:rsidRPr="001101FA">
              <w:rPr>
                <w:rFonts w:ascii="Arial" w:hAnsi="Arial" w:cs="Arial"/>
                <w:noProof/>
                <w:webHidden/>
              </w:rPr>
              <w:fldChar w:fldCharType="end"/>
            </w:r>
          </w:hyperlink>
        </w:p>
        <w:p w14:paraId="0FD8D735" w14:textId="7EB2463B" w:rsidR="001101FA" w:rsidRPr="001101FA" w:rsidRDefault="001101FA" w:rsidP="001101FA">
          <w:pPr>
            <w:pStyle w:val="TOC2"/>
            <w:tabs>
              <w:tab w:val="right" w:leader="dot" w:pos="9350"/>
            </w:tabs>
            <w:spacing w:line="276" w:lineRule="auto"/>
            <w:rPr>
              <w:rFonts w:ascii="Arial" w:hAnsi="Arial" w:cs="Arial"/>
              <w:noProof/>
              <w:color w:val="auto"/>
              <w:kern w:val="0"/>
              <w:sz w:val="22"/>
              <w:szCs w:val="22"/>
              <w:lang w:eastAsia="en-GB" w:bidi="ar-SA"/>
              <w14:ligatures w14:val="none"/>
            </w:rPr>
          </w:pPr>
          <w:hyperlink w:anchor="_Toc237903731" w:history="1">
            <w:r w:rsidRPr="001101FA">
              <w:rPr>
                <w:rStyle w:val="Hyperlink"/>
                <w:rFonts w:ascii="Arial" w:hAnsi="Arial" w:cs="Arial"/>
                <w:noProof/>
              </w:rPr>
              <w:t>4.2 Psychological and social consequences</w:t>
            </w:r>
            <w:r w:rsidRPr="001101FA">
              <w:rPr>
                <w:rFonts w:ascii="Arial" w:hAnsi="Arial" w:cs="Arial"/>
                <w:noProof/>
                <w:webHidden/>
              </w:rPr>
              <w:tab/>
            </w:r>
            <w:r w:rsidRPr="001101FA">
              <w:rPr>
                <w:rFonts w:ascii="Arial" w:hAnsi="Arial" w:cs="Arial"/>
                <w:noProof/>
                <w:webHidden/>
              </w:rPr>
              <w:fldChar w:fldCharType="begin"/>
            </w:r>
            <w:r w:rsidRPr="001101FA">
              <w:rPr>
                <w:rFonts w:ascii="Arial" w:hAnsi="Arial" w:cs="Arial"/>
                <w:noProof/>
                <w:webHidden/>
              </w:rPr>
              <w:instrText xml:space="preserve"> PAGEREF _Toc237903731 \h </w:instrText>
            </w:r>
            <w:r w:rsidRPr="001101FA">
              <w:rPr>
                <w:rFonts w:ascii="Arial" w:hAnsi="Arial" w:cs="Arial"/>
                <w:noProof/>
                <w:webHidden/>
              </w:rPr>
            </w:r>
            <w:r w:rsidRPr="001101FA">
              <w:rPr>
                <w:rFonts w:ascii="Arial" w:hAnsi="Arial" w:cs="Arial"/>
                <w:noProof/>
                <w:webHidden/>
              </w:rPr>
              <w:fldChar w:fldCharType="separate"/>
            </w:r>
            <w:r>
              <w:rPr>
                <w:rFonts w:ascii="Arial" w:hAnsi="Arial" w:cs="Arial"/>
                <w:noProof/>
                <w:webHidden/>
              </w:rPr>
              <w:t>7</w:t>
            </w:r>
            <w:r w:rsidRPr="001101FA">
              <w:rPr>
                <w:rFonts w:ascii="Arial" w:hAnsi="Arial" w:cs="Arial"/>
                <w:noProof/>
                <w:webHidden/>
              </w:rPr>
              <w:fldChar w:fldCharType="end"/>
            </w:r>
          </w:hyperlink>
        </w:p>
        <w:p w14:paraId="0CC4C936" w14:textId="03575C83" w:rsidR="001101FA" w:rsidRPr="001101FA" w:rsidRDefault="001101FA" w:rsidP="001101FA">
          <w:pPr>
            <w:pStyle w:val="TOC2"/>
            <w:tabs>
              <w:tab w:val="right" w:leader="dot" w:pos="9350"/>
            </w:tabs>
            <w:spacing w:line="276" w:lineRule="auto"/>
            <w:rPr>
              <w:rFonts w:ascii="Arial" w:hAnsi="Arial" w:cs="Arial"/>
              <w:noProof/>
              <w:color w:val="auto"/>
              <w:kern w:val="0"/>
              <w:sz w:val="22"/>
              <w:szCs w:val="22"/>
              <w:lang w:eastAsia="en-GB" w:bidi="ar-SA"/>
              <w14:ligatures w14:val="none"/>
            </w:rPr>
          </w:pPr>
          <w:hyperlink w:anchor="_Toc237903732" w:history="1">
            <w:r w:rsidRPr="001101FA">
              <w:rPr>
                <w:rStyle w:val="Hyperlink"/>
                <w:rFonts w:ascii="Arial" w:hAnsi="Arial" w:cs="Arial"/>
                <w:noProof/>
              </w:rPr>
              <w:t>4.3 Family and community consequences</w:t>
            </w:r>
            <w:r w:rsidRPr="001101FA">
              <w:rPr>
                <w:rFonts w:ascii="Arial" w:hAnsi="Arial" w:cs="Arial"/>
                <w:noProof/>
                <w:webHidden/>
              </w:rPr>
              <w:tab/>
            </w:r>
            <w:r w:rsidRPr="001101FA">
              <w:rPr>
                <w:rFonts w:ascii="Arial" w:hAnsi="Arial" w:cs="Arial"/>
                <w:noProof/>
                <w:webHidden/>
              </w:rPr>
              <w:fldChar w:fldCharType="begin"/>
            </w:r>
            <w:r w:rsidRPr="001101FA">
              <w:rPr>
                <w:rFonts w:ascii="Arial" w:hAnsi="Arial" w:cs="Arial"/>
                <w:noProof/>
                <w:webHidden/>
              </w:rPr>
              <w:instrText xml:space="preserve"> PAGEREF _Toc237903732 \h </w:instrText>
            </w:r>
            <w:r w:rsidRPr="001101FA">
              <w:rPr>
                <w:rFonts w:ascii="Arial" w:hAnsi="Arial" w:cs="Arial"/>
                <w:noProof/>
                <w:webHidden/>
              </w:rPr>
            </w:r>
            <w:r w:rsidRPr="001101FA">
              <w:rPr>
                <w:rFonts w:ascii="Arial" w:hAnsi="Arial" w:cs="Arial"/>
                <w:noProof/>
                <w:webHidden/>
              </w:rPr>
              <w:fldChar w:fldCharType="separate"/>
            </w:r>
            <w:r>
              <w:rPr>
                <w:rFonts w:ascii="Arial" w:hAnsi="Arial" w:cs="Arial"/>
                <w:noProof/>
                <w:webHidden/>
              </w:rPr>
              <w:t>7</w:t>
            </w:r>
            <w:r w:rsidRPr="001101FA">
              <w:rPr>
                <w:rFonts w:ascii="Arial" w:hAnsi="Arial" w:cs="Arial"/>
                <w:noProof/>
                <w:webHidden/>
              </w:rPr>
              <w:fldChar w:fldCharType="end"/>
            </w:r>
          </w:hyperlink>
        </w:p>
        <w:p w14:paraId="7467DA3E" w14:textId="05B01230" w:rsidR="001101FA" w:rsidRPr="001101FA" w:rsidRDefault="001101FA" w:rsidP="001101FA">
          <w:pPr>
            <w:pStyle w:val="TOC1"/>
            <w:tabs>
              <w:tab w:val="right" w:leader="dot" w:pos="9350"/>
            </w:tabs>
            <w:spacing w:line="276" w:lineRule="auto"/>
            <w:rPr>
              <w:rFonts w:ascii="Arial" w:hAnsi="Arial" w:cs="Arial"/>
              <w:noProof/>
              <w:color w:val="auto"/>
              <w:kern w:val="0"/>
              <w:sz w:val="22"/>
              <w:szCs w:val="22"/>
              <w:lang w:eastAsia="en-GB" w:bidi="ar-SA"/>
              <w14:ligatures w14:val="none"/>
            </w:rPr>
          </w:pPr>
          <w:hyperlink w:anchor="_Toc237903733" w:history="1">
            <w:r w:rsidRPr="001101FA">
              <w:rPr>
                <w:rStyle w:val="Hyperlink"/>
                <w:rFonts w:ascii="Arial" w:hAnsi="Arial" w:cs="Arial"/>
                <w:noProof/>
              </w:rPr>
              <w:t>5. Health and Social Care Support Services Required</w:t>
            </w:r>
            <w:r w:rsidRPr="001101FA">
              <w:rPr>
                <w:rFonts w:ascii="Arial" w:hAnsi="Arial" w:cs="Arial"/>
                <w:noProof/>
                <w:webHidden/>
              </w:rPr>
              <w:tab/>
            </w:r>
            <w:r w:rsidRPr="001101FA">
              <w:rPr>
                <w:rFonts w:ascii="Arial" w:hAnsi="Arial" w:cs="Arial"/>
                <w:noProof/>
                <w:webHidden/>
              </w:rPr>
              <w:fldChar w:fldCharType="begin"/>
            </w:r>
            <w:r w:rsidRPr="001101FA">
              <w:rPr>
                <w:rFonts w:ascii="Arial" w:hAnsi="Arial" w:cs="Arial"/>
                <w:noProof/>
                <w:webHidden/>
              </w:rPr>
              <w:instrText xml:space="preserve"> PAGEREF _Toc237903733 \h </w:instrText>
            </w:r>
            <w:r w:rsidRPr="001101FA">
              <w:rPr>
                <w:rFonts w:ascii="Arial" w:hAnsi="Arial" w:cs="Arial"/>
                <w:noProof/>
                <w:webHidden/>
              </w:rPr>
            </w:r>
            <w:r w:rsidRPr="001101FA">
              <w:rPr>
                <w:rFonts w:ascii="Arial" w:hAnsi="Arial" w:cs="Arial"/>
                <w:noProof/>
                <w:webHidden/>
              </w:rPr>
              <w:fldChar w:fldCharType="separate"/>
            </w:r>
            <w:r>
              <w:rPr>
                <w:rFonts w:ascii="Arial" w:hAnsi="Arial" w:cs="Arial"/>
                <w:noProof/>
                <w:webHidden/>
              </w:rPr>
              <w:t>8</w:t>
            </w:r>
            <w:r w:rsidRPr="001101FA">
              <w:rPr>
                <w:rFonts w:ascii="Arial" w:hAnsi="Arial" w:cs="Arial"/>
                <w:noProof/>
                <w:webHidden/>
              </w:rPr>
              <w:fldChar w:fldCharType="end"/>
            </w:r>
          </w:hyperlink>
        </w:p>
        <w:p w14:paraId="4F2C78DE" w14:textId="46964684" w:rsidR="001101FA" w:rsidRPr="001101FA" w:rsidRDefault="001101FA" w:rsidP="001101FA">
          <w:pPr>
            <w:pStyle w:val="TOC2"/>
            <w:tabs>
              <w:tab w:val="right" w:leader="dot" w:pos="9350"/>
            </w:tabs>
            <w:spacing w:line="276" w:lineRule="auto"/>
            <w:rPr>
              <w:rFonts w:ascii="Arial" w:hAnsi="Arial" w:cs="Arial"/>
              <w:noProof/>
              <w:color w:val="auto"/>
              <w:kern w:val="0"/>
              <w:sz w:val="22"/>
              <w:szCs w:val="22"/>
              <w:lang w:eastAsia="en-GB" w:bidi="ar-SA"/>
              <w14:ligatures w14:val="none"/>
            </w:rPr>
          </w:pPr>
          <w:hyperlink w:anchor="_Toc237903734" w:history="1">
            <w:r w:rsidRPr="001101FA">
              <w:rPr>
                <w:rStyle w:val="Hyperlink"/>
                <w:rFonts w:ascii="Arial" w:hAnsi="Arial" w:cs="Arial"/>
                <w:noProof/>
              </w:rPr>
              <w:t>5.1 Multidisciplinary healthcare</w:t>
            </w:r>
            <w:r w:rsidRPr="001101FA">
              <w:rPr>
                <w:rFonts w:ascii="Arial" w:hAnsi="Arial" w:cs="Arial"/>
                <w:noProof/>
                <w:webHidden/>
              </w:rPr>
              <w:tab/>
            </w:r>
            <w:r w:rsidRPr="001101FA">
              <w:rPr>
                <w:rFonts w:ascii="Arial" w:hAnsi="Arial" w:cs="Arial"/>
                <w:noProof/>
                <w:webHidden/>
              </w:rPr>
              <w:fldChar w:fldCharType="begin"/>
            </w:r>
            <w:r w:rsidRPr="001101FA">
              <w:rPr>
                <w:rFonts w:ascii="Arial" w:hAnsi="Arial" w:cs="Arial"/>
                <w:noProof/>
                <w:webHidden/>
              </w:rPr>
              <w:instrText xml:space="preserve"> PAGEREF _Toc237903734 \h </w:instrText>
            </w:r>
            <w:r w:rsidRPr="001101FA">
              <w:rPr>
                <w:rFonts w:ascii="Arial" w:hAnsi="Arial" w:cs="Arial"/>
                <w:noProof/>
                <w:webHidden/>
              </w:rPr>
            </w:r>
            <w:r w:rsidRPr="001101FA">
              <w:rPr>
                <w:rFonts w:ascii="Arial" w:hAnsi="Arial" w:cs="Arial"/>
                <w:noProof/>
                <w:webHidden/>
              </w:rPr>
              <w:fldChar w:fldCharType="separate"/>
            </w:r>
            <w:r>
              <w:rPr>
                <w:rFonts w:ascii="Arial" w:hAnsi="Arial" w:cs="Arial"/>
                <w:noProof/>
                <w:webHidden/>
              </w:rPr>
              <w:t>8</w:t>
            </w:r>
            <w:r w:rsidRPr="001101FA">
              <w:rPr>
                <w:rFonts w:ascii="Arial" w:hAnsi="Arial" w:cs="Arial"/>
                <w:noProof/>
                <w:webHidden/>
              </w:rPr>
              <w:fldChar w:fldCharType="end"/>
            </w:r>
          </w:hyperlink>
        </w:p>
        <w:p w14:paraId="7825B3F0" w14:textId="685CB079" w:rsidR="001101FA" w:rsidRPr="001101FA" w:rsidRDefault="001101FA" w:rsidP="001101FA">
          <w:pPr>
            <w:pStyle w:val="TOC2"/>
            <w:tabs>
              <w:tab w:val="right" w:leader="dot" w:pos="9350"/>
            </w:tabs>
            <w:spacing w:line="276" w:lineRule="auto"/>
            <w:rPr>
              <w:rFonts w:ascii="Arial" w:hAnsi="Arial" w:cs="Arial"/>
              <w:noProof/>
              <w:color w:val="auto"/>
              <w:kern w:val="0"/>
              <w:sz w:val="22"/>
              <w:szCs w:val="22"/>
              <w:lang w:eastAsia="en-GB" w:bidi="ar-SA"/>
              <w14:ligatures w14:val="none"/>
            </w:rPr>
          </w:pPr>
          <w:hyperlink w:anchor="_Toc237903735" w:history="1">
            <w:r w:rsidRPr="001101FA">
              <w:rPr>
                <w:rStyle w:val="Hyperlink"/>
                <w:rFonts w:ascii="Arial" w:hAnsi="Arial" w:cs="Arial"/>
                <w:noProof/>
              </w:rPr>
              <w:t>5.2 Preventive and specialist services</w:t>
            </w:r>
            <w:r w:rsidRPr="001101FA">
              <w:rPr>
                <w:rFonts w:ascii="Arial" w:hAnsi="Arial" w:cs="Arial"/>
                <w:noProof/>
                <w:webHidden/>
              </w:rPr>
              <w:tab/>
            </w:r>
            <w:r w:rsidRPr="001101FA">
              <w:rPr>
                <w:rFonts w:ascii="Arial" w:hAnsi="Arial" w:cs="Arial"/>
                <w:noProof/>
                <w:webHidden/>
              </w:rPr>
              <w:fldChar w:fldCharType="begin"/>
            </w:r>
            <w:r w:rsidRPr="001101FA">
              <w:rPr>
                <w:rFonts w:ascii="Arial" w:hAnsi="Arial" w:cs="Arial"/>
                <w:noProof/>
                <w:webHidden/>
              </w:rPr>
              <w:instrText xml:space="preserve"> PAGEREF _Toc237903735 \h </w:instrText>
            </w:r>
            <w:r w:rsidRPr="001101FA">
              <w:rPr>
                <w:rFonts w:ascii="Arial" w:hAnsi="Arial" w:cs="Arial"/>
                <w:noProof/>
                <w:webHidden/>
              </w:rPr>
            </w:r>
            <w:r w:rsidRPr="001101FA">
              <w:rPr>
                <w:rFonts w:ascii="Arial" w:hAnsi="Arial" w:cs="Arial"/>
                <w:noProof/>
                <w:webHidden/>
              </w:rPr>
              <w:fldChar w:fldCharType="separate"/>
            </w:r>
            <w:r>
              <w:rPr>
                <w:rFonts w:ascii="Arial" w:hAnsi="Arial" w:cs="Arial"/>
                <w:noProof/>
                <w:webHidden/>
              </w:rPr>
              <w:t>8</w:t>
            </w:r>
            <w:r w:rsidRPr="001101FA">
              <w:rPr>
                <w:rFonts w:ascii="Arial" w:hAnsi="Arial" w:cs="Arial"/>
                <w:noProof/>
                <w:webHidden/>
              </w:rPr>
              <w:fldChar w:fldCharType="end"/>
            </w:r>
          </w:hyperlink>
        </w:p>
        <w:p w14:paraId="5974EF7A" w14:textId="400284A6" w:rsidR="001101FA" w:rsidRPr="001101FA" w:rsidRDefault="001101FA" w:rsidP="001101FA">
          <w:pPr>
            <w:pStyle w:val="TOC2"/>
            <w:tabs>
              <w:tab w:val="right" w:leader="dot" w:pos="9350"/>
            </w:tabs>
            <w:spacing w:line="276" w:lineRule="auto"/>
            <w:rPr>
              <w:rFonts w:ascii="Arial" w:hAnsi="Arial" w:cs="Arial"/>
              <w:noProof/>
              <w:color w:val="auto"/>
              <w:kern w:val="0"/>
              <w:sz w:val="22"/>
              <w:szCs w:val="22"/>
              <w:lang w:eastAsia="en-GB" w:bidi="ar-SA"/>
              <w14:ligatures w14:val="none"/>
            </w:rPr>
          </w:pPr>
          <w:hyperlink w:anchor="_Toc237903736" w:history="1">
            <w:r w:rsidRPr="001101FA">
              <w:rPr>
                <w:rStyle w:val="Hyperlink"/>
                <w:rFonts w:ascii="Arial" w:hAnsi="Arial" w:cs="Arial"/>
                <w:noProof/>
              </w:rPr>
              <w:t>5.3 Community and social care</w:t>
            </w:r>
            <w:r w:rsidRPr="001101FA">
              <w:rPr>
                <w:rFonts w:ascii="Arial" w:hAnsi="Arial" w:cs="Arial"/>
                <w:noProof/>
                <w:webHidden/>
              </w:rPr>
              <w:tab/>
            </w:r>
            <w:r w:rsidRPr="001101FA">
              <w:rPr>
                <w:rFonts w:ascii="Arial" w:hAnsi="Arial" w:cs="Arial"/>
                <w:noProof/>
                <w:webHidden/>
              </w:rPr>
              <w:fldChar w:fldCharType="begin"/>
            </w:r>
            <w:r w:rsidRPr="001101FA">
              <w:rPr>
                <w:rFonts w:ascii="Arial" w:hAnsi="Arial" w:cs="Arial"/>
                <w:noProof/>
                <w:webHidden/>
              </w:rPr>
              <w:instrText xml:space="preserve"> PAGEREF _Toc237903736 \h </w:instrText>
            </w:r>
            <w:r w:rsidRPr="001101FA">
              <w:rPr>
                <w:rFonts w:ascii="Arial" w:hAnsi="Arial" w:cs="Arial"/>
                <w:noProof/>
                <w:webHidden/>
              </w:rPr>
            </w:r>
            <w:r w:rsidRPr="001101FA">
              <w:rPr>
                <w:rFonts w:ascii="Arial" w:hAnsi="Arial" w:cs="Arial"/>
                <w:noProof/>
                <w:webHidden/>
              </w:rPr>
              <w:fldChar w:fldCharType="separate"/>
            </w:r>
            <w:r>
              <w:rPr>
                <w:rFonts w:ascii="Arial" w:hAnsi="Arial" w:cs="Arial"/>
                <w:noProof/>
                <w:webHidden/>
              </w:rPr>
              <w:t>8</w:t>
            </w:r>
            <w:r w:rsidRPr="001101FA">
              <w:rPr>
                <w:rFonts w:ascii="Arial" w:hAnsi="Arial" w:cs="Arial"/>
                <w:noProof/>
                <w:webHidden/>
              </w:rPr>
              <w:fldChar w:fldCharType="end"/>
            </w:r>
          </w:hyperlink>
        </w:p>
        <w:p w14:paraId="76140DBC" w14:textId="2A9435D5" w:rsidR="001101FA" w:rsidRPr="001101FA" w:rsidRDefault="001101FA" w:rsidP="001101FA">
          <w:pPr>
            <w:pStyle w:val="TOC1"/>
            <w:tabs>
              <w:tab w:val="right" w:leader="dot" w:pos="9350"/>
            </w:tabs>
            <w:spacing w:line="276" w:lineRule="auto"/>
            <w:rPr>
              <w:rFonts w:ascii="Arial" w:hAnsi="Arial" w:cs="Arial"/>
              <w:noProof/>
              <w:color w:val="auto"/>
              <w:kern w:val="0"/>
              <w:sz w:val="22"/>
              <w:szCs w:val="22"/>
              <w:lang w:eastAsia="en-GB" w:bidi="ar-SA"/>
              <w14:ligatures w14:val="none"/>
            </w:rPr>
          </w:pPr>
          <w:hyperlink w:anchor="_Toc237903737" w:history="1">
            <w:r w:rsidRPr="001101FA">
              <w:rPr>
                <w:rStyle w:val="Hyperlink"/>
                <w:rFonts w:ascii="Arial" w:hAnsi="Arial" w:cs="Arial"/>
                <w:noProof/>
              </w:rPr>
              <w:t>6. Conclusion</w:t>
            </w:r>
            <w:r w:rsidRPr="001101FA">
              <w:rPr>
                <w:rFonts w:ascii="Arial" w:hAnsi="Arial" w:cs="Arial"/>
                <w:noProof/>
                <w:webHidden/>
              </w:rPr>
              <w:tab/>
            </w:r>
            <w:r w:rsidRPr="001101FA">
              <w:rPr>
                <w:rFonts w:ascii="Arial" w:hAnsi="Arial" w:cs="Arial"/>
                <w:noProof/>
                <w:webHidden/>
              </w:rPr>
              <w:fldChar w:fldCharType="begin"/>
            </w:r>
            <w:r w:rsidRPr="001101FA">
              <w:rPr>
                <w:rFonts w:ascii="Arial" w:hAnsi="Arial" w:cs="Arial"/>
                <w:noProof/>
                <w:webHidden/>
              </w:rPr>
              <w:instrText xml:space="preserve"> PAGEREF _Toc237903737 \h </w:instrText>
            </w:r>
            <w:r w:rsidRPr="001101FA">
              <w:rPr>
                <w:rFonts w:ascii="Arial" w:hAnsi="Arial" w:cs="Arial"/>
                <w:noProof/>
                <w:webHidden/>
              </w:rPr>
            </w:r>
            <w:r w:rsidRPr="001101FA">
              <w:rPr>
                <w:rFonts w:ascii="Arial" w:hAnsi="Arial" w:cs="Arial"/>
                <w:noProof/>
                <w:webHidden/>
              </w:rPr>
              <w:fldChar w:fldCharType="separate"/>
            </w:r>
            <w:r>
              <w:rPr>
                <w:rFonts w:ascii="Arial" w:hAnsi="Arial" w:cs="Arial"/>
                <w:noProof/>
                <w:webHidden/>
              </w:rPr>
              <w:t>9</w:t>
            </w:r>
            <w:r w:rsidRPr="001101FA">
              <w:rPr>
                <w:rFonts w:ascii="Arial" w:hAnsi="Arial" w:cs="Arial"/>
                <w:noProof/>
                <w:webHidden/>
              </w:rPr>
              <w:fldChar w:fldCharType="end"/>
            </w:r>
          </w:hyperlink>
        </w:p>
        <w:p w14:paraId="7A5FCD25" w14:textId="7FBCF610" w:rsidR="001101FA" w:rsidRPr="001101FA" w:rsidRDefault="001101FA" w:rsidP="001101FA">
          <w:pPr>
            <w:pStyle w:val="TOC1"/>
            <w:tabs>
              <w:tab w:val="right" w:leader="dot" w:pos="9350"/>
            </w:tabs>
            <w:spacing w:line="276" w:lineRule="auto"/>
            <w:rPr>
              <w:rFonts w:ascii="Arial" w:hAnsi="Arial" w:cs="Arial"/>
              <w:noProof/>
              <w:color w:val="auto"/>
              <w:kern w:val="0"/>
              <w:sz w:val="22"/>
              <w:szCs w:val="22"/>
              <w:lang w:eastAsia="en-GB" w:bidi="ar-SA"/>
              <w14:ligatures w14:val="none"/>
            </w:rPr>
          </w:pPr>
          <w:hyperlink w:anchor="_Toc237903738" w:history="1">
            <w:r w:rsidRPr="001101FA">
              <w:rPr>
                <w:rStyle w:val="Hyperlink"/>
                <w:rFonts w:ascii="Arial" w:hAnsi="Arial" w:cs="Arial"/>
                <w:noProof/>
              </w:rPr>
              <w:t>References</w:t>
            </w:r>
            <w:r w:rsidRPr="001101FA">
              <w:rPr>
                <w:rFonts w:ascii="Arial" w:hAnsi="Arial" w:cs="Arial"/>
                <w:noProof/>
                <w:webHidden/>
              </w:rPr>
              <w:tab/>
            </w:r>
            <w:r w:rsidRPr="001101FA">
              <w:rPr>
                <w:rFonts w:ascii="Arial" w:hAnsi="Arial" w:cs="Arial"/>
                <w:noProof/>
                <w:webHidden/>
              </w:rPr>
              <w:fldChar w:fldCharType="begin"/>
            </w:r>
            <w:r w:rsidRPr="001101FA">
              <w:rPr>
                <w:rFonts w:ascii="Arial" w:hAnsi="Arial" w:cs="Arial"/>
                <w:noProof/>
                <w:webHidden/>
              </w:rPr>
              <w:instrText xml:space="preserve"> PAGEREF _Toc237903738 \h </w:instrText>
            </w:r>
            <w:r w:rsidRPr="001101FA">
              <w:rPr>
                <w:rFonts w:ascii="Arial" w:hAnsi="Arial" w:cs="Arial"/>
                <w:noProof/>
                <w:webHidden/>
              </w:rPr>
            </w:r>
            <w:r w:rsidRPr="001101FA">
              <w:rPr>
                <w:rFonts w:ascii="Arial" w:hAnsi="Arial" w:cs="Arial"/>
                <w:noProof/>
                <w:webHidden/>
              </w:rPr>
              <w:fldChar w:fldCharType="separate"/>
            </w:r>
            <w:r>
              <w:rPr>
                <w:rFonts w:ascii="Arial" w:hAnsi="Arial" w:cs="Arial"/>
                <w:noProof/>
                <w:webHidden/>
              </w:rPr>
              <w:t>10</w:t>
            </w:r>
            <w:r w:rsidRPr="001101FA">
              <w:rPr>
                <w:rFonts w:ascii="Arial" w:hAnsi="Arial" w:cs="Arial"/>
                <w:noProof/>
                <w:webHidden/>
              </w:rPr>
              <w:fldChar w:fldCharType="end"/>
            </w:r>
          </w:hyperlink>
        </w:p>
        <w:p w14:paraId="029643E2" w14:textId="484DFB5A" w:rsidR="000B3A1E" w:rsidRPr="001101FA" w:rsidRDefault="00C2459E" w:rsidP="001101FA">
          <w:pPr>
            <w:spacing w:line="276" w:lineRule="auto"/>
            <w:rPr>
              <w:rFonts w:ascii="Arial" w:hAnsi="Arial" w:cs="Arial"/>
            </w:rPr>
          </w:pPr>
          <w:r w:rsidRPr="001101FA">
            <w:rPr>
              <w:rFonts w:ascii="Arial" w:hAnsi="Arial" w:cs="Arial"/>
              <w:b/>
              <w:bCs/>
              <w:noProof/>
              <w:sz w:val="22"/>
              <w:szCs w:val="22"/>
            </w:rPr>
            <w:fldChar w:fldCharType="end"/>
          </w:r>
        </w:p>
      </w:sdtContent>
    </w:sdt>
    <w:p w14:paraId="454B0EF1" w14:textId="23E9AED8" w:rsidR="001101FA" w:rsidRDefault="001101FA" w:rsidP="001101FA">
      <w:pPr>
        <w:spacing w:line="278" w:lineRule="auto"/>
        <w:jc w:val="left"/>
      </w:pPr>
      <w:bookmarkStart w:id="0" w:name="_Toc237903721"/>
      <w:r>
        <w:br w:type="page"/>
      </w:r>
    </w:p>
    <w:p w14:paraId="43883703" w14:textId="1D93AC70" w:rsidR="00B31B43" w:rsidRPr="0026421D" w:rsidRDefault="00B31B43" w:rsidP="001101FA">
      <w:pPr>
        <w:pStyle w:val="Heading1"/>
      </w:pPr>
      <w:r w:rsidRPr="0026421D">
        <w:lastRenderedPageBreak/>
        <w:t>1. Introduction</w:t>
      </w:r>
      <w:bookmarkEnd w:id="0"/>
    </w:p>
    <w:p w14:paraId="73540D66" w14:textId="7DC121F8" w:rsidR="005C23C6" w:rsidRPr="0026421D" w:rsidRDefault="005C23C6" w:rsidP="0026421D">
      <w:pPr>
        <w:spacing w:line="360" w:lineRule="auto"/>
        <w:rPr>
          <w:rFonts w:ascii="Arial" w:hAnsi="Arial" w:cs="Arial"/>
          <w:sz w:val="22"/>
          <w:szCs w:val="22"/>
        </w:rPr>
      </w:pPr>
      <w:r w:rsidRPr="0026421D">
        <w:rPr>
          <w:rFonts w:ascii="Arial" w:hAnsi="Arial" w:cs="Arial"/>
          <w:sz w:val="22"/>
          <w:szCs w:val="22"/>
        </w:rPr>
        <w:t xml:space="preserve">Type 1 diabetes is a lifelong autoimmune disease in which </w:t>
      </w:r>
      <w:r w:rsidR="00B008B1" w:rsidRPr="0026421D">
        <w:rPr>
          <w:rFonts w:ascii="Arial" w:hAnsi="Arial" w:cs="Arial"/>
          <w:sz w:val="22"/>
          <w:szCs w:val="22"/>
        </w:rPr>
        <w:t>pancreatic beta cells are damaged, so the pancreas does not produce enough insulin,</w:t>
      </w:r>
      <w:r w:rsidRPr="0026421D">
        <w:rPr>
          <w:rFonts w:ascii="Arial" w:hAnsi="Arial" w:cs="Arial"/>
          <w:sz w:val="22"/>
          <w:szCs w:val="22"/>
        </w:rPr>
        <w:t xml:space="preserve"> leading to ongoing hyperglycaemia (DiMeglio, Evans-Molina and Oram, 2018). Common symptoms include thirst, needing to pass a lot of urine, tiredness, vision problems and unexplained weight loss; it is easy to overlook </w:t>
      </w:r>
      <w:r w:rsidR="0021591C" w:rsidRPr="0026421D">
        <w:rPr>
          <w:rFonts w:ascii="Arial" w:hAnsi="Arial" w:cs="Arial"/>
          <w:sz w:val="22"/>
          <w:szCs w:val="22"/>
        </w:rPr>
        <w:t>them,</w:t>
      </w:r>
      <w:r w:rsidRPr="0026421D">
        <w:rPr>
          <w:rFonts w:ascii="Arial" w:hAnsi="Arial" w:cs="Arial"/>
          <w:sz w:val="22"/>
          <w:szCs w:val="22"/>
        </w:rPr>
        <w:t xml:space="preserve"> and this can lead to a life-threatening diabetic ketoacidosis (NHS, 2024). There are risk factors such as genes and environmental factors, but lifestyle is not the main cause of this. In 2021, 8.4 million people had Type 1 </w:t>
      </w:r>
      <w:r w:rsidR="0021591C" w:rsidRPr="0026421D">
        <w:rPr>
          <w:rFonts w:ascii="Arial" w:hAnsi="Arial" w:cs="Arial"/>
          <w:sz w:val="22"/>
          <w:szCs w:val="22"/>
        </w:rPr>
        <w:t>diabetes,</w:t>
      </w:r>
      <w:r w:rsidRPr="0026421D">
        <w:rPr>
          <w:rFonts w:ascii="Arial" w:hAnsi="Arial" w:cs="Arial"/>
          <w:sz w:val="22"/>
          <w:szCs w:val="22"/>
        </w:rPr>
        <w:t xml:space="preserve"> and 0.5 million new cases were </w:t>
      </w:r>
      <w:r w:rsidR="0021591C" w:rsidRPr="0026421D">
        <w:rPr>
          <w:rFonts w:ascii="Arial" w:hAnsi="Arial" w:cs="Arial"/>
          <w:sz w:val="22"/>
          <w:szCs w:val="22"/>
        </w:rPr>
        <w:t>identified</w:t>
      </w:r>
      <w:r w:rsidR="006A484F" w:rsidRPr="0026421D">
        <w:rPr>
          <w:rFonts w:ascii="Arial" w:hAnsi="Arial" w:cs="Arial"/>
          <w:sz w:val="22"/>
          <w:szCs w:val="22"/>
        </w:rPr>
        <w:t>;</w:t>
      </w:r>
      <w:r w:rsidRPr="0026421D">
        <w:rPr>
          <w:rFonts w:ascii="Arial" w:hAnsi="Arial" w:cs="Arial"/>
          <w:sz w:val="22"/>
          <w:szCs w:val="22"/>
        </w:rPr>
        <w:t xml:space="preserve"> it is estimated that the number of people living with Type 1 diabetes will increase by 2040 (Gregory et al., 2022). In the UK</w:t>
      </w:r>
      <w:r w:rsidR="006A484F" w:rsidRPr="0026421D">
        <w:rPr>
          <w:rFonts w:ascii="Arial" w:hAnsi="Arial" w:cs="Arial"/>
          <w:sz w:val="22"/>
          <w:szCs w:val="22"/>
        </w:rPr>
        <w:t>,</w:t>
      </w:r>
      <w:r w:rsidRPr="0026421D">
        <w:rPr>
          <w:rFonts w:ascii="Arial" w:hAnsi="Arial" w:cs="Arial"/>
          <w:sz w:val="22"/>
          <w:szCs w:val="22"/>
        </w:rPr>
        <w:t xml:space="preserve"> there are over 400,000 people </w:t>
      </w:r>
      <w:r w:rsidR="006A484F" w:rsidRPr="0026421D">
        <w:rPr>
          <w:rFonts w:ascii="Arial" w:hAnsi="Arial" w:cs="Arial"/>
          <w:sz w:val="22"/>
          <w:szCs w:val="22"/>
        </w:rPr>
        <w:t>who</w:t>
      </w:r>
      <w:r w:rsidRPr="0026421D">
        <w:rPr>
          <w:rFonts w:ascii="Arial" w:hAnsi="Arial" w:cs="Arial"/>
          <w:sz w:val="22"/>
          <w:szCs w:val="22"/>
        </w:rPr>
        <w:t xml:space="preserve"> live with the condition, highlighting a need for specialist and community care (Diabetes UK, 2023). </w:t>
      </w:r>
    </w:p>
    <w:p w14:paraId="25190E4A" w14:textId="77777777" w:rsidR="0021591C" w:rsidRPr="0026421D" w:rsidRDefault="0021591C" w:rsidP="0026421D">
      <w:pPr>
        <w:spacing w:line="360" w:lineRule="auto"/>
        <w:jc w:val="left"/>
        <w:rPr>
          <w:rFonts w:ascii="Arial" w:eastAsia="Calibri" w:hAnsi="Arial" w:cs="Arial"/>
          <w:b/>
          <w:color w:val="156082" w:themeColor="accent1"/>
          <w:sz w:val="30"/>
          <w:szCs w:val="22"/>
          <w:lang w:val="en-US" w:eastAsia="en-US" w:bidi="ar-SA"/>
        </w:rPr>
      </w:pPr>
      <w:r w:rsidRPr="0026421D">
        <w:rPr>
          <w:rFonts w:ascii="Arial" w:hAnsi="Arial" w:cs="Arial"/>
        </w:rPr>
        <w:br w:type="page"/>
      </w:r>
    </w:p>
    <w:p w14:paraId="0673375A" w14:textId="12CB877A" w:rsidR="0021591C" w:rsidRPr="0026421D" w:rsidRDefault="0021591C" w:rsidP="0026421D">
      <w:pPr>
        <w:pStyle w:val="Heading1"/>
      </w:pPr>
      <w:bookmarkStart w:id="1" w:name="_Toc237903722"/>
      <w:r w:rsidRPr="0026421D">
        <w:lastRenderedPageBreak/>
        <w:t>2. Approaches Used to Measure and Monitor Type 1 Diabetes</w:t>
      </w:r>
      <w:bookmarkEnd w:id="1"/>
    </w:p>
    <w:p w14:paraId="0D1F3810" w14:textId="77777777" w:rsidR="0021591C" w:rsidRPr="0026421D" w:rsidRDefault="0021591C" w:rsidP="0026421D">
      <w:pPr>
        <w:pStyle w:val="Heading2"/>
      </w:pPr>
      <w:bookmarkStart w:id="2" w:name="_Toc237903723"/>
      <w:r w:rsidRPr="0026421D">
        <w:t>2.1 Population-level measurement</w:t>
      </w:r>
      <w:bookmarkEnd w:id="2"/>
    </w:p>
    <w:p w14:paraId="5E1C261E" w14:textId="42E3682F" w:rsidR="005C23C6" w:rsidRPr="0026421D" w:rsidRDefault="005C23C6" w:rsidP="0026421D">
      <w:pPr>
        <w:spacing w:line="360" w:lineRule="auto"/>
        <w:rPr>
          <w:rFonts w:ascii="Arial" w:hAnsi="Arial" w:cs="Arial"/>
          <w:sz w:val="22"/>
          <w:szCs w:val="22"/>
        </w:rPr>
      </w:pPr>
      <w:r w:rsidRPr="0026421D">
        <w:rPr>
          <w:rFonts w:ascii="Arial" w:hAnsi="Arial" w:cs="Arial"/>
          <w:sz w:val="22"/>
          <w:szCs w:val="22"/>
        </w:rPr>
        <w:t xml:space="preserve">Incidence refers to the number of new cases that are diagnosed within a specific </w:t>
      </w:r>
      <w:r w:rsidR="0021591C" w:rsidRPr="0026421D">
        <w:rPr>
          <w:rFonts w:ascii="Arial" w:hAnsi="Arial" w:cs="Arial"/>
          <w:sz w:val="22"/>
          <w:szCs w:val="22"/>
        </w:rPr>
        <w:t>period</w:t>
      </w:r>
      <w:r w:rsidR="000F2558">
        <w:rPr>
          <w:rFonts w:ascii="Arial" w:hAnsi="Arial" w:cs="Arial"/>
          <w:sz w:val="22"/>
          <w:szCs w:val="22"/>
        </w:rPr>
        <w:t>,</w:t>
      </w:r>
      <w:r w:rsidRPr="0026421D">
        <w:rPr>
          <w:rFonts w:ascii="Arial" w:hAnsi="Arial" w:cs="Arial"/>
          <w:sz w:val="22"/>
          <w:szCs w:val="22"/>
        </w:rPr>
        <w:t xml:space="preserve"> while prevalence refers to the number of people with the disease at a certain time.</w:t>
      </w:r>
      <w:r w:rsidR="00793142">
        <w:rPr>
          <w:rFonts w:ascii="Arial" w:hAnsi="Arial" w:cs="Arial"/>
          <w:sz w:val="22"/>
          <w:szCs w:val="22"/>
        </w:rPr>
        <w:t xml:space="preserve"> </w:t>
      </w:r>
      <w:r w:rsidR="00793142" w:rsidRPr="00793142">
        <w:rPr>
          <w:rFonts w:ascii="Arial" w:hAnsi="Arial" w:cs="Arial"/>
          <w:sz w:val="22"/>
          <w:szCs w:val="22"/>
        </w:rPr>
        <w:t>In England, 284,010 people were recorded as living with Type 1 diabetes in 2024–25, compared with 276,750 in 2023–24. The National Paediatric Diabetes Audit 2024-25 in England, Wales and Jersey saw 3,392 children and young people diagnosed with Type 1 diabetes for the first time.</w:t>
      </w:r>
      <w:r w:rsidR="006A484F" w:rsidRPr="0026421D">
        <w:rPr>
          <w:rFonts w:ascii="Arial" w:hAnsi="Arial" w:cs="Arial"/>
          <w:sz w:val="22"/>
          <w:szCs w:val="22"/>
        </w:rPr>
        <w:t xml:space="preserve"> </w:t>
      </w:r>
      <w:r w:rsidR="0021591C" w:rsidRPr="0026421D">
        <w:rPr>
          <w:rFonts w:ascii="Arial" w:hAnsi="Arial" w:cs="Arial"/>
          <w:sz w:val="22"/>
          <w:szCs w:val="22"/>
        </w:rPr>
        <w:t>Other</w:t>
      </w:r>
      <w:r w:rsidRPr="0026421D">
        <w:rPr>
          <w:rFonts w:ascii="Arial" w:hAnsi="Arial" w:cs="Arial"/>
          <w:sz w:val="22"/>
          <w:szCs w:val="22"/>
        </w:rPr>
        <w:t xml:space="preserve"> indicators of severity are age at diagnosis and admission rates for diabetic ketoacidosis or severe hypoglycaemia.</w:t>
      </w:r>
      <w:r w:rsidR="00793142">
        <w:rPr>
          <w:rFonts w:ascii="Arial" w:hAnsi="Arial" w:cs="Arial"/>
          <w:sz w:val="22"/>
          <w:szCs w:val="22"/>
        </w:rPr>
        <w:t xml:space="preserve"> </w:t>
      </w:r>
      <w:r w:rsidR="00793142" w:rsidRPr="00793142">
        <w:rPr>
          <w:rFonts w:ascii="Arial" w:hAnsi="Arial" w:cs="Arial"/>
          <w:sz w:val="22"/>
          <w:szCs w:val="22"/>
        </w:rPr>
        <w:t>The corrected NPDA rates published in August 2026 indicated that 28% of all newly diagnosed children and young people were admitted with diabetic ketoacidosis (DKA) at diagnosis in 2024–25.</w:t>
      </w:r>
      <w:r w:rsidRPr="0026421D">
        <w:rPr>
          <w:rFonts w:ascii="Arial" w:hAnsi="Arial" w:cs="Arial"/>
          <w:sz w:val="22"/>
          <w:szCs w:val="22"/>
        </w:rPr>
        <w:t xml:space="preserve"> Prevalence and admission data must be understood in conjunction with incidence – the information provides insights into the ongoing burden of treatment and service, whereas the information from incidence can give emerging trends (Bilous et al., 2021). Inequalities that are not apparent at the national level can also be identified by comparing by age, ethnicity, deprivation and location.</w:t>
      </w:r>
    </w:p>
    <w:p w14:paraId="1321559F" w14:textId="77777777" w:rsidR="0021591C" w:rsidRPr="0026421D" w:rsidRDefault="0021591C" w:rsidP="0026421D">
      <w:pPr>
        <w:pStyle w:val="Heading2"/>
      </w:pPr>
      <w:bookmarkStart w:id="3" w:name="_Toc237903724"/>
      <w:r w:rsidRPr="0026421D">
        <w:t>2.2 Public-health surveillance</w:t>
      </w:r>
      <w:bookmarkEnd w:id="3"/>
    </w:p>
    <w:p w14:paraId="0BA7DB93" w14:textId="370D67A7" w:rsidR="005C23C6" w:rsidRPr="0026421D" w:rsidRDefault="005C23C6" w:rsidP="00793142">
      <w:pPr>
        <w:spacing w:line="360" w:lineRule="auto"/>
        <w:rPr>
          <w:rFonts w:ascii="Arial" w:hAnsi="Arial" w:cs="Arial"/>
          <w:sz w:val="22"/>
          <w:szCs w:val="22"/>
        </w:rPr>
      </w:pPr>
      <w:r w:rsidRPr="0026421D">
        <w:rPr>
          <w:rFonts w:ascii="Arial" w:hAnsi="Arial" w:cs="Arial"/>
          <w:sz w:val="22"/>
          <w:szCs w:val="22"/>
        </w:rPr>
        <w:t xml:space="preserve">The National Diabetes Audit in England and Wales is an audit which brings together data from </w:t>
      </w:r>
      <w:r w:rsidR="001101FA">
        <w:rPr>
          <w:rFonts w:ascii="Arial" w:hAnsi="Arial" w:cs="Arial"/>
          <w:sz w:val="22"/>
          <w:szCs w:val="22"/>
        </w:rPr>
        <w:t>primary care</w:t>
      </w:r>
      <w:r w:rsidRPr="0026421D">
        <w:rPr>
          <w:rFonts w:ascii="Arial" w:hAnsi="Arial" w:cs="Arial"/>
          <w:sz w:val="22"/>
          <w:szCs w:val="22"/>
        </w:rPr>
        <w:t xml:space="preserve"> records, clinical measures, complications and mortality data to assess the quality and variation of diabetes care. It is well covered and can be used for trend analysis and for comparisons between population </w:t>
      </w:r>
      <w:r w:rsidR="00402ED4" w:rsidRPr="0026421D">
        <w:rPr>
          <w:rFonts w:ascii="Arial" w:hAnsi="Arial" w:cs="Arial"/>
          <w:sz w:val="22"/>
          <w:szCs w:val="22"/>
        </w:rPr>
        <w:t>groups,</w:t>
      </w:r>
      <w:r w:rsidRPr="0026421D">
        <w:rPr>
          <w:rFonts w:ascii="Arial" w:hAnsi="Arial" w:cs="Arial"/>
          <w:sz w:val="22"/>
          <w:szCs w:val="22"/>
        </w:rPr>
        <w:t xml:space="preserve"> but data may be missing or inconsistently coded (Holman et al., 2021). In addition to the evidence provided by the Hospital Episode Statistics, evidence on acute events and outcomes is provided by death registrations, and burden estimates are provided through modelling where there is incomplete surveillance. Modelled estimates are still subject to assumptions and the quality of input data and information.</w:t>
      </w:r>
      <w:r w:rsidR="00793142">
        <w:rPr>
          <w:rFonts w:ascii="Arial" w:hAnsi="Arial" w:cs="Arial"/>
          <w:sz w:val="22"/>
          <w:szCs w:val="22"/>
        </w:rPr>
        <w:t xml:space="preserve"> </w:t>
      </w:r>
      <w:r w:rsidR="00793142" w:rsidRPr="00793142">
        <w:rPr>
          <w:rFonts w:ascii="Arial" w:hAnsi="Arial" w:cs="Arial"/>
          <w:sz w:val="22"/>
          <w:szCs w:val="22"/>
        </w:rPr>
        <w:t>Of those with Type 1 diabetes in England, 43% had all eight of the recommended diabetes care processes recorded in 2024–25.</w:t>
      </w:r>
      <w:r w:rsidR="00793142">
        <w:rPr>
          <w:rFonts w:ascii="Arial" w:hAnsi="Arial" w:cs="Arial"/>
          <w:sz w:val="22"/>
          <w:szCs w:val="22"/>
        </w:rPr>
        <w:t xml:space="preserve"> </w:t>
      </w:r>
      <w:r w:rsidR="00793142" w:rsidRPr="00793142">
        <w:rPr>
          <w:rFonts w:ascii="Arial" w:hAnsi="Arial" w:cs="Arial"/>
          <w:sz w:val="22"/>
          <w:szCs w:val="22"/>
        </w:rPr>
        <w:t>There was significant variation across the geographical areas, with between 30.3% and 61.1% of their areas being completed by Integrated Care Boards (ICBs).</w:t>
      </w:r>
      <w:r w:rsidR="00793142">
        <w:rPr>
          <w:rFonts w:ascii="Arial" w:hAnsi="Arial" w:cs="Arial"/>
          <w:sz w:val="22"/>
          <w:szCs w:val="22"/>
        </w:rPr>
        <w:t xml:space="preserve"> </w:t>
      </w:r>
      <w:r w:rsidR="00793142" w:rsidRPr="00793142">
        <w:rPr>
          <w:rFonts w:ascii="Arial" w:hAnsi="Arial" w:cs="Arial"/>
          <w:sz w:val="22"/>
          <w:szCs w:val="22"/>
        </w:rPr>
        <w:t>54.8% of people with Type 1 diabetes had microalbumin in their urine recorded</w:t>
      </w:r>
      <w:r w:rsidR="001101FA">
        <w:rPr>
          <w:rFonts w:ascii="Arial" w:hAnsi="Arial" w:cs="Arial"/>
          <w:sz w:val="22"/>
          <w:szCs w:val="22"/>
        </w:rPr>
        <w:t>,</w:t>
      </w:r>
      <w:r w:rsidR="00793142" w:rsidRPr="00793142">
        <w:rPr>
          <w:rFonts w:ascii="Arial" w:hAnsi="Arial" w:cs="Arial"/>
          <w:sz w:val="22"/>
          <w:szCs w:val="22"/>
        </w:rPr>
        <w:t xml:space="preserve"> and 66.8% had an assessment of their feet recorded.</w:t>
      </w:r>
    </w:p>
    <w:p w14:paraId="7B13EEDD" w14:textId="77777777" w:rsidR="0021591C" w:rsidRPr="0026421D" w:rsidRDefault="0021591C" w:rsidP="0026421D">
      <w:pPr>
        <w:pStyle w:val="Heading2"/>
      </w:pPr>
      <w:bookmarkStart w:id="4" w:name="_Toc237903725"/>
      <w:r w:rsidRPr="0026421D">
        <w:lastRenderedPageBreak/>
        <w:t>2.3 Individual clinical monitoring</w:t>
      </w:r>
      <w:bookmarkEnd w:id="4"/>
    </w:p>
    <w:p w14:paraId="552C6888" w14:textId="7010434B" w:rsidR="001101FA" w:rsidRPr="001101FA" w:rsidRDefault="001101FA" w:rsidP="001101FA">
      <w:pPr>
        <w:spacing w:line="360" w:lineRule="auto"/>
        <w:rPr>
          <w:rFonts w:ascii="Arial" w:hAnsi="Arial" w:cs="Arial"/>
          <w:sz w:val="22"/>
          <w:szCs w:val="22"/>
        </w:rPr>
      </w:pPr>
      <w:r w:rsidRPr="001101FA">
        <w:rPr>
          <w:rFonts w:ascii="Arial" w:hAnsi="Arial" w:cs="Arial"/>
          <w:sz w:val="22"/>
          <w:szCs w:val="22"/>
        </w:rPr>
        <w:t xml:space="preserve">At the individual level, Type 1 diabetes is monitored through finger-prick blood glucose testing, continuous or flash glucose monitoring, HbA1c testing and ketone testing. In England, 41.5% of people with Type 1 diabetes had an HbA1c of 58 mmol/mol or below to check how well their glucose has been controlled in the long-term. Eye, kidney, </w:t>
      </w:r>
      <w:r>
        <w:rPr>
          <w:rFonts w:ascii="Arial" w:hAnsi="Arial" w:cs="Arial"/>
          <w:sz w:val="22"/>
          <w:szCs w:val="22"/>
        </w:rPr>
        <w:t xml:space="preserve">and </w:t>
      </w:r>
      <w:r w:rsidRPr="001101FA">
        <w:rPr>
          <w:rFonts w:ascii="Arial" w:hAnsi="Arial" w:cs="Arial"/>
          <w:sz w:val="22"/>
          <w:szCs w:val="22"/>
        </w:rPr>
        <w:t xml:space="preserve">cardiovascular </w:t>
      </w:r>
      <w:r>
        <w:rPr>
          <w:rFonts w:ascii="Arial" w:hAnsi="Arial" w:cs="Arial"/>
          <w:sz w:val="22"/>
          <w:szCs w:val="22"/>
        </w:rPr>
        <w:t>evaluations,</w:t>
      </w:r>
      <w:r w:rsidRPr="001101FA">
        <w:rPr>
          <w:rFonts w:ascii="Arial" w:hAnsi="Arial" w:cs="Arial"/>
          <w:sz w:val="22"/>
          <w:szCs w:val="22"/>
        </w:rPr>
        <w:t xml:space="preserve"> as well as foot </w:t>
      </w:r>
      <w:r>
        <w:rPr>
          <w:rFonts w:ascii="Arial" w:hAnsi="Arial" w:cs="Arial"/>
          <w:sz w:val="22"/>
          <w:szCs w:val="22"/>
        </w:rPr>
        <w:t>examinations, are also regularly carried out to enable early detection of complications and timely interventions (Melmed et al.</w:t>
      </w:r>
      <w:r w:rsidRPr="001101FA">
        <w:rPr>
          <w:rFonts w:ascii="Arial" w:hAnsi="Arial" w:cs="Arial"/>
          <w:sz w:val="22"/>
          <w:szCs w:val="22"/>
        </w:rPr>
        <w:t>, 2024). But uptake of monitoring technologies is not uniform, and this can help to create inequalities in the quality of the information that can be provided for treatment decisions and, ultimately, inequalities in care.</w:t>
      </w:r>
    </w:p>
    <w:p w14:paraId="1234DC1D" w14:textId="69601775" w:rsidR="0021591C" w:rsidRPr="0026421D" w:rsidRDefault="001101FA" w:rsidP="001101FA">
      <w:pPr>
        <w:spacing w:line="360" w:lineRule="auto"/>
        <w:rPr>
          <w:rFonts w:eastAsia="Calibri"/>
          <w:b/>
          <w:color w:val="156082" w:themeColor="accent1"/>
          <w:sz w:val="30"/>
          <w:szCs w:val="22"/>
          <w:lang w:val="en-US" w:eastAsia="en-US" w:bidi="ar-SA"/>
        </w:rPr>
      </w:pPr>
      <w:r w:rsidRPr="001101FA">
        <w:rPr>
          <w:rFonts w:ascii="Arial" w:hAnsi="Arial" w:cs="Arial"/>
          <w:sz w:val="22"/>
          <w:szCs w:val="22"/>
        </w:rPr>
        <w:t xml:space="preserve">Clinical monitoring should be used in addition to </w:t>
      </w:r>
      <w:r>
        <w:rPr>
          <w:rFonts w:ascii="Arial" w:hAnsi="Arial" w:cs="Arial"/>
          <w:sz w:val="22"/>
          <w:szCs w:val="22"/>
        </w:rPr>
        <w:t>population-based</w:t>
      </w:r>
      <w:r w:rsidRPr="001101FA">
        <w:rPr>
          <w:rFonts w:ascii="Arial" w:hAnsi="Arial" w:cs="Arial"/>
          <w:sz w:val="22"/>
          <w:szCs w:val="22"/>
        </w:rPr>
        <w:t xml:space="preserve"> monitoring. Incidence will focus </w:t>
      </w:r>
      <w:r>
        <w:rPr>
          <w:rFonts w:ascii="Arial" w:hAnsi="Arial" w:cs="Arial"/>
          <w:sz w:val="22"/>
          <w:szCs w:val="22"/>
        </w:rPr>
        <w:t xml:space="preserve">on </w:t>
      </w:r>
      <w:r w:rsidRPr="001101FA">
        <w:rPr>
          <w:rFonts w:ascii="Arial" w:hAnsi="Arial" w:cs="Arial"/>
          <w:sz w:val="22"/>
          <w:szCs w:val="22"/>
        </w:rPr>
        <w:t xml:space="preserve">new trends and new cases, while prevalence will focus </w:t>
      </w:r>
      <w:r>
        <w:rPr>
          <w:rFonts w:ascii="Arial" w:hAnsi="Arial" w:cs="Arial"/>
          <w:sz w:val="22"/>
          <w:szCs w:val="22"/>
        </w:rPr>
        <w:t xml:space="preserve">on </w:t>
      </w:r>
      <w:r w:rsidRPr="001101FA">
        <w:rPr>
          <w:rFonts w:ascii="Arial" w:hAnsi="Arial" w:cs="Arial"/>
          <w:sz w:val="22"/>
          <w:szCs w:val="22"/>
        </w:rPr>
        <w:t xml:space="preserve">those that continue to be a need for insulin products, monitoring and specialist services. The number of admissions for diabetic ketoacidosis and severe hypoglycaemia </w:t>
      </w:r>
      <w:r>
        <w:rPr>
          <w:rFonts w:ascii="Arial" w:hAnsi="Arial" w:cs="Arial"/>
          <w:sz w:val="22"/>
          <w:szCs w:val="22"/>
        </w:rPr>
        <w:t>provides</w:t>
      </w:r>
      <w:r w:rsidRPr="001101FA">
        <w:rPr>
          <w:rFonts w:ascii="Arial" w:hAnsi="Arial" w:cs="Arial"/>
          <w:sz w:val="22"/>
          <w:szCs w:val="22"/>
        </w:rPr>
        <w:t xml:space="preserve"> some information to help determine the burden of acute complications and pressure on services; they will not reflect events that are controlled outside hospital. Using mortality figures can give an indication of the level of the disease and the longer-term effects of the disease, but may overestimate or underestimate disease burden due to the incorrect coding of cause of death. National diabetes audits will link care process, clinical outcomes and complications and will be able to undertake some comparisons between services but, due to limitations in data availability and/or coding, their accuracy can be undermined (Holman et al., 2021). So, there is no single sign to show </w:t>
      </w:r>
      <w:r>
        <w:rPr>
          <w:rFonts w:ascii="Arial" w:hAnsi="Arial" w:cs="Arial"/>
          <w:sz w:val="22"/>
          <w:szCs w:val="22"/>
        </w:rPr>
        <w:t xml:space="preserve">the </w:t>
      </w:r>
      <w:r w:rsidRPr="001101FA">
        <w:rPr>
          <w:rFonts w:ascii="Arial" w:hAnsi="Arial" w:cs="Arial"/>
          <w:sz w:val="22"/>
          <w:szCs w:val="22"/>
        </w:rPr>
        <w:t>burden of Type 1 diabetes – burden should be monitored not only clinically (individual patients), but also in terms of the population.</w:t>
      </w:r>
      <w:r w:rsidR="0021591C" w:rsidRPr="0026421D">
        <w:br w:type="page"/>
      </w:r>
    </w:p>
    <w:p w14:paraId="090D244B" w14:textId="4D4604D9" w:rsidR="0021591C" w:rsidRPr="0026421D" w:rsidRDefault="0021591C" w:rsidP="0026421D">
      <w:pPr>
        <w:pStyle w:val="Heading1"/>
      </w:pPr>
      <w:bookmarkStart w:id="5" w:name="_Toc237903726"/>
      <w:r w:rsidRPr="0026421D">
        <w:lastRenderedPageBreak/>
        <w:t>3. How Type 1 Diabetes Is Controlled</w:t>
      </w:r>
      <w:bookmarkEnd w:id="5"/>
    </w:p>
    <w:p w14:paraId="58360FCF" w14:textId="77777777" w:rsidR="0021591C" w:rsidRPr="0026421D" w:rsidRDefault="0021591C" w:rsidP="0026421D">
      <w:pPr>
        <w:pStyle w:val="Heading2"/>
      </w:pPr>
      <w:bookmarkStart w:id="6" w:name="_Toc237903727"/>
      <w:r w:rsidRPr="0026421D">
        <w:t>3.1 Daily and acute control</w:t>
      </w:r>
      <w:bookmarkEnd w:id="6"/>
    </w:p>
    <w:p w14:paraId="325E2AA0" w14:textId="61233881" w:rsidR="005C23C6" w:rsidRPr="0026421D" w:rsidRDefault="005C23C6" w:rsidP="0026421D">
      <w:pPr>
        <w:spacing w:line="360" w:lineRule="auto"/>
        <w:rPr>
          <w:rFonts w:ascii="Arial" w:hAnsi="Arial" w:cs="Arial"/>
          <w:sz w:val="22"/>
          <w:szCs w:val="22"/>
        </w:rPr>
      </w:pPr>
      <w:r w:rsidRPr="0026421D">
        <w:rPr>
          <w:rFonts w:ascii="Arial" w:hAnsi="Arial" w:cs="Arial"/>
          <w:sz w:val="22"/>
          <w:szCs w:val="22"/>
        </w:rPr>
        <w:t>There is currently no routine cure for type 1 diabetes and insulin replacement must be carried out for life. Insulin can be administered in several doses per day or via a pump</w:t>
      </w:r>
      <w:r w:rsidR="006A484F" w:rsidRPr="0026421D">
        <w:rPr>
          <w:rFonts w:ascii="Arial" w:hAnsi="Arial" w:cs="Arial"/>
          <w:sz w:val="22"/>
          <w:szCs w:val="22"/>
        </w:rPr>
        <w:t>,</w:t>
      </w:r>
      <w:r w:rsidRPr="0026421D">
        <w:rPr>
          <w:rFonts w:ascii="Arial" w:hAnsi="Arial" w:cs="Arial"/>
          <w:sz w:val="22"/>
          <w:szCs w:val="22"/>
        </w:rPr>
        <w:t xml:space="preserve"> and doses can be adjusted based on the amount of glucose, carbohydrates, exercise, illness and life's events (Holt et al., 2021). </w:t>
      </w:r>
      <w:r w:rsidR="00B23B4B" w:rsidRPr="00B23B4B">
        <w:rPr>
          <w:rFonts w:ascii="Arial" w:hAnsi="Arial" w:cs="Arial"/>
          <w:sz w:val="22"/>
          <w:szCs w:val="22"/>
        </w:rPr>
        <w:t>While continuous glucose monitoring can detect patterns between readings, it only benefits when it is used to make decisions on what to do with the data.</w:t>
      </w:r>
    </w:p>
    <w:p w14:paraId="61961630" w14:textId="39EDF5D5" w:rsidR="005C23C6" w:rsidRPr="0026421D" w:rsidRDefault="005C23C6" w:rsidP="0026421D">
      <w:pPr>
        <w:spacing w:line="360" w:lineRule="auto"/>
        <w:rPr>
          <w:rFonts w:ascii="Arial" w:hAnsi="Arial" w:cs="Arial"/>
          <w:sz w:val="22"/>
          <w:szCs w:val="22"/>
        </w:rPr>
      </w:pPr>
      <w:r w:rsidRPr="0026421D">
        <w:rPr>
          <w:rFonts w:ascii="Arial" w:hAnsi="Arial" w:cs="Arial"/>
          <w:sz w:val="22"/>
          <w:szCs w:val="22"/>
        </w:rPr>
        <w:t xml:space="preserve">The daily management of diabetes also involves counting carbohydrates, nutrition and safe physical activity. People should be aware of symptoms of hypoglycaemia, have some fast-acting glucose to take when suffering from low blood sugar and make sure family members know how to use emergency glucagon. An increased frequency of glucose and ketone testing and sick day guidelines during illness will decrease the likelihood of developing diabetic ketoacidosis (Hanas, 2019). These demands create </w:t>
      </w:r>
      <w:r w:rsidR="006A484F" w:rsidRPr="0026421D">
        <w:rPr>
          <w:rFonts w:ascii="Arial" w:hAnsi="Arial" w:cs="Arial"/>
          <w:sz w:val="22"/>
          <w:szCs w:val="22"/>
        </w:rPr>
        <w:t>self-management-intensive demands</w:t>
      </w:r>
      <w:r w:rsidRPr="0026421D">
        <w:rPr>
          <w:rFonts w:ascii="Arial" w:hAnsi="Arial" w:cs="Arial"/>
          <w:sz w:val="22"/>
          <w:szCs w:val="22"/>
        </w:rPr>
        <w:t xml:space="preserve"> – particularly for children, people with unstable housing, and those with irregular working hours.</w:t>
      </w:r>
    </w:p>
    <w:p w14:paraId="08AD24F1" w14:textId="77777777" w:rsidR="0021591C" w:rsidRPr="0026421D" w:rsidRDefault="0021591C" w:rsidP="0026421D">
      <w:pPr>
        <w:pStyle w:val="Heading2"/>
      </w:pPr>
      <w:bookmarkStart w:id="7" w:name="_Toc237903728"/>
      <w:r w:rsidRPr="0026421D">
        <w:t>3.2 Long-term control</w:t>
      </w:r>
      <w:bookmarkEnd w:id="7"/>
    </w:p>
    <w:p w14:paraId="4EBE2C60" w14:textId="6F2DF270" w:rsidR="005F2DA8" w:rsidRPr="0026421D" w:rsidRDefault="0044101C" w:rsidP="0026421D">
      <w:pPr>
        <w:spacing w:line="360" w:lineRule="auto"/>
        <w:rPr>
          <w:rFonts w:ascii="Arial" w:hAnsi="Arial" w:cs="Arial"/>
          <w:sz w:val="22"/>
          <w:szCs w:val="22"/>
        </w:rPr>
      </w:pPr>
      <w:r>
        <w:rPr>
          <w:rFonts w:ascii="Arial" w:hAnsi="Arial" w:cs="Arial"/>
          <w:sz w:val="22"/>
          <w:szCs w:val="22"/>
        </w:rPr>
        <w:t>Long-term</w:t>
      </w:r>
      <w:r w:rsidR="00186CEE" w:rsidRPr="00186CEE">
        <w:rPr>
          <w:rFonts w:ascii="Arial" w:hAnsi="Arial" w:cs="Arial"/>
          <w:sz w:val="22"/>
          <w:szCs w:val="22"/>
        </w:rPr>
        <w:t xml:space="preserve"> control consists of the monitoring of HbA1c, retinal screening, assessment of kidney function, assessment of blood pressure and examination of the feet.</w:t>
      </w:r>
      <w:r w:rsidR="005C23C6" w:rsidRPr="0026421D">
        <w:rPr>
          <w:rFonts w:ascii="Arial" w:hAnsi="Arial" w:cs="Arial"/>
          <w:sz w:val="22"/>
          <w:szCs w:val="22"/>
        </w:rPr>
        <w:t xml:space="preserve"> Confidence should be nurtured</w:t>
      </w:r>
      <w:r w:rsidR="006A484F" w:rsidRPr="0026421D">
        <w:rPr>
          <w:rFonts w:ascii="Arial" w:hAnsi="Arial" w:cs="Arial"/>
          <w:sz w:val="22"/>
          <w:szCs w:val="22"/>
        </w:rPr>
        <w:t>,</w:t>
      </w:r>
      <w:r w:rsidR="005C23C6" w:rsidRPr="0026421D">
        <w:rPr>
          <w:rFonts w:ascii="Arial" w:hAnsi="Arial" w:cs="Arial"/>
          <w:sz w:val="22"/>
          <w:szCs w:val="22"/>
        </w:rPr>
        <w:t xml:space="preserve"> not just imparted</w:t>
      </w:r>
      <w:r w:rsidR="006A484F" w:rsidRPr="0026421D">
        <w:rPr>
          <w:rFonts w:ascii="Arial" w:hAnsi="Arial" w:cs="Arial"/>
          <w:sz w:val="22"/>
          <w:szCs w:val="22"/>
        </w:rPr>
        <w:t>,</w:t>
      </w:r>
      <w:r w:rsidR="005C23C6" w:rsidRPr="0026421D">
        <w:rPr>
          <w:rFonts w:ascii="Arial" w:hAnsi="Arial" w:cs="Arial"/>
          <w:sz w:val="22"/>
          <w:szCs w:val="22"/>
        </w:rPr>
        <w:t xml:space="preserve"> in structured </w:t>
      </w:r>
      <w:r w:rsidR="00186CEE" w:rsidRPr="0026421D">
        <w:rPr>
          <w:rFonts w:ascii="Arial" w:hAnsi="Arial" w:cs="Arial"/>
          <w:sz w:val="22"/>
          <w:szCs w:val="22"/>
        </w:rPr>
        <w:t>education</w:t>
      </w:r>
      <w:r w:rsidR="00186CEE">
        <w:rPr>
          <w:rFonts w:ascii="Arial" w:hAnsi="Arial" w:cs="Arial"/>
          <w:sz w:val="22"/>
          <w:szCs w:val="22"/>
        </w:rPr>
        <w:t>.</w:t>
      </w:r>
      <w:r w:rsidR="00186CEE" w:rsidRPr="00186CEE">
        <w:rPr>
          <w:rFonts w:ascii="Arial" w:hAnsi="Arial" w:cs="Arial"/>
          <w:sz w:val="22"/>
          <w:szCs w:val="22"/>
        </w:rPr>
        <w:t xml:space="preserve"> Recurrent hypoglycaemia, treatment burden and the technology available to the individual and their abilities should be reviewed by specialist teams (Sperling, 2020).</w:t>
      </w:r>
      <w:r w:rsidR="005C23C6" w:rsidRPr="0026421D">
        <w:rPr>
          <w:rFonts w:ascii="Arial" w:hAnsi="Arial" w:cs="Arial"/>
          <w:sz w:val="22"/>
          <w:szCs w:val="22"/>
        </w:rPr>
        <w:t xml:space="preserve"> Control should not be blamed exclusively on the individual - affordability, health literacy, family support and the continuity of services, and access to specialist advice, have a strong influence on control.</w:t>
      </w:r>
    </w:p>
    <w:p w14:paraId="7EF819E4" w14:textId="77777777" w:rsidR="00E35FE2" w:rsidRPr="0026421D" w:rsidRDefault="00E35FE2" w:rsidP="0026421D">
      <w:pPr>
        <w:spacing w:line="360" w:lineRule="auto"/>
        <w:jc w:val="left"/>
        <w:rPr>
          <w:rFonts w:ascii="Arial" w:eastAsia="Calibri" w:hAnsi="Arial" w:cs="Arial"/>
          <w:b/>
          <w:color w:val="156082" w:themeColor="accent1"/>
          <w:sz w:val="22"/>
          <w:szCs w:val="22"/>
          <w:lang w:bidi="ar-SA"/>
        </w:rPr>
      </w:pPr>
      <w:r w:rsidRPr="0026421D">
        <w:rPr>
          <w:rFonts w:ascii="Arial" w:hAnsi="Arial" w:cs="Arial"/>
          <w:sz w:val="22"/>
          <w:szCs w:val="22"/>
        </w:rPr>
        <w:br w:type="page"/>
      </w:r>
    </w:p>
    <w:p w14:paraId="19608B5D" w14:textId="397CACA5" w:rsidR="004C6612" w:rsidRPr="0026421D" w:rsidRDefault="004C6612" w:rsidP="0026421D">
      <w:pPr>
        <w:pStyle w:val="Heading1"/>
        <w:rPr>
          <w:lang w:val="en-GB"/>
        </w:rPr>
      </w:pPr>
      <w:bookmarkStart w:id="8" w:name="_Toc237903729"/>
      <w:r w:rsidRPr="0026421D">
        <w:rPr>
          <w:lang w:val="en-GB"/>
        </w:rPr>
        <w:lastRenderedPageBreak/>
        <w:t>4. Consequences for People in the Community</w:t>
      </w:r>
      <w:bookmarkEnd w:id="8"/>
    </w:p>
    <w:p w14:paraId="27CF33A5" w14:textId="77777777" w:rsidR="004C6612" w:rsidRPr="0026421D" w:rsidRDefault="004C6612" w:rsidP="0026421D">
      <w:pPr>
        <w:pStyle w:val="Heading2"/>
        <w:rPr>
          <w:lang w:val="en-GB"/>
        </w:rPr>
      </w:pPr>
      <w:bookmarkStart w:id="9" w:name="_Toc237903730"/>
      <w:r w:rsidRPr="0026421D">
        <w:rPr>
          <w:lang w:val="en-GB"/>
        </w:rPr>
        <w:t>4.1 Physical consequences</w:t>
      </w:r>
      <w:bookmarkEnd w:id="9"/>
    </w:p>
    <w:p w14:paraId="1F739586" w14:textId="7DFCF391" w:rsidR="0021591C" w:rsidRPr="0026421D" w:rsidRDefault="003E365A" w:rsidP="0026421D">
      <w:pPr>
        <w:spacing w:line="360" w:lineRule="auto"/>
        <w:rPr>
          <w:rFonts w:ascii="Arial" w:hAnsi="Arial" w:cs="Arial"/>
          <w:sz w:val="22"/>
          <w:szCs w:val="22"/>
        </w:rPr>
      </w:pPr>
      <w:r w:rsidRPr="003E365A">
        <w:rPr>
          <w:rFonts w:ascii="Arial" w:hAnsi="Arial" w:cs="Arial"/>
          <w:sz w:val="22"/>
          <w:szCs w:val="22"/>
        </w:rPr>
        <w:t>Acute complications are severe hypoglycaemia, hyperglycaemia, seizures, loss of consciousness and diabetic ketoacidosis.</w:t>
      </w:r>
      <w:r w:rsidR="0021591C" w:rsidRPr="0026421D">
        <w:rPr>
          <w:rFonts w:ascii="Arial" w:hAnsi="Arial" w:cs="Arial"/>
          <w:sz w:val="22"/>
          <w:szCs w:val="22"/>
        </w:rPr>
        <w:t xml:space="preserve"> </w:t>
      </w:r>
      <w:r w:rsidR="0063308A" w:rsidRPr="0063308A">
        <w:rPr>
          <w:rFonts w:ascii="Arial" w:hAnsi="Arial" w:cs="Arial"/>
          <w:sz w:val="22"/>
          <w:szCs w:val="22"/>
        </w:rPr>
        <w:t>The sustained hyperglycaemia can lead to retinopathy, kidney disease, neuropathy, and cardiovascular diseases, which can impact mobility, independence, and life expectancy (Bilous, Donnelly and Idris, 2021).</w:t>
      </w:r>
      <w:r w:rsidR="0063308A">
        <w:rPr>
          <w:rFonts w:ascii="Arial" w:hAnsi="Arial" w:cs="Arial"/>
          <w:sz w:val="22"/>
          <w:szCs w:val="22"/>
        </w:rPr>
        <w:t xml:space="preserve"> </w:t>
      </w:r>
      <w:r w:rsidR="0021591C" w:rsidRPr="0026421D">
        <w:rPr>
          <w:rFonts w:ascii="Arial" w:hAnsi="Arial" w:cs="Arial"/>
          <w:sz w:val="22"/>
          <w:szCs w:val="22"/>
        </w:rPr>
        <w:t>These consequences also lead to more admissions to the emergency department and long-term health and social care services in the NHS.</w:t>
      </w:r>
    </w:p>
    <w:p w14:paraId="3CF5714B" w14:textId="77777777" w:rsidR="0021591C" w:rsidRPr="0026421D" w:rsidRDefault="0021591C" w:rsidP="0026421D">
      <w:pPr>
        <w:pStyle w:val="Heading2"/>
      </w:pPr>
      <w:bookmarkStart w:id="10" w:name="_Toc237903731"/>
      <w:r w:rsidRPr="0026421D">
        <w:t>4.2 Psychological and social consequences</w:t>
      </w:r>
      <w:bookmarkEnd w:id="10"/>
    </w:p>
    <w:p w14:paraId="05A5F29F" w14:textId="1F5A3865" w:rsidR="0021591C" w:rsidRPr="0026421D" w:rsidRDefault="0021591C" w:rsidP="0026421D">
      <w:pPr>
        <w:spacing w:line="360" w:lineRule="auto"/>
        <w:rPr>
          <w:rFonts w:ascii="Arial" w:hAnsi="Arial" w:cs="Arial"/>
          <w:sz w:val="22"/>
          <w:szCs w:val="22"/>
        </w:rPr>
      </w:pPr>
      <w:r w:rsidRPr="0026421D">
        <w:rPr>
          <w:rFonts w:ascii="Arial" w:hAnsi="Arial" w:cs="Arial"/>
          <w:sz w:val="22"/>
          <w:szCs w:val="22"/>
        </w:rPr>
        <w:t xml:space="preserve">The </w:t>
      </w:r>
      <w:r w:rsidR="003E365A">
        <w:rPr>
          <w:rFonts w:ascii="Arial" w:hAnsi="Arial" w:cs="Arial"/>
          <w:sz w:val="22"/>
          <w:szCs w:val="22"/>
        </w:rPr>
        <w:t>fear</w:t>
      </w:r>
      <w:r w:rsidRPr="0026421D">
        <w:rPr>
          <w:rFonts w:ascii="Arial" w:hAnsi="Arial" w:cs="Arial"/>
          <w:sz w:val="22"/>
          <w:szCs w:val="22"/>
        </w:rPr>
        <w:t xml:space="preserve"> of developing hypoglycaemia, diabetes distress, anxiety, depression and sleep problems can negatively impact self-management and quality of life (de Wit et al., 2022). Injections, devices and the fear of being treated differently may have an impact on school attendance, friendship and participation in activities for children and youth. Changes that happen when the care responsibility shifts too quickly are an added risk during transition to adult care.</w:t>
      </w:r>
    </w:p>
    <w:p w14:paraId="4A596B18" w14:textId="77777777" w:rsidR="0021591C" w:rsidRPr="0026421D" w:rsidRDefault="0021591C" w:rsidP="0026421D">
      <w:pPr>
        <w:pStyle w:val="Heading2"/>
      </w:pPr>
      <w:bookmarkStart w:id="11" w:name="_Toc237903732"/>
      <w:r w:rsidRPr="0026421D">
        <w:t>4.3 Family and community consequences</w:t>
      </w:r>
      <w:bookmarkEnd w:id="11"/>
    </w:p>
    <w:p w14:paraId="636E4D6F" w14:textId="0E1E4395" w:rsidR="0021591C" w:rsidRPr="0026421D" w:rsidRDefault="0021591C" w:rsidP="0026421D">
      <w:pPr>
        <w:spacing w:line="360" w:lineRule="auto"/>
        <w:rPr>
          <w:rFonts w:ascii="Arial" w:hAnsi="Arial" w:cs="Arial"/>
          <w:sz w:val="22"/>
          <w:szCs w:val="22"/>
        </w:rPr>
      </w:pPr>
      <w:r w:rsidRPr="0026421D">
        <w:rPr>
          <w:rFonts w:ascii="Arial" w:hAnsi="Arial" w:cs="Arial"/>
          <w:sz w:val="22"/>
          <w:szCs w:val="22"/>
        </w:rPr>
        <w:t xml:space="preserve">Overnight monitoring, attending appointments and dealing with </w:t>
      </w:r>
      <w:r w:rsidR="007021C5">
        <w:rPr>
          <w:rFonts w:ascii="Arial" w:hAnsi="Arial" w:cs="Arial"/>
          <w:sz w:val="22"/>
          <w:szCs w:val="22"/>
        </w:rPr>
        <w:t>emergencies</w:t>
      </w:r>
      <w:r w:rsidRPr="0026421D">
        <w:rPr>
          <w:rFonts w:ascii="Arial" w:hAnsi="Arial" w:cs="Arial"/>
          <w:sz w:val="22"/>
          <w:szCs w:val="22"/>
        </w:rPr>
        <w:t xml:space="preserve"> can lead to emotional and practical stress for families. Adults also may have problems with shift work, driving, </w:t>
      </w:r>
      <w:r w:rsidR="006A484F" w:rsidRPr="0026421D">
        <w:rPr>
          <w:rFonts w:ascii="Arial" w:hAnsi="Arial" w:cs="Arial"/>
          <w:sz w:val="22"/>
          <w:szCs w:val="22"/>
        </w:rPr>
        <w:t>travelling,</w:t>
      </w:r>
      <w:r w:rsidRPr="0026421D">
        <w:rPr>
          <w:rFonts w:ascii="Arial" w:hAnsi="Arial" w:cs="Arial"/>
          <w:sz w:val="22"/>
          <w:szCs w:val="22"/>
        </w:rPr>
        <w:t xml:space="preserve"> or telling employers. These effects are not uniform, and poverty, unstable jobs, and restricted mobility and access to health information make it more difficult for some to make appointments, access healthful foods, and access technology (Delamater and Marrero, 2020). Therefore, Type 1 diabetes is a clinical problem as well as a community problem that is influenced by social factors.</w:t>
      </w:r>
    </w:p>
    <w:p w14:paraId="71D31024" w14:textId="77777777" w:rsidR="0021591C" w:rsidRPr="0026421D" w:rsidRDefault="0021591C" w:rsidP="0026421D">
      <w:pPr>
        <w:spacing w:line="360" w:lineRule="auto"/>
        <w:jc w:val="left"/>
        <w:rPr>
          <w:rFonts w:ascii="Arial" w:eastAsia="Calibri" w:hAnsi="Arial" w:cs="Arial"/>
          <w:b/>
          <w:color w:val="156082" w:themeColor="accent1"/>
          <w:sz w:val="30"/>
          <w:szCs w:val="22"/>
          <w:lang w:val="en-US" w:eastAsia="en-US" w:bidi="ar-SA"/>
        </w:rPr>
      </w:pPr>
      <w:r w:rsidRPr="0026421D">
        <w:rPr>
          <w:rFonts w:ascii="Arial" w:hAnsi="Arial" w:cs="Arial"/>
        </w:rPr>
        <w:br w:type="page"/>
      </w:r>
    </w:p>
    <w:p w14:paraId="064C243E" w14:textId="10ED11DD" w:rsidR="0021591C" w:rsidRPr="0026421D" w:rsidRDefault="0021591C" w:rsidP="0026421D">
      <w:pPr>
        <w:pStyle w:val="Heading1"/>
      </w:pPr>
      <w:bookmarkStart w:id="12" w:name="_Toc237903733"/>
      <w:r w:rsidRPr="0026421D">
        <w:lastRenderedPageBreak/>
        <w:t>5. Health and Social Care Support Services Required</w:t>
      </w:r>
      <w:bookmarkEnd w:id="12"/>
    </w:p>
    <w:p w14:paraId="32170603" w14:textId="77777777" w:rsidR="0021591C" w:rsidRPr="0026421D" w:rsidRDefault="0021591C" w:rsidP="0026421D">
      <w:pPr>
        <w:pStyle w:val="Heading2"/>
      </w:pPr>
      <w:bookmarkStart w:id="13" w:name="_Toc237903734"/>
      <w:r w:rsidRPr="0026421D">
        <w:t>5.1 Multidisciplinary healthcare</w:t>
      </w:r>
      <w:bookmarkEnd w:id="13"/>
    </w:p>
    <w:p w14:paraId="2E84503E" w14:textId="31C83A0D" w:rsidR="0021591C" w:rsidRPr="0026421D" w:rsidRDefault="0021591C" w:rsidP="0026421D">
      <w:pPr>
        <w:spacing w:line="360" w:lineRule="auto"/>
        <w:rPr>
          <w:rFonts w:ascii="Arial" w:hAnsi="Arial" w:cs="Arial"/>
          <w:sz w:val="22"/>
          <w:szCs w:val="22"/>
        </w:rPr>
      </w:pPr>
      <w:r w:rsidRPr="0026421D">
        <w:rPr>
          <w:rFonts w:ascii="Arial" w:hAnsi="Arial" w:cs="Arial"/>
          <w:sz w:val="22"/>
          <w:szCs w:val="22"/>
        </w:rPr>
        <w:t xml:space="preserve">Support needs are complex and need a multidisciplinary approach. GPs should be responsible for monitoring global health, prescribing treatment and </w:t>
      </w:r>
      <w:r w:rsidR="006A484F" w:rsidRPr="0026421D">
        <w:rPr>
          <w:rFonts w:ascii="Arial" w:hAnsi="Arial" w:cs="Arial"/>
          <w:sz w:val="22"/>
          <w:szCs w:val="22"/>
        </w:rPr>
        <w:t>referring</w:t>
      </w:r>
      <w:r w:rsidRPr="0026421D">
        <w:rPr>
          <w:rFonts w:ascii="Arial" w:hAnsi="Arial" w:cs="Arial"/>
          <w:sz w:val="22"/>
          <w:szCs w:val="22"/>
        </w:rPr>
        <w:t xml:space="preserve"> to the specialist quickly, and endocrinologists should be responsible for complex control and complications. Insulin adjustment and insulin device use and sick-day management are taught by diabetes specialist nurses</w:t>
      </w:r>
      <w:r w:rsidR="001101FA">
        <w:rPr>
          <w:rFonts w:ascii="Arial" w:hAnsi="Arial" w:cs="Arial"/>
          <w:sz w:val="22"/>
          <w:szCs w:val="22"/>
        </w:rPr>
        <w:t>,</w:t>
      </w:r>
      <w:r w:rsidRPr="0026421D">
        <w:rPr>
          <w:rFonts w:ascii="Arial" w:hAnsi="Arial" w:cs="Arial"/>
          <w:sz w:val="22"/>
          <w:szCs w:val="22"/>
        </w:rPr>
        <w:t xml:space="preserve"> while carbohydrate counting is supported by dietitians</w:t>
      </w:r>
      <w:r w:rsidR="001101FA">
        <w:rPr>
          <w:rFonts w:ascii="Arial" w:hAnsi="Arial" w:cs="Arial"/>
          <w:sz w:val="22"/>
          <w:szCs w:val="22"/>
        </w:rPr>
        <w:t>,</w:t>
      </w:r>
      <w:r w:rsidRPr="0026421D">
        <w:rPr>
          <w:rFonts w:ascii="Arial" w:hAnsi="Arial" w:cs="Arial"/>
          <w:sz w:val="22"/>
          <w:szCs w:val="22"/>
        </w:rPr>
        <w:t xml:space="preserve"> and safe insulin supply, storage and use are promoted by pharmacists (Holt et al., 2021). Psychological professionals need to conduct screening for distress, anxiety and depression and intervene before a crisis occurs.</w:t>
      </w:r>
    </w:p>
    <w:p w14:paraId="430E5882" w14:textId="77777777" w:rsidR="0021591C" w:rsidRPr="0026421D" w:rsidRDefault="0021591C" w:rsidP="0026421D">
      <w:pPr>
        <w:pStyle w:val="Heading2"/>
      </w:pPr>
      <w:bookmarkStart w:id="14" w:name="_Toc237903735"/>
      <w:r w:rsidRPr="0026421D">
        <w:t>5.2 Preventive and specialist services</w:t>
      </w:r>
      <w:bookmarkEnd w:id="14"/>
    </w:p>
    <w:p w14:paraId="1E9C1A8A" w14:textId="3CF9CC52" w:rsidR="0021591C" w:rsidRPr="0026421D" w:rsidRDefault="0021591C" w:rsidP="0026421D">
      <w:pPr>
        <w:spacing w:line="360" w:lineRule="auto"/>
        <w:rPr>
          <w:rFonts w:ascii="Arial" w:hAnsi="Arial" w:cs="Arial"/>
          <w:sz w:val="22"/>
          <w:szCs w:val="22"/>
        </w:rPr>
      </w:pPr>
      <w:r w:rsidRPr="0026421D">
        <w:rPr>
          <w:rFonts w:ascii="Arial" w:hAnsi="Arial" w:cs="Arial"/>
          <w:sz w:val="22"/>
          <w:szCs w:val="22"/>
        </w:rPr>
        <w:t>Preventive services involve screening of the retina, monitoring of the kidney, cardiovascular and foot care. These services need to be able to effectively communicate results</w:t>
      </w:r>
      <w:r w:rsidR="006A484F" w:rsidRPr="0026421D">
        <w:rPr>
          <w:rFonts w:ascii="Arial" w:hAnsi="Arial" w:cs="Arial"/>
          <w:sz w:val="22"/>
          <w:szCs w:val="22"/>
        </w:rPr>
        <w:t>,</w:t>
      </w:r>
      <w:r w:rsidRPr="0026421D">
        <w:rPr>
          <w:rFonts w:ascii="Arial" w:hAnsi="Arial" w:cs="Arial"/>
          <w:sz w:val="22"/>
          <w:szCs w:val="22"/>
        </w:rPr>
        <w:t xml:space="preserve"> as screening has little value if abnormal results are not followed by treatment. Planned transition arrangements, the development of care plans and quick access to advice should be available in paediatric and adult </w:t>
      </w:r>
      <w:r w:rsidR="000F2558">
        <w:rPr>
          <w:rFonts w:ascii="Arial" w:hAnsi="Arial" w:cs="Arial"/>
          <w:sz w:val="22"/>
          <w:szCs w:val="22"/>
        </w:rPr>
        <w:t>clinics</w:t>
      </w:r>
      <w:r w:rsidRPr="0026421D">
        <w:rPr>
          <w:rFonts w:ascii="Arial" w:hAnsi="Arial" w:cs="Arial"/>
          <w:sz w:val="22"/>
          <w:szCs w:val="22"/>
        </w:rPr>
        <w:t xml:space="preserve"> (Melmed et al., 2024)</w:t>
      </w:r>
      <w:r w:rsidR="00511E24">
        <w:rPr>
          <w:rFonts w:ascii="Arial" w:hAnsi="Arial" w:cs="Arial"/>
          <w:sz w:val="22"/>
          <w:szCs w:val="22"/>
        </w:rPr>
        <w:t>.</w:t>
      </w:r>
      <w:r w:rsidRPr="0026421D">
        <w:rPr>
          <w:rFonts w:ascii="Arial" w:hAnsi="Arial" w:cs="Arial"/>
          <w:sz w:val="22"/>
          <w:szCs w:val="22"/>
        </w:rPr>
        <w:t xml:space="preserve"> </w:t>
      </w:r>
      <w:r w:rsidR="00511E24" w:rsidRPr="00511E24">
        <w:rPr>
          <w:rFonts w:ascii="Arial" w:hAnsi="Arial" w:cs="Arial"/>
          <w:sz w:val="22"/>
          <w:szCs w:val="22"/>
        </w:rPr>
        <w:t>The emergency professional needs to understand that vomiting, abdominal pain and rapid breathing could be a sign of diabetic ketoacidosis.</w:t>
      </w:r>
    </w:p>
    <w:p w14:paraId="0AB1F08B" w14:textId="77777777" w:rsidR="0021591C" w:rsidRPr="0026421D" w:rsidRDefault="0021591C" w:rsidP="0026421D">
      <w:pPr>
        <w:pStyle w:val="Heading2"/>
      </w:pPr>
      <w:bookmarkStart w:id="15" w:name="_Toc237903736"/>
      <w:r w:rsidRPr="0026421D">
        <w:t>5.3 Community and social care</w:t>
      </w:r>
      <w:bookmarkEnd w:id="15"/>
    </w:p>
    <w:p w14:paraId="1B49D85E" w14:textId="3D84EA71" w:rsidR="0021591C" w:rsidRPr="0026421D" w:rsidRDefault="0021591C" w:rsidP="0026421D">
      <w:pPr>
        <w:spacing w:line="360" w:lineRule="auto"/>
        <w:rPr>
          <w:rFonts w:ascii="Arial" w:hAnsi="Arial" w:cs="Arial"/>
          <w:sz w:val="22"/>
          <w:szCs w:val="22"/>
        </w:rPr>
      </w:pPr>
      <w:r w:rsidRPr="0026421D">
        <w:rPr>
          <w:rFonts w:ascii="Arial" w:hAnsi="Arial" w:cs="Arial"/>
          <w:sz w:val="22"/>
          <w:szCs w:val="22"/>
        </w:rPr>
        <w:t xml:space="preserve">Community support should consist of trained school staff, individual health care plans, reasonable workplace modifications, and family education and peer support. Social workers may be able to support with housing, finances or safeguarding when these </w:t>
      </w:r>
      <w:r w:rsidR="001101FA">
        <w:rPr>
          <w:rFonts w:ascii="Arial" w:hAnsi="Arial" w:cs="Arial"/>
          <w:sz w:val="22"/>
          <w:szCs w:val="22"/>
        </w:rPr>
        <w:t>affect</w:t>
      </w:r>
      <w:r w:rsidRPr="0026421D">
        <w:rPr>
          <w:rFonts w:ascii="Arial" w:hAnsi="Arial" w:cs="Arial"/>
          <w:sz w:val="22"/>
          <w:szCs w:val="22"/>
        </w:rPr>
        <w:t xml:space="preserve"> care, and voluntary organisations can help to alleviate isolation and enhance practical knowledge (Delamater and Marrero, 2020). Support </w:t>
      </w:r>
      <w:r w:rsidR="006A484F" w:rsidRPr="0026421D">
        <w:rPr>
          <w:rFonts w:ascii="Arial" w:hAnsi="Arial" w:cs="Arial"/>
          <w:sz w:val="22"/>
          <w:szCs w:val="22"/>
        </w:rPr>
        <w:t>should</w:t>
      </w:r>
      <w:r w:rsidRPr="0026421D">
        <w:rPr>
          <w:rFonts w:ascii="Arial" w:hAnsi="Arial" w:cs="Arial"/>
          <w:sz w:val="22"/>
          <w:szCs w:val="22"/>
        </w:rPr>
        <w:t xml:space="preserve"> be person-centred, culturally responsive and delivered via face-to-face and digital methods. </w:t>
      </w:r>
      <w:r w:rsidR="00970D89" w:rsidRPr="00970D89">
        <w:rPr>
          <w:rFonts w:ascii="Arial" w:hAnsi="Arial" w:cs="Arial"/>
          <w:sz w:val="22"/>
          <w:szCs w:val="22"/>
        </w:rPr>
        <w:t>One central problem is the fragmented provision, as sometimes the individual has to coordinate their own clinical, psychological and social care.</w:t>
      </w:r>
    </w:p>
    <w:p w14:paraId="4CE181C3" w14:textId="77777777" w:rsidR="0021591C" w:rsidRPr="0026421D" w:rsidRDefault="0021591C" w:rsidP="0026421D">
      <w:pPr>
        <w:spacing w:line="360" w:lineRule="auto"/>
        <w:jc w:val="left"/>
        <w:rPr>
          <w:rFonts w:ascii="Arial" w:eastAsia="Calibri" w:hAnsi="Arial" w:cs="Arial"/>
          <w:b/>
          <w:color w:val="156082" w:themeColor="accent1"/>
          <w:sz w:val="30"/>
          <w:szCs w:val="22"/>
          <w:lang w:val="en-US" w:eastAsia="en-US" w:bidi="ar-SA"/>
        </w:rPr>
      </w:pPr>
      <w:r w:rsidRPr="0026421D">
        <w:rPr>
          <w:rFonts w:ascii="Arial" w:hAnsi="Arial" w:cs="Arial"/>
        </w:rPr>
        <w:br w:type="page"/>
      </w:r>
    </w:p>
    <w:p w14:paraId="0900D0DB" w14:textId="491F3282" w:rsidR="0021591C" w:rsidRPr="0026421D" w:rsidRDefault="0021591C" w:rsidP="0026421D">
      <w:pPr>
        <w:pStyle w:val="Heading1"/>
      </w:pPr>
      <w:bookmarkStart w:id="16" w:name="_Toc237903737"/>
      <w:r w:rsidRPr="0026421D">
        <w:lastRenderedPageBreak/>
        <w:t>6. Conclusion</w:t>
      </w:r>
      <w:bookmarkEnd w:id="16"/>
    </w:p>
    <w:p w14:paraId="18673120" w14:textId="6FC72914" w:rsidR="005F2DA8" w:rsidRPr="00970D89" w:rsidRDefault="00970D89" w:rsidP="0026421D">
      <w:pPr>
        <w:spacing w:line="360" w:lineRule="auto"/>
        <w:rPr>
          <w:rFonts w:ascii="Arial" w:hAnsi="Arial" w:cs="Arial"/>
          <w:sz w:val="22"/>
          <w:szCs w:val="22"/>
        </w:rPr>
      </w:pPr>
      <w:r w:rsidRPr="00970D89">
        <w:rPr>
          <w:rStyle w:val="NORMALChar"/>
          <w:rFonts w:ascii="Arial" w:hAnsi="Arial" w:cs="Arial"/>
          <w:sz w:val="22"/>
          <w:szCs w:val="22"/>
        </w:rPr>
        <w:t xml:space="preserve">The burden of type 1 diabetes is measured using incidence, prevalence, hospital admission, complications and patient outcomes, and is a long-term public-health issue. Insulin therapy, glucose monitoring, education, and preventive screening and timely specialist review are part of the key features of effective control. But psychological health is also a factor, as are family ability and social inequities. Acute emergencies and chronic conditions impact independence, education, work and health service </w:t>
      </w:r>
      <w:r w:rsidR="000F2558">
        <w:rPr>
          <w:rStyle w:val="NORMALChar"/>
          <w:rFonts w:ascii="Arial" w:hAnsi="Arial" w:cs="Arial"/>
          <w:sz w:val="22"/>
          <w:szCs w:val="22"/>
        </w:rPr>
        <w:t>utilisation</w:t>
      </w:r>
      <w:r w:rsidRPr="00970D89">
        <w:rPr>
          <w:rStyle w:val="NORMALChar"/>
          <w:rFonts w:ascii="Arial" w:hAnsi="Arial" w:cs="Arial"/>
          <w:sz w:val="22"/>
          <w:szCs w:val="22"/>
        </w:rPr>
        <w:t xml:space="preserve">. All these, working in a coordinated manner, should be provided </w:t>
      </w:r>
      <w:r w:rsidR="001101FA">
        <w:rPr>
          <w:rStyle w:val="NORMALChar"/>
          <w:rFonts w:ascii="Arial" w:hAnsi="Arial" w:cs="Arial"/>
          <w:sz w:val="22"/>
          <w:szCs w:val="22"/>
        </w:rPr>
        <w:t>by</w:t>
      </w:r>
      <w:r w:rsidRPr="00970D89">
        <w:rPr>
          <w:rStyle w:val="NORMALChar"/>
          <w:rFonts w:ascii="Arial" w:hAnsi="Arial" w:cs="Arial"/>
          <w:sz w:val="22"/>
          <w:szCs w:val="22"/>
        </w:rPr>
        <w:t xml:space="preserve"> primary care, diabetes services, nurses, dietitians, pharmacists, psychologists, schools and social services. The results of surveillance need to </w:t>
      </w:r>
      <w:r w:rsidR="001101FA">
        <w:rPr>
          <w:rStyle w:val="NORMALChar"/>
          <w:rFonts w:ascii="Arial" w:hAnsi="Arial" w:cs="Arial"/>
          <w:sz w:val="22"/>
          <w:szCs w:val="22"/>
        </w:rPr>
        <w:t>lead to</w:t>
      </w:r>
      <w:r w:rsidRPr="00970D89">
        <w:rPr>
          <w:rStyle w:val="NORMALChar"/>
          <w:rFonts w:ascii="Arial" w:hAnsi="Arial" w:cs="Arial"/>
          <w:sz w:val="22"/>
          <w:szCs w:val="22"/>
        </w:rPr>
        <w:t xml:space="preserve"> equitable access to insulin, technology and education, and improvements in community care that are much more practical.</w:t>
      </w:r>
    </w:p>
    <w:p w14:paraId="40CC3DF3" w14:textId="77777777" w:rsidR="005F2DA8" w:rsidRPr="0026421D" w:rsidRDefault="005F2DA8" w:rsidP="0026421D">
      <w:pPr>
        <w:spacing w:line="360" w:lineRule="auto"/>
        <w:jc w:val="left"/>
        <w:rPr>
          <w:rFonts w:ascii="Arial" w:hAnsi="Arial" w:cs="Arial"/>
          <w:b/>
          <w:bCs/>
          <w:sz w:val="22"/>
          <w:szCs w:val="22"/>
        </w:rPr>
      </w:pPr>
      <w:r w:rsidRPr="0026421D">
        <w:rPr>
          <w:rFonts w:ascii="Arial" w:hAnsi="Arial" w:cs="Arial"/>
          <w:b/>
          <w:bCs/>
          <w:sz w:val="22"/>
          <w:szCs w:val="22"/>
        </w:rPr>
        <w:br w:type="page"/>
      </w:r>
    </w:p>
    <w:p w14:paraId="587BFE5E" w14:textId="59342715" w:rsidR="005F2DA8" w:rsidRPr="0026421D" w:rsidRDefault="005F2DA8" w:rsidP="0026421D">
      <w:pPr>
        <w:pStyle w:val="Heading1"/>
        <w:rPr>
          <w:lang w:val="en-GB"/>
        </w:rPr>
      </w:pPr>
      <w:bookmarkStart w:id="17" w:name="_Toc237903738"/>
      <w:r w:rsidRPr="0026421D">
        <w:rPr>
          <w:lang w:val="en-GB"/>
        </w:rPr>
        <w:lastRenderedPageBreak/>
        <w:t>References</w:t>
      </w:r>
      <w:bookmarkEnd w:id="17"/>
    </w:p>
    <w:p w14:paraId="67C6CEF4"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Bilous, R., Donnelly, R. and Idris, I. (2021) </w:t>
      </w:r>
      <w:r w:rsidRPr="0026421D">
        <w:rPr>
          <w:rFonts w:ascii="Arial" w:hAnsi="Arial" w:cs="Arial"/>
          <w:i/>
          <w:iCs/>
          <w:sz w:val="22"/>
          <w:szCs w:val="22"/>
        </w:rPr>
        <w:t>Handbook of Diabetes</w:t>
      </w:r>
      <w:r w:rsidRPr="0026421D">
        <w:rPr>
          <w:rFonts w:ascii="Arial" w:hAnsi="Arial" w:cs="Arial"/>
          <w:sz w:val="22"/>
          <w:szCs w:val="22"/>
        </w:rPr>
        <w:t xml:space="preserve">. 5th </w:t>
      </w:r>
      <w:proofErr w:type="spellStart"/>
      <w:r w:rsidRPr="0026421D">
        <w:rPr>
          <w:rFonts w:ascii="Arial" w:hAnsi="Arial" w:cs="Arial"/>
          <w:sz w:val="22"/>
          <w:szCs w:val="22"/>
        </w:rPr>
        <w:t>edn</w:t>
      </w:r>
      <w:proofErr w:type="spellEnd"/>
      <w:r w:rsidRPr="0026421D">
        <w:rPr>
          <w:rFonts w:ascii="Arial" w:hAnsi="Arial" w:cs="Arial"/>
          <w:sz w:val="22"/>
          <w:szCs w:val="22"/>
        </w:rPr>
        <w:t xml:space="preserve">. Chichester: Wiley-Blackwell. </w:t>
      </w:r>
      <w:proofErr w:type="spellStart"/>
      <w:r w:rsidRPr="0026421D">
        <w:rPr>
          <w:rFonts w:ascii="Arial" w:hAnsi="Arial" w:cs="Arial"/>
          <w:sz w:val="22"/>
          <w:szCs w:val="22"/>
        </w:rPr>
        <w:t>doi</w:t>
      </w:r>
      <w:proofErr w:type="spellEnd"/>
      <w:r w:rsidRPr="0026421D">
        <w:rPr>
          <w:rFonts w:ascii="Arial" w:hAnsi="Arial" w:cs="Arial"/>
          <w:sz w:val="22"/>
          <w:szCs w:val="22"/>
        </w:rPr>
        <w:t>: 10.1002/9781118976074.</w:t>
      </w:r>
    </w:p>
    <w:p w14:paraId="50FE445E"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de Wit, M., Gajewska, K.A., Goethals, E.R. et al. (2022) ‘ISPAD Clinical Practice Consensus Guidelines 2022: Psychological care of children, adolescents and young adults with diabetes’, </w:t>
      </w:r>
      <w:proofErr w:type="spellStart"/>
      <w:r w:rsidRPr="0026421D">
        <w:rPr>
          <w:rFonts w:ascii="Arial" w:hAnsi="Arial" w:cs="Arial"/>
          <w:i/>
          <w:iCs/>
          <w:sz w:val="22"/>
          <w:szCs w:val="22"/>
        </w:rPr>
        <w:t>Pediatric</w:t>
      </w:r>
      <w:proofErr w:type="spellEnd"/>
      <w:r w:rsidRPr="0026421D">
        <w:rPr>
          <w:rFonts w:ascii="Arial" w:hAnsi="Arial" w:cs="Arial"/>
          <w:i/>
          <w:iCs/>
          <w:sz w:val="22"/>
          <w:szCs w:val="22"/>
        </w:rPr>
        <w:t xml:space="preserve"> Diabetes</w:t>
      </w:r>
      <w:r w:rsidRPr="0026421D">
        <w:rPr>
          <w:rFonts w:ascii="Arial" w:hAnsi="Arial" w:cs="Arial"/>
          <w:sz w:val="22"/>
          <w:szCs w:val="22"/>
        </w:rPr>
        <w:t xml:space="preserve">, 23(8), pp. 1373–1389. </w:t>
      </w:r>
      <w:proofErr w:type="spellStart"/>
      <w:r w:rsidRPr="0026421D">
        <w:rPr>
          <w:rFonts w:ascii="Arial" w:hAnsi="Arial" w:cs="Arial"/>
          <w:sz w:val="22"/>
          <w:szCs w:val="22"/>
        </w:rPr>
        <w:t>doi</w:t>
      </w:r>
      <w:proofErr w:type="spellEnd"/>
      <w:r w:rsidRPr="0026421D">
        <w:rPr>
          <w:rFonts w:ascii="Arial" w:hAnsi="Arial" w:cs="Arial"/>
          <w:sz w:val="22"/>
          <w:szCs w:val="22"/>
        </w:rPr>
        <w:t>: 10.1111/pedi.13428.</w:t>
      </w:r>
    </w:p>
    <w:p w14:paraId="45919D9E" w14:textId="78BFDC44"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Delamater, A.M. and Marrero, D.G. (eds.) (2020) </w:t>
      </w:r>
      <w:r w:rsidR="001101FA">
        <w:rPr>
          <w:rFonts w:ascii="Arial" w:hAnsi="Arial" w:cs="Arial"/>
          <w:i/>
          <w:iCs/>
          <w:sz w:val="22"/>
          <w:szCs w:val="22"/>
        </w:rPr>
        <w:t>Behavioural</w:t>
      </w:r>
      <w:r w:rsidRPr="0026421D">
        <w:rPr>
          <w:rFonts w:ascii="Arial" w:hAnsi="Arial" w:cs="Arial"/>
          <w:i/>
          <w:iCs/>
          <w:sz w:val="22"/>
          <w:szCs w:val="22"/>
        </w:rPr>
        <w:t xml:space="preserve"> Diabetes: Social Ecological Perspectives for </w:t>
      </w:r>
      <w:proofErr w:type="spellStart"/>
      <w:r w:rsidRPr="0026421D">
        <w:rPr>
          <w:rFonts w:ascii="Arial" w:hAnsi="Arial" w:cs="Arial"/>
          <w:i/>
          <w:iCs/>
          <w:sz w:val="22"/>
          <w:szCs w:val="22"/>
        </w:rPr>
        <w:t>Pediatric</w:t>
      </w:r>
      <w:proofErr w:type="spellEnd"/>
      <w:r w:rsidRPr="0026421D">
        <w:rPr>
          <w:rFonts w:ascii="Arial" w:hAnsi="Arial" w:cs="Arial"/>
          <w:i/>
          <w:iCs/>
          <w:sz w:val="22"/>
          <w:szCs w:val="22"/>
        </w:rPr>
        <w:t xml:space="preserve"> and Adult Populations</w:t>
      </w:r>
      <w:r w:rsidRPr="0026421D">
        <w:rPr>
          <w:rFonts w:ascii="Arial" w:hAnsi="Arial" w:cs="Arial"/>
          <w:sz w:val="22"/>
          <w:szCs w:val="22"/>
        </w:rPr>
        <w:t xml:space="preserve">. Cham: Springer. </w:t>
      </w:r>
      <w:proofErr w:type="spellStart"/>
      <w:r w:rsidRPr="0026421D">
        <w:rPr>
          <w:rFonts w:ascii="Arial" w:hAnsi="Arial" w:cs="Arial"/>
          <w:sz w:val="22"/>
          <w:szCs w:val="22"/>
        </w:rPr>
        <w:t>doi</w:t>
      </w:r>
      <w:proofErr w:type="spellEnd"/>
      <w:r w:rsidRPr="0026421D">
        <w:rPr>
          <w:rFonts w:ascii="Arial" w:hAnsi="Arial" w:cs="Arial"/>
          <w:sz w:val="22"/>
          <w:szCs w:val="22"/>
        </w:rPr>
        <w:t>: 10.1007/978-3-030-33286-0.</w:t>
      </w:r>
    </w:p>
    <w:p w14:paraId="7E589D92"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Diabetes UK (2023) ‘Number of people living with diabetes in the UK tops 5 million for the first time’. Diabetes UK, 13 April. Accessed: 5 August 2026.</w:t>
      </w:r>
    </w:p>
    <w:p w14:paraId="28A1EED0"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DiMeglio, L.A., Evans-Molina, C. and Oram, R.A. (2018) ‘Type 1 diabetes’, </w:t>
      </w:r>
      <w:r w:rsidRPr="0026421D">
        <w:rPr>
          <w:rFonts w:ascii="Arial" w:hAnsi="Arial" w:cs="Arial"/>
          <w:i/>
          <w:iCs/>
          <w:sz w:val="22"/>
          <w:szCs w:val="22"/>
        </w:rPr>
        <w:t>The Lancet</w:t>
      </w:r>
      <w:r w:rsidRPr="0026421D">
        <w:rPr>
          <w:rFonts w:ascii="Arial" w:hAnsi="Arial" w:cs="Arial"/>
          <w:sz w:val="22"/>
          <w:szCs w:val="22"/>
        </w:rPr>
        <w:t xml:space="preserve">, 391(10138), pp. 2449–2462. </w:t>
      </w:r>
      <w:proofErr w:type="spellStart"/>
      <w:r w:rsidRPr="0026421D">
        <w:rPr>
          <w:rFonts w:ascii="Arial" w:hAnsi="Arial" w:cs="Arial"/>
          <w:sz w:val="22"/>
          <w:szCs w:val="22"/>
        </w:rPr>
        <w:t>doi</w:t>
      </w:r>
      <w:proofErr w:type="spellEnd"/>
      <w:r w:rsidRPr="0026421D">
        <w:rPr>
          <w:rFonts w:ascii="Arial" w:hAnsi="Arial" w:cs="Arial"/>
          <w:sz w:val="22"/>
          <w:szCs w:val="22"/>
        </w:rPr>
        <w:t>: 10.1016/S0140-6736(18)31320-5.</w:t>
      </w:r>
    </w:p>
    <w:p w14:paraId="6753764E"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Gregory, G.A., Robinson, T.I.G., Linklater, S.E. et al. (2022) ‘Global incidence, prevalence, and mortality of type 1 diabetes in 2021 with projection to 2040: a modelling study’, </w:t>
      </w:r>
      <w:r w:rsidRPr="0026421D">
        <w:rPr>
          <w:rFonts w:ascii="Arial" w:hAnsi="Arial" w:cs="Arial"/>
          <w:i/>
          <w:iCs/>
          <w:sz w:val="22"/>
          <w:szCs w:val="22"/>
        </w:rPr>
        <w:t>The Lancet Diabetes &amp; Endocrinology</w:t>
      </w:r>
      <w:r w:rsidRPr="0026421D">
        <w:rPr>
          <w:rFonts w:ascii="Arial" w:hAnsi="Arial" w:cs="Arial"/>
          <w:sz w:val="22"/>
          <w:szCs w:val="22"/>
        </w:rPr>
        <w:t xml:space="preserve">, 10(10), pp. 741–760. </w:t>
      </w:r>
      <w:proofErr w:type="spellStart"/>
      <w:r w:rsidRPr="0026421D">
        <w:rPr>
          <w:rFonts w:ascii="Arial" w:hAnsi="Arial" w:cs="Arial"/>
          <w:sz w:val="22"/>
          <w:szCs w:val="22"/>
        </w:rPr>
        <w:t>doi</w:t>
      </w:r>
      <w:proofErr w:type="spellEnd"/>
      <w:r w:rsidRPr="0026421D">
        <w:rPr>
          <w:rFonts w:ascii="Arial" w:hAnsi="Arial" w:cs="Arial"/>
          <w:sz w:val="22"/>
          <w:szCs w:val="22"/>
        </w:rPr>
        <w:t>: 10.1016/S2213-8587(22)00218-2.</w:t>
      </w:r>
    </w:p>
    <w:p w14:paraId="07EE78E3"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Hanas, R. (2019) </w:t>
      </w:r>
      <w:r w:rsidRPr="0026421D">
        <w:rPr>
          <w:rFonts w:ascii="Arial" w:hAnsi="Arial" w:cs="Arial"/>
          <w:i/>
          <w:iCs/>
          <w:sz w:val="22"/>
          <w:szCs w:val="22"/>
        </w:rPr>
        <w:t>Type 1 Diabetes in Children, Adolescents and Young Adults: How to Become an Expert on Your Own Diabetes</w:t>
      </w:r>
      <w:r w:rsidRPr="0026421D">
        <w:rPr>
          <w:rFonts w:ascii="Arial" w:hAnsi="Arial" w:cs="Arial"/>
          <w:sz w:val="22"/>
          <w:szCs w:val="22"/>
        </w:rPr>
        <w:t xml:space="preserve">. 7th </w:t>
      </w:r>
      <w:proofErr w:type="spellStart"/>
      <w:r w:rsidRPr="0026421D">
        <w:rPr>
          <w:rFonts w:ascii="Arial" w:hAnsi="Arial" w:cs="Arial"/>
          <w:sz w:val="22"/>
          <w:szCs w:val="22"/>
        </w:rPr>
        <w:t>edn</w:t>
      </w:r>
      <w:proofErr w:type="spellEnd"/>
      <w:r w:rsidRPr="0026421D">
        <w:rPr>
          <w:rFonts w:ascii="Arial" w:hAnsi="Arial" w:cs="Arial"/>
          <w:sz w:val="22"/>
          <w:szCs w:val="22"/>
        </w:rPr>
        <w:t>. Bridgwater: Class Publishing.</w:t>
      </w:r>
    </w:p>
    <w:p w14:paraId="62A05B2E"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Holman, N., Knighton, P., Wild, S.H. et al. (2021) ‘Cohort profile: National Diabetes Audit for England and Wales’, </w:t>
      </w:r>
      <w:r w:rsidRPr="0026421D">
        <w:rPr>
          <w:rFonts w:ascii="Arial" w:hAnsi="Arial" w:cs="Arial"/>
          <w:i/>
          <w:iCs/>
          <w:sz w:val="22"/>
          <w:szCs w:val="22"/>
        </w:rPr>
        <w:t>Diabetic Medicine</w:t>
      </w:r>
      <w:r w:rsidRPr="0026421D">
        <w:rPr>
          <w:rFonts w:ascii="Arial" w:hAnsi="Arial" w:cs="Arial"/>
          <w:sz w:val="22"/>
          <w:szCs w:val="22"/>
        </w:rPr>
        <w:t xml:space="preserve">, 38(9), article e14616. </w:t>
      </w:r>
      <w:proofErr w:type="spellStart"/>
      <w:r w:rsidRPr="0026421D">
        <w:rPr>
          <w:rFonts w:ascii="Arial" w:hAnsi="Arial" w:cs="Arial"/>
          <w:sz w:val="22"/>
          <w:szCs w:val="22"/>
        </w:rPr>
        <w:t>doi</w:t>
      </w:r>
      <w:proofErr w:type="spellEnd"/>
      <w:r w:rsidRPr="0026421D">
        <w:rPr>
          <w:rFonts w:ascii="Arial" w:hAnsi="Arial" w:cs="Arial"/>
          <w:sz w:val="22"/>
          <w:szCs w:val="22"/>
        </w:rPr>
        <w:t>: 10.1111/dme.14616.</w:t>
      </w:r>
    </w:p>
    <w:p w14:paraId="3CD6CED3"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Holt, R.I.G., DeVries, J.H., Hess-Fischl, A. et al. (2021) ‘The management of type 1 diabetes in adults: a consensus report by the American Diabetes Association and the European Association for the Study of Diabetes’, </w:t>
      </w:r>
      <w:proofErr w:type="spellStart"/>
      <w:r w:rsidRPr="0026421D">
        <w:rPr>
          <w:rFonts w:ascii="Arial" w:hAnsi="Arial" w:cs="Arial"/>
          <w:i/>
          <w:iCs/>
          <w:sz w:val="22"/>
          <w:szCs w:val="22"/>
        </w:rPr>
        <w:t>Diabetologia</w:t>
      </w:r>
      <w:proofErr w:type="spellEnd"/>
      <w:r w:rsidRPr="0026421D">
        <w:rPr>
          <w:rFonts w:ascii="Arial" w:hAnsi="Arial" w:cs="Arial"/>
          <w:sz w:val="22"/>
          <w:szCs w:val="22"/>
        </w:rPr>
        <w:t xml:space="preserve">, 64, pp. 2609–2652. </w:t>
      </w:r>
      <w:proofErr w:type="spellStart"/>
      <w:r w:rsidRPr="0026421D">
        <w:rPr>
          <w:rFonts w:ascii="Arial" w:hAnsi="Arial" w:cs="Arial"/>
          <w:sz w:val="22"/>
          <w:szCs w:val="22"/>
        </w:rPr>
        <w:t>doi</w:t>
      </w:r>
      <w:proofErr w:type="spellEnd"/>
      <w:r w:rsidRPr="0026421D">
        <w:rPr>
          <w:rFonts w:ascii="Arial" w:hAnsi="Arial" w:cs="Arial"/>
          <w:sz w:val="22"/>
          <w:szCs w:val="22"/>
        </w:rPr>
        <w:t>: 10.1007/s00125-021-05568-3.</w:t>
      </w:r>
    </w:p>
    <w:p w14:paraId="17C949B3"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Melmed, S., </w:t>
      </w:r>
      <w:proofErr w:type="spellStart"/>
      <w:r w:rsidRPr="0026421D">
        <w:rPr>
          <w:rFonts w:ascii="Arial" w:hAnsi="Arial" w:cs="Arial"/>
          <w:sz w:val="22"/>
          <w:szCs w:val="22"/>
        </w:rPr>
        <w:t>Auchus</w:t>
      </w:r>
      <w:proofErr w:type="spellEnd"/>
      <w:r w:rsidRPr="0026421D">
        <w:rPr>
          <w:rFonts w:ascii="Arial" w:hAnsi="Arial" w:cs="Arial"/>
          <w:sz w:val="22"/>
          <w:szCs w:val="22"/>
        </w:rPr>
        <w:t xml:space="preserve">, R.J., Goldfine, A.B., Rosen, C.J. and Kopp, P.A. (eds.) (2024) </w:t>
      </w:r>
      <w:r w:rsidRPr="0026421D">
        <w:rPr>
          <w:rFonts w:ascii="Arial" w:hAnsi="Arial" w:cs="Arial"/>
          <w:i/>
          <w:iCs/>
          <w:sz w:val="22"/>
          <w:szCs w:val="22"/>
        </w:rPr>
        <w:t>Williams Textbook of Endocrinology</w:t>
      </w:r>
      <w:r w:rsidRPr="0026421D">
        <w:rPr>
          <w:rFonts w:ascii="Arial" w:hAnsi="Arial" w:cs="Arial"/>
          <w:sz w:val="22"/>
          <w:szCs w:val="22"/>
        </w:rPr>
        <w:t xml:space="preserve">. 15th </w:t>
      </w:r>
      <w:proofErr w:type="spellStart"/>
      <w:r w:rsidRPr="0026421D">
        <w:rPr>
          <w:rFonts w:ascii="Arial" w:hAnsi="Arial" w:cs="Arial"/>
          <w:sz w:val="22"/>
          <w:szCs w:val="22"/>
        </w:rPr>
        <w:t>edn</w:t>
      </w:r>
      <w:proofErr w:type="spellEnd"/>
      <w:r w:rsidRPr="0026421D">
        <w:rPr>
          <w:rFonts w:ascii="Arial" w:hAnsi="Arial" w:cs="Arial"/>
          <w:sz w:val="22"/>
          <w:szCs w:val="22"/>
        </w:rPr>
        <w:t>. Philadelphia: Elsevier.</w:t>
      </w:r>
    </w:p>
    <w:p w14:paraId="201D11B9"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NHS (2024) ‘Type 1 diabetes’. NHS. Accessed: 5 August 2026.</w:t>
      </w:r>
    </w:p>
    <w:p w14:paraId="163DBACE"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Sperling, M.A. (ed.) (2020) </w:t>
      </w:r>
      <w:r w:rsidRPr="0026421D">
        <w:rPr>
          <w:rFonts w:ascii="Arial" w:hAnsi="Arial" w:cs="Arial"/>
          <w:i/>
          <w:iCs/>
          <w:sz w:val="22"/>
          <w:szCs w:val="22"/>
        </w:rPr>
        <w:t xml:space="preserve">Sperling </w:t>
      </w:r>
      <w:proofErr w:type="spellStart"/>
      <w:r w:rsidRPr="0026421D">
        <w:rPr>
          <w:rFonts w:ascii="Arial" w:hAnsi="Arial" w:cs="Arial"/>
          <w:i/>
          <w:iCs/>
          <w:sz w:val="22"/>
          <w:szCs w:val="22"/>
        </w:rPr>
        <w:t>Pediatric</w:t>
      </w:r>
      <w:proofErr w:type="spellEnd"/>
      <w:r w:rsidRPr="0026421D">
        <w:rPr>
          <w:rFonts w:ascii="Arial" w:hAnsi="Arial" w:cs="Arial"/>
          <w:i/>
          <w:iCs/>
          <w:sz w:val="22"/>
          <w:szCs w:val="22"/>
        </w:rPr>
        <w:t xml:space="preserve"> Endocrinology</w:t>
      </w:r>
      <w:r w:rsidRPr="0026421D">
        <w:rPr>
          <w:rFonts w:ascii="Arial" w:hAnsi="Arial" w:cs="Arial"/>
          <w:sz w:val="22"/>
          <w:szCs w:val="22"/>
        </w:rPr>
        <w:t xml:space="preserve">. 5th </w:t>
      </w:r>
      <w:proofErr w:type="spellStart"/>
      <w:r w:rsidRPr="0026421D">
        <w:rPr>
          <w:rFonts w:ascii="Arial" w:hAnsi="Arial" w:cs="Arial"/>
          <w:sz w:val="22"/>
          <w:szCs w:val="22"/>
        </w:rPr>
        <w:t>edn</w:t>
      </w:r>
      <w:proofErr w:type="spellEnd"/>
      <w:r w:rsidRPr="0026421D">
        <w:rPr>
          <w:rFonts w:ascii="Arial" w:hAnsi="Arial" w:cs="Arial"/>
          <w:sz w:val="22"/>
          <w:szCs w:val="22"/>
        </w:rPr>
        <w:t>. Philadelphia: Elsevier.</w:t>
      </w:r>
    </w:p>
    <w:sectPr w:rsidR="005F2DA8" w:rsidRPr="0026421D" w:rsidSect="00C2459E">
      <w:footerReference w:type="default" r:id="rId8"/>
      <w:footerReference w:type="first" r:id="rId9"/>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91257" w14:textId="77777777" w:rsidR="00AC04F8" w:rsidRDefault="00AC04F8" w:rsidP="005F1F84">
      <w:pPr>
        <w:spacing w:after="0" w:line="240" w:lineRule="auto"/>
      </w:pPr>
      <w:r>
        <w:separator/>
      </w:r>
    </w:p>
  </w:endnote>
  <w:endnote w:type="continuationSeparator" w:id="0">
    <w:p w14:paraId="0F9AF042" w14:textId="77777777" w:rsidR="00AC04F8" w:rsidRDefault="00AC04F8" w:rsidP="005F1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4764154"/>
      <w:docPartObj>
        <w:docPartGallery w:val="Page Numbers (Bottom of Page)"/>
        <w:docPartUnique/>
      </w:docPartObj>
    </w:sdtPr>
    <w:sdtEndPr>
      <w:rPr>
        <w:noProof/>
      </w:rPr>
    </w:sdtEndPr>
    <w:sdtContent>
      <w:p w14:paraId="23F74E2A" w14:textId="1AEEBC76" w:rsidR="00C2459E" w:rsidRDefault="00C245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2D3FAE" w14:textId="77777777" w:rsidR="005B23D9" w:rsidRDefault="005B23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11602" w14:textId="5E6A54A6" w:rsidR="001C43C5" w:rsidRDefault="001C43C5" w:rsidP="005B23D9">
    <w:pPr>
      <w:pStyle w:val="Footer"/>
    </w:pPr>
  </w:p>
  <w:p w14:paraId="70D46C86" w14:textId="77777777" w:rsidR="001C43C5" w:rsidRDefault="001C43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7CFAC" w14:textId="77777777" w:rsidR="00AC04F8" w:rsidRDefault="00AC04F8" w:rsidP="005F1F84">
      <w:pPr>
        <w:spacing w:after="0" w:line="240" w:lineRule="auto"/>
      </w:pPr>
      <w:r>
        <w:separator/>
      </w:r>
    </w:p>
  </w:footnote>
  <w:footnote w:type="continuationSeparator" w:id="0">
    <w:p w14:paraId="7625813F" w14:textId="77777777" w:rsidR="00AC04F8" w:rsidRDefault="00AC04F8" w:rsidP="005F1F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5054"/>
    <w:multiLevelType w:val="multilevel"/>
    <w:tmpl w:val="DD8A7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440C2"/>
    <w:multiLevelType w:val="multilevel"/>
    <w:tmpl w:val="29565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6278D9"/>
    <w:multiLevelType w:val="multilevel"/>
    <w:tmpl w:val="E0C4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47746"/>
    <w:multiLevelType w:val="multilevel"/>
    <w:tmpl w:val="19321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AA5B39"/>
    <w:multiLevelType w:val="multilevel"/>
    <w:tmpl w:val="CE18F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4B34C1"/>
    <w:multiLevelType w:val="multilevel"/>
    <w:tmpl w:val="07AE1BEE"/>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23F82724"/>
    <w:multiLevelType w:val="multilevel"/>
    <w:tmpl w:val="8286F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93B"/>
    <w:multiLevelType w:val="multilevel"/>
    <w:tmpl w:val="3BC0A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176A00"/>
    <w:multiLevelType w:val="multilevel"/>
    <w:tmpl w:val="874CE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872EA8"/>
    <w:multiLevelType w:val="multilevel"/>
    <w:tmpl w:val="587C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7E2C7E"/>
    <w:multiLevelType w:val="multilevel"/>
    <w:tmpl w:val="128AB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0F7CFA"/>
    <w:multiLevelType w:val="multilevel"/>
    <w:tmpl w:val="A6EA0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EB6DDC"/>
    <w:multiLevelType w:val="multilevel"/>
    <w:tmpl w:val="B2F28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5C224E"/>
    <w:multiLevelType w:val="multilevel"/>
    <w:tmpl w:val="9F285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7446AE"/>
    <w:multiLevelType w:val="multilevel"/>
    <w:tmpl w:val="9056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F056B0"/>
    <w:multiLevelType w:val="multilevel"/>
    <w:tmpl w:val="DEA88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1C7A2B"/>
    <w:multiLevelType w:val="multilevel"/>
    <w:tmpl w:val="46D856AE"/>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401B1CD2"/>
    <w:multiLevelType w:val="multilevel"/>
    <w:tmpl w:val="ADC03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946A8A"/>
    <w:multiLevelType w:val="multilevel"/>
    <w:tmpl w:val="E5EC40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5E3A03"/>
    <w:multiLevelType w:val="multilevel"/>
    <w:tmpl w:val="A008D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5F1E0D"/>
    <w:multiLevelType w:val="hybridMultilevel"/>
    <w:tmpl w:val="88602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9E30B6"/>
    <w:multiLevelType w:val="hybridMultilevel"/>
    <w:tmpl w:val="DEA05158"/>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5AD7080"/>
    <w:multiLevelType w:val="multilevel"/>
    <w:tmpl w:val="767A9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3A7E4B"/>
    <w:multiLevelType w:val="multilevel"/>
    <w:tmpl w:val="A61E7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D30738"/>
    <w:multiLevelType w:val="multilevel"/>
    <w:tmpl w:val="1B96C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9F07D3C"/>
    <w:multiLevelType w:val="multilevel"/>
    <w:tmpl w:val="50CAAEBC"/>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07767D0"/>
    <w:multiLevelType w:val="multilevel"/>
    <w:tmpl w:val="AE8A8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A963C5"/>
    <w:multiLevelType w:val="multilevel"/>
    <w:tmpl w:val="AEF6B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E01947"/>
    <w:multiLevelType w:val="multilevel"/>
    <w:tmpl w:val="D5F22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4F51A01"/>
    <w:multiLevelType w:val="multilevel"/>
    <w:tmpl w:val="9D28A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660E1C"/>
    <w:multiLevelType w:val="hybridMultilevel"/>
    <w:tmpl w:val="5832F7F4"/>
    <w:lvl w:ilvl="0" w:tplc="EF2851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92C5A18"/>
    <w:multiLevelType w:val="multilevel"/>
    <w:tmpl w:val="259E6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785968"/>
    <w:multiLevelType w:val="multilevel"/>
    <w:tmpl w:val="5742E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E2020F"/>
    <w:multiLevelType w:val="multilevel"/>
    <w:tmpl w:val="2EE0C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570B0F"/>
    <w:multiLevelType w:val="multilevel"/>
    <w:tmpl w:val="CC06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0681507">
    <w:abstractNumId w:val="22"/>
  </w:num>
  <w:num w:numId="2" w16cid:durableId="1636372144">
    <w:abstractNumId w:val="23"/>
  </w:num>
  <w:num w:numId="3" w16cid:durableId="1451513966">
    <w:abstractNumId w:val="19"/>
  </w:num>
  <w:num w:numId="4" w16cid:durableId="152255640">
    <w:abstractNumId w:val="7"/>
  </w:num>
  <w:num w:numId="5" w16cid:durableId="627856402">
    <w:abstractNumId w:val="25"/>
  </w:num>
  <w:num w:numId="6" w16cid:durableId="1770851559">
    <w:abstractNumId w:val="9"/>
  </w:num>
  <w:num w:numId="7" w16cid:durableId="1176264085">
    <w:abstractNumId w:val="28"/>
  </w:num>
  <w:num w:numId="8" w16cid:durableId="647708587">
    <w:abstractNumId w:val="11"/>
  </w:num>
  <w:num w:numId="9" w16cid:durableId="1809932104">
    <w:abstractNumId w:val="27"/>
  </w:num>
  <w:num w:numId="10" w16cid:durableId="1857959534">
    <w:abstractNumId w:val="17"/>
  </w:num>
  <w:num w:numId="11" w16cid:durableId="309602324">
    <w:abstractNumId w:val="26"/>
  </w:num>
  <w:num w:numId="12" w16cid:durableId="475343565">
    <w:abstractNumId w:val="29"/>
  </w:num>
  <w:num w:numId="13" w16cid:durableId="843939383">
    <w:abstractNumId w:val="6"/>
  </w:num>
  <w:num w:numId="14" w16cid:durableId="1468161198">
    <w:abstractNumId w:val="2"/>
  </w:num>
  <w:num w:numId="15" w16cid:durableId="615908941">
    <w:abstractNumId w:val="1"/>
  </w:num>
  <w:num w:numId="16" w16cid:durableId="1583566984">
    <w:abstractNumId w:val="34"/>
  </w:num>
  <w:num w:numId="17" w16cid:durableId="1664629112">
    <w:abstractNumId w:val="12"/>
  </w:num>
  <w:num w:numId="18" w16cid:durableId="1931812734">
    <w:abstractNumId w:val="33"/>
  </w:num>
  <w:num w:numId="19" w16cid:durableId="1888830509">
    <w:abstractNumId w:val="8"/>
  </w:num>
  <w:num w:numId="20" w16cid:durableId="1737776335">
    <w:abstractNumId w:val="24"/>
  </w:num>
  <w:num w:numId="21" w16cid:durableId="1712270156">
    <w:abstractNumId w:val="15"/>
  </w:num>
  <w:num w:numId="22" w16cid:durableId="268511236">
    <w:abstractNumId w:val="32"/>
  </w:num>
  <w:num w:numId="23" w16cid:durableId="1242637294">
    <w:abstractNumId w:val="0"/>
  </w:num>
  <w:num w:numId="24" w16cid:durableId="1056318160">
    <w:abstractNumId w:val="13"/>
  </w:num>
  <w:num w:numId="25" w16cid:durableId="214241055">
    <w:abstractNumId w:val="14"/>
  </w:num>
  <w:num w:numId="26" w16cid:durableId="823932681">
    <w:abstractNumId w:val="30"/>
  </w:num>
  <w:num w:numId="27" w16cid:durableId="1009796970">
    <w:abstractNumId w:val="3"/>
  </w:num>
  <w:num w:numId="28" w16cid:durableId="575940222">
    <w:abstractNumId w:val="10"/>
  </w:num>
  <w:num w:numId="29" w16cid:durableId="1809780644">
    <w:abstractNumId w:val="31"/>
  </w:num>
  <w:num w:numId="30" w16cid:durableId="1457723956">
    <w:abstractNumId w:val="4"/>
  </w:num>
  <w:num w:numId="31" w16cid:durableId="204221822">
    <w:abstractNumId w:val="20"/>
  </w:num>
  <w:num w:numId="32" w16cid:durableId="1406761493">
    <w:abstractNumId w:val="16"/>
  </w:num>
  <w:num w:numId="33" w16cid:durableId="1198279091">
    <w:abstractNumId w:val="21"/>
  </w:num>
  <w:num w:numId="34" w16cid:durableId="1907257054">
    <w:abstractNumId w:val="5"/>
  </w:num>
  <w:num w:numId="35" w16cid:durableId="19233712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7AE"/>
    <w:rsid w:val="00000374"/>
    <w:rsid w:val="000022DE"/>
    <w:rsid w:val="00003FF8"/>
    <w:rsid w:val="000128DC"/>
    <w:rsid w:val="00014BF5"/>
    <w:rsid w:val="00015127"/>
    <w:rsid w:val="0001740F"/>
    <w:rsid w:val="000178F7"/>
    <w:rsid w:val="0002114D"/>
    <w:rsid w:val="000251F3"/>
    <w:rsid w:val="00031835"/>
    <w:rsid w:val="00032AD5"/>
    <w:rsid w:val="00036941"/>
    <w:rsid w:val="00036DC6"/>
    <w:rsid w:val="00040ACE"/>
    <w:rsid w:val="00045167"/>
    <w:rsid w:val="0004730A"/>
    <w:rsid w:val="00051871"/>
    <w:rsid w:val="000536E7"/>
    <w:rsid w:val="000545E6"/>
    <w:rsid w:val="00056649"/>
    <w:rsid w:val="00056D2D"/>
    <w:rsid w:val="000573A7"/>
    <w:rsid w:val="00062798"/>
    <w:rsid w:val="000664FA"/>
    <w:rsid w:val="00066DAE"/>
    <w:rsid w:val="00072617"/>
    <w:rsid w:val="00080FBB"/>
    <w:rsid w:val="00083406"/>
    <w:rsid w:val="0008395D"/>
    <w:rsid w:val="00083BFF"/>
    <w:rsid w:val="0008528B"/>
    <w:rsid w:val="000879EF"/>
    <w:rsid w:val="000913B0"/>
    <w:rsid w:val="00097968"/>
    <w:rsid w:val="000A0D7D"/>
    <w:rsid w:val="000A415F"/>
    <w:rsid w:val="000A51E4"/>
    <w:rsid w:val="000A6459"/>
    <w:rsid w:val="000B39CC"/>
    <w:rsid w:val="000B3A1E"/>
    <w:rsid w:val="000C4220"/>
    <w:rsid w:val="000C4596"/>
    <w:rsid w:val="000C5813"/>
    <w:rsid w:val="000C6066"/>
    <w:rsid w:val="000C7B69"/>
    <w:rsid w:val="000D0AB0"/>
    <w:rsid w:val="000D2465"/>
    <w:rsid w:val="000D4F0E"/>
    <w:rsid w:val="000D6C70"/>
    <w:rsid w:val="000E0677"/>
    <w:rsid w:val="000E23A5"/>
    <w:rsid w:val="000E75CC"/>
    <w:rsid w:val="000E7DDD"/>
    <w:rsid w:val="000F0810"/>
    <w:rsid w:val="000F2558"/>
    <w:rsid w:val="000F387F"/>
    <w:rsid w:val="000F4520"/>
    <w:rsid w:val="000F5C8F"/>
    <w:rsid w:val="000F71E4"/>
    <w:rsid w:val="00102974"/>
    <w:rsid w:val="00102FB8"/>
    <w:rsid w:val="0010771B"/>
    <w:rsid w:val="001101FA"/>
    <w:rsid w:val="00113E07"/>
    <w:rsid w:val="001161AD"/>
    <w:rsid w:val="00117A44"/>
    <w:rsid w:val="00122EFE"/>
    <w:rsid w:val="00134585"/>
    <w:rsid w:val="001448E7"/>
    <w:rsid w:val="00145199"/>
    <w:rsid w:val="00150275"/>
    <w:rsid w:val="001505B5"/>
    <w:rsid w:val="001505E8"/>
    <w:rsid w:val="00151496"/>
    <w:rsid w:val="001562C8"/>
    <w:rsid w:val="00166984"/>
    <w:rsid w:val="00170E93"/>
    <w:rsid w:val="00182262"/>
    <w:rsid w:val="00184452"/>
    <w:rsid w:val="00185972"/>
    <w:rsid w:val="00186CEE"/>
    <w:rsid w:val="001962C1"/>
    <w:rsid w:val="00197E1C"/>
    <w:rsid w:val="001B0A7B"/>
    <w:rsid w:val="001B1586"/>
    <w:rsid w:val="001B2D60"/>
    <w:rsid w:val="001B7207"/>
    <w:rsid w:val="001B7F17"/>
    <w:rsid w:val="001C04BE"/>
    <w:rsid w:val="001C0CD6"/>
    <w:rsid w:val="001C2436"/>
    <w:rsid w:val="001C39E3"/>
    <w:rsid w:val="001C43C5"/>
    <w:rsid w:val="001C48FE"/>
    <w:rsid w:val="001C5C8A"/>
    <w:rsid w:val="001D1BE0"/>
    <w:rsid w:val="001D28EB"/>
    <w:rsid w:val="001D382C"/>
    <w:rsid w:val="001D5B12"/>
    <w:rsid w:val="001D7B7C"/>
    <w:rsid w:val="001E08EB"/>
    <w:rsid w:val="001E5E96"/>
    <w:rsid w:val="001E7EF1"/>
    <w:rsid w:val="001F2C4C"/>
    <w:rsid w:val="001F566F"/>
    <w:rsid w:val="001F6B41"/>
    <w:rsid w:val="00200BA7"/>
    <w:rsid w:val="00205715"/>
    <w:rsid w:val="00205DD2"/>
    <w:rsid w:val="0020615B"/>
    <w:rsid w:val="00211841"/>
    <w:rsid w:val="00214FAA"/>
    <w:rsid w:val="0021591C"/>
    <w:rsid w:val="00215EA0"/>
    <w:rsid w:val="0021687C"/>
    <w:rsid w:val="00217D36"/>
    <w:rsid w:val="002217DF"/>
    <w:rsid w:val="00232233"/>
    <w:rsid w:val="002323BB"/>
    <w:rsid w:val="002329A2"/>
    <w:rsid w:val="002329E8"/>
    <w:rsid w:val="00235DD9"/>
    <w:rsid w:val="00240645"/>
    <w:rsid w:val="00240A3A"/>
    <w:rsid w:val="00240F51"/>
    <w:rsid w:val="00242BF6"/>
    <w:rsid w:val="00252EA1"/>
    <w:rsid w:val="00256609"/>
    <w:rsid w:val="002569AF"/>
    <w:rsid w:val="00260CC5"/>
    <w:rsid w:val="0026421D"/>
    <w:rsid w:val="00270285"/>
    <w:rsid w:val="00270B39"/>
    <w:rsid w:val="002712F1"/>
    <w:rsid w:val="002719F5"/>
    <w:rsid w:val="00272B6F"/>
    <w:rsid w:val="00272FAF"/>
    <w:rsid w:val="00274447"/>
    <w:rsid w:val="00284A65"/>
    <w:rsid w:val="0029031A"/>
    <w:rsid w:val="00290630"/>
    <w:rsid w:val="0029499C"/>
    <w:rsid w:val="002A0D73"/>
    <w:rsid w:val="002A1722"/>
    <w:rsid w:val="002A2551"/>
    <w:rsid w:val="002A36A0"/>
    <w:rsid w:val="002A55D2"/>
    <w:rsid w:val="002A672C"/>
    <w:rsid w:val="002B1B2B"/>
    <w:rsid w:val="002B3111"/>
    <w:rsid w:val="002B476F"/>
    <w:rsid w:val="002C0101"/>
    <w:rsid w:val="002C19A6"/>
    <w:rsid w:val="002C20EE"/>
    <w:rsid w:val="002C2CE7"/>
    <w:rsid w:val="002C5561"/>
    <w:rsid w:val="002D3352"/>
    <w:rsid w:val="002D48C5"/>
    <w:rsid w:val="002E05E3"/>
    <w:rsid w:val="002E05EA"/>
    <w:rsid w:val="002E1AD1"/>
    <w:rsid w:val="002E2683"/>
    <w:rsid w:val="002E27D0"/>
    <w:rsid w:val="002E27F4"/>
    <w:rsid w:val="002E7663"/>
    <w:rsid w:val="002F1C6E"/>
    <w:rsid w:val="002F2D09"/>
    <w:rsid w:val="002F452D"/>
    <w:rsid w:val="003006D4"/>
    <w:rsid w:val="00300F9C"/>
    <w:rsid w:val="003019A6"/>
    <w:rsid w:val="00302A44"/>
    <w:rsid w:val="00304A19"/>
    <w:rsid w:val="00306E5F"/>
    <w:rsid w:val="003077E2"/>
    <w:rsid w:val="00307C14"/>
    <w:rsid w:val="00311EEC"/>
    <w:rsid w:val="00312869"/>
    <w:rsid w:val="003213BD"/>
    <w:rsid w:val="00321707"/>
    <w:rsid w:val="00331634"/>
    <w:rsid w:val="00332DEF"/>
    <w:rsid w:val="00335B50"/>
    <w:rsid w:val="00337C93"/>
    <w:rsid w:val="00340D90"/>
    <w:rsid w:val="003454B1"/>
    <w:rsid w:val="00351A5F"/>
    <w:rsid w:val="00351BA7"/>
    <w:rsid w:val="0035789B"/>
    <w:rsid w:val="0036130B"/>
    <w:rsid w:val="00361F68"/>
    <w:rsid w:val="0036575D"/>
    <w:rsid w:val="003663AA"/>
    <w:rsid w:val="0037070C"/>
    <w:rsid w:val="003754DD"/>
    <w:rsid w:val="00387811"/>
    <w:rsid w:val="00390BC1"/>
    <w:rsid w:val="003925A5"/>
    <w:rsid w:val="003954DD"/>
    <w:rsid w:val="003A101F"/>
    <w:rsid w:val="003A4973"/>
    <w:rsid w:val="003A715F"/>
    <w:rsid w:val="003A7A83"/>
    <w:rsid w:val="003A7E7A"/>
    <w:rsid w:val="003B1592"/>
    <w:rsid w:val="003B4075"/>
    <w:rsid w:val="003C1C4C"/>
    <w:rsid w:val="003C799F"/>
    <w:rsid w:val="003D03EB"/>
    <w:rsid w:val="003D1738"/>
    <w:rsid w:val="003D548F"/>
    <w:rsid w:val="003D55CD"/>
    <w:rsid w:val="003D7240"/>
    <w:rsid w:val="003D7941"/>
    <w:rsid w:val="003E365A"/>
    <w:rsid w:val="003E3BBE"/>
    <w:rsid w:val="003F17FF"/>
    <w:rsid w:val="003F48EA"/>
    <w:rsid w:val="003F4C24"/>
    <w:rsid w:val="00400D38"/>
    <w:rsid w:val="00402ED4"/>
    <w:rsid w:val="00407CB0"/>
    <w:rsid w:val="004108B1"/>
    <w:rsid w:val="004139F8"/>
    <w:rsid w:val="00416AA4"/>
    <w:rsid w:val="00423A90"/>
    <w:rsid w:val="00426402"/>
    <w:rsid w:val="00427500"/>
    <w:rsid w:val="00427DD2"/>
    <w:rsid w:val="00431E3E"/>
    <w:rsid w:val="004323CC"/>
    <w:rsid w:val="00435D5B"/>
    <w:rsid w:val="00437130"/>
    <w:rsid w:val="00437E99"/>
    <w:rsid w:val="0044101C"/>
    <w:rsid w:val="00443D95"/>
    <w:rsid w:val="00445D30"/>
    <w:rsid w:val="00451E4F"/>
    <w:rsid w:val="00454861"/>
    <w:rsid w:val="004561A9"/>
    <w:rsid w:val="0045648D"/>
    <w:rsid w:val="00456742"/>
    <w:rsid w:val="00456780"/>
    <w:rsid w:val="00456AF8"/>
    <w:rsid w:val="00457098"/>
    <w:rsid w:val="004613AD"/>
    <w:rsid w:val="00461BF9"/>
    <w:rsid w:val="00461C09"/>
    <w:rsid w:val="0046212E"/>
    <w:rsid w:val="004625F2"/>
    <w:rsid w:val="004654C6"/>
    <w:rsid w:val="00466D2F"/>
    <w:rsid w:val="004739D0"/>
    <w:rsid w:val="00480C39"/>
    <w:rsid w:val="0048121E"/>
    <w:rsid w:val="00487D14"/>
    <w:rsid w:val="004919B7"/>
    <w:rsid w:val="00492664"/>
    <w:rsid w:val="00496CAA"/>
    <w:rsid w:val="004975C5"/>
    <w:rsid w:val="00497AE4"/>
    <w:rsid w:val="004A038F"/>
    <w:rsid w:val="004A39A9"/>
    <w:rsid w:val="004A40F7"/>
    <w:rsid w:val="004A5010"/>
    <w:rsid w:val="004A6299"/>
    <w:rsid w:val="004B17FA"/>
    <w:rsid w:val="004B1F4D"/>
    <w:rsid w:val="004B31C1"/>
    <w:rsid w:val="004B3DF5"/>
    <w:rsid w:val="004C03EA"/>
    <w:rsid w:val="004C11BE"/>
    <w:rsid w:val="004C2D7D"/>
    <w:rsid w:val="004C2D81"/>
    <w:rsid w:val="004C6612"/>
    <w:rsid w:val="004D00B6"/>
    <w:rsid w:val="004D0417"/>
    <w:rsid w:val="004D26B4"/>
    <w:rsid w:val="004D509E"/>
    <w:rsid w:val="004E415A"/>
    <w:rsid w:val="004F0AEA"/>
    <w:rsid w:val="004F2901"/>
    <w:rsid w:val="004F37B6"/>
    <w:rsid w:val="004F3A67"/>
    <w:rsid w:val="004F3E9E"/>
    <w:rsid w:val="004F4188"/>
    <w:rsid w:val="004F4AA1"/>
    <w:rsid w:val="004F4C05"/>
    <w:rsid w:val="004F6C55"/>
    <w:rsid w:val="004F74D1"/>
    <w:rsid w:val="00501B8C"/>
    <w:rsid w:val="005021CE"/>
    <w:rsid w:val="0051026D"/>
    <w:rsid w:val="005107AE"/>
    <w:rsid w:val="00511E24"/>
    <w:rsid w:val="005147FA"/>
    <w:rsid w:val="00515CBF"/>
    <w:rsid w:val="00516A7A"/>
    <w:rsid w:val="005205DF"/>
    <w:rsid w:val="0052134F"/>
    <w:rsid w:val="00522DA8"/>
    <w:rsid w:val="005261BD"/>
    <w:rsid w:val="005273B7"/>
    <w:rsid w:val="00531F80"/>
    <w:rsid w:val="00532EF7"/>
    <w:rsid w:val="00533ECC"/>
    <w:rsid w:val="005366F7"/>
    <w:rsid w:val="00540760"/>
    <w:rsid w:val="005407D9"/>
    <w:rsid w:val="00542589"/>
    <w:rsid w:val="00542886"/>
    <w:rsid w:val="00545A23"/>
    <w:rsid w:val="0054605B"/>
    <w:rsid w:val="005507CF"/>
    <w:rsid w:val="00556D7E"/>
    <w:rsid w:val="00557F5F"/>
    <w:rsid w:val="00562EED"/>
    <w:rsid w:val="00567DB4"/>
    <w:rsid w:val="00567F5A"/>
    <w:rsid w:val="00571D26"/>
    <w:rsid w:val="00580667"/>
    <w:rsid w:val="005863C7"/>
    <w:rsid w:val="00587F00"/>
    <w:rsid w:val="005901CD"/>
    <w:rsid w:val="00592F15"/>
    <w:rsid w:val="005932DD"/>
    <w:rsid w:val="00594C87"/>
    <w:rsid w:val="00595CF2"/>
    <w:rsid w:val="00595D17"/>
    <w:rsid w:val="005A0B3D"/>
    <w:rsid w:val="005A147A"/>
    <w:rsid w:val="005A3548"/>
    <w:rsid w:val="005B23D9"/>
    <w:rsid w:val="005B39C4"/>
    <w:rsid w:val="005C23C6"/>
    <w:rsid w:val="005C64CF"/>
    <w:rsid w:val="005C6FA2"/>
    <w:rsid w:val="005C706A"/>
    <w:rsid w:val="005C7764"/>
    <w:rsid w:val="005C77E6"/>
    <w:rsid w:val="005D0488"/>
    <w:rsid w:val="005D1C2B"/>
    <w:rsid w:val="005D2515"/>
    <w:rsid w:val="005D3CC8"/>
    <w:rsid w:val="005D4047"/>
    <w:rsid w:val="005D6D6A"/>
    <w:rsid w:val="005E1678"/>
    <w:rsid w:val="005E5E26"/>
    <w:rsid w:val="005E6C78"/>
    <w:rsid w:val="005F0662"/>
    <w:rsid w:val="005F1452"/>
    <w:rsid w:val="005F1C3A"/>
    <w:rsid w:val="005F1F84"/>
    <w:rsid w:val="005F26B4"/>
    <w:rsid w:val="005F2DA8"/>
    <w:rsid w:val="005F3CBE"/>
    <w:rsid w:val="005F5191"/>
    <w:rsid w:val="005F592B"/>
    <w:rsid w:val="005F6761"/>
    <w:rsid w:val="005F700E"/>
    <w:rsid w:val="00606DB9"/>
    <w:rsid w:val="00607B80"/>
    <w:rsid w:val="00610C2A"/>
    <w:rsid w:val="00610FE3"/>
    <w:rsid w:val="00611DA3"/>
    <w:rsid w:val="006152F5"/>
    <w:rsid w:val="00617C87"/>
    <w:rsid w:val="006275A4"/>
    <w:rsid w:val="00632B86"/>
    <w:rsid w:val="0063308A"/>
    <w:rsid w:val="006347E0"/>
    <w:rsid w:val="0063506C"/>
    <w:rsid w:val="00635312"/>
    <w:rsid w:val="00635F63"/>
    <w:rsid w:val="0064182F"/>
    <w:rsid w:val="00645231"/>
    <w:rsid w:val="00646706"/>
    <w:rsid w:val="00647581"/>
    <w:rsid w:val="00651EF9"/>
    <w:rsid w:val="00653B9E"/>
    <w:rsid w:val="00657A23"/>
    <w:rsid w:val="00660AB3"/>
    <w:rsid w:val="00660EC0"/>
    <w:rsid w:val="00661630"/>
    <w:rsid w:val="006618B6"/>
    <w:rsid w:val="006618D9"/>
    <w:rsid w:val="006647C5"/>
    <w:rsid w:val="0066656A"/>
    <w:rsid w:val="00670B47"/>
    <w:rsid w:val="00672395"/>
    <w:rsid w:val="0067489F"/>
    <w:rsid w:val="00680BBD"/>
    <w:rsid w:val="00683CC7"/>
    <w:rsid w:val="00687EA3"/>
    <w:rsid w:val="00690906"/>
    <w:rsid w:val="006935D7"/>
    <w:rsid w:val="00693867"/>
    <w:rsid w:val="0069476A"/>
    <w:rsid w:val="00694D1D"/>
    <w:rsid w:val="006A0D56"/>
    <w:rsid w:val="006A484F"/>
    <w:rsid w:val="006A68A1"/>
    <w:rsid w:val="006A7DC1"/>
    <w:rsid w:val="006B15F7"/>
    <w:rsid w:val="006B3331"/>
    <w:rsid w:val="006B3E0B"/>
    <w:rsid w:val="006B3E92"/>
    <w:rsid w:val="006B6BF1"/>
    <w:rsid w:val="006C4F4B"/>
    <w:rsid w:val="006C6B4B"/>
    <w:rsid w:val="006D1698"/>
    <w:rsid w:val="006D3E11"/>
    <w:rsid w:val="006D64D9"/>
    <w:rsid w:val="006D6D44"/>
    <w:rsid w:val="006E4091"/>
    <w:rsid w:val="006E639A"/>
    <w:rsid w:val="006F4D4D"/>
    <w:rsid w:val="007021C5"/>
    <w:rsid w:val="00702463"/>
    <w:rsid w:val="007028EE"/>
    <w:rsid w:val="00704105"/>
    <w:rsid w:val="007070B8"/>
    <w:rsid w:val="00710C2D"/>
    <w:rsid w:val="007166E1"/>
    <w:rsid w:val="00716755"/>
    <w:rsid w:val="007168EC"/>
    <w:rsid w:val="00717953"/>
    <w:rsid w:val="00721FFD"/>
    <w:rsid w:val="00722917"/>
    <w:rsid w:val="00723167"/>
    <w:rsid w:val="00725FAA"/>
    <w:rsid w:val="00726C8B"/>
    <w:rsid w:val="00730B7E"/>
    <w:rsid w:val="00735E67"/>
    <w:rsid w:val="007405EC"/>
    <w:rsid w:val="00742ACF"/>
    <w:rsid w:val="00745DE2"/>
    <w:rsid w:val="0075609A"/>
    <w:rsid w:val="0075744F"/>
    <w:rsid w:val="00757E09"/>
    <w:rsid w:val="00757EE4"/>
    <w:rsid w:val="00761318"/>
    <w:rsid w:val="00762EC0"/>
    <w:rsid w:val="0077196D"/>
    <w:rsid w:val="007727C7"/>
    <w:rsid w:val="00774B2F"/>
    <w:rsid w:val="007765ED"/>
    <w:rsid w:val="007859B8"/>
    <w:rsid w:val="0078727F"/>
    <w:rsid w:val="00790C5A"/>
    <w:rsid w:val="0079237B"/>
    <w:rsid w:val="00792786"/>
    <w:rsid w:val="00793142"/>
    <w:rsid w:val="00795CE2"/>
    <w:rsid w:val="00797C20"/>
    <w:rsid w:val="007A5D71"/>
    <w:rsid w:val="007B0EAC"/>
    <w:rsid w:val="007B1BB1"/>
    <w:rsid w:val="007B2C20"/>
    <w:rsid w:val="007B3A0B"/>
    <w:rsid w:val="007B4133"/>
    <w:rsid w:val="007B7D1A"/>
    <w:rsid w:val="007C08D9"/>
    <w:rsid w:val="007C33BD"/>
    <w:rsid w:val="007D2109"/>
    <w:rsid w:val="007D3C5A"/>
    <w:rsid w:val="007D3C77"/>
    <w:rsid w:val="007D42E8"/>
    <w:rsid w:val="007D4DEB"/>
    <w:rsid w:val="007D6D3E"/>
    <w:rsid w:val="007E10F8"/>
    <w:rsid w:val="007E34F2"/>
    <w:rsid w:val="007F1DED"/>
    <w:rsid w:val="007F31DF"/>
    <w:rsid w:val="007F3B3D"/>
    <w:rsid w:val="00803068"/>
    <w:rsid w:val="008033D4"/>
    <w:rsid w:val="00805AE3"/>
    <w:rsid w:val="00810406"/>
    <w:rsid w:val="008141B6"/>
    <w:rsid w:val="00816AF5"/>
    <w:rsid w:val="00821AF4"/>
    <w:rsid w:val="00824738"/>
    <w:rsid w:val="00833224"/>
    <w:rsid w:val="00834B01"/>
    <w:rsid w:val="00835FB2"/>
    <w:rsid w:val="008439DF"/>
    <w:rsid w:val="00847141"/>
    <w:rsid w:val="00847258"/>
    <w:rsid w:val="00850E12"/>
    <w:rsid w:val="00852FF2"/>
    <w:rsid w:val="00857770"/>
    <w:rsid w:val="00863039"/>
    <w:rsid w:val="00871C3C"/>
    <w:rsid w:val="00874209"/>
    <w:rsid w:val="00876A4F"/>
    <w:rsid w:val="008810CC"/>
    <w:rsid w:val="008831A4"/>
    <w:rsid w:val="008849DE"/>
    <w:rsid w:val="008930A1"/>
    <w:rsid w:val="008930C4"/>
    <w:rsid w:val="00893683"/>
    <w:rsid w:val="008959FB"/>
    <w:rsid w:val="008967CF"/>
    <w:rsid w:val="00896D44"/>
    <w:rsid w:val="008A0FC0"/>
    <w:rsid w:val="008A3A0A"/>
    <w:rsid w:val="008A6F6D"/>
    <w:rsid w:val="008B1890"/>
    <w:rsid w:val="008B37D8"/>
    <w:rsid w:val="008B6081"/>
    <w:rsid w:val="008C180D"/>
    <w:rsid w:val="008C1EA4"/>
    <w:rsid w:val="008C38CB"/>
    <w:rsid w:val="008C45CC"/>
    <w:rsid w:val="008C6222"/>
    <w:rsid w:val="008C713F"/>
    <w:rsid w:val="008D1ED1"/>
    <w:rsid w:val="008D4B98"/>
    <w:rsid w:val="008E0CFC"/>
    <w:rsid w:val="008E4271"/>
    <w:rsid w:val="008E4D9E"/>
    <w:rsid w:val="00907DC7"/>
    <w:rsid w:val="00914EE2"/>
    <w:rsid w:val="00916298"/>
    <w:rsid w:val="00916E79"/>
    <w:rsid w:val="00920B37"/>
    <w:rsid w:val="00921580"/>
    <w:rsid w:val="00925D01"/>
    <w:rsid w:val="00931DE8"/>
    <w:rsid w:val="00932853"/>
    <w:rsid w:val="00932E2A"/>
    <w:rsid w:val="00933296"/>
    <w:rsid w:val="00936868"/>
    <w:rsid w:val="00937158"/>
    <w:rsid w:val="009414E9"/>
    <w:rsid w:val="009418BE"/>
    <w:rsid w:val="00942B03"/>
    <w:rsid w:val="00951A0D"/>
    <w:rsid w:val="0095233F"/>
    <w:rsid w:val="00952A13"/>
    <w:rsid w:val="00960E4F"/>
    <w:rsid w:val="00963D78"/>
    <w:rsid w:val="009655F7"/>
    <w:rsid w:val="00970D89"/>
    <w:rsid w:val="009742C2"/>
    <w:rsid w:val="00977929"/>
    <w:rsid w:val="00981D18"/>
    <w:rsid w:val="00983C2E"/>
    <w:rsid w:val="00984466"/>
    <w:rsid w:val="00984BB7"/>
    <w:rsid w:val="009853F9"/>
    <w:rsid w:val="0099155A"/>
    <w:rsid w:val="009B7A49"/>
    <w:rsid w:val="009C084E"/>
    <w:rsid w:val="009D0650"/>
    <w:rsid w:val="009D3CEE"/>
    <w:rsid w:val="009E0B33"/>
    <w:rsid w:val="009E30BE"/>
    <w:rsid w:val="009E44AD"/>
    <w:rsid w:val="009E6649"/>
    <w:rsid w:val="009F1D00"/>
    <w:rsid w:val="009F2E98"/>
    <w:rsid w:val="009F476A"/>
    <w:rsid w:val="009F60C0"/>
    <w:rsid w:val="00A03185"/>
    <w:rsid w:val="00A043D2"/>
    <w:rsid w:val="00A0701C"/>
    <w:rsid w:val="00A07C6E"/>
    <w:rsid w:val="00A101AA"/>
    <w:rsid w:val="00A159CF"/>
    <w:rsid w:val="00A234E8"/>
    <w:rsid w:val="00A234F8"/>
    <w:rsid w:val="00A23568"/>
    <w:rsid w:val="00A25CC0"/>
    <w:rsid w:val="00A27A7E"/>
    <w:rsid w:val="00A33665"/>
    <w:rsid w:val="00A419C9"/>
    <w:rsid w:val="00A41AB2"/>
    <w:rsid w:val="00A42555"/>
    <w:rsid w:val="00A42F9E"/>
    <w:rsid w:val="00A47CB5"/>
    <w:rsid w:val="00A51C88"/>
    <w:rsid w:val="00A70CF5"/>
    <w:rsid w:val="00A7138C"/>
    <w:rsid w:val="00A73B55"/>
    <w:rsid w:val="00A74E42"/>
    <w:rsid w:val="00A8095F"/>
    <w:rsid w:val="00A81380"/>
    <w:rsid w:val="00A8515A"/>
    <w:rsid w:val="00A91830"/>
    <w:rsid w:val="00A922CF"/>
    <w:rsid w:val="00A922E9"/>
    <w:rsid w:val="00A94581"/>
    <w:rsid w:val="00A948EE"/>
    <w:rsid w:val="00A95125"/>
    <w:rsid w:val="00A96CB3"/>
    <w:rsid w:val="00A970F2"/>
    <w:rsid w:val="00AA0DD1"/>
    <w:rsid w:val="00AA4926"/>
    <w:rsid w:val="00AB11A9"/>
    <w:rsid w:val="00AB18FE"/>
    <w:rsid w:val="00AB45CC"/>
    <w:rsid w:val="00AC04F8"/>
    <w:rsid w:val="00AC3D80"/>
    <w:rsid w:val="00AC6071"/>
    <w:rsid w:val="00AC6B6A"/>
    <w:rsid w:val="00AD164E"/>
    <w:rsid w:val="00AD55F8"/>
    <w:rsid w:val="00AD5CBB"/>
    <w:rsid w:val="00AD66A3"/>
    <w:rsid w:val="00AD7B58"/>
    <w:rsid w:val="00AE1E9E"/>
    <w:rsid w:val="00AE41E2"/>
    <w:rsid w:val="00B008B1"/>
    <w:rsid w:val="00B012B5"/>
    <w:rsid w:val="00B0181C"/>
    <w:rsid w:val="00B04838"/>
    <w:rsid w:val="00B06D93"/>
    <w:rsid w:val="00B15F05"/>
    <w:rsid w:val="00B1615F"/>
    <w:rsid w:val="00B16F43"/>
    <w:rsid w:val="00B2109A"/>
    <w:rsid w:val="00B2297C"/>
    <w:rsid w:val="00B23B4B"/>
    <w:rsid w:val="00B24008"/>
    <w:rsid w:val="00B25E7D"/>
    <w:rsid w:val="00B26188"/>
    <w:rsid w:val="00B31B43"/>
    <w:rsid w:val="00B327C0"/>
    <w:rsid w:val="00B3305D"/>
    <w:rsid w:val="00B34ADA"/>
    <w:rsid w:val="00B3517F"/>
    <w:rsid w:val="00B41BD0"/>
    <w:rsid w:val="00B441B1"/>
    <w:rsid w:val="00B50D98"/>
    <w:rsid w:val="00B52593"/>
    <w:rsid w:val="00B52745"/>
    <w:rsid w:val="00B56076"/>
    <w:rsid w:val="00B562CE"/>
    <w:rsid w:val="00B5636C"/>
    <w:rsid w:val="00B6322F"/>
    <w:rsid w:val="00B65ED0"/>
    <w:rsid w:val="00B66114"/>
    <w:rsid w:val="00B7093E"/>
    <w:rsid w:val="00B71277"/>
    <w:rsid w:val="00B71333"/>
    <w:rsid w:val="00B752A5"/>
    <w:rsid w:val="00B80037"/>
    <w:rsid w:val="00B81C8D"/>
    <w:rsid w:val="00B85E71"/>
    <w:rsid w:val="00B914C6"/>
    <w:rsid w:val="00B91AF2"/>
    <w:rsid w:val="00B937C6"/>
    <w:rsid w:val="00B96483"/>
    <w:rsid w:val="00BA2BC7"/>
    <w:rsid w:val="00BA389A"/>
    <w:rsid w:val="00BA3C68"/>
    <w:rsid w:val="00BA3EAB"/>
    <w:rsid w:val="00BA4348"/>
    <w:rsid w:val="00BA79BB"/>
    <w:rsid w:val="00BB4C32"/>
    <w:rsid w:val="00BC1B6F"/>
    <w:rsid w:val="00BC3245"/>
    <w:rsid w:val="00BD2694"/>
    <w:rsid w:val="00BD51B7"/>
    <w:rsid w:val="00BD6297"/>
    <w:rsid w:val="00BD6C6D"/>
    <w:rsid w:val="00BD7325"/>
    <w:rsid w:val="00BD7543"/>
    <w:rsid w:val="00BE32FC"/>
    <w:rsid w:val="00BE7B5E"/>
    <w:rsid w:val="00BF13E2"/>
    <w:rsid w:val="00BF2BB3"/>
    <w:rsid w:val="00BF590B"/>
    <w:rsid w:val="00BF5B64"/>
    <w:rsid w:val="00C01252"/>
    <w:rsid w:val="00C03694"/>
    <w:rsid w:val="00C04A88"/>
    <w:rsid w:val="00C0659D"/>
    <w:rsid w:val="00C2445A"/>
    <w:rsid w:val="00C2459E"/>
    <w:rsid w:val="00C2675A"/>
    <w:rsid w:val="00C3016E"/>
    <w:rsid w:val="00C3172F"/>
    <w:rsid w:val="00C33159"/>
    <w:rsid w:val="00C355FA"/>
    <w:rsid w:val="00C360F7"/>
    <w:rsid w:val="00C37C01"/>
    <w:rsid w:val="00C37F9F"/>
    <w:rsid w:val="00C41D81"/>
    <w:rsid w:val="00C450CB"/>
    <w:rsid w:val="00C45927"/>
    <w:rsid w:val="00C46B20"/>
    <w:rsid w:val="00C55308"/>
    <w:rsid w:val="00C57003"/>
    <w:rsid w:val="00C61762"/>
    <w:rsid w:val="00C637A4"/>
    <w:rsid w:val="00C71779"/>
    <w:rsid w:val="00C723B3"/>
    <w:rsid w:val="00C72D13"/>
    <w:rsid w:val="00C8224A"/>
    <w:rsid w:val="00C868F3"/>
    <w:rsid w:val="00C90DF1"/>
    <w:rsid w:val="00C95422"/>
    <w:rsid w:val="00C96910"/>
    <w:rsid w:val="00CA3D84"/>
    <w:rsid w:val="00CA417B"/>
    <w:rsid w:val="00CB1D81"/>
    <w:rsid w:val="00CB2018"/>
    <w:rsid w:val="00CB2203"/>
    <w:rsid w:val="00CB51CA"/>
    <w:rsid w:val="00CB7B46"/>
    <w:rsid w:val="00CC7AB1"/>
    <w:rsid w:val="00CD4434"/>
    <w:rsid w:val="00CD5EA3"/>
    <w:rsid w:val="00CE2088"/>
    <w:rsid w:val="00CE672A"/>
    <w:rsid w:val="00CE7828"/>
    <w:rsid w:val="00CF1EBC"/>
    <w:rsid w:val="00CF3CDE"/>
    <w:rsid w:val="00CF4E14"/>
    <w:rsid w:val="00D0047E"/>
    <w:rsid w:val="00D0260C"/>
    <w:rsid w:val="00D04006"/>
    <w:rsid w:val="00D04E48"/>
    <w:rsid w:val="00D050F5"/>
    <w:rsid w:val="00D056EA"/>
    <w:rsid w:val="00D05EEA"/>
    <w:rsid w:val="00D13E14"/>
    <w:rsid w:val="00D16357"/>
    <w:rsid w:val="00D272E5"/>
    <w:rsid w:val="00D328DD"/>
    <w:rsid w:val="00D33130"/>
    <w:rsid w:val="00D34BDC"/>
    <w:rsid w:val="00D36603"/>
    <w:rsid w:val="00D37C68"/>
    <w:rsid w:val="00D411CE"/>
    <w:rsid w:val="00D427CE"/>
    <w:rsid w:val="00D44B4A"/>
    <w:rsid w:val="00D454B4"/>
    <w:rsid w:val="00D455CF"/>
    <w:rsid w:val="00D45F3A"/>
    <w:rsid w:val="00D51488"/>
    <w:rsid w:val="00D56396"/>
    <w:rsid w:val="00D56B56"/>
    <w:rsid w:val="00D574FA"/>
    <w:rsid w:val="00D6036A"/>
    <w:rsid w:val="00D607AC"/>
    <w:rsid w:val="00D62F82"/>
    <w:rsid w:val="00D654F5"/>
    <w:rsid w:val="00D66DC8"/>
    <w:rsid w:val="00D72FCD"/>
    <w:rsid w:val="00D76283"/>
    <w:rsid w:val="00D821F0"/>
    <w:rsid w:val="00D853A9"/>
    <w:rsid w:val="00D85FA1"/>
    <w:rsid w:val="00D902DD"/>
    <w:rsid w:val="00D932A4"/>
    <w:rsid w:val="00D935B2"/>
    <w:rsid w:val="00D95E5F"/>
    <w:rsid w:val="00DA3FE4"/>
    <w:rsid w:val="00DA7477"/>
    <w:rsid w:val="00DB16C4"/>
    <w:rsid w:val="00DB21C3"/>
    <w:rsid w:val="00DB3973"/>
    <w:rsid w:val="00DB4E4A"/>
    <w:rsid w:val="00DB6BC5"/>
    <w:rsid w:val="00DD15E3"/>
    <w:rsid w:val="00DD44B5"/>
    <w:rsid w:val="00DD6AD4"/>
    <w:rsid w:val="00DE32A3"/>
    <w:rsid w:val="00DE32EF"/>
    <w:rsid w:val="00DE5FA8"/>
    <w:rsid w:val="00DF12A9"/>
    <w:rsid w:val="00DF4087"/>
    <w:rsid w:val="00DF5B49"/>
    <w:rsid w:val="00E02060"/>
    <w:rsid w:val="00E030B2"/>
    <w:rsid w:val="00E06C3A"/>
    <w:rsid w:val="00E128B6"/>
    <w:rsid w:val="00E174C5"/>
    <w:rsid w:val="00E22AA2"/>
    <w:rsid w:val="00E24DB4"/>
    <w:rsid w:val="00E27318"/>
    <w:rsid w:val="00E30C94"/>
    <w:rsid w:val="00E3283A"/>
    <w:rsid w:val="00E331B9"/>
    <w:rsid w:val="00E35FE2"/>
    <w:rsid w:val="00E415D6"/>
    <w:rsid w:val="00E4174D"/>
    <w:rsid w:val="00E428FA"/>
    <w:rsid w:val="00E44843"/>
    <w:rsid w:val="00E45FA6"/>
    <w:rsid w:val="00E46D87"/>
    <w:rsid w:val="00E5192B"/>
    <w:rsid w:val="00E52C75"/>
    <w:rsid w:val="00E532AB"/>
    <w:rsid w:val="00E5614D"/>
    <w:rsid w:val="00E5642E"/>
    <w:rsid w:val="00E60C86"/>
    <w:rsid w:val="00E6482E"/>
    <w:rsid w:val="00E64B8B"/>
    <w:rsid w:val="00E71922"/>
    <w:rsid w:val="00E71BD7"/>
    <w:rsid w:val="00E71E77"/>
    <w:rsid w:val="00E76A50"/>
    <w:rsid w:val="00E806E7"/>
    <w:rsid w:val="00E81AD8"/>
    <w:rsid w:val="00E846E6"/>
    <w:rsid w:val="00E86F6A"/>
    <w:rsid w:val="00E872FC"/>
    <w:rsid w:val="00E87FAA"/>
    <w:rsid w:val="00E91174"/>
    <w:rsid w:val="00E93332"/>
    <w:rsid w:val="00E93A78"/>
    <w:rsid w:val="00E95089"/>
    <w:rsid w:val="00EA1FFD"/>
    <w:rsid w:val="00EB2D23"/>
    <w:rsid w:val="00EB76C6"/>
    <w:rsid w:val="00EC13D7"/>
    <w:rsid w:val="00EC3340"/>
    <w:rsid w:val="00EC4E07"/>
    <w:rsid w:val="00EC7C06"/>
    <w:rsid w:val="00EC7E24"/>
    <w:rsid w:val="00EE0B09"/>
    <w:rsid w:val="00EE1C77"/>
    <w:rsid w:val="00EE274F"/>
    <w:rsid w:val="00EE3F34"/>
    <w:rsid w:val="00EE45D2"/>
    <w:rsid w:val="00EE4C54"/>
    <w:rsid w:val="00EE4C5C"/>
    <w:rsid w:val="00EE7709"/>
    <w:rsid w:val="00EF4130"/>
    <w:rsid w:val="00EF7804"/>
    <w:rsid w:val="00F0277A"/>
    <w:rsid w:val="00F04ECB"/>
    <w:rsid w:val="00F0593C"/>
    <w:rsid w:val="00F0693F"/>
    <w:rsid w:val="00F11048"/>
    <w:rsid w:val="00F1107E"/>
    <w:rsid w:val="00F12715"/>
    <w:rsid w:val="00F1538E"/>
    <w:rsid w:val="00F17391"/>
    <w:rsid w:val="00F211BB"/>
    <w:rsid w:val="00F223FB"/>
    <w:rsid w:val="00F25D08"/>
    <w:rsid w:val="00F26B03"/>
    <w:rsid w:val="00F30EA6"/>
    <w:rsid w:val="00F3255E"/>
    <w:rsid w:val="00F33211"/>
    <w:rsid w:val="00F35813"/>
    <w:rsid w:val="00F35A5D"/>
    <w:rsid w:val="00F40594"/>
    <w:rsid w:val="00F40976"/>
    <w:rsid w:val="00F42F93"/>
    <w:rsid w:val="00F50B21"/>
    <w:rsid w:val="00F64C74"/>
    <w:rsid w:val="00F65D33"/>
    <w:rsid w:val="00F668DF"/>
    <w:rsid w:val="00F675DD"/>
    <w:rsid w:val="00F768D9"/>
    <w:rsid w:val="00F76DDF"/>
    <w:rsid w:val="00F779ED"/>
    <w:rsid w:val="00F83D91"/>
    <w:rsid w:val="00F84D04"/>
    <w:rsid w:val="00F91B6C"/>
    <w:rsid w:val="00F92649"/>
    <w:rsid w:val="00FA2C26"/>
    <w:rsid w:val="00FA6958"/>
    <w:rsid w:val="00FA6D08"/>
    <w:rsid w:val="00FB05AE"/>
    <w:rsid w:val="00FB3806"/>
    <w:rsid w:val="00FB3D4F"/>
    <w:rsid w:val="00FB7049"/>
    <w:rsid w:val="00FB7341"/>
    <w:rsid w:val="00FC259F"/>
    <w:rsid w:val="00FC2A2A"/>
    <w:rsid w:val="00FC553E"/>
    <w:rsid w:val="00FD13A2"/>
    <w:rsid w:val="00FE00EB"/>
    <w:rsid w:val="00FE064E"/>
    <w:rsid w:val="00FE2958"/>
    <w:rsid w:val="00FE4A01"/>
    <w:rsid w:val="00FE6324"/>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8178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US"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A6299"/>
    <w:pPr>
      <w:spacing w:line="480" w:lineRule="auto"/>
      <w:jc w:val="both"/>
    </w:pPr>
    <w:rPr>
      <w:rFonts w:ascii="Times New Roman" w:hAnsi="Times New Roman"/>
      <w:color w:val="000000" w:themeColor="text1"/>
      <w:lang w:val="en-GB"/>
    </w:rPr>
  </w:style>
  <w:style w:type="paragraph" w:styleId="Heading1">
    <w:name w:val="heading 1"/>
    <w:basedOn w:val="Normal"/>
    <w:next w:val="Normal"/>
    <w:link w:val="Heading1Char"/>
    <w:autoRedefine/>
    <w:uiPriority w:val="9"/>
    <w:qFormat/>
    <w:rsid w:val="006B15F7"/>
    <w:pPr>
      <w:spacing w:before="360" w:after="360" w:line="360" w:lineRule="auto"/>
      <w:outlineLvl w:val="0"/>
    </w:pPr>
    <w:rPr>
      <w:rFonts w:ascii="Arial" w:eastAsia="Calibri" w:hAnsi="Arial" w:cs="Arial"/>
      <w:b/>
      <w:color w:val="156082" w:themeColor="accent1"/>
      <w:sz w:val="30"/>
      <w:szCs w:val="22"/>
      <w:lang w:val="en-US" w:eastAsia="en-US" w:bidi="ar-SA"/>
    </w:rPr>
  </w:style>
  <w:style w:type="paragraph" w:styleId="Heading2">
    <w:name w:val="heading 2"/>
    <w:basedOn w:val="Normal"/>
    <w:next w:val="Normal"/>
    <w:link w:val="Heading2Char"/>
    <w:autoRedefine/>
    <w:uiPriority w:val="9"/>
    <w:unhideWhenUsed/>
    <w:qFormat/>
    <w:rsid w:val="006B15F7"/>
    <w:pPr>
      <w:keepNext/>
      <w:keepLines/>
      <w:spacing w:before="280" w:after="240" w:line="360" w:lineRule="auto"/>
      <w:outlineLvl w:val="1"/>
    </w:pPr>
    <w:rPr>
      <w:rFonts w:ascii="Arial" w:eastAsiaTheme="majorEastAsia" w:hAnsi="Arial" w:cs="Arial"/>
      <w:b/>
      <w:i/>
      <w:color w:val="80340D" w:themeColor="accent2" w:themeShade="80"/>
      <w:sz w:val="26"/>
      <w:szCs w:val="22"/>
      <w:lang w:val="en-US" w:eastAsia="en-US" w:bidi="ar-SA"/>
    </w:rPr>
  </w:style>
  <w:style w:type="paragraph" w:styleId="Heading3">
    <w:name w:val="heading 3"/>
    <w:basedOn w:val="Normal"/>
    <w:next w:val="Normal"/>
    <w:link w:val="Heading3Char"/>
    <w:autoRedefine/>
    <w:uiPriority w:val="9"/>
    <w:unhideWhenUsed/>
    <w:qFormat/>
    <w:rsid w:val="00D16357"/>
    <w:pPr>
      <w:keepNext/>
      <w:keepLines/>
      <w:spacing w:before="160" w:after="80"/>
      <w:outlineLvl w:val="2"/>
    </w:pPr>
    <w:rPr>
      <w:rFonts w:eastAsiaTheme="majorEastAsia" w:cstheme="majorBidi"/>
      <w:b/>
      <w:i/>
      <w:sz w:val="26"/>
      <w:szCs w:val="35"/>
    </w:rPr>
  </w:style>
  <w:style w:type="paragraph" w:styleId="Heading4">
    <w:name w:val="heading 4"/>
    <w:basedOn w:val="Normal"/>
    <w:next w:val="Normal"/>
    <w:link w:val="Heading4Char"/>
    <w:uiPriority w:val="9"/>
    <w:semiHidden/>
    <w:unhideWhenUsed/>
    <w:qFormat/>
    <w:rsid w:val="005107A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107A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107A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107A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107A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107A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5F7"/>
    <w:rPr>
      <w:rFonts w:ascii="Arial" w:eastAsia="Calibri" w:hAnsi="Arial" w:cs="Arial"/>
      <w:b/>
      <w:color w:val="156082" w:themeColor="accent1"/>
      <w:sz w:val="30"/>
      <w:szCs w:val="22"/>
      <w:lang w:eastAsia="en-US" w:bidi="ar-SA"/>
    </w:rPr>
  </w:style>
  <w:style w:type="character" w:customStyle="1" w:styleId="Heading2Char">
    <w:name w:val="Heading 2 Char"/>
    <w:basedOn w:val="DefaultParagraphFont"/>
    <w:link w:val="Heading2"/>
    <w:uiPriority w:val="9"/>
    <w:rsid w:val="006B15F7"/>
    <w:rPr>
      <w:rFonts w:ascii="Arial" w:eastAsiaTheme="majorEastAsia" w:hAnsi="Arial" w:cs="Arial"/>
      <w:b/>
      <w:i/>
      <w:color w:val="80340D" w:themeColor="accent2" w:themeShade="80"/>
      <w:sz w:val="26"/>
      <w:szCs w:val="22"/>
      <w:lang w:eastAsia="en-US" w:bidi="ar-SA"/>
    </w:rPr>
  </w:style>
  <w:style w:type="character" w:customStyle="1" w:styleId="Heading3Char">
    <w:name w:val="Heading 3 Char"/>
    <w:basedOn w:val="DefaultParagraphFont"/>
    <w:link w:val="Heading3"/>
    <w:uiPriority w:val="9"/>
    <w:rsid w:val="00D16357"/>
    <w:rPr>
      <w:rFonts w:ascii="Times New Roman" w:eastAsiaTheme="majorEastAsia" w:hAnsi="Times New Roman" w:cstheme="majorBidi"/>
      <w:b/>
      <w:i/>
      <w:color w:val="000000" w:themeColor="text1"/>
      <w:sz w:val="26"/>
      <w:szCs w:val="35"/>
      <w:lang w:val="en-GB"/>
    </w:rPr>
  </w:style>
  <w:style w:type="paragraph" w:customStyle="1" w:styleId="Normal1">
    <w:name w:val="Normal1"/>
    <w:basedOn w:val="Normal"/>
    <w:link w:val="NORMALChar"/>
    <w:qFormat/>
    <w:rsid w:val="004A6299"/>
  </w:style>
  <w:style w:type="character" w:customStyle="1" w:styleId="NORMALChar">
    <w:name w:val="NORMAL Char"/>
    <w:basedOn w:val="DefaultParagraphFont"/>
    <w:link w:val="Normal1"/>
    <w:rsid w:val="004A6299"/>
    <w:rPr>
      <w:rFonts w:ascii="Times New Roman" w:hAnsi="Times New Roman"/>
      <w:color w:val="000000" w:themeColor="text1"/>
      <w:lang w:val="en-GB"/>
    </w:rPr>
  </w:style>
  <w:style w:type="character" w:customStyle="1" w:styleId="Heading4Char">
    <w:name w:val="Heading 4 Char"/>
    <w:basedOn w:val="DefaultParagraphFont"/>
    <w:link w:val="Heading4"/>
    <w:uiPriority w:val="9"/>
    <w:semiHidden/>
    <w:rsid w:val="005107AE"/>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5107AE"/>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5107A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107A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107A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107A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107AE"/>
    <w:pPr>
      <w:spacing w:after="80" w:line="240" w:lineRule="auto"/>
      <w:contextualSpacing/>
    </w:pPr>
    <w:rPr>
      <w:rFonts w:asciiTheme="majorHAnsi" w:eastAsiaTheme="majorEastAsia" w:hAnsiTheme="majorHAnsi" w:cstheme="majorBidi"/>
      <w:color w:val="auto"/>
      <w:spacing w:val="-10"/>
      <w:kern w:val="28"/>
      <w:sz w:val="56"/>
      <w:szCs w:val="71"/>
    </w:rPr>
  </w:style>
  <w:style w:type="character" w:customStyle="1" w:styleId="TitleChar">
    <w:name w:val="Title Char"/>
    <w:basedOn w:val="DefaultParagraphFont"/>
    <w:link w:val="Title"/>
    <w:uiPriority w:val="10"/>
    <w:rsid w:val="005107AE"/>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5107AE"/>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5107AE"/>
    <w:rPr>
      <w:rFonts w:eastAsiaTheme="majorEastAsia"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5107AE"/>
    <w:pPr>
      <w:spacing w:before="160"/>
      <w:jc w:val="center"/>
    </w:pPr>
    <w:rPr>
      <w:i/>
      <w:iCs/>
      <w:color w:val="404040" w:themeColor="text1" w:themeTint="BF"/>
    </w:rPr>
  </w:style>
  <w:style w:type="character" w:customStyle="1" w:styleId="QuoteChar">
    <w:name w:val="Quote Char"/>
    <w:basedOn w:val="DefaultParagraphFont"/>
    <w:link w:val="Quote"/>
    <w:uiPriority w:val="29"/>
    <w:rsid w:val="005107AE"/>
    <w:rPr>
      <w:rFonts w:ascii="Times New Roman" w:hAnsi="Times New Roman"/>
      <w:i/>
      <w:iCs/>
      <w:color w:val="404040" w:themeColor="text1" w:themeTint="BF"/>
      <w:lang w:val="en-GB"/>
    </w:rPr>
  </w:style>
  <w:style w:type="paragraph" w:styleId="ListParagraph">
    <w:name w:val="List Paragraph"/>
    <w:basedOn w:val="Normal"/>
    <w:uiPriority w:val="34"/>
    <w:qFormat/>
    <w:rsid w:val="005107AE"/>
    <w:pPr>
      <w:ind w:left="720"/>
      <w:contextualSpacing/>
    </w:pPr>
  </w:style>
  <w:style w:type="character" w:styleId="IntenseEmphasis">
    <w:name w:val="Intense Emphasis"/>
    <w:basedOn w:val="DefaultParagraphFont"/>
    <w:uiPriority w:val="21"/>
    <w:qFormat/>
    <w:rsid w:val="005107AE"/>
    <w:rPr>
      <w:i/>
      <w:iCs/>
      <w:color w:val="0F4761" w:themeColor="accent1" w:themeShade="BF"/>
    </w:rPr>
  </w:style>
  <w:style w:type="paragraph" w:styleId="IntenseQuote">
    <w:name w:val="Intense Quote"/>
    <w:basedOn w:val="Normal"/>
    <w:next w:val="Normal"/>
    <w:link w:val="IntenseQuoteChar"/>
    <w:uiPriority w:val="30"/>
    <w:qFormat/>
    <w:rsid w:val="005107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07AE"/>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5107AE"/>
    <w:rPr>
      <w:b/>
      <w:bCs/>
      <w:smallCaps/>
      <w:color w:val="0F4761" w:themeColor="accent1" w:themeShade="BF"/>
      <w:spacing w:val="5"/>
    </w:rPr>
  </w:style>
  <w:style w:type="table" w:styleId="TableGrid">
    <w:name w:val="Table Grid"/>
    <w:basedOn w:val="TableNormal"/>
    <w:uiPriority w:val="59"/>
    <w:rsid w:val="006D6D44"/>
    <w:pPr>
      <w:spacing w:after="0" w:line="240" w:lineRule="auto"/>
    </w:pPr>
    <w:rPr>
      <w:kern w:val="0"/>
      <w:sz w:val="22"/>
      <w:szCs w:val="22"/>
      <w:lang w:eastAsia="en-US"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1F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1F84"/>
    <w:rPr>
      <w:rFonts w:ascii="Times New Roman" w:hAnsi="Times New Roman"/>
      <w:color w:val="000000" w:themeColor="text1"/>
      <w:lang w:val="en-GB"/>
    </w:rPr>
  </w:style>
  <w:style w:type="paragraph" w:styleId="Footer">
    <w:name w:val="footer"/>
    <w:basedOn w:val="Normal"/>
    <w:link w:val="FooterChar"/>
    <w:uiPriority w:val="99"/>
    <w:unhideWhenUsed/>
    <w:rsid w:val="005F1F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1F84"/>
    <w:rPr>
      <w:rFonts w:ascii="Times New Roman" w:hAnsi="Times New Roman"/>
      <w:color w:val="000000" w:themeColor="text1"/>
      <w:lang w:val="en-GB"/>
    </w:rPr>
  </w:style>
  <w:style w:type="character" w:styleId="Hyperlink">
    <w:name w:val="Hyperlink"/>
    <w:basedOn w:val="DefaultParagraphFont"/>
    <w:uiPriority w:val="99"/>
    <w:unhideWhenUsed/>
    <w:rsid w:val="002329A2"/>
    <w:rPr>
      <w:color w:val="467886" w:themeColor="hyperlink"/>
      <w:u w:val="single"/>
    </w:rPr>
  </w:style>
  <w:style w:type="character" w:styleId="UnresolvedMention">
    <w:name w:val="Unresolved Mention"/>
    <w:basedOn w:val="DefaultParagraphFont"/>
    <w:uiPriority w:val="99"/>
    <w:semiHidden/>
    <w:unhideWhenUsed/>
    <w:rsid w:val="002329A2"/>
    <w:rPr>
      <w:color w:val="605E5C"/>
      <w:shd w:val="clear" w:color="auto" w:fill="E1DFDD"/>
    </w:rPr>
  </w:style>
  <w:style w:type="table" w:styleId="GridTable1Light-Accent5">
    <w:name w:val="Grid Table 1 Light Accent 5"/>
    <w:basedOn w:val="TableNormal"/>
    <w:uiPriority w:val="46"/>
    <w:rsid w:val="0001512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672395"/>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2E2683"/>
    <w:pPr>
      <w:keepNext/>
      <w:keepLines/>
      <w:spacing w:before="240" w:after="0" w:line="259" w:lineRule="auto"/>
      <w:outlineLvl w:val="9"/>
    </w:pPr>
    <w:rPr>
      <w:rFonts w:asciiTheme="majorHAnsi" w:eastAsiaTheme="majorEastAsia" w:hAnsiTheme="majorHAnsi" w:cstheme="majorBidi"/>
      <w:b w:val="0"/>
      <w:color w:val="0F4761" w:themeColor="accent1" w:themeShade="BF"/>
      <w:kern w:val="0"/>
      <w:szCs w:val="32"/>
      <w14:ligatures w14:val="none"/>
    </w:rPr>
  </w:style>
  <w:style w:type="paragraph" w:styleId="TOC1">
    <w:name w:val="toc 1"/>
    <w:basedOn w:val="Normal"/>
    <w:next w:val="Normal"/>
    <w:autoRedefine/>
    <w:uiPriority w:val="39"/>
    <w:unhideWhenUsed/>
    <w:rsid w:val="002E2683"/>
    <w:pPr>
      <w:spacing w:after="100"/>
    </w:pPr>
  </w:style>
  <w:style w:type="paragraph" w:styleId="TOC2">
    <w:name w:val="toc 2"/>
    <w:basedOn w:val="Normal"/>
    <w:next w:val="Normal"/>
    <w:autoRedefine/>
    <w:uiPriority w:val="39"/>
    <w:unhideWhenUsed/>
    <w:rsid w:val="002E2683"/>
    <w:pPr>
      <w:spacing w:after="100"/>
      <w:ind w:left="240"/>
    </w:pPr>
  </w:style>
  <w:style w:type="paragraph" w:styleId="NormalWeb">
    <w:name w:val="Normal (Web)"/>
    <w:basedOn w:val="Normal"/>
    <w:uiPriority w:val="99"/>
    <w:semiHidden/>
    <w:unhideWhenUsed/>
    <w:rsid w:val="004139F8"/>
    <w:rPr>
      <w:rFonts w:cs="Angsana New"/>
    </w:rPr>
  </w:style>
  <w:style w:type="paragraph" w:customStyle="1" w:styleId="Compact">
    <w:name w:val="Compact"/>
    <w:basedOn w:val="BodyText"/>
    <w:qFormat/>
    <w:rsid w:val="0054605B"/>
    <w:pPr>
      <w:spacing w:before="36" w:after="36" w:line="240" w:lineRule="auto"/>
      <w:jc w:val="left"/>
    </w:pPr>
    <w:rPr>
      <w:rFonts w:asciiTheme="minorHAnsi" w:eastAsiaTheme="minorHAnsi" w:hAnsiTheme="minorHAnsi"/>
      <w:color w:val="auto"/>
      <w:kern w:val="0"/>
      <w:szCs w:val="24"/>
      <w:lang w:val="en-US" w:eastAsia="en-US" w:bidi="ar-SA"/>
      <w14:ligatures w14:val="none"/>
    </w:rPr>
  </w:style>
  <w:style w:type="paragraph" w:styleId="BodyText">
    <w:name w:val="Body Text"/>
    <w:basedOn w:val="Normal"/>
    <w:link w:val="BodyTextChar"/>
    <w:uiPriority w:val="99"/>
    <w:semiHidden/>
    <w:unhideWhenUsed/>
    <w:rsid w:val="0054605B"/>
    <w:pPr>
      <w:spacing w:after="120"/>
    </w:pPr>
  </w:style>
  <w:style w:type="character" w:customStyle="1" w:styleId="BodyTextChar">
    <w:name w:val="Body Text Char"/>
    <w:basedOn w:val="DefaultParagraphFont"/>
    <w:link w:val="BodyText"/>
    <w:uiPriority w:val="99"/>
    <w:semiHidden/>
    <w:rsid w:val="0054605B"/>
    <w:rPr>
      <w:rFonts w:ascii="Times New Roman" w:hAnsi="Times New Roman"/>
      <w:color w:val="000000" w:themeColor="text1"/>
      <w:lang w:val="en-GB"/>
    </w:rPr>
  </w:style>
  <w:style w:type="paragraph" w:styleId="TOC3">
    <w:name w:val="toc 3"/>
    <w:basedOn w:val="Normal"/>
    <w:next w:val="Normal"/>
    <w:autoRedefine/>
    <w:uiPriority w:val="39"/>
    <w:unhideWhenUsed/>
    <w:rsid w:val="00040ACE"/>
    <w:pPr>
      <w:spacing w:after="100"/>
      <w:ind w:left="480"/>
    </w:pPr>
  </w:style>
  <w:style w:type="table" w:customStyle="1" w:styleId="TableGrid1">
    <w:name w:val="Table Grid1"/>
    <w:basedOn w:val="TableNormal"/>
    <w:next w:val="TableGrid"/>
    <w:uiPriority w:val="59"/>
    <w:rsid w:val="00083BFF"/>
    <w:pPr>
      <w:spacing w:after="0" w:line="240" w:lineRule="auto"/>
    </w:pPr>
    <w:rPr>
      <w:rFonts w:ascii="Calibri" w:eastAsia="Calibri" w:hAnsi="Calibri" w:cs="Arial"/>
      <w:kern w:val="0"/>
      <w:sz w:val="22"/>
      <w:szCs w:val="22"/>
      <w:lang w:val="en-GB" w:eastAsia="en-US" w:bidi="ar-SA"/>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919B7"/>
    <w:pPr>
      <w:spacing w:after="0" w:line="240" w:lineRule="auto"/>
    </w:pPr>
    <w:rPr>
      <w:rFonts w:ascii="Calibri" w:eastAsia="Calibri" w:hAnsi="Calibri" w:cs="Cordia New"/>
      <w:kern w:val="0"/>
      <w:sz w:val="22"/>
      <w:szCs w:val="22"/>
      <w:lang w:val="en-GB" w:eastAsia="en-US" w:bidi="ar-SA"/>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ference">
    <w:name w:val="Reference"/>
    <w:rsid w:val="008A6F6D"/>
    <w:pPr>
      <w:spacing w:after="200" w:line="276" w:lineRule="auto"/>
    </w:pPr>
    <w:rPr>
      <w:rFonts w:ascii="Arial" w:hAnsi="Arial"/>
      <w:kern w:val="0"/>
      <w:sz w:val="21"/>
      <w:szCs w:val="22"/>
      <w:lang w:eastAsia="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D6485-069D-4612-8830-992068C46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2371</Words>
  <Characters>13518</Characters>
  <Application>Microsoft Office Word</Application>
  <DocSecurity>0</DocSecurity>
  <Lines>112</Lines>
  <Paragraphs>31</Paragraphs>
  <ScaleCrop>false</ScaleCrop>
  <Company/>
  <LinksUpToDate>false</LinksUpToDate>
  <CharactersWithSpaces>15858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2026-08-17T18:03:00Z</dcterms:created>
  <dcterms:modified xsi:type="dcterms:W3CDTF">2026-08-17T18:30:00Z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297b9da1-55ba-4555-8d00-0dc109e8286d</vt:lpwstr>
  </property>
</Properties>
</file>