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4122254"/>
        <w:docPartObj>
          <w:docPartGallery w:val="Cover Pages"/>
          <w:docPartUnique/>
        </w:docPartObj>
      </w:sdtPr>
      <w:sdtContent>
        <w:p w14:paraId="78293627" w14:textId="77579F56" w:rsidR="00985C5E" w:rsidRDefault="00985C5E"/>
        <w:p w14:paraId="3C7EDA78" w14:textId="136F479A" w:rsidR="00985C5E" w:rsidRDefault="00985C5E">
          <w:r>
            <w:rPr>
              <w:noProof/>
            </w:rPr>
            <mc:AlternateContent>
              <mc:Choice Requires="wps">
                <w:drawing>
                  <wp:anchor distT="0" distB="0" distL="114300" distR="114300" simplePos="0" relativeHeight="251662336" behindDoc="0" locked="0" layoutInCell="1" allowOverlap="1" wp14:anchorId="48DE930E" wp14:editId="1DBC6923">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30T00:00:00Z">
                                    <w:dateFormat w:val="MMMM d, yyyy"/>
                                    <w:lid w:val="en-US"/>
                                    <w:storeMappedDataAs w:val="dateTime"/>
                                    <w:calendar w:val="gregorian"/>
                                  </w:date>
                                </w:sdtPr>
                                <w:sdtContent>
                                  <w:p w14:paraId="5343B879" w14:textId="247A8F3E" w:rsidR="00985C5E" w:rsidRDefault="007747F8">
                                    <w:pPr>
                                      <w:pStyle w:val="NoSpacing"/>
                                      <w:jc w:val="right"/>
                                      <w:rPr>
                                        <w:caps/>
                                        <w:color w:val="323E4F" w:themeColor="text2" w:themeShade="BF"/>
                                        <w:sz w:val="40"/>
                                        <w:szCs w:val="40"/>
                                      </w:rPr>
                                    </w:pPr>
                                    <w:r>
                                      <w:rPr>
                                        <w:caps/>
                                        <w:color w:val="323E4F" w:themeColor="text2" w:themeShade="BF"/>
                                        <w:sz w:val="40"/>
                                        <w:szCs w:val="40"/>
                                      </w:rPr>
                                      <w:t>May 30,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8DE930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30T00:00:00Z">
                              <w:dateFormat w:val="MMMM d, yyyy"/>
                              <w:lid w:val="en-US"/>
                              <w:storeMappedDataAs w:val="dateTime"/>
                              <w:calendar w:val="gregorian"/>
                            </w:date>
                          </w:sdtPr>
                          <w:sdtContent>
                            <w:p w14:paraId="5343B879" w14:textId="247A8F3E" w:rsidR="00985C5E" w:rsidRDefault="007747F8">
                              <w:pPr>
                                <w:pStyle w:val="NoSpacing"/>
                                <w:jc w:val="right"/>
                                <w:rPr>
                                  <w:caps/>
                                  <w:color w:val="323E4F" w:themeColor="text2" w:themeShade="BF"/>
                                  <w:sz w:val="40"/>
                                  <w:szCs w:val="40"/>
                                </w:rPr>
                              </w:pPr>
                              <w:r>
                                <w:rPr>
                                  <w:caps/>
                                  <w:color w:val="323E4F" w:themeColor="text2" w:themeShade="BF"/>
                                  <w:sz w:val="40"/>
                                  <w:szCs w:val="40"/>
                                </w:rPr>
                                <w:t>May 30,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01A3084" wp14:editId="67C418C2">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8F60D3" w14:textId="694DCD83" w:rsidR="00985C5E" w:rsidRDefault="00985C5E">
                                    <w:pPr>
                                      <w:pStyle w:val="NoSpacing"/>
                                      <w:jc w:val="right"/>
                                      <w:rPr>
                                        <w:caps/>
                                        <w:color w:val="262626" w:themeColor="text1" w:themeTint="D9"/>
                                        <w:sz w:val="28"/>
                                        <w:szCs w:val="28"/>
                                      </w:rPr>
                                    </w:pPr>
                                    <w:r>
                                      <w:rPr>
                                        <w:caps/>
                                        <w:color w:val="262626" w:themeColor="text1" w:themeTint="D9"/>
                                        <w:sz w:val="28"/>
                                        <w:szCs w:val="28"/>
                                      </w:rPr>
                                      <w:t>Mike Waite</w:t>
                                    </w:r>
                                  </w:p>
                                </w:sdtContent>
                              </w:sdt>
                              <w:p w14:paraId="35824DA1" w14:textId="7BA03285" w:rsidR="00985C5E"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07A7E">
                                      <w:rPr>
                                        <w:caps/>
                                        <w:color w:val="262626" w:themeColor="text1" w:themeTint="D9"/>
                                        <w:sz w:val="20"/>
                                        <w:szCs w:val="20"/>
                                      </w:rPr>
                                      <w:t>University of south wales</w:t>
                                    </w:r>
                                  </w:sdtContent>
                                </w:sdt>
                              </w:p>
                              <w:p w14:paraId="62E8DE32" w14:textId="67A1DD9C" w:rsidR="00985C5E"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5A2764">
                                      <w:rPr>
                                        <w:color w:val="262626" w:themeColor="text1" w:themeTint="D9"/>
                                        <w:sz w:val="20"/>
                                        <w:szCs w:val="20"/>
                                      </w:rPr>
                                      <w:t>Student No.: 2134221</w:t>
                                    </w:r>
                                  </w:sdtContent>
                                </w:sdt>
                                <w:r w:rsidR="00985C5E">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01A3084"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8F60D3" w14:textId="694DCD83" w:rsidR="00985C5E" w:rsidRDefault="00985C5E">
                              <w:pPr>
                                <w:pStyle w:val="NoSpacing"/>
                                <w:jc w:val="right"/>
                                <w:rPr>
                                  <w:caps/>
                                  <w:color w:val="262626" w:themeColor="text1" w:themeTint="D9"/>
                                  <w:sz w:val="28"/>
                                  <w:szCs w:val="28"/>
                                </w:rPr>
                              </w:pPr>
                              <w:r>
                                <w:rPr>
                                  <w:caps/>
                                  <w:color w:val="262626" w:themeColor="text1" w:themeTint="D9"/>
                                  <w:sz w:val="28"/>
                                  <w:szCs w:val="28"/>
                                </w:rPr>
                                <w:t>Mike Waite</w:t>
                              </w:r>
                            </w:p>
                          </w:sdtContent>
                        </w:sdt>
                        <w:p w14:paraId="35824DA1" w14:textId="7BA03285" w:rsidR="00985C5E"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07A7E">
                                <w:rPr>
                                  <w:caps/>
                                  <w:color w:val="262626" w:themeColor="text1" w:themeTint="D9"/>
                                  <w:sz w:val="20"/>
                                  <w:szCs w:val="20"/>
                                </w:rPr>
                                <w:t>University of south wales</w:t>
                              </w:r>
                            </w:sdtContent>
                          </w:sdt>
                        </w:p>
                        <w:p w14:paraId="62E8DE32" w14:textId="67A1DD9C" w:rsidR="00985C5E"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5A2764">
                                <w:rPr>
                                  <w:color w:val="262626" w:themeColor="text1" w:themeTint="D9"/>
                                  <w:sz w:val="20"/>
                                  <w:szCs w:val="20"/>
                                </w:rPr>
                                <w:t>Student No.: 2134221</w:t>
                              </w:r>
                            </w:sdtContent>
                          </w:sdt>
                          <w:r w:rsidR="00985C5E">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8F6BE63" wp14:editId="5CF2DC17">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BF8A9" w14:textId="6263BF21" w:rsidR="00985C5E"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D6095">
                                      <w:rPr>
                                        <w:caps/>
                                        <w:color w:val="323E4F" w:themeColor="text2" w:themeShade="BF"/>
                                        <w:sz w:val="52"/>
                                        <w:szCs w:val="52"/>
                                      </w:rPr>
                                      <w:t>Digital printing appraisal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EFF4310" w14:textId="6FE70218" w:rsidR="00985C5E" w:rsidRDefault="00007A7E">
                                    <w:pPr>
                                      <w:pStyle w:val="NoSpacing"/>
                                      <w:jc w:val="right"/>
                                      <w:rPr>
                                        <w:smallCaps/>
                                        <w:color w:val="44546A" w:themeColor="text2"/>
                                        <w:sz w:val="36"/>
                                        <w:szCs w:val="36"/>
                                      </w:rPr>
                                    </w:pPr>
                                    <w:r>
                                      <w:rPr>
                                        <w:smallCaps/>
                                        <w:color w:val="44546A" w:themeColor="text2"/>
                                        <w:sz w:val="36"/>
                                        <w:szCs w:val="36"/>
                                      </w:rPr>
                                      <w:t xml:space="preserve">Financial Management and Planning </w:t>
                                    </w:r>
                                    <w:r w:rsidR="007D6095">
                                      <w:rPr>
                                        <w:smallCaps/>
                                        <w:color w:val="44546A" w:themeColor="text2"/>
                                        <w:sz w:val="36"/>
                                        <w:szCs w:val="36"/>
                                      </w:rPr>
                                      <w:t>Assignment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8F6BE63"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07BF8A9" w14:textId="6263BF21" w:rsidR="00985C5E"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D6095">
                                <w:rPr>
                                  <w:caps/>
                                  <w:color w:val="323E4F" w:themeColor="text2" w:themeShade="BF"/>
                                  <w:sz w:val="52"/>
                                  <w:szCs w:val="52"/>
                                </w:rPr>
                                <w:t>Digital printing appraisal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EFF4310" w14:textId="6FE70218" w:rsidR="00985C5E" w:rsidRDefault="00007A7E">
                              <w:pPr>
                                <w:pStyle w:val="NoSpacing"/>
                                <w:jc w:val="right"/>
                                <w:rPr>
                                  <w:smallCaps/>
                                  <w:color w:val="44546A" w:themeColor="text2"/>
                                  <w:sz w:val="36"/>
                                  <w:szCs w:val="36"/>
                                </w:rPr>
                              </w:pPr>
                              <w:r>
                                <w:rPr>
                                  <w:smallCaps/>
                                  <w:color w:val="44546A" w:themeColor="text2"/>
                                  <w:sz w:val="36"/>
                                  <w:szCs w:val="36"/>
                                </w:rPr>
                                <w:t xml:space="preserve">Financial Management and Planning </w:t>
                              </w:r>
                              <w:r w:rsidR="007D6095">
                                <w:rPr>
                                  <w:smallCaps/>
                                  <w:color w:val="44546A" w:themeColor="text2"/>
                                  <w:sz w:val="36"/>
                                  <w:szCs w:val="36"/>
                                </w:rPr>
                                <w:t>Assignment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BF24F6B" wp14:editId="49DDBFB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5F5615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14BC82F5" w14:textId="77777777" w:rsidR="00C248E8" w:rsidRDefault="001369D5" w:rsidP="001369D5">
      <w:pPr>
        <w:pStyle w:val="Heading"/>
      </w:pPr>
      <w:bookmarkStart w:id="0" w:name="_Toc136290556"/>
      <w:r>
        <w:lastRenderedPageBreak/>
        <w:t>Executive Summary</w:t>
      </w:r>
      <w:bookmarkEnd w:id="0"/>
    </w:p>
    <w:p w14:paraId="2CDD224F" w14:textId="357F6872" w:rsidR="00C248E8" w:rsidRDefault="00F63D1A" w:rsidP="00C248E8">
      <w:pPr>
        <w:pStyle w:val="Body"/>
      </w:pPr>
      <w:r>
        <w:t xml:space="preserve">This </w:t>
      </w:r>
      <w:r w:rsidR="00C94A1E">
        <w:t>Board report provides a project appraisal of the Digital Printing Project.  Financial Co</w:t>
      </w:r>
      <w:r w:rsidR="00C35B0A">
        <w:t>n</w:t>
      </w:r>
      <w:r w:rsidR="00C94A1E">
        <w:t>cepts are analys</w:t>
      </w:r>
      <w:r w:rsidR="00C35B0A">
        <w:t xml:space="preserve">ed in relation to the capital </w:t>
      </w:r>
      <w:r w:rsidR="00AA6BB1">
        <w:t>project,</w:t>
      </w:r>
      <w:r w:rsidR="00C35B0A">
        <w:t xml:space="preserve"> and </w:t>
      </w:r>
      <w:r w:rsidR="00343798">
        <w:t>these are in turn considered how they apply to the capital justification.</w:t>
      </w:r>
    </w:p>
    <w:p w14:paraId="5A953CE7" w14:textId="3908A92F" w:rsidR="008D2DBA" w:rsidRDefault="00343798" w:rsidP="00C248E8">
      <w:pPr>
        <w:pStyle w:val="Body"/>
      </w:pPr>
      <w:r>
        <w:t xml:space="preserve">A Risk Assessment is undertaken to evaluate any corporate risk and identify any mitigations that may be necessary to eliminate or </w:t>
      </w:r>
      <w:r w:rsidR="0048237E">
        <w:t>minimise the effect or impact</w:t>
      </w:r>
      <w:r w:rsidR="00AF5E91">
        <w:t xml:space="preserve"> and a</w:t>
      </w:r>
      <w:r w:rsidR="0048237E">
        <w:t xml:space="preserve">lternative Funding Options are </w:t>
      </w:r>
      <w:r w:rsidR="00F67F46">
        <w:t>considered</w:t>
      </w:r>
      <w:r w:rsidR="0048237E">
        <w:t xml:space="preserve"> and</w:t>
      </w:r>
      <w:r w:rsidR="00461F52">
        <w:t xml:space="preserve"> </w:t>
      </w:r>
      <w:r w:rsidR="00F67F46">
        <w:t>evaluated</w:t>
      </w:r>
      <w:r w:rsidR="00AF1305">
        <w:t>.</w:t>
      </w:r>
    </w:p>
    <w:p w14:paraId="27153ACF" w14:textId="224723E6" w:rsidR="0048237E" w:rsidRDefault="00461F52" w:rsidP="00C248E8">
      <w:pPr>
        <w:pStyle w:val="Body"/>
      </w:pPr>
      <w:r>
        <w:t>Key decisio</w:t>
      </w:r>
      <w:r w:rsidR="00CB2AB4">
        <w:t xml:space="preserve">n-making </w:t>
      </w:r>
      <w:r w:rsidR="00F9162E">
        <w:t>choices</w:t>
      </w:r>
      <w:r w:rsidR="00CB2AB4">
        <w:t xml:space="preserve"> </w:t>
      </w:r>
      <w:r w:rsidR="008D2DBA">
        <w:t xml:space="preserve">are highlighted along with </w:t>
      </w:r>
      <w:r w:rsidR="006118C1">
        <w:t xml:space="preserve">expected issues with </w:t>
      </w:r>
      <w:r w:rsidR="00AA6BB1">
        <w:t>implementation,</w:t>
      </w:r>
      <w:r w:rsidR="00D54C19">
        <w:t xml:space="preserve"> and </w:t>
      </w:r>
      <w:r w:rsidR="00483525">
        <w:t xml:space="preserve">all is </w:t>
      </w:r>
      <w:r w:rsidR="00D54C19">
        <w:t xml:space="preserve">summarised </w:t>
      </w:r>
      <w:r w:rsidR="00EB5B59">
        <w:t xml:space="preserve">with recommendations </w:t>
      </w:r>
      <w:r w:rsidR="00D54C19">
        <w:t xml:space="preserve">by </w:t>
      </w:r>
      <w:r w:rsidR="00EB5B59">
        <w:t>means of a conclusion.</w:t>
      </w:r>
    </w:p>
    <w:p w14:paraId="611D67E8" w14:textId="38100E9C" w:rsidR="00C248E8" w:rsidRDefault="00F21543">
      <w:pPr>
        <w:rPr>
          <w:lang w:eastAsia="en-US"/>
        </w:rPr>
      </w:pPr>
      <w:r>
        <w:t>Details of Calculations are provided in the Appendices.</w:t>
      </w:r>
      <w:r w:rsidR="00C248E8">
        <w:br w:type="page"/>
      </w:r>
    </w:p>
    <w:sdt>
      <w:sdtPr>
        <w:rPr>
          <w:rFonts w:ascii="Gill Sans MT" w:eastAsia="Times New Roman" w:hAnsi="Gill Sans MT" w:cs="Times New Roman"/>
          <w:color w:val="000000" w:themeColor="text1"/>
          <w:kern w:val="2"/>
          <w:sz w:val="22"/>
          <w:szCs w:val="20"/>
          <w:lang w:val="en-GB" w:eastAsia="en-GB"/>
          <w14:ligatures w14:val="standardContextual"/>
        </w:rPr>
        <w:id w:val="1313912302"/>
        <w:docPartObj>
          <w:docPartGallery w:val="Table of Contents"/>
          <w:docPartUnique/>
        </w:docPartObj>
      </w:sdtPr>
      <w:sdtEndPr>
        <w:rPr>
          <w:b/>
          <w:bCs/>
          <w:noProof/>
        </w:rPr>
      </w:sdtEndPr>
      <w:sdtContent>
        <w:p w14:paraId="008B88DA" w14:textId="53C42768" w:rsidR="004E27A9" w:rsidRPr="002F0854" w:rsidRDefault="004E27A9" w:rsidP="00DF62CD">
          <w:pPr>
            <w:pStyle w:val="TOCHeading"/>
            <w:rPr>
              <w:rFonts w:ascii="Times New Roman" w:hAnsi="Times New Roman" w:cs="Times New Roman"/>
              <w:b/>
              <w:bCs/>
              <w:color w:val="5E5785"/>
              <w:sz w:val="33"/>
              <w:szCs w:val="33"/>
            </w:rPr>
          </w:pPr>
          <w:r w:rsidRPr="002F0854">
            <w:rPr>
              <w:rFonts w:ascii="Times New Roman" w:hAnsi="Times New Roman" w:cs="Times New Roman"/>
              <w:b/>
              <w:bCs/>
              <w:color w:val="5E5785"/>
              <w:sz w:val="33"/>
              <w:szCs w:val="33"/>
            </w:rPr>
            <w:t>Contents</w:t>
          </w:r>
        </w:p>
        <w:p w14:paraId="39F476FF" w14:textId="4DD0C7A0" w:rsidR="005A5659" w:rsidRDefault="004E27A9">
          <w:pPr>
            <w:pStyle w:val="TOC1"/>
            <w:rPr>
              <w:rFonts w:asciiTheme="minorHAnsi" w:eastAsiaTheme="minorEastAsia" w:hAnsiTheme="minorHAnsi" w:cstheme="minorBidi"/>
              <w:b w:val="0"/>
              <w:bCs w:val="0"/>
              <w:noProof/>
              <w:color w:val="auto"/>
              <w:szCs w:val="22"/>
            </w:rPr>
          </w:pPr>
          <w:r>
            <w:fldChar w:fldCharType="begin"/>
          </w:r>
          <w:r>
            <w:instrText xml:space="preserve"> TOC \o "1-3" \h \z \u </w:instrText>
          </w:r>
          <w:r>
            <w:fldChar w:fldCharType="separate"/>
          </w:r>
          <w:hyperlink w:anchor="_Toc136290556" w:history="1">
            <w:r w:rsidR="005A5659" w:rsidRPr="005F1E5B">
              <w:rPr>
                <w:rStyle w:val="Hyperlink"/>
              </w:rPr>
              <w:t>Executive Summary</w:t>
            </w:r>
            <w:r w:rsidR="005A5659">
              <w:rPr>
                <w:noProof/>
                <w:webHidden/>
              </w:rPr>
              <w:tab/>
            </w:r>
            <w:r w:rsidR="005A5659">
              <w:rPr>
                <w:noProof/>
                <w:webHidden/>
              </w:rPr>
              <w:fldChar w:fldCharType="begin"/>
            </w:r>
            <w:r w:rsidR="005A5659">
              <w:rPr>
                <w:noProof/>
                <w:webHidden/>
              </w:rPr>
              <w:instrText xml:space="preserve"> PAGEREF _Toc136290556 \h </w:instrText>
            </w:r>
            <w:r w:rsidR="005A5659">
              <w:rPr>
                <w:noProof/>
                <w:webHidden/>
              </w:rPr>
            </w:r>
            <w:r w:rsidR="005A5659">
              <w:rPr>
                <w:noProof/>
                <w:webHidden/>
              </w:rPr>
              <w:fldChar w:fldCharType="separate"/>
            </w:r>
            <w:r w:rsidR="005A5659">
              <w:rPr>
                <w:noProof/>
                <w:webHidden/>
              </w:rPr>
              <w:t>1</w:t>
            </w:r>
            <w:r w:rsidR="005A5659">
              <w:rPr>
                <w:noProof/>
                <w:webHidden/>
              </w:rPr>
              <w:fldChar w:fldCharType="end"/>
            </w:r>
          </w:hyperlink>
        </w:p>
        <w:p w14:paraId="7285F6DD" w14:textId="2B96F507" w:rsidR="005A5659" w:rsidRDefault="005A5659">
          <w:pPr>
            <w:pStyle w:val="TOC1"/>
            <w:rPr>
              <w:rFonts w:asciiTheme="minorHAnsi" w:eastAsiaTheme="minorEastAsia" w:hAnsiTheme="minorHAnsi" w:cstheme="minorBidi"/>
              <w:b w:val="0"/>
              <w:bCs w:val="0"/>
              <w:noProof/>
              <w:color w:val="auto"/>
              <w:szCs w:val="22"/>
            </w:rPr>
          </w:pPr>
          <w:hyperlink w:anchor="_Toc136290557" w:history="1">
            <w:r w:rsidRPr="005F1E5B">
              <w:rPr>
                <w:rStyle w:val="Hyperlink"/>
              </w:rPr>
              <w:t>Introduction</w:t>
            </w:r>
            <w:r>
              <w:rPr>
                <w:noProof/>
                <w:webHidden/>
              </w:rPr>
              <w:tab/>
            </w:r>
            <w:r>
              <w:rPr>
                <w:noProof/>
                <w:webHidden/>
              </w:rPr>
              <w:tab/>
            </w:r>
            <w:r>
              <w:rPr>
                <w:noProof/>
                <w:webHidden/>
              </w:rPr>
              <w:fldChar w:fldCharType="begin"/>
            </w:r>
            <w:r>
              <w:rPr>
                <w:noProof/>
                <w:webHidden/>
              </w:rPr>
              <w:instrText xml:space="preserve"> PAGEREF _Toc136290557 \h </w:instrText>
            </w:r>
            <w:r>
              <w:rPr>
                <w:noProof/>
                <w:webHidden/>
              </w:rPr>
            </w:r>
            <w:r>
              <w:rPr>
                <w:noProof/>
                <w:webHidden/>
              </w:rPr>
              <w:fldChar w:fldCharType="separate"/>
            </w:r>
            <w:r>
              <w:rPr>
                <w:noProof/>
                <w:webHidden/>
              </w:rPr>
              <w:t>3</w:t>
            </w:r>
            <w:r>
              <w:rPr>
                <w:noProof/>
                <w:webHidden/>
              </w:rPr>
              <w:fldChar w:fldCharType="end"/>
            </w:r>
          </w:hyperlink>
        </w:p>
        <w:p w14:paraId="185C8183" w14:textId="7D939E5A" w:rsidR="005A5659" w:rsidRDefault="005A5659">
          <w:pPr>
            <w:pStyle w:val="TOC1"/>
            <w:rPr>
              <w:rFonts w:asciiTheme="minorHAnsi" w:eastAsiaTheme="minorEastAsia" w:hAnsiTheme="minorHAnsi" w:cstheme="minorBidi"/>
              <w:b w:val="0"/>
              <w:bCs w:val="0"/>
              <w:noProof/>
              <w:color w:val="auto"/>
              <w:szCs w:val="22"/>
            </w:rPr>
          </w:pPr>
          <w:hyperlink w:anchor="_Toc136290558" w:history="1">
            <w:r w:rsidRPr="005F1E5B">
              <w:rPr>
                <w:rStyle w:val="Hyperlink"/>
              </w:rPr>
              <w:t>Financial Concepts for Analysis</w:t>
            </w:r>
            <w:r>
              <w:rPr>
                <w:noProof/>
                <w:webHidden/>
              </w:rPr>
              <w:tab/>
            </w:r>
            <w:r>
              <w:rPr>
                <w:noProof/>
                <w:webHidden/>
              </w:rPr>
              <w:fldChar w:fldCharType="begin"/>
            </w:r>
            <w:r>
              <w:rPr>
                <w:noProof/>
                <w:webHidden/>
              </w:rPr>
              <w:instrText xml:space="preserve"> PAGEREF _Toc136290558 \h </w:instrText>
            </w:r>
            <w:r>
              <w:rPr>
                <w:noProof/>
                <w:webHidden/>
              </w:rPr>
            </w:r>
            <w:r>
              <w:rPr>
                <w:noProof/>
                <w:webHidden/>
              </w:rPr>
              <w:fldChar w:fldCharType="separate"/>
            </w:r>
            <w:r>
              <w:rPr>
                <w:noProof/>
                <w:webHidden/>
              </w:rPr>
              <w:t>4</w:t>
            </w:r>
            <w:r>
              <w:rPr>
                <w:noProof/>
                <w:webHidden/>
              </w:rPr>
              <w:fldChar w:fldCharType="end"/>
            </w:r>
          </w:hyperlink>
        </w:p>
        <w:p w14:paraId="2FE13091" w14:textId="60B847BC" w:rsidR="005A5659" w:rsidRDefault="005A5659">
          <w:pPr>
            <w:pStyle w:val="TOC1"/>
            <w:rPr>
              <w:rFonts w:asciiTheme="minorHAnsi" w:eastAsiaTheme="minorEastAsia" w:hAnsiTheme="minorHAnsi" w:cstheme="minorBidi"/>
              <w:b w:val="0"/>
              <w:bCs w:val="0"/>
              <w:noProof/>
              <w:color w:val="auto"/>
              <w:szCs w:val="22"/>
            </w:rPr>
          </w:pPr>
          <w:hyperlink w:anchor="_Toc136290559" w:history="1">
            <w:r w:rsidRPr="005F1E5B">
              <w:rPr>
                <w:rStyle w:val="Hyperlink"/>
              </w:rPr>
              <w:t>Application to business justification</w:t>
            </w:r>
            <w:r>
              <w:rPr>
                <w:noProof/>
                <w:webHidden/>
              </w:rPr>
              <w:tab/>
            </w:r>
            <w:r>
              <w:rPr>
                <w:noProof/>
                <w:webHidden/>
              </w:rPr>
              <w:fldChar w:fldCharType="begin"/>
            </w:r>
            <w:r>
              <w:rPr>
                <w:noProof/>
                <w:webHidden/>
              </w:rPr>
              <w:instrText xml:space="preserve"> PAGEREF _Toc136290559 \h </w:instrText>
            </w:r>
            <w:r>
              <w:rPr>
                <w:noProof/>
                <w:webHidden/>
              </w:rPr>
            </w:r>
            <w:r>
              <w:rPr>
                <w:noProof/>
                <w:webHidden/>
              </w:rPr>
              <w:fldChar w:fldCharType="separate"/>
            </w:r>
            <w:r>
              <w:rPr>
                <w:noProof/>
                <w:webHidden/>
              </w:rPr>
              <w:t>5</w:t>
            </w:r>
            <w:r>
              <w:rPr>
                <w:noProof/>
                <w:webHidden/>
              </w:rPr>
              <w:fldChar w:fldCharType="end"/>
            </w:r>
          </w:hyperlink>
        </w:p>
        <w:p w14:paraId="6D110A6F" w14:textId="4A90035C" w:rsidR="005A5659" w:rsidRDefault="005A5659">
          <w:pPr>
            <w:pStyle w:val="TOC1"/>
            <w:rPr>
              <w:rFonts w:asciiTheme="minorHAnsi" w:eastAsiaTheme="minorEastAsia" w:hAnsiTheme="minorHAnsi" w:cstheme="minorBidi"/>
              <w:b w:val="0"/>
              <w:bCs w:val="0"/>
              <w:noProof/>
              <w:color w:val="auto"/>
              <w:szCs w:val="22"/>
            </w:rPr>
          </w:pPr>
          <w:hyperlink w:anchor="_Toc136290560" w:history="1">
            <w:r w:rsidRPr="005F1E5B">
              <w:rPr>
                <w:rStyle w:val="Hyperlink"/>
              </w:rPr>
              <w:t>Risk Assessment</w:t>
            </w:r>
            <w:r>
              <w:rPr>
                <w:noProof/>
                <w:webHidden/>
              </w:rPr>
              <w:tab/>
            </w:r>
            <w:r>
              <w:rPr>
                <w:noProof/>
                <w:webHidden/>
              </w:rPr>
              <w:fldChar w:fldCharType="begin"/>
            </w:r>
            <w:r>
              <w:rPr>
                <w:noProof/>
                <w:webHidden/>
              </w:rPr>
              <w:instrText xml:space="preserve"> PAGEREF _Toc136290560 \h </w:instrText>
            </w:r>
            <w:r>
              <w:rPr>
                <w:noProof/>
                <w:webHidden/>
              </w:rPr>
            </w:r>
            <w:r>
              <w:rPr>
                <w:noProof/>
                <w:webHidden/>
              </w:rPr>
              <w:fldChar w:fldCharType="separate"/>
            </w:r>
            <w:r>
              <w:rPr>
                <w:noProof/>
                <w:webHidden/>
              </w:rPr>
              <w:t>6</w:t>
            </w:r>
            <w:r>
              <w:rPr>
                <w:noProof/>
                <w:webHidden/>
              </w:rPr>
              <w:fldChar w:fldCharType="end"/>
            </w:r>
          </w:hyperlink>
        </w:p>
        <w:p w14:paraId="41CA2369" w14:textId="0D037472" w:rsidR="005A5659" w:rsidRDefault="005A5659">
          <w:pPr>
            <w:pStyle w:val="TOC1"/>
            <w:rPr>
              <w:rFonts w:asciiTheme="minorHAnsi" w:eastAsiaTheme="minorEastAsia" w:hAnsiTheme="minorHAnsi" w:cstheme="minorBidi"/>
              <w:b w:val="0"/>
              <w:bCs w:val="0"/>
              <w:noProof/>
              <w:color w:val="auto"/>
              <w:szCs w:val="22"/>
            </w:rPr>
          </w:pPr>
          <w:hyperlink w:anchor="_Toc136290561" w:history="1">
            <w:r w:rsidRPr="005F1E5B">
              <w:rPr>
                <w:rStyle w:val="Hyperlink"/>
              </w:rPr>
              <w:t>Funding Options</w:t>
            </w:r>
            <w:r>
              <w:rPr>
                <w:noProof/>
                <w:webHidden/>
              </w:rPr>
              <w:tab/>
            </w:r>
            <w:r>
              <w:rPr>
                <w:noProof/>
                <w:webHidden/>
              </w:rPr>
              <w:fldChar w:fldCharType="begin"/>
            </w:r>
            <w:r>
              <w:rPr>
                <w:noProof/>
                <w:webHidden/>
              </w:rPr>
              <w:instrText xml:space="preserve"> PAGEREF _Toc136290561 \h </w:instrText>
            </w:r>
            <w:r>
              <w:rPr>
                <w:noProof/>
                <w:webHidden/>
              </w:rPr>
            </w:r>
            <w:r>
              <w:rPr>
                <w:noProof/>
                <w:webHidden/>
              </w:rPr>
              <w:fldChar w:fldCharType="separate"/>
            </w:r>
            <w:r>
              <w:rPr>
                <w:noProof/>
                <w:webHidden/>
              </w:rPr>
              <w:t>7</w:t>
            </w:r>
            <w:r>
              <w:rPr>
                <w:noProof/>
                <w:webHidden/>
              </w:rPr>
              <w:fldChar w:fldCharType="end"/>
            </w:r>
          </w:hyperlink>
        </w:p>
        <w:p w14:paraId="02BD39F5" w14:textId="35FF2C9F" w:rsidR="005A5659" w:rsidRDefault="005A5659">
          <w:pPr>
            <w:pStyle w:val="TOC1"/>
            <w:rPr>
              <w:rFonts w:asciiTheme="minorHAnsi" w:eastAsiaTheme="minorEastAsia" w:hAnsiTheme="minorHAnsi" w:cstheme="minorBidi"/>
              <w:b w:val="0"/>
              <w:bCs w:val="0"/>
              <w:noProof/>
              <w:color w:val="auto"/>
              <w:szCs w:val="22"/>
            </w:rPr>
          </w:pPr>
          <w:hyperlink w:anchor="_Toc136290562" w:history="1">
            <w:r w:rsidRPr="005F1E5B">
              <w:rPr>
                <w:rStyle w:val="Hyperlink"/>
              </w:rPr>
              <w:t>Capital Rationing</w:t>
            </w:r>
            <w:r>
              <w:rPr>
                <w:noProof/>
                <w:webHidden/>
              </w:rPr>
              <w:tab/>
            </w:r>
            <w:r>
              <w:rPr>
                <w:noProof/>
                <w:webHidden/>
              </w:rPr>
              <w:fldChar w:fldCharType="begin"/>
            </w:r>
            <w:r>
              <w:rPr>
                <w:noProof/>
                <w:webHidden/>
              </w:rPr>
              <w:instrText xml:space="preserve"> PAGEREF _Toc136290562 \h </w:instrText>
            </w:r>
            <w:r>
              <w:rPr>
                <w:noProof/>
                <w:webHidden/>
              </w:rPr>
            </w:r>
            <w:r>
              <w:rPr>
                <w:noProof/>
                <w:webHidden/>
              </w:rPr>
              <w:fldChar w:fldCharType="separate"/>
            </w:r>
            <w:r>
              <w:rPr>
                <w:noProof/>
                <w:webHidden/>
              </w:rPr>
              <w:t>9</w:t>
            </w:r>
            <w:r>
              <w:rPr>
                <w:noProof/>
                <w:webHidden/>
              </w:rPr>
              <w:fldChar w:fldCharType="end"/>
            </w:r>
          </w:hyperlink>
        </w:p>
        <w:p w14:paraId="30651212" w14:textId="5942C9C9" w:rsidR="005A5659" w:rsidRDefault="005A5659">
          <w:pPr>
            <w:pStyle w:val="TOC1"/>
            <w:rPr>
              <w:rFonts w:asciiTheme="minorHAnsi" w:eastAsiaTheme="minorEastAsia" w:hAnsiTheme="minorHAnsi" w:cstheme="minorBidi"/>
              <w:b w:val="0"/>
              <w:bCs w:val="0"/>
              <w:noProof/>
              <w:color w:val="auto"/>
              <w:szCs w:val="22"/>
            </w:rPr>
          </w:pPr>
          <w:hyperlink w:anchor="_Toc136290563" w:history="1">
            <w:r w:rsidRPr="005F1E5B">
              <w:rPr>
                <w:rStyle w:val="Hyperlink"/>
              </w:rPr>
              <w:t>Conclusion</w:t>
            </w:r>
            <w:r>
              <w:rPr>
                <w:noProof/>
                <w:webHidden/>
              </w:rPr>
              <w:tab/>
            </w:r>
            <w:r>
              <w:rPr>
                <w:noProof/>
                <w:webHidden/>
              </w:rPr>
              <w:tab/>
            </w:r>
            <w:r>
              <w:rPr>
                <w:noProof/>
                <w:webHidden/>
              </w:rPr>
              <w:fldChar w:fldCharType="begin"/>
            </w:r>
            <w:r>
              <w:rPr>
                <w:noProof/>
                <w:webHidden/>
              </w:rPr>
              <w:instrText xml:space="preserve"> PAGEREF _Toc136290563 \h </w:instrText>
            </w:r>
            <w:r>
              <w:rPr>
                <w:noProof/>
                <w:webHidden/>
              </w:rPr>
            </w:r>
            <w:r>
              <w:rPr>
                <w:noProof/>
                <w:webHidden/>
              </w:rPr>
              <w:fldChar w:fldCharType="separate"/>
            </w:r>
            <w:r>
              <w:rPr>
                <w:noProof/>
                <w:webHidden/>
              </w:rPr>
              <w:t>10</w:t>
            </w:r>
            <w:r>
              <w:rPr>
                <w:noProof/>
                <w:webHidden/>
              </w:rPr>
              <w:fldChar w:fldCharType="end"/>
            </w:r>
          </w:hyperlink>
        </w:p>
        <w:p w14:paraId="3072FA82" w14:textId="7243FF5B" w:rsidR="005A5659" w:rsidRDefault="005A5659">
          <w:pPr>
            <w:pStyle w:val="TOC1"/>
            <w:rPr>
              <w:rFonts w:asciiTheme="minorHAnsi" w:eastAsiaTheme="minorEastAsia" w:hAnsiTheme="minorHAnsi" w:cstheme="minorBidi"/>
              <w:b w:val="0"/>
              <w:bCs w:val="0"/>
              <w:noProof/>
              <w:color w:val="auto"/>
              <w:szCs w:val="22"/>
            </w:rPr>
          </w:pPr>
          <w:hyperlink w:anchor="_Toc136290564" w:history="1">
            <w:r w:rsidRPr="005F1E5B">
              <w:rPr>
                <w:rStyle w:val="Hyperlink"/>
              </w:rPr>
              <w:t>Appendix</w:t>
            </w:r>
            <w:r>
              <w:rPr>
                <w:noProof/>
                <w:webHidden/>
              </w:rPr>
              <w:tab/>
            </w:r>
            <w:r>
              <w:rPr>
                <w:noProof/>
                <w:webHidden/>
              </w:rPr>
              <w:tab/>
            </w:r>
            <w:r>
              <w:rPr>
                <w:noProof/>
                <w:webHidden/>
              </w:rPr>
              <w:fldChar w:fldCharType="begin"/>
            </w:r>
            <w:r>
              <w:rPr>
                <w:noProof/>
                <w:webHidden/>
              </w:rPr>
              <w:instrText xml:space="preserve"> PAGEREF _Toc136290564 \h </w:instrText>
            </w:r>
            <w:r>
              <w:rPr>
                <w:noProof/>
                <w:webHidden/>
              </w:rPr>
            </w:r>
            <w:r>
              <w:rPr>
                <w:noProof/>
                <w:webHidden/>
              </w:rPr>
              <w:fldChar w:fldCharType="separate"/>
            </w:r>
            <w:r>
              <w:rPr>
                <w:noProof/>
                <w:webHidden/>
              </w:rPr>
              <w:t>11</w:t>
            </w:r>
            <w:r>
              <w:rPr>
                <w:noProof/>
                <w:webHidden/>
              </w:rPr>
              <w:fldChar w:fldCharType="end"/>
            </w:r>
          </w:hyperlink>
        </w:p>
        <w:p w14:paraId="46012006" w14:textId="35A83002" w:rsidR="005A5659" w:rsidRDefault="005A5659">
          <w:pPr>
            <w:pStyle w:val="TOC1"/>
            <w:rPr>
              <w:rFonts w:asciiTheme="minorHAnsi" w:eastAsiaTheme="minorEastAsia" w:hAnsiTheme="minorHAnsi" w:cstheme="minorBidi"/>
              <w:b w:val="0"/>
              <w:bCs w:val="0"/>
              <w:noProof/>
              <w:color w:val="auto"/>
              <w:szCs w:val="22"/>
            </w:rPr>
          </w:pPr>
          <w:hyperlink w:anchor="_Toc136290565" w:history="1">
            <w:r w:rsidRPr="005F1E5B">
              <w:rPr>
                <w:rStyle w:val="Hyperlink"/>
              </w:rPr>
              <w:t>Calculations</w:t>
            </w:r>
            <w:r>
              <w:rPr>
                <w:noProof/>
                <w:webHidden/>
              </w:rPr>
              <w:tab/>
            </w:r>
            <w:r>
              <w:rPr>
                <w:noProof/>
                <w:webHidden/>
              </w:rPr>
              <w:tab/>
            </w:r>
            <w:r>
              <w:rPr>
                <w:noProof/>
                <w:webHidden/>
              </w:rPr>
              <w:fldChar w:fldCharType="begin"/>
            </w:r>
            <w:r>
              <w:rPr>
                <w:noProof/>
                <w:webHidden/>
              </w:rPr>
              <w:instrText xml:space="preserve"> PAGEREF _Toc136290565 \h </w:instrText>
            </w:r>
            <w:r>
              <w:rPr>
                <w:noProof/>
                <w:webHidden/>
              </w:rPr>
            </w:r>
            <w:r>
              <w:rPr>
                <w:noProof/>
                <w:webHidden/>
              </w:rPr>
              <w:fldChar w:fldCharType="separate"/>
            </w:r>
            <w:r>
              <w:rPr>
                <w:noProof/>
                <w:webHidden/>
              </w:rPr>
              <w:t>11</w:t>
            </w:r>
            <w:r>
              <w:rPr>
                <w:noProof/>
                <w:webHidden/>
              </w:rPr>
              <w:fldChar w:fldCharType="end"/>
            </w:r>
          </w:hyperlink>
        </w:p>
        <w:p w14:paraId="34365501" w14:textId="5D17319E" w:rsidR="005A5659" w:rsidRDefault="005A5659">
          <w:pPr>
            <w:pStyle w:val="TOC1"/>
            <w:rPr>
              <w:rFonts w:asciiTheme="minorHAnsi" w:eastAsiaTheme="minorEastAsia" w:hAnsiTheme="minorHAnsi" w:cstheme="minorBidi"/>
              <w:b w:val="0"/>
              <w:bCs w:val="0"/>
              <w:noProof/>
              <w:color w:val="auto"/>
              <w:szCs w:val="22"/>
            </w:rPr>
          </w:pPr>
          <w:hyperlink w:anchor="_Toc136290566" w:history="1">
            <w:r w:rsidRPr="005F1E5B">
              <w:rPr>
                <w:rStyle w:val="Hyperlink"/>
              </w:rPr>
              <w:t>Payback Period</w:t>
            </w:r>
            <w:r>
              <w:rPr>
                <w:noProof/>
                <w:webHidden/>
              </w:rPr>
              <w:tab/>
            </w:r>
            <w:r>
              <w:rPr>
                <w:noProof/>
                <w:webHidden/>
              </w:rPr>
              <w:fldChar w:fldCharType="begin"/>
            </w:r>
            <w:r>
              <w:rPr>
                <w:noProof/>
                <w:webHidden/>
              </w:rPr>
              <w:instrText xml:space="preserve"> PAGEREF _Toc136290566 \h </w:instrText>
            </w:r>
            <w:r>
              <w:rPr>
                <w:noProof/>
                <w:webHidden/>
              </w:rPr>
            </w:r>
            <w:r>
              <w:rPr>
                <w:noProof/>
                <w:webHidden/>
              </w:rPr>
              <w:fldChar w:fldCharType="separate"/>
            </w:r>
            <w:r>
              <w:rPr>
                <w:noProof/>
                <w:webHidden/>
              </w:rPr>
              <w:t>11</w:t>
            </w:r>
            <w:r>
              <w:rPr>
                <w:noProof/>
                <w:webHidden/>
              </w:rPr>
              <w:fldChar w:fldCharType="end"/>
            </w:r>
          </w:hyperlink>
        </w:p>
        <w:p w14:paraId="2367E480" w14:textId="77A7EA9D" w:rsidR="005A5659" w:rsidRDefault="005A5659">
          <w:pPr>
            <w:pStyle w:val="TOC1"/>
            <w:rPr>
              <w:rFonts w:asciiTheme="minorHAnsi" w:eastAsiaTheme="minorEastAsia" w:hAnsiTheme="minorHAnsi" w:cstheme="minorBidi"/>
              <w:b w:val="0"/>
              <w:bCs w:val="0"/>
              <w:noProof/>
              <w:color w:val="auto"/>
              <w:szCs w:val="22"/>
            </w:rPr>
          </w:pPr>
          <w:hyperlink w:anchor="_Toc136290567" w:history="1">
            <w:r w:rsidRPr="005F1E5B">
              <w:rPr>
                <w:rStyle w:val="Hyperlink"/>
              </w:rPr>
              <w:t>Net Present Value (NPV)</w:t>
            </w:r>
            <w:r>
              <w:rPr>
                <w:noProof/>
                <w:webHidden/>
              </w:rPr>
              <w:tab/>
            </w:r>
            <w:r>
              <w:rPr>
                <w:noProof/>
                <w:webHidden/>
              </w:rPr>
              <w:fldChar w:fldCharType="begin"/>
            </w:r>
            <w:r>
              <w:rPr>
                <w:noProof/>
                <w:webHidden/>
              </w:rPr>
              <w:instrText xml:space="preserve"> PAGEREF _Toc136290567 \h </w:instrText>
            </w:r>
            <w:r>
              <w:rPr>
                <w:noProof/>
                <w:webHidden/>
              </w:rPr>
            </w:r>
            <w:r>
              <w:rPr>
                <w:noProof/>
                <w:webHidden/>
              </w:rPr>
              <w:fldChar w:fldCharType="separate"/>
            </w:r>
            <w:r>
              <w:rPr>
                <w:noProof/>
                <w:webHidden/>
              </w:rPr>
              <w:t>11</w:t>
            </w:r>
            <w:r>
              <w:rPr>
                <w:noProof/>
                <w:webHidden/>
              </w:rPr>
              <w:fldChar w:fldCharType="end"/>
            </w:r>
          </w:hyperlink>
        </w:p>
        <w:p w14:paraId="63B5D3DF" w14:textId="76CC25BF" w:rsidR="005A5659" w:rsidRDefault="005A5659">
          <w:pPr>
            <w:pStyle w:val="TOC1"/>
            <w:rPr>
              <w:rFonts w:asciiTheme="minorHAnsi" w:eastAsiaTheme="minorEastAsia" w:hAnsiTheme="minorHAnsi" w:cstheme="minorBidi"/>
              <w:b w:val="0"/>
              <w:bCs w:val="0"/>
              <w:noProof/>
              <w:color w:val="auto"/>
              <w:szCs w:val="22"/>
            </w:rPr>
          </w:pPr>
          <w:hyperlink w:anchor="_Toc136290568" w:history="1">
            <w:r w:rsidRPr="005F1E5B">
              <w:rPr>
                <w:rStyle w:val="Hyperlink"/>
              </w:rPr>
              <w:t>Internal Rate of Return (IRR)</w:t>
            </w:r>
            <w:r>
              <w:rPr>
                <w:noProof/>
                <w:webHidden/>
              </w:rPr>
              <w:tab/>
            </w:r>
            <w:r>
              <w:rPr>
                <w:noProof/>
                <w:webHidden/>
              </w:rPr>
              <w:fldChar w:fldCharType="begin"/>
            </w:r>
            <w:r>
              <w:rPr>
                <w:noProof/>
                <w:webHidden/>
              </w:rPr>
              <w:instrText xml:space="preserve"> PAGEREF _Toc136290568 \h </w:instrText>
            </w:r>
            <w:r>
              <w:rPr>
                <w:noProof/>
                <w:webHidden/>
              </w:rPr>
            </w:r>
            <w:r>
              <w:rPr>
                <w:noProof/>
                <w:webHidden/>
              </w:rPr>
              <w:fldChar w:fldCharType="separate"/>
            </w:r>
            <w:r>
              <w:rPr>
                <w:noProof/>
                <w:webHidden/>
              </w:rPr>
              <w:t>12</w:t>
            </w:r>
            <w:r>
              <w:rPr>
                <w:noProof/>
                <w:webHidden/>
              </w:rPr>
              <w:fldChar w:fldCharType="end"/>
            </w:r>
          </w:hyperlink>
        </w:p>
        <w:p w14:paraId="518DF5E4" w14:textId="135684DA" w:rsidR="005A5659" w:rsidRDefault="005A5659">
          <w:pPr>
            <w:pStyle w:val="TOC1"/>
            <w:rPr>
              <w:rFonts w:asciiTheme="minorHAnsi" w:eastAsiaTheme="minorEastAsia" w:hAnsiTheme="minorHAnsi" w:cstheme="minorBidi"/>
              <w:b w:val="0"/>
              <w:bCs w:val="0"/>
              <w:noProof/>
              <w:color w:val="auto"/>
              <w:szCs w:val="22"/>
            </w:rPr>
          </w:pPr>
          <w:hyperlink w:anchor="_Toc136290569" w:history="1">
            <w:r w:rsidRPr="005F1E5B">
              <w:rPr>
                <w:rStyle w:val="Hyperlink"/>
              </w:rPr>
              <w:t>Profitability Index (PI) &amp; Benefit Cost Ratio (BCR)</w:t>
            </w:r>
            <w:r>
              <w:rPr>
                <w:noProof/>
                <w:webHidden/>
              </w:rPr>
              <w:tab/>
            </w:r>
            <w:r>
              <w:rPr>
                <w:noProof/>
                <w:webHidden/>
              </w:rPr>
              <w:fldChar w:fldCharType="begin"/>
            </w:r>
            <w:r>
              <w:rPr>
                <w:noProof/>
                <w:webHidden/>
              </w:rPr>
              <w:instrText xml:space="preserve"> PAGEREF _Toc136290569 \h </w:instrText>
            </w:r>
            <w:r>
              <w:rPr>
                <w:noProof/>
                <w:webHidden/>
              </w:rPr>
            </w:r>
            <w:r>
              <w:rPr>
                <w:noProof/>
                <w:webHidden/>
              </w:rPr>
              <w:fldChar w:fldCharType="separate"/>
            </w:r>
            <w:r>
              <w:rPr>
                <w:noProof/>
                <w:webHidden/>
              </w:rPr>
              <w:t>12</w:t>
            </w:r>
            <w:r>
              <w:rPr>
                <w:noProof/>
                <w:webHidden/>
              </w:rPr>
              <w:fldChar w:fldCharType="end"/>
            </w:r>
          </w:hyperlink>
        </w:p>
        <w:p w14:paraId="4E1F0A89" w14:textId="14BE6645" w:rsidR="005A5659" w:rsidRDefault="005A5659">
          <w:pPr>
            <w:pStyle w:val="TOC1"/>
            <w:rPr>
              <w:rFonts w:asciiTheme="minorHAnsi" w:eastAsiaTheme="minorEastAsia" w:hAnsiTheme="minorHAnsi" w:cstheme="minorBidi"/>
              <w:b w:val="0"/>
              <w:bCs w:val="0"/>
              <w:noProof/>
              <w:color w:val="auto"/>
              <w:szCs w:val="22"/>
            </w:rPr>
          </w:pPr>
          <w:hyperlink w:anchor="_Toc136290570" w:history="1">
            <w:r w:rsidRPr="005F1E5B">
              <w:rPr>
                <w:rStyle w:val="Hyperlink"/>
              </w:rPr>
              <w:t>Accounting Rate of Return (ARR)</w:t>
            </w:r>
            <w:r>
              <w:rPr>
                <w:noProof/>
                <w:webHidden/>
              </w:rPr>
              <w:tab/>
            </w:r>
            <w:r>
              <w:rPr>
                <w:noProof/>
                <w:webHidden/>
              </w:rPr>
              <w:fldChar w:fldCharType="begin"/>
            </w:r>
            <w:r>
              <w:rPr>
                <w:noProof/>
                <w:webHidden/>
              </w:rPr>
              <w:instrText xml:space="preserve"> PAGEREF _Toc136290570 \h </w:instrText>
            </w:r>
            <w:r>
              <w:rPr>
                <w:noProof/>
                <w:webHidden/>
              </w:rPr>
            </w:r>
            <w:r>
              <w:rPr>
                <w:noProof/>
                <w:webHidden/>
              </w:rPr>
              <w:fldChar w:fldCharType="separate"/>
            </w:r>
            <w:r>
              <w:rPr>
                <w:noProof/>
                <w:webHidden/>
              </w:rPr>
              <w:t>13</w:t>
            </w:r>
            <w:r>
              <w:rPr>
                <w:noProof/>
                <w:webHidden/>
              </w:rPr>
              <w:fldChar w:fldCharType="end"/>
            </w:r>
          </w:hyperlink>
        </w:p>
        <w:p w14:paraId="17E41A64" w14:textId="10469093" w:rsidR="005A5659" w:rsidRDefault="005A5659">
          <w:pPr>
            <w:pStyle w:val="TOC1"/>
            <w:rPr>
              <w:rFonts w:asciiTheme="minorHAnsi" w:eastAsiaTheme="minorEastAsia" w:hAnsiTheme="minorHAnsi" w:cstheme="minorBidi"/>
              <w:b w:val="0"/>
              <w:bCs w:val="0"/>
              <w:noProof/>
              <w:color w:val="auto"/>
              <w:szCs w:val="22"/>
            </w:rPr>
          </w:pPr>
          <w:hyperlink w:anchor="_Toc136290571" w:history="1">
            <w:r w:rsidRPr="005F1E5B">
              <w:rPr>
                <w:rStyle w:val="Hyperlink"/>
              </w:rPr>
              <w:t>References</w:t>
            </w:r>
            <w:r>
              <w:rPr>
                <w:noProof/>
                <w:webHidden/>
              </w:rPr>
              <w:tab/>
            </w:r>
            <w:r>
              <w:rPr>
                <w:noProof/>
                <w:webHidden/>
              </w:rPr>
              <w:tab/>
            </w:r>
            <w:r>
              <w:rPr>
                <w:noProof/>
                <w:webHidden/>
              </w:rPr>
              <w:fldChar w:fldCharType="begin"/>
            </w:r>
            <w:r>
              <w:rPr>
                <w:noProof/>
                <w:webHidden/>
              </w:rPr>
              <w:instrText xml:space="preserve"> PAGEREF _Toc136290571 \h </w:instrText>
            </w:r>
            <w:r>
              <w:rPr>
                <w:noProof/>
                <w:webHidden/>
              </w:rPr>
            </w:r>
            <w:r>
              <w:rPr>
                <w:noProof/>
                <w:webHidden/>
              </w:rPr>
              <w:fldChar w:fldCharType="separate"/>
            </w:r>
            <w:r>
              <w:rPr>
                <w:noProof/>
                <w:webHidden/>
              </w:rPr>
              <w:t>14</w:t>
            </w:r>
            <w:r>
              <w:rPr>
                <w:noProof/>
                <w:webHidden/>
              </w:rPr>
              <w:fldChar w:fldCharType="end"/>
            </w:r>
          </w:hyperlink>
        </w:p>
        <w:p w14:paraId="040DBB49" w14:textId="24D52208" w:rsidR="004E27A9" w:rsidRDefault="004E27A9">
          <w:r>
            <w:rPr>
              <w:b/>
              <w:bCs/>
              <w:noProof/>
            </w:rPr>
            <w:fldChar w:fldCharType="end"/>
          </w:r>
        </w:p>
      </w:sdtContent>
    </w:sdt>
    <w:p w14:paraId="5BCA86A9" w14:textId="77777777" w:rsidR="004E27A9" w:rsidRDefault="004E27A9">
      <w:pPr>
        <w:rPr>
          <w:rFonts w:ascii="Times New Roman" w:hAnsi="Times New Roman"/>
          <w:b/>
          <w:color w:val="5E5785"/>
          <w:sz w:val="33"/>
        </w:rPr>
      </w:pPr>
      <w:r>
        <w:br w:type="page"/>
      </w:r>
    </w:p>
    <w:p w14:paraId="3263FE56" w14:textId="71CF9580" w:rsidR="00EA3D10" w:rsidRDefault="00EA3D10" w:rsidP="00EA3D10">
      <w:pPr>
        <w:pStyle w:val="Heading"/>
      </w:pPr>
      <w:bookmarkStart w:id="1" w:name="_Toc136290557"/>
      <w:r>
        <w:lastRenderedPageBreak/>
        <w:t>Introduction</w:t>
      </w:r>
      <w:bookmarkEnd w:id="1"/>
    </w:p>
    <w:p w14:paraId="7DD5BAA4" w14:textId="6CB09765" w:rsidR="00295C9C" w:rsidRPr="00295C9C" w:rsidRDefault="00295C9C" w:rsidP="00295C9C">
      <w:pPr>
        <w:pStyle w:val="Body"/>
      </w:pPr>
      <w:r w:rsidRPr="00295C9C">
        <w:t>One of the products available at The Royal Mint is a coloured coin range</w:t>
      </w:r>
      <w:r w:rsidR="00DF1D07">
        <w:t xml:space="preserve"> (See figure 1)</w:t>
      </w:r>
      <w:r w:rsidRPr="00295C9C">
        <w:t>.  This tends to be limited to UK50p’s and £5 Crown coin.</w:t>
      </w:r>
    </w:p>
    <w:p w14:paraId="15793DF0" w14:textId="74561815" w:rsidR="00685D79" w:rsidRDefault="00295C9C" w:rsidP="00295C9C">
      <w:pPr>
        <w:pStyle w:val="Body"/>
      </w:pPr>
      <w:r w:rsidRPr="00295C9C">
        <w:t xml:space="preserve">Until recently this was achieved using Pad Printing technology.  Pad printing technology has been around since 1968 and since then has been the primary method of printing images onto 3D objects. </w:t>
      </w:r>
    </w:p>
    <w:p w14:paraId="38DDB26F" w14:textId="622EB131" w:rsidR="00685D79" w:rsidRPr="00685D79" w:rsidRDefault="00685D79" w:rsidP="00685D79">
      <w:pPr>
        <w:pStyle w:val="Body"/>
      </w:pPr>
      <w:r w:rsidRPr="00685D79">
        <w:t>Since 2015 another method has been available to directly print onto 3D objects, this method is Digital Printing.</w:t>
      </w:r>
    </w:p>
    <w:p w14:paraId="5CF74226" w14:textId="61CDA6DC" w:rsidR="00FA403C" w:rsidRDefault="004A0F4C" w:rsidP="00295C9C">
      <w:pPr>
        <w:pStyle w:val="Body"/>
      </w:pPr>
      <w:r>
        <w:rPr>
          <w:noProof/>
        </w:rPr>
        <mc:AlternateContent>
          <mc:Choice Requires="wps">
            <w:drawing>
              <wp:anchor distT="0" distB="0" distL="114300" distR="114300" simplePos="0" relativeHeight="251666432" behindDoc="0" locked="0" layoutInCell="1" allowOverlap="1" wp14:anchorId="745C03C9" wp14:editId="0AA158E2">
                <wp:simplePos x="0" y="0"/>
                <wp:positionH relativeFrom="column">
                  <wp:posOffset>939165</wp:posOffset>
                </wp:positionH>
                <wp:positionV relativeFrom="paragraph">
                  <wp:posOffset>3056890</wp:posOffset>
                </wp:positionV>
                <wp:extent cx="475297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4752975" cy="635"/>
                        </a:xfrm>
                        <a:prstGeom prst="rect">
                          <a:avLst/>
                        </a:prstGeom>
                        <a:solidFill>
                          <a:prstClr val="white"/>
                        </a:solidFill>
                        <a:ln>
                          <a:noFill/>
                        </a:ln>
                      </wps:spPr>
                      <wps:txbx>
                        <w:txbxContent>
                          <w:p w14:paraId="76E93329" w14:textId="111BDE62" w:rsidR="004A0F4C" w:rsidRPr="002A5E77" w:rsidRDefault="004A0F4C" w:rsidP="004A0F4C">
                            <w:pPr>
                              <w:pStyle w:val="Caption"/>
                              <w:rPr>
                                <w:noProof/>
                                <w:color w:val="000000" w:themeColor="text1"/>
                                <w:szCs w:val="20"/>
                                <w:lang w:eastAsia="en-US"/>
                              </w:rPr>
                            </w:pPr>
                            <w:r>
                              <w:t xml:space="preserve">Figure </w:t>
                            </w:r>
                            <w:fldSimple w:instr=" SEQ Figure \* ARABIC ">
                              <w:r w:rsidR="00EE2151">
                                <w:rPr>
                                  <w:noProof/>
                                </w:rPr>
                                <w:t>1</w:t>
                              </w:r>
                            </w:fldSimple>
                            <w:r>
                              <w:t>: Example of Printed Coloured Coin with Unprinted Latent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5C03C9" id="Text Box 1" o:spid="_x0000_s1029" type="#_x0000_t202" style="position:absolute;margin-left:73.95pt;margin-top:240.7pt;width:374.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" stroked="f">
                <v:textbox style="mso-fit-shape-to-text:t" inset="0,0,0,0">
                  <w:txbxContent>
                    <w:p w14:paraId="76E93329" w14:textId="111BDE62" w:rsidR="004A0F4C" w:rsidRPr="002A5E77" w:rsidRDefault="004A0F4C" w:rsidP="004A0F4C">
                      <w:pPr>
                        <w:pStyle w:val="Caption"/>
                        <w:rPr>
                          <w:noProof/>
                          <w:color w:val="000000" w:themeColor="text1"/>
                          <w:szCs w:val="20"/>
                          <w:lang w:eastAsia="en-US"/>
                        </w:rPr>
                      </w:pPr>
                      <w:r>
                        <w:t xml:space="preserve">Figure </w:t>
                      </w:r>
                      <w:fldSimple w:instr=" SEQ Figure \* ARABIC ">
                        <w:r w:rsidR="00EE2151">
                          <w:rPr>
                            <w:noProof/>
                          </w:rPr>
                          <w:t>1</w:t>
                        </w:r>
                      </w:fldSimple>
                      <w:r>
                        <w:t>: Example of Printed Coloured Coin with Unprinted Latent Image</w:t>
                      </w:r>
                    </w:p>
                  </w:txbxContent>
                </v:textbox>
                <w10:wrap type="topAndBottom"/>
              </v:shape>
            </w:pict>
          </mc:Fallback>
        </mc:AlternateContent>
      </w:r>
      <w:r w:rsidR="00FC3363" w:rsidRPr="00FC3363">
        <w:rPr>
          <w:noProof/>
        </w:rPr>
        <w:drawing>
          <wp:anchor distT="0" distB="0" distL="114300" distR="114300" simplePos="0" relativeHeight="251663360" behindDoc="0" locked="0" layoutInCell="1" allowOverlap="1" wp14:anchorId="46F49A94" wp14:editId="3FAC4F95">
            <wp:simplePos x="0" y="0"/>
            <wp:positionH relativeFrom="column">
              <wp:posOffset>939165</wp:posOffset>
            </wp:positionH>
            <wp:positionV relativeFrom="paragraph">
              <wp:posOffset>625475</wp:posOffset>
            </wp:positionV>
            <wp:extent cx="4752975" cy="2374265"/>
            <wp:effectExtent l="0" t="0" r="9525" b="6985"/>
            <wp:wrapTopAndBottom/>
            <wp:docPr id="5" name="Picture 4" descr="A close-up of a coin&#10;&#10;Description automatically generated with low confidence">
              <a:extLst xmlns:a="http://schemas.openxmlformats.org/drawingml/2006/main">
                <a:ext uri="{FF2B5EF4-FFF2-40B4-BE49-F238E27FC236}">
                  <a16:creationId xmlns:a16="http://schemas.microsoft.com/office/drawing/2014/main" id="{1F1D54B5-0564-B82C-5323-5C598F7370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coin&#10;&#10;Description automatically generated with low confidence">
                      <a:extLst>
                        <a:ext uri="{FF2B5EF4-FFF2-40B4-BE49-F238E27FC236}">
                          <a16:creationId xmlns:a16="http://schemas.microsoft.com/office/drawing/2014/main" id="{1F1D54B5-0564-B82C-5323-5C598F7370B9}"/>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52975" cy="2374265"/>
                    </a:xfrm>
                    <a:prstGeom prst="rect">
                      <a:avLst/>
                    </a:prstGeom>
                  </pic:spPr>
                </pic:pic>
              </a:graphicData>
            </a:graphic>
            <wp14:sizeRelH relativeFrom="page">
              <wp14:pctWidth>0</wp14:pctWidth>
            </wp14:sizeRelH>
            <wp14:sizeRelV relativeFrom="page">
              <wp14:pctHeight>0</wp14:pctHeight>
            </wp14:sizeRelV>
          </wp:anchor>
        </w:drawing>
      </w:r>
      <w:r w:rsidR="00B27B86">
        <w:t xml:space="preserve">Digital printing can produce photo quality images on 3D objects and are widely used in </w:t>
      </w:r>
      <w:r w:rsidR="00FC3363">
        <w:t>industry, however</w:t>
      </w:r>
      <w:r w:rsidR="00B27B86">
        <w:t xml:space="preserve"> its use in coins has been limited due the </w:t>
      </w:r>
      <w:r w:rsidR="00AA6819">
        <w:t xml:space="preserve">level of accuracy required to consistently print the image </w:t>
      </w:r>
      <w:r w:rsidR="00FC3363">
        <w:t xml:space="preserve">over a </w:t>
      </w:r>
      <w:r w:rsidR="00AA6BB1">
        <w:t>coin’s</w:t>
      </w:r>
      <w:r w:rsidR="00FC3363">
        <w:t xml:space="preserve"> latent struck image.</w:t>
      </w:r>
      <w:r w:rsidR="00FC3363" w:rsidRPr="00FC3363">
        <w:rPr>
          <w:noProof/>
          <w:lang w:eastAsia="en-GB"/>
        </w:rPr>
        <w:t xml:space="preserve"> </w:t>
      </w:r>
      <w:r w:rsidR="00FC3363" w:rsidRPr="00FC3363">
        <w:t xml:space="preserve"> </w:t>
      </w:r>
    </w:p>
    <w:p w14:paraId="45A52104" w14:textId="28343C09" w:rsidR="00E54695" w:rsidRDefault="0075182E" w:rsidP="00295C9C">
      <w:pPr>
        <w:pStyle w:val="Body"/>
      </w:pPr>
      <w:r>
        <w:t xml:space="preserve">The minting business has seen a massive uplift in sales of coloured coin </w:t>
      </w:r>
      <w:r w:rsidR="00B90949">
        <w:t xml:space="preserve">which is a strategic win for the minting industry as profit shifts away from a declining </w:t>
      </w:r>
      <w:r w:rsidR="00435E95">
        <w:t xml:space="preserve">circulation coin and is replaced by a growing collectable </w:t>
      </w:r>
      <w:r w:rsidR="00E54695">
        <w:t>commemorative coin</w:t>
      </w:r>
      <w:r w:rsidR="007747F8">
        <w:t xml:space="preserve"> business</w:t>
      </w:r>
      <w:r w:rsidR="00E54695">
        <w:t>.</w:t>
      </w:r>
    </w:p>
    <w:p w14:paraId="633B5A07" w14:textId="21B324C9" w:rsidR="00A7138F" w:rsidRDefault="00A7138F" w:rsidP="00295C9C">
      <w:pPr>
        <w:pStyle w:val="Body"/>
      </w:pPr>
      <w:r>
        <w:t>Digital printing</w:t>
      </w:r>
      <w:r w:rsidR="00EC4828">
        <w:t xml:space="preserve"> technology</w:t>
      </w:r>
      <w:r>
        <w:t xml:space="preserve"> brings coloured coin </w:t>
      </w:r>
      <w:r w:rsidR="00EC4828">
        <w:t xml:space="preserve">production </w:t>
      </w:r>
      <w:r>
        <w:t xml:space="preserve">into </w:t>
      </w:r>
      <w:r w:rsidR="00886B43">
        <w:t xml:space="preserve">a new realm of </w:t>
      </w:r>
      <w:r w:rsidR="004B1BA5">
        <w:t xml:space="preserve">coin manufacture with much greater control over image sharpness, colour </w:t>
      </w:r>
      <w:r w:rsidR="003F6919">
        <w:t>reproduction</w:t>
      </w:r>
      <w:r w:rsidR="00D62859">
        <w:t xml:space="preserve"> and ease of setup and changeover.</w:t>
      </w:r>
    </w:p>
    <w:p w14:paraId="79F16EFC" w14:textId="77777777" w:rsidR="00B70ADD" w:rsidRDefault="00B70ADD" w:rsidP="00295C9C">
      <w:pPr>
        <w:pStyle w:val="Body"/>
      </w:pPr>
    </w:p>
    <w:p w14:paraId="157DC517" w14:textId="6F97BA77" w:rsidR="00382547" w:rsidRDefault="00B055DC" w:rsidP="00295C9C">
      <w:pPr>
        <w:pStyle w:val="Body"/>
      </w:pPr>
      <w:r w:rsidRPr="00B055DC">
        <w:rPr>
          <w:noProof/>
        </w:rPr>
        <w:drawing>
          <wp:anchor distT="0" distB="0" distL="114300" distR="114300" simplePos="0" relativeHeight="251664384" behindDoc="0" locked="0" layoutInCell="1" allowOverlap="1" wp14:anchorId="15F91F9E" wp14:editId="46B70C8A">
            <wp:simplePos x="0" y="0"/>
            <wp:positionH relativeFrom="margin">
              <wp:posOffset>2933700</wp:posOffset>
            </wp:positionH>
            <wp:positionV relativeFrom="margin">
              <wp:posOffset>5906135</wp:posOffset>
            </wp:positionV>
            <wp:extent cx="3017520" cy="3067685"/>
            <wp:effectExtent l="0" t="0" r="0" b="0"/>
            <wp:wrapSquare wrapText="bothSides"/>
            <wp:docPr id="4" name="Picture 3" descr="A picture containing text, LEGO, compact disk, book&#10;&#10;Description automatically generated">
              <a:extLst xmlns:a="http://schemas.openxmlformats.org/drawingml/2006/main">
                <a:ext uri="{FF2B5EF4-FFF2-40B4-BE49-F238E27FC236}">
                  <a16:creationId xmlns:a16="http://schemas.microsoft.com/office/drawing/2014/main" id="{AC05BA03-FE8C-7AAB-00FC-1C581FA2DA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LEGO, compact disk, book&#10;&#10;Description automatically generated">
                      <a:extLst>
                        <a:ext uri="{FF2B5EF4-FFF2-40B4-BE49-F238E27FC236}">
                          <a16:creationId xmlns:a16="http://schemas.microsoft.com/office/drawing/2014/main" id="{AC05BA03-FE8C-7AAB-00FC-1C581FA2DA9B}"/>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17520" cy="3067685"/>
                    </a:xfrm>
                    <a:prstGeom prst="rect">
                      <a:avLst/>
                    </a:prstGeom>
                  </pic:spPr>
                </pic:pic>
              </a:graphicData>
            </a:graphic>
          </wp:anchor>
        </w:drawing>
      </w:r>
      <w:r w:rsidR="00382547">
        <w:t>A</w:t>
      </w:r>
      <w:r w:rsidR="00B64E58">
        <w:t xml:space="preserve"> major benefit also allows The Royal Mint to use the same technology to print on the </w:t>
      </w:r>
      <w:r w:rsidR="00D67BDA">
        <w:t xml:space="preserve">acrylic presentation block </w:t>
      </w:r>
      <w:r w:rsidR="00DF1D07">
        <w:t>(see figure 2),</w:t>
      </w:r>
      <w:r w:rsidR="005A5659">
        <w:t xml:space="preserve"> </w:t>
      </w:r>
      <w:r w:rsidR="00D67BDA">
        <w:t xml:space="preserve">which has previously been </w:t>
      </w:r>
      <w:r w:rsidR="00626CC5">
        <w:t xml:space="preserve">printed by an external printing company at a cost of £2.16 per print.  We </w:t>
      </w:r>
      <w:r w:rsidR="003B40BD">
        <w:t xml:space="preserve">print an annual average of 500,000 blocks per year </w:t>
      </w:r>
      <w:r w:rsidR="00C46BEB">
        <w:t>so the cost savings on this alone is significant.</w:t>
      </w:r>
    </w:p>
    <w:p w14:paraId="037EF727" w14:textId="38DE492C" w:rsidR="00EA3D10" w:rsidRDefault="00EE2151" w:rsidP="00DC2A06">
      <w:pPr>
        <w:pStyle w:val="Body"/>
        <w:ind w:left="1080"/>
      </w:pPr>
      <w:r>
        <w:rPr>
          <w:noProof/>
        </w:rPr>
        <mc:AlternateContent>
          <mc:Choice Requires="wps">
            <w:drawing>
              <wp:anchor distT="0" distB="0" distL="114300" distR="114300" simplePos="0" relativeHeight="251668480" behindDoc="0" locked="0" layoutInCell="1" allowOverlap="1" wp14:anchorId="2D1B233A" wp14:editId="6032A94A">
                <wp:simplePos x="0" y="0"/>
                <wp:positionH relativeFrom="margin">
                  <wp:align>right</wp:align>
                </wp:positionH>
                <wp:positionV relativeFrom="page">
                  <wp:posOffset>9848850</wp:posOffset>
                </wp:positionV>
                <wp:extent cx="3017520" cy="259715"/>
                <wp:effectExtent l="0" t="0" r="0" b="6985"/>
                <wp:wrapSquare wrapText="bothSides"/>
                <wp:docPr id="2" name="Text Box 2"/>
                <wp:cNvGraphicFramePr/>
                <a:graphic xmlns:a="http://schemas.openxmlformats.org/drawingml/2006/main">
                  <a:graphicData uri="http://schemas.microsoft.com/office/word/2010/wordprocessingShape">
                    <wps:wsp>
                      <wps:cNvSpPr txBox="1"/>
                      <wps:spPr>
                        <a:xfrm>
                          <a:off x="0" y="0"/>
                          <a:ext cx="3017520" cy="259715"/>
                        </a:xfrm>
                        <a:prstGeom prst="rect">
                          <a:avLst/>
                        </a:prstGeom>
                        <a:solidFill>
                          <a:prstClr val="white"/>
                        </a:solidFill>
                        <a:ln>
                          <a:noFill/>
                        </a:ln>
                      </wps:spPr>
                      <wps:txbx>
                        <w:txbxContent>
                          <w:p w14:paraId="1432EC95" w14:textId="65B1A264" w:rsidR="00EE2151" w:rsidRPr="00C95CF4" w:rsidRDefault="00EE2151" w:rsidP="00EE2151">
                            <w:pPr>
                              <w:pStyle w:val="Caption"/>
                              <w:rPr>
                                <w:color w:val="000000" w:themeColor="text1"/>
                                <w:szCs w:val="20"/>
                                <w:lang w:eastAsia="en-US"/>
                              </w:rPr>
                            </w:pPr>
                            <w:r>
                              <w:t xml:space="preserve">Figure </w:t>
                            </w:r>
                            <w:fldSimple w:instr=" SEQ Figure \* ARABIC ">
                              <w:r>
                                <w:rPr>
                                  <w:noProof/>
                                </w:rPr>
                                <w:t>2</w:t>
                              </w:r>
                            </w:fldSimple>
                            <w:r>
                              <w:t>: Example of Printed Acrylic Presentation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1B233A" id="Text Box 2" o:spid="_x0000_s1030" type="#_x0000_t202" style="position:absolute;left:0;text-align:left;margin-left:186.4pt;margin-top:775.5pt;width:237.6pt;height:20.45pt;z-index:251668480;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" stroked="f">
                <v:textbox style="mso-fit-shape-to-text:t" inset="0,0,0,0">
                  <w:txbxContent>
                    <w:p w14:paraId="1432EC95" w14:textId="65B1A264" w:rsidR="00EE2151" w:rsidRPr="00C95CF4" w:rsidRDefault="00EE2151" w:rsidP="00EE2151">
                      <w:pPr>
                        <w:pStyle w:val="Caption"/>
                        <w:rPr>
                          <w:color w:val="000000" w:themeColor="text1"/>
                          <w:szCs w:val="20"/>
                          <w:lang w:eastAsia="en-US"/>
                        </w:rPr>
                      </w:pPr>
                      <w:r>
                        <w:t xml:space="preserve">Figure </w:t>
                      </w:r>
                      <w:fldSimple w:instr=" SEQ Figure \* ARABIC ">
                        <w:r>
                          <w:rPr>
                            <w:noProof/>
                          </w:rPr>
                          <w:t>2</w:t>
                        </w:r>
                      </w:fldSimple>
                      <w:r>
                        <w:t>: Example of Printed Acrylic Presentation Case</w:t>
                      </w:r>
                    </w:p>
                  </w:txbxContent>
                </v:textbox>
                <w10:wrap type="square" anchorx="margin" anchory="page"/>
              </v:shape>
            </w:pict>
          </mc:Fallback>
        </mc:AlternateContent>
      </w:r>
      <w:r w:rsidR="00EA3D10">
        <w:br w:type="page"/>
      </w:r>
    </w:p>
    <w:p w14:paraId="57F18145" w14:textId="77777777" w:rsidR="00FA403C" w:rsidRDefault="00FA403C" w:rsidP="00295C9C">
      <w:pPr>
        <w:pStyle w:val="Body"/>
      </w:pPr>
    </w:p>
    <w:p w14:paraId="2FE51F6D" w14:textId="5EA1E299" w:rsidR="007200BD" w:rsidRDefault="00BE5265" w:rsidP="00C248E8">
      <w:pPr>
        <w:pStyle w:val="Heading"/>
      </w:pPr>
      <w:bookmarkStart w:id="2" w:name="_Toc136290558"/>
      <w:r>
        <w:t>Fin</w:t>
      </w:r>
      <w:r w:rsidR="00FE7850">
        <w:t>ancial Concepts for Analysis</w:t>
      </w:r>
      <w:bookmarkEnd w:id="2"/>
      <w:r w:rsidR="00FE7850">
        <w:t xml:space="preserve"> </w:t>
      </w:r>
    </w:p>
    <w:p w14:paraId="7DA093F0" w14:textId="11006E6B" w:rsidR="007200BD" w:rsidRDefault="00B84CB3" w:rsidP="007200BD">
      <w:pPr>
        <w:pStyle w:val="Body"/>
      </w:pPr>
      <w:r>
        <w:t xml:space="preserve">The following financial concepts </w:t>
      </w:r>
      <w:r w:rsidR="00B968A0">
        <w:t xml:space="preserve">are considered </w:t>
      </w:r>
      <w:r w:rsidR="00067F9A">
        <w:t xml:space="preserve">in relation to this project </w:t>
      </w:r>
      <w:r w:rsidR="00AA6BB1">
        <w:t>appraisal.</w:t>
      </w:r>
    </w:p>
    <w:p w14:paraId="39532F8D" w14:textId="77777777" w:rsidR="00C01909" w:rsidRDefault="00C01909" w:rsidP="007200BD">
      <w:pPr>
        <w:pStyle w:val="Body"/>
      </w:pPr>
    </w:p>
    <w:p w14:paraId="22A31851" w14:textId="0BD238C1" w:rsidR="00C01909" w:rsidRDefault="00C01909" w:rsidP="00895BEC">
      <w:pPr>
        <w:pStyle w:val="Body"/>
        <w:numPr>
          <w:ilvl w:val="0"/>
          <w:numId w:val="43"/>
        </w:numPr>
      </w:pPr>
      <w:r w:rsidRPr="00C01909">
        <w:t>Payback Period: The payback period determines the time required to recover the initial investment. Projects with shorter payback periods are preferred as they offer quicker returns, reduced financial risk, and increased liquidity.</w:t>
      </w:r>
    </w:p>
    <w:p w14:paraId="240728D9" w14:textId="77777777" w:rsidR="00C01909" w:rsidRDefault="00C01909" w:rsidP="00C01909">
      <w:pPr>
        <w:pStyle w:val="Body"/>
      </w:pPr>
    </w:p>
    <w:p w14:paraId="6C4D55FD" w14:textId="544DA3D6" w:rsidR="00C01909" w:rsidRDefault="00C01909" w:rsidP="00895BEC">
      <w:pPr>
        <w:pStyle w:val="Body"/>
        <w:numPr>
          <w:ilvl w:val="0"/>
          <w:numId w:val="43"/>
        </w:numPr>
      </w:pPr>
      <w:r w:rsidRPr="00C01909">
        <w:t>Net Present Value (NPV): NPV assesses the present value of future cash flows generated by a project or innovation. By discounting cash flows to their present value, NPV considers the time value of money. A positive NPV indicates that the project is expected to generate more value than the initial investment, making it financially attractive.</w:t>
      </w:r>
    </w:p>
    <w:p w14:paraId="1C1EBB50" w14:textId="77777777" w:rsidR="00C01909" w:rsidRDefault="00C01909" w:rsidP="00C01909">
      <w:pPr>
        <w:pStyle w:val="Body"/>
      </w:pPr>
    </w:p>
    <w:p w14:paraId="3145527E" w14:textId="25FF3E78" w:rsidR="0067485C" w:rsidRDefault="0073457C" w:rsidP="00895BEC">
      <w:pPr>
        <w:pStyle w:val="Body"/>
        <w:numPr>
          <w:ilvl w:val="0"/>
          <w:numId w:val="43"/>
        </w:numPr>
      </w:pPr>
      <w:r>
        <w:t xml:space="preserve">Internal Rate of Return </w:t>
      </w:r>
      <w:r w:rsidR="00C94F00">
        <w:t>(IRR)</w:t>
      </w:r>
      <w:r>
        <w:t>:</w:t>
      </w:r>
      <w:r w:rsidR="003D5D9E">
        <w:t xml:space="preserve"> IRR </w:t>
      </w:r>
      <w:r w:rsidR="003D5D9E" w:rsidRPr="003D5D9E">
        <w:t xml:space="preserve">represents the annualized rate at which the net present value (NPV) of an investment becomes zero. By comparing the IRR of an investment to the desired rate of return or cost of capital, one can determine its viability. </w:t>
      </w:r>
      <w:r w:rsidR="002968E5">
        <w:t>Of course,</w:t>
      </w:r>
      <w:r w:rsidR="007B7B19">
        <w:t xml:space="preserve"> it has to be noted that this ignores scale of </w:t>
      </w:r>
      <w:r w:rsidR="002968E5">
        <w:t>investment,</w:t>
      </w:r>
      <w:r w:rsidR="007B7B19">
        <w:t xml:space="preserve"> and</w:t>
      </w:r>
      <w:r w:rsidR="00127D04">
        <w:t xml:space="preserve"> the </w:t>
      </w:r>
      <w:r w:rsidR="004555E2">
        <w:t>value</w:t>
      </w:r>
      <w:r w:rsidR="00127D04">
        <w:t xml:space="preserve"> of the investment has to be taken into consideration to</w:t>
      </w:r>
      <w:r w:rsidR="00B4721E">
        <w:t xml:space="preserve"> determine the true generation of wealth. </w:t>
      </w:r>
      <w:sdt>
        <w:sdtPr>
          <w:id w:val="1418974402"/>
          <w:citation/>
        </w:sdtPr>
        <w:sdtContent>
          <w:r w:rsidR="002968E5">
            <w:fldChar w:fldCharType="begin"/>
          </w:r>
          <w:r w:rsidR="002968E5">
            <w:instrText xml:space="preserve"> CITATION Atr22 \l 2057 </w:instrText>
          </w:r>
          <w:r w:rsidR="002968E5">
            <w:fldChar w:fldCharType="separate"/>
          </w:r>
          <w:r w:rsidR="005F3A8D">
            <w:rPr>
              <w:noProof/>
            </w:rPr>
            <w:t>(Atrill &amp; McLaney, 2022)</w:t>
          </w:r>
          <w:r w:rsidR="002968E5">
            <w:fldChar w:fldCharType="end"/>
          </w:r>
        </w:sdtContent>
      </w:sdt>
      <w:r w:rsidR="008E0714">
        <w:t xml:space="preserve"> </w:t>
      </w:r>
    </w:p>
    <w:p w14:paraId="6402A0EE" w14:textId="77777777" w:rsidR="0059249F" w:rsidRDefault="0059249F" w:rsidP="0059249F">
      <w:pPr>
        <w:pStyle w:val="ListParagraph"/>
      </w:pPr>
    </w:p>
    <w:p w14:paraId="755BF63E" w14:textId="1CB972A3" w:rsidR="0059249F" w:rsidRDefault="004E06D1" w:rsidP="00895BEC">
      <w:pPr>
        <w:pStyle w:val="Body"/>
        <w:numPr>
          <w:ilvl w:val="0"/>
          <w:numId w:val="43"/>
        </w:numPr>
      </w:pPr>
      <w:r>
        <w:t>Profitability Index:</w:t>
      </w:r>
      <w:r w:rsidR="00683D54">
        <w:t xml:space="preserve"> </w:t>
      </w:r>
      <w:r w:rsidR="00683D54" w:rsidRPr="00683D54">
        <w:t>The profitability index (PI), is used to evaluate the profitability of an investment or project. It measures the relationship between the present value of expected future cash flows and the initial investment cost. The formula for calculating the profitability index is the ratio of the present value of future cash flows to the initial investment. A profitability index greater than 1 indicates that the project is expected to generate positive net present value (NPV) and is considered financially attractive.</w:t>
      </w:r>
      <w:r w:rsidR="00C67133">
        <w:t xml:space="preserve">  </w:t>
      </w:r>
      <w:sdt>
        <w:sdtPr>
          <w:id w:val="1420989784"/>
          <w:citation/>
        </w:sdtPr>
        <w:sdtContent>
          <w:r w:rsidR="00C67133">
            <w:fldChar w:fldCharType="begin"/>
          </w:r>
          <w:r w:rsidR="00671526">
            <w:instrText xml:space="preserve">CITATION Kum17 \l 2057 </w:instrText>
          </w:r>
          <w:r w:rsidR="00C67133">
            <w:fldChar w:fldCharType="separate"/>
          </w:r>
          <w:r w:rsidR="005F3A8D">
            <w:rPr>
              <w:noProof/>
            </w:rPr>
            <w:t>(Reilly &amp; Brown, 2011)</w:t>
          </w:r>
          <w:r w:rsidR="00C67133">
            <w:fldChar w:fldCharType="end"/>
          </w:r>
        </w:sdtContent>
      </w:sdt>
    </w:p>
    <w:p w14:paraId="71ABB4BE" w14:textId="77777777" w:rsidR="0010128F" w:rsidRDefault="0010128F" w:rsidP="0010128F">
      <w:pPr>
        <w:pStyle w:val="ListParagraph"/>
      </w:pPr>
    </w:p>
    <w:p w14:paraId="6EB0048E" w14:textId="5AF6ED7C" w:rsidR="0010128F" w:rsidRDefault="0010128F" w:rsidP="00895BEC">
      <w:pPr>
        <w:pStyle w:val="Body"/>
        <w:numPr>
          <w:ilvl w:val="0"/>
          <w:numId w:val="43"/>
        </w:numPr>
      </w:pPr>
      <w:r>
        <w:t xml:space="preserve">Benefit Cost Ratio (BCR): </w:t>
      </w:r>
      <w:r w:rsidR="0009777C" w:rsidRPr="0009777C">
        <w:t>The benefit-cost ratio (BCR), is used to assess the economic feasibility of a project or investment. It measures the relationship between the present value of expected project benefits and the present value of project costs. The BCR is calculated by dividing the total present value of project benefits</w:t>
      </w:r>
      <w:r w:rsidR="002777F5">
        <w:t xml:space="preserve"> with </w:t>
      </w:r>
      <w:r w:rsidR="003E3201">
        <w:t>project costs included</w:t>
      </w:r>
      <w:r w:rsidR="0009777C" w:rsidRPr="0009777C">
        <w:t xml:space="preserve"> by the total present value of project costs. </w:t>
      </w:r>
    </w:p>
    <w:p w14:paraId="09B5B9F7" w14:textId="77777777" w:rsidR="004E06D1" w:rsidRDefault="004E06D1" w:rsidP="004E06D1">
      <w:pPr>
        <w:pStyle w:val="ListParagraph"/>
      </w:pPr>
    </w:p>
    <w:p w14:paraId="5106B760" w14:textId="491A1598" w:rsidR="004E06D1" w:rsidRDefault="004E06D1" w:rsidP="00895BEC">
      <w:pPr>
        <w:pStyle w:val="Body"/>
        <w:numPr>
          <w:ilvl w:val="0"/>
          <w:numId w:val="43"/>
        </w:numPr>
      </w:pPr>
      <w:r>
        <w:t>Accounting Rate of Return (ARR):</w:t>
      </w:r>
      <w:r w:rsidR="00B64A13">
        <w:t xml:space="preserve"> </w:t>
      </w:r>
      <w:r w:rsidR="00ED6E13" w:rsidRPr="00ED6E13">
        <w:t>The Accounting Rate of Return (ARR), is used to evaluate the profitability of an investment. It measures the average annual profit generated by an investment as a percentage of the average investment cost. The ARR is calculated by dividing the average annual profit by the average investment cost and multiplying it by 100 to express it as a percentage. A higher ARR indicates a higher average return relative to the investment cost, suggesting better profitability. However, the ARR has limitations as it focuses on accounting profits and does not consider the time value of money or cash flows. Therefore, it should be used in conjunction with other investment appraisal techniques to make informed decisions about potential investments.</w:t>
      </w:r>
      <w:r w:rsidR="00055693">
        <w:t xml:space="preserve"> </w:t>
      </w:r>
      <w:sdt>
        <w:sdtPr>
          <w:id w:val="-1682050396"/>
          <w:citation/>
        </w:sdtPr>
        <w:sdtContent>
          <w:r w:rsidR="000B1E54">
            <w:fldChar w:fldCharType="begin"/>
          </w:r>
          <w:r w:rsidR="000B1E54">
            <w:instrText xml:space="preserve"> CITATION Ger85 \l 2057 </w:instrText>
          </w:r>
          <w:r w:rsidR="000B1E54">
            <w:fldChar w:fldCharType="separate"/>
          </w:r>
          <w:r w:rsidR="005F3A8D">
            <w:rPr>
              <w:noProof/>
            </w:rPr>
            <w:t>(Salamon, 1985)</w:t>
          </w:r>
          <w:r w:rsidR="000B1E54">
            <w:fldChar w:fldCharType="end"/>
          </w:r>
        </w:sdtContent>
      </w:sdt>
    </w:p>
    <w:p w14:paraId="60BE02B2" w14:textId="77777777" w:rsidR="003E1DD7" w:rsidRDefault="003E1DD7" w:rsidP="007200BD">
      <w:pPr>
        <w:pStyle w:val="Body"/>
      </w:pPr>
    </w:p>
    <w:p w14:paraId="115CCE40" w14:textId="77777777" w:rsidR="003E1DD7" w:rsidRDefault="003E1DD7">
      <w:pPr>
        <w:rPr>
          <w:lang w:eastAsia="en-US"/>
        </w:rPr>
      </w:pPr>
      <w:r>
        <w:br w:type="page"/>
      </w:r>
    </w:p>
    <w:p w14:paraId="4B3DD029" w14:textId="77777777" w:rsidR="00BD44B9" w:rsidRDefault="00BD44B9" w:rsidP="00BD44B9">
      <w:pPr>
        <w:pStyle w:val="Heading"/>
      </w:pPr>
      <w:bookmarkStart w:id="3" w:name="_Toc136290559"/>
      <w:r>
        <w:lastRenderedPageBreak/>
        <w:t>Application to business justification</w:t>
      </w:r>
      <w:bookmarkEnd w:id="3"/>
    </w:p>
    <w:p w14:paraId="74659DD0" w14:textId="77777777" w:rsidR="000777AE" w:rsidRDefault="000777AE" w:rsidP="000777AE">
      <w:pPr>
        <w:pStyle w:val="Body"/>
      </w:pPr>
    </w:p>
    <w:p w14:paraId="5D26B930" w14:textId="4A4A2992" w:rsidR="000777AE" w:rsidRDefault="000777AE" w:rsidP="000777AE">
      <w:pPr>
        <w:pStyle w:val="Body"/>
      </w:pPr>
      <w:r>
        <w:t>The following driver</w:t>
      </w:r>
      <w:r w:rsidR="00496E63">
        <w:t xml:space="preserve"> benefits</w:t>
      </w:r>
      <w:r>
        <w:t xml:space="preserve"> are therefore </w:t>
      </w:r>
      <w:r w:rsidR="00496E63">
        <w:t>important</w:t>
      </w:r>
      <w:r>
        <w:t xml:space="preserve"> to consider:</w:t>
      </w:r>
    </w:p>
    <w:p w14:paraId="319B49CB" w14:textId="090343C6" w:rsidR="000777AE" w:rsidRDefault="000777AE" w:rsidP="000777AE">
      <w:pPr>
        <w:pStyle w:val="Body"/>
        <w:numPr>
          <w:ilvl w:val="0"/>
          <w:numId w:val="40"/>
        </w:numPr>
      </w:pPr>
      <w:r w:rsidRPr="003E7E74">
        <w:t xml:space="preserve">Strategy change to produce more themed coloured coin </w:t>
      </w:r>
      <w:r>
        <w:t xml:space="preserve">has </w:t>
      </w:r>
      <w:r w:rsidRPr="003E7E74">
        <w:t xml:space="preserve">increased coin printing capacity </w:t>
      </w:r>
      <w:r w:rsidR="00AA6BB1" w:rsidRPr="003E7E74">
        <w:t>demand.</w:t>
      </w:r>
      <w:r w:rsidRPr="003E7E74">
        <w:t xml:space="preserve"> </w:t>
      </w:r>
      <w:r w:rsidR="00C47E69">
        <w:t>–</w:t>
      </w:r>
      <w:r w:rsidR="0048319F">
        <w:t xml:space="preserve"> </w:t>
      </w:r>
      <w:r w:rsidR="00C47E69">
        <w:t>Organisational Benefit</w:t>
      </w:r>
    </w:p>
    <w:p w14:paraId="2D6AC50B" w14:textId="61B40755" w:rsidR="000777AE" w:rsidRDefault="000777AE" w:rsidP="000777AE">
      <w:pPr>
        <w:pStyle w:val="Body"/>
        <w:numPr>
          <w:ilvl w:val="0"/>
          <w:numId w:val="40"/>
        </w:numPr>
      </w:pPr>
      <w:r w:rsidRPr="00BE0E3B">
        <w:t xml:space="preserve">The existing Pad print capacity </w:t>
      </w:r>
      <w:r>
        <w:t>is</w:t>
      </w:r>
      <w:r w:rsidRPr="00BE0E3B">
        <w:t xml:space="preserve"> not </w:t>
      </w:r>
      <w:r w:rsidR="00BD1C1E">
        <w:t>cap</w:t>
      </w:r>
      <w:r w:rsidR="00B32642">
        <w:t>able to meet</w:t>
      </w:r>
      <w:r w:rsidRPr="00BE0E3B">
        <w:t xml:space="preserve"> the </w:t>
      </w:r>
      <w:r w:rsidR="00B32642">
        <w:t xml:space="preserve">required </w:t>
      </w:r>
      <w:r w:rsidRPr="00BE0E3B">
        <w:t>Strategy change</w:t>
      </w:r>
      <w:r w:rsidR="00AA6BB1">
        <w:t>.</w:t>
      </w:r>
      <w:r w:rsidR="00B32642">
        <w:t xml:space="preserve"> </w:t>
      </w:r>
      <w:r w:rsidR="00365A73">
        <w:t>–</w:t>
      </w:r>
      <w:r w:rsidR="00B32642">
        <w:t xml:space="preserve"> </w:t>
      </w:r>
      <w:r w:rsidR="008876D2">
        <w:t>M</w:t>
      </w:r>
      <w:r w:rsidR="00365A73">
        <w:t>anagerial Benefit</w:t>
      </w:r>
    </w:p>
    <w:p w14:paraId="7415F7BB" w14:textId="1A077BA3" w:rsidR="000777AE" w:rsidRDefault="000777AE" w:rsidP="000777AE">
      <w:pPr>
        <w:pStyle w:val="Body"/>
        <w:numPr>
          <w:ilvl w:val="0"/>
          <w:numId w:val="40"/>
        </w:numPr>
      </w:pPr>
      <w:r>
        <w:t>Future m</w:t>
      </w:r>
      <w:r w:rsidRPr="00454D04">
        <w:t xml:space="preserve">ultiple coloured coin launches </w:t>
      </w:r>
      <w:r w:rsidR="00844902">
        <w:t xml:space="preserve">will provide </w:t>
      </w:r>
      <w:r w:rsidR="001435A6">
        <w:t>increased sales</w:t>
      </w:r>
      <w:r w:rsidR="00785B46">
        <w:t xml:space="preserve"> – </w:t>
      </w:r>
      <w:r w:rsidR="001435A6">
        <w:t>Financi</w:t>
      </w:r>
      <w:r w:rsidR="00785B46">
        <w:t>al Benef</w:t>
      </w:r>
      <w:r w:rsidR="000B0453">
        <w:t>it</w:t>
      </w:r>
    </w:p>
    <w:p w14:paraId="09CDBEBE" w14:textId="083792C9" w:rsidR="000777AE" w:rsidRDefault="000777AE" w:rsidP="000777AE">
      <w:pPr>
        <w:pStyle w:val="Body"/>
        <w:numPr>
          <w:ilvl w:val="0"/>
          <w:numId w:val="40"/>
        </w:numPr>
      </w:pPr>
      <w:r>
        <w:t>Existing coloured coin o</w:t>
      </w:r>
      <w:r w:rsidRPr="00454D04">
        <w:t xml:space="preserve">rders </w:t>
      </w:r>
      <w:r>
        <w:t>are</w:t>
      </w:r>
      <w:r w:rsidRPr="00454D04">
        <w:t xml:space="preserve"> not able to be fulfilled and a</w:t>
      </w:r>
      <w:r>
        <w:t xml:space="preserve">re being added to </w:t>
      </w:r>
      <w:r w:rsidR="00AA6BB1" w:rsidRPr="00454D04">
        <w:t>backorder.</w:t>
      </w:r>
      <w:r w:rsidR="008121F1">
        <w:t xml:space="preserve">  This technology will reduce </w:t>
      </w:r>
      <w:r w:rsidR="006C0EA4">
        <w:t xml:space="preserve">customers waiting for orders. </w:t>
      </w:r>
      <w:r w:rsidR="00030416">
        <w:t>–</w:t>
      </w:r>
      <w:r w:rsidR="006C0EA4">
        <w:t xml:space="preserve"> </w:t>
      </w:r>
      <w:r w:rsidR="00360C5C">
        <w:t>Financial</w:t>
      </w:r>
      <w:r w:rsidR="00030416">
        <w:t xml:space="preserve"> Benefit</w:t>
      </w:r>
      <w:r w:rsidRPr="00454D04">
        <w:t xml:space="preserve"> </w:t>
      </w:r>
    </w:p>
    <w:p w14:paraId="351B319A" w14:textId="23D04919" w:rsidR="000777AE" w:rsidRDefault="000777AE" w:rsidP="000777AE">
      <w:pPr>
        <w:pStyle w:val="Body"/>
        <w:numPr>
          <w:ilvl w:val="0"/>
          <w:numId w:val="40"/>
        </w:numPr>
      </w:pPr>
      <w:r>
        <w:t>The</w:t>
      </w:r>
      <w:r w:rsidR="00DC2A06" w:rsidRPr="00DC2A06">
        <w:t xml:space="preserve"> option to buy more pad printers</w:t>
      </w:r>
      <w:r>
        <w:t xml:space="preserve"> ties The Royal Mint into a dated technology</w:t>
      </w:r>
      <w:r w:rsidR="00DC2A06" w:rsidRPr="00DC2A06">
        <w:t xml:space="preserve">; the </w:t>
      </w:r>
      <w:r>
        <w:t>alternative is to invest in</w:t>
      </w:r>
      <w:r w:rsidR="00DC2A06" w:rsidRPr="00DC2A06">
        <w:t xml:space="preserve"> new technology of digital printing</w:t>
      </w:r>
      <w:r w:rsidR="00AA6BB1">
        <w:t>.</w:t>
      </w:r>
      <w:r w:rsidR="00361AD0">
        <w:t xml:space="preserve"> – Technological benefit</w:t>
      </w:r>
    </w:p>
    <w:p w14:paraId="6F4AABB9" w14:textId="7A8B4E25" w:rsidR="000777AE" w:rsidRDefault="000777AE" w:rsidP="000777AE">
      <w:pPr>
        <w:pStyle w:val="Body"/>
        <w:numPr>
          <w:ilvl w:val="0"/>
          <w:numId w:val="40"/>
        </w:numPr>
      </w:pPr>
      <w:r>
        <w:t>Lower ink waste reduces cost and ecological impact.</w:t>
      </w:r>
      <w:r w:rsidR="00361AD0">
        <w:t xml:space="preserve"> – Ecological benefit</w:t>
      </w:r>
    </w:p>
    <w:p w14:paraId="1EAABCB0" w14:textId="28475821" w:rsidR="00DC2A06" w:rsidRDefault="000777AE" w:rsidP="000777AE">
      <w:pPr>
        <w:pStyle w:val="Body"/>
        <w:numPr>
          <w:ilvl w:val="0"/>
          <w:numId w:val="40"/>
        </w:numPr>
      </w:pPr>
      <w:r>
        <w:t xml:space="preserve">Less </w:t>
      </w:r>
      <w:r w:rsidR="00F42D0F">
        <w:t xml:space="preserve">inventory </w:t>
      </w:r>
      <w:r w:rsidR="003C3A5C">
        <w:t xml:space="preserve">of consumable and changeover parts means less </w:t>
      </w:r>
      <w:r w:rsidR="00613D98">
        <w:t xml:space="preserve">cost &amp; </w:t>
      </w:r>
      <w:r w:rsidR="00A0517B">
        <w:t>management of changeovers and setup</w:t>
      </w:r>
      <w:r w:rsidR="00232090">
        <w:t xml:space="preserve"> – </w:t>
      </w:r>
      <w:r w:rsidR="00613D98">
        <w:t>Economic</w:t>
      </w:r>
      <w:r w:rsidR="00232090">
        <w:t xml:space="preserve"> Benefit</w:t>
      </w:r>
    </w:p>
    <w:p w14:paraId="2048D9E3" w14:textId="4A94A965" w:rsidR="00DC2A06" w:rsidRDefault="00A0517B" w:rsidP="000777AE">
      <w:pPr>
        <w:pStyle w:val="Body"/>
        <w:numPr>
          <w:ilvl w:val="0"/>
          <w:numId w:val="40"/>
        </w:numPr>
      </w:pPr>
      <w:r>
        <w:t xml:space="preserve">Higher </w:t>
      </w:r>
      <w:r w:rsidR="000B5419">
        <w:t>quality print gives sales and marketing a unique selling point to customers.</w:t>
      </w:r>
      <w:r w:rsidR="00224615">
        <w:t xml:space="preserve"> – Commercial Benefit</w:t>
      </w:r>
    </w:p>
    <w:p w14:paraId="58367230" w14:textId="4CE2A5E6" w:rsidR="00232090" w:rsidRPr="00DC2A06" w:rsidRDefault="00BB70A5" w:rsidP="00903A80">
      <w:pPr>
        <w:pStyle w:val="Body"/>
      </w:pPr>
      <w:r>
        <w:t xml:space="preserve">The project will provide benefits across a variety of </w:t>
      </w:r>
      <w:r w:rsidR="003467F7">
        <w:t>areas as highlighted below:</w:t>
      </w:r>
    </w:p>
    <w:p w14:paraId="3D12D60E" w14:textId="6AED7863" w:rsidR="00BD44B9" w:rsidRDefault="00D6345A">
      <w:pPr>
        <w:rPr>
          <w:lang w:eastAsia="en-US"/>
        </w:rPr>
      </w:pPr>
      <w:r>
        <w:rPr>
          <w:noProof/>
        </w:rPr>
        <mc:AlternateContent>
          <mc:Choice Requires="wps">
            <w:drawing>
              <wp:anchor distT="0" distB="0" distL="114300" distR="114300" simplePos="0" relativeHeight="251685888" behindDoc="0" locked="0" layoutInCell="1" allowOverlap="1" wp14:anchorId="33306387" wp14:editId="2DF535C1">
                <wp:simplePos x="0" y="0"/>
                <wp:positionH relativeFrom="column">
                  <wp:posOffset>-118110</wp:posOffset>
                </wp:positionH>
                <wp:positionV relativeFrom="paragraph">
                  <wp:posOffset>1129030</wp:posOffset>
                </wp:positionV>
                <wp:extent cx="1800225" cy="857250"/>
                <wp:effectExtent l="0" t="0" r="28575" b="19050"/>
                <wp:wrapNone/>
                <wp:docPr id="15" name="Oval 15"/>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E570A7" id="Oval 15" o:spid="_x0000_s1026" style="position:absolute;margin-left:-9.3pt;margin-top:88.9pt;width:141.75pt;height:67.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" filled="f" strokecolor="#ed7d31 [3205]" strokeweight=".5pt">
                <v:stroke joinstyle="miter"/>
              </v:oval>
            </w:pict>
          </mc:Fallback>
        </mc:AlternateContent>
      </w:r>
      <w:r>
        <w:rPr>
          <w:noProof/>
        </w:rPr>
        <mc:AlternateContent>
          <mc:Choice Requires="wps">
            <w:drawing>
              <wp:anchor distT="0" distB="0" distL="114300" distR="114300" simplePos="0" relativeHeight="251683840" behindDoc="0" locked="0" layoutInCell="1" allowOverlap="1" wp14:anchorId="6C407795" wp14:editId="635C6722">
                <wp:simplePos x="0" y="0"/>
                <wp:positionH relativeFrom="column">
                  <wp:posOffset>339090</wp:posOffset>
                </wp:positionH>
                <wp:positionV relativeFrom="paragraph">
                  <wp:posOffset>2862580</wp:posOffset>
                </wp:positionV>
                <wp:extent cx="1800225" cy="857250"/>
                <wp:effectExtent l="0" t="0" r="28575" b="19050"/>
                <wp:wrapNone/>
                <wp:docPr id="14" name="Oval 14"/>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96BB00" id="Oval 14" o:spid="_x0000_s1026" style="position:absolute;margin-left:26.7pt;margin-top:225.4pt;width:141.75pt;height:6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" filled="f" strokecolor="#ed7d31 [3205]" strokeweight=".5pt">
                <v:stroke joinstyle="miter"/>
              </v:oval>
            </w:pict>
          </mc:Fallback>
        </mc:AlternateContent>
      </w:r>
      <w:r>
        <w:rPr>
          <w:noProof/>
        </w:rPr>
        <mc:AlternateContent>
          <mc:Choice Requires="wps">
            <w:drawing>
              <wp:anchor distT="0" distB="0" distL="114300" distR="114300" simplePos="0" relativeHeight="251681792" behindDoc="0" locked="0" layoutInCell="1" allowOverlap="1" wp14:anchorId="69BA7637" wp14:editId="46171847">
                <wp:simplePos x="0" y="0"/>
                <wp:positionH relativeFrom="page">
                  <wp:align>center</wp:align>
                </wp:positionH>
                <wp:positionV relativeFrom="paragraph">
                  <wp:posOffset>3091180</wp:posOffset>
                </wp:positionV>
                <wp:extent cx="1800225" cy="857250"/>
                <wp:effectExtent l="0" t="0" r="28575" b="19050"/>
                <wp:wrapNone/>
                <wp:docPr id="13" name="Oval 13"/>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42BADC" id="Oval 13" o:spid="_x0000_s1026" style="position:absolute;margin-left:0;margin-top:243.4pt;width:141.75pt;height:67.5pt;z-index:251681792;visibility:visible;mso-wrap-style:square;mso-wrap-distance-left:9pt;mso-wrap-distance-top:0;mso-wrap-distance-right:9pt;mso-wrap-distance-bottom:0;mso-position-horizontal:center;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" filled="f" strokecolor="#ed7d31 [3205]" strokeweight=".5pt">
                <v:stroke joinstyle="miter"/>
                <w10:wrap anchorx="page"/>
              </v:oval>
            </w:pict>
          </mc:Fallback>
        </mc:AlternateContent>
      </w:r>
      <w:r>
        <w:rPr>
          <w:noProof/>
        </w:rPr>
        <mc:AlternateContent>
          <mc:Choice Requires="wps">
            <w:drawing>
              <wp:anchor distT="0" distB="0" distL="114300" distR="114300" simplePos="0" relativeHeight="251679744" behindDoc="0" locked="0" layoutInCell="1" allowOverlap="1" wp14:anchorId="15BA7C28" wp14:editId="12AAC475">
                <wp:simplePos x="0" y="0"/>
                <wp:positionH relativeFrom="column">
                  <wp:posOffset>3615690</wp:posOffset>
                </wp:positionH>
                <wp:positionV relativeFrom="paragraph">
                  <wp:posOffset>2834005</wp:posOffset>
                </wp:positionV>
                <wp:extent cx="1800225" cy="857250"/>
                <wp:effectExtent l="0" t="0" r="28575" b="19050"/>
                <wp:wrapNone/>
                <wp:docPr id="12" name="Oval 12"/>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22C7B3" id="Oval 12" o:spid="_x0000_s1026" style="position:absolute;margin-left:284.7pt;margin-top:223.15pt;width:141.75pt;height:6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" filled="f" strokecolor="#ed7d31 [3205]" strokeweight=".5pt">
                <v:stroke joinstyle="miter"/>
              </v:oval>
            </w:pict>
          </mc:Fallback>
        </mc:AlternateContent>
      </w:r>
      <w:r>
        <w:rPr>
          <w:noProof/>
        </w:rPr>
        <mc:AlternateContent>
          <mc:Choice Requires="wps">
            <w:drawing>
              <wp:anchor distT="0" distB="0" distL="114300" distR="114300" simplePos="0" relativeHeight="251677696" behindDoc="0" locked="0" layoutInCell="1" allowOverlap="1" wp14:anchorId="3BB80C23" wp14:editId="407828B5">
                <wp:simplePos x="0" y="0"/>
                <wp:positionH relativeFrom="column">
                  <wp:posOffset>4118610</wp:posOffset>
                </wp:positionH>
                <wp:positionV relativeFrom="paragraph">
                  <wp:posOffset>1919605</wp:posOffset>
                </wp:positionV>
                <wp:extent cx="1800225" cy="857250"/>
                <wp:effectExtent l="0" t="0" r="28575" b="19050"/>
                <wp:wrapNone/>
                <wp:docPr id="11" name="Oval 11"/>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18F5BC" id="Oval 11" o:spid="_x0000_s1026" style="position:absolute;margin-left:324.3pt;margin-top:151.15pt;width:141.75pt;height:6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" filled="f" strokecolor="#ed7d31 [3205]" strokeweight=".5pt">
                <v:stroke joinstyle="miter"/>
              </v:oval>
            </w:pict>
          </mc:Fallback>
        </mc:AlternateContent>
      </w:r>
      <w:r>
        <w:rPr>
          <w:noProof/>
        </w:rPr>
        <mc:AlternateContent>
          <mc:Choice Requires="wps">
            <w:drawing>
              <wp:anchor distT="0" distB="0" distL="114300" distR="114300" simplePos="0" relativeHeight="251675648" behindDoc="0" locked="0" layoutInCell="1" allowOverlap="1" wp14:anchorId="5126493A" wp14:editId="2C7C5DA8">
                <wp:simplePos x="0" y="0"/>
                <wp:positionH relativeFrom="margin">
                  <wp:align>right</wp:align>
                </wp:positionH>
                <wp:positionV relativeFrom="paragraph">
                  <wp:posOffset>1071880</wp:posOffset>
                </wp:positionV>
                <wp:extent cx="1800225" cy="857250"/>
                <wp:effectExtent l="0" t="0" r="28575" b="19050"/>
                <wp:wrapNone/>
                <wp:docPr id="8" name="Oval 8"/>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6EFD57" id="Oval 8" o:spid="_x0000_s1026" style="position:absolute;margin-left:90.55pt;margin-top:84.4pt;width:141.75pt;height:67.5pt;z-index:25167564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" filled="f" strokecolor="#ed7d31 [3205]" strokeweight=".5pt">
                <v:stroke joinstyle="miter"/>
                <w10:wrap anchorx="margin"/>
              </v:oval>
            </w:pict>
          </mc:Fallback>
        </mc:AlternateContent>
      </w:r>
      <w:r w:rsidR="00436A85">
        <w:rPr>
          <w:noProof/>
        </w:rPr>
        <mc:AlternateContent>
          <mc:Choice Requires="wps">
            <w:drawing>
              <wp:anchor distT="0" distB="0" distL="114300" distR="114300" simplePos="0" relativeHeight="251673600" behindDoc="0" locked="0" layoutInCell="1" allowOverlap="1" wp14:anchorId="01B53EE1" wp14:editId="3360D7F5">
                <wp:simplePos x="0" y="0"/>
                <wp:positionH relativeFrom="column">
                  <wp:posOffset>662940</wp:posOffset>
                </wp:positionH>
                <wp:positionV relativeFrom="paragraph">
                  <wp:posOffset>138430</wp:posOffset>
                </wp:positionV>
                <wp:extent cx="1800225" cy="857250"/>
                <wp:effectExtent l="0" t="0" r="28575" b="19050"/>
                <wp:wrapNone/>
                <wp:docPr id="7" name="Oval 7"/>
                <wp:cNvGraphicFramePr/>
                <a:graphic xmlns:a="http://schemas.openxmlformats.org/drawingml/2006/main">
                  <a:graphicData uri="http://schemas.microsoft.com/office/word/2010/wordprocessingShape">
                    <wps:wsp>
                      <wps:cNvSpPr/>
                      <wps:spPr>
                        <a:xfrm>
                          <a:off x="0" y="0"/>
                          <a:ext cx="1800225" cy="857250"/>
                        </a:xfrm>
                        <a:prstGeom prst="ellipse">
                          <a:avLst/>
                        </a:prstGeom>
                        <a:no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9F4B2D" id="Oval 7" o:spid="_x0000_s1026" style="position:absolute;margin-left:52.2pt;margin-top:10.9pt;width:141.75pt;height:6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" filled="f" strokecolor="#ed7d31 [3205]" strokeweight=".5pt">
                <v:stroke joinstyle="miter"/>
              </v:oval>
            </w:pict>
          </mc:Fallback>
        </mc:AlternateContent>
      </w:r>
      <w:r w:rsidR="00436A85">
        <w:rPr>
          <w:noProof/>
        </w:rPr>
        <w:drawing>
          <wp:anchor distT="0" distB="0" distL="114300" distR="114300" simplePos="0" relativeHeight="251672576" behindDoc="0" locked="0" layoutInCell="1" allowOverlap="1" wp14:anchorId="1438EDCF" wp14:editId="434F8C07">
            <wp:simplePos x="0" y="0"/>
            <wp:positionH relativeFrom="margin">
              <wp:posOffset>-1270</wp:posOffset>
            </wp:positionH>
            <wp:positionV relativeFrom="margin">
              <wp:posOffset>4342130</wp:posOffset>
            </wp:positionV>
            <wp:extent cx="5922645" cy="3679190"/>
            <wp:effectExtent l="0" t="0" r="1905" b="0"/>
            <wp:wrapSquare wrapText="bothSides"/>
            <wp:docPr id="6" name="Picture 6" descr="A diagram of a project apprais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project appraisa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22645" cy="3679190"/>
                    </a:xfrm>
                    <a:prstGeom prst="rect">
                      <a:avLst/>
                    </a:prstGeom>
                  </pic:spPr>
                </pic:pic>
              </a:graphicData>
            </a:graphic>
          </wp:anchor>
        </w:drawing>
      </w:r>
      <w:r w:rsidR="00BD44B9">
        <w:br w:type="page"/>
      </w:r>
    </w:p>
    <w:p w14:paraId="28DAC992" w14:textId="77777777" w:rsidR="00BD44B9" w:rsidRDefault="00BD44B9" w:rsidP="00BD44B9">
      <w:pPr>
        <w:pStyle w:val="Heading"/>
      </w:pPr>
      <w:bookmarkStart w:id="4" w:name="_Toc136290560"/>
      <w:r>
        <w:lastRenderedPageBreak/>
        <w:t>Risk Assessment</w:t>
      </w:r>
      <w:bookmarkEnd w:id="4"/>
    </w:p>
    <w:p w14:paraId="280EEE9A" w14:textId="48AF8336" w:rsidR="00702418" w:rsidRDefault="00702418" w:rsidP="00702418">
      <w:pPr>
        <w:pStyle w:val="Body"/>
      </w:pPr>
      <w:r>
        <w:t xml:space="preserve">In addition to financial analysis, it is vital to consider risk factors associated with each project. </w:t>
      </w:r>
      <w:r w:rsidR="00226C55">
        <w:t xml:space="preserve"> We will c</w:t>
      </w:r>
      <w:r>
        <w:t xml:space="preserve">onduct a comprehensive risk assessment, </w:t>
      </w:r>
      <w:r w:rsidR="00B22682">
        <w:t>considering</w:t>
      </w:r>
      <w:r>
        <w:t xml:space="preserve"> </w:t>
      </w:r>
      <w:r w:rsidR="00346030">
        <w:t>the following components</w:t>
      </w:r>
      <w:r w:rsidR="00B22682">
        <w:t>:</w:t>
      </w:r>
    </w:p>
    <w:p w14:paraId="400404D8" w14:textId="5D7857E9" w:rsidR="00B93DD7" w:rsidRDefault="00B93DD7" w:rsidP="00B93DD7">
      <w:pPr>
        <w:pStyle w:val="Body"/>
      </w:pPr>
      <w:r w:rsidRPr="00CA7802">
        <w:rPr>
          <w:b/>
          <w:bCs/>
        </w:rPr>
        <w:t>Cash Flow Projections</w:t>
      </w:r>
      <w:r>
        <w:t xml:space="preserve">: Estimate the project's expected cash inflows and outflows over the project's lifespan. Consider factors such as revenue streams, operating costs, capital expenditures, and financing costs. </w:t>
      </w:r>
      <w:r w:rsidR="00DB7C8D">
        <w:t>Analyse</w:t>
      </w:r>
      <w:r>
        <w:t xml:space="preserve"> the sensitivity of cash flows to changes in key variables such as sales volumes, pricing, and input costs.</w:t>
      </w:r>
    </w:p>
    <w:p w14:paraId="753AB5BF" w14:textId="77777777" w:rsidR="00B93DD7" w:rsidRDefault="00B93DD7" w:rsidP="00B93DD7">
      <w:pPr>
        <w:pStyle w:val="Body"/>
      </w:pPr>
    </w:p>
    <w:p w14:paraId="685B5413" w14:textId="3158A71F" w:rsidR="00B93DD7" w:rsidRDefault="00B93DD7" w:rsidP="00B93DD7">
      <w:pPr>
        <w:pStyle w:val="Body"/>
      </w:pPr>
      <w:r w:rsidRPr="00CA7802">
        <w:rPr>
          <w:b/>
          <w:bCs/>
        </w:rPr>
        <w:t>Cost of Capital</w:t>
      </w:r>
      <w:r>
        <w:t>: Determine the appropriate cost of capital for the project, taking into account the company's overall capital structure, risk profile, and the specific risks associated with the project. Consider factors such as the cost of debt and equity, market conditions, and project-specific risks (e.g., regulatory, technological).</w:t>
      </w:r>
      <w:r w:rsidR="006F451B">
        <w:t xml:space="preserve"> </w:t>
      </w:r>
      <w:sdt>
        <w:sdtPr>
          <w:id w:val="1963372487"/>
          <w:citation/>
        </w:sdtPr>
        <w:sdtContent>
          <w:r w:rsidR="006F451B">
            <w:fldChar w:fldCharType="begin"/>
          </w:r>
          <w:r w:rsidR="006F451B">
            <w:instrText xml:space="preserve"> CITATION Ste \l 2057 </w:instrText>
          </w:r>
          <w:r w:rsidR="006F451B">
            <w:fldChar w:fldCharType="separate"/>
          </w:r>
          <w:r w:rsidR="005F3A8D">
            <w:rPr>
              <w:noProof/>
            </w:rPr>
            <w:t>(Allen, 2003)</w:t>
          </w:r>
          <w:r w:rsidR="006F451B">
            <w:fldChar w:fldCharType="end"/>
          </w:r>
        </w:sdtContent>
      </w:sdt>
    </w:p>
    <w:p w14:paraId="12B54821" w14:textId="77777777" w:rsidR="00B93DD7" w:rsidRDefault="00B93DD7" w:rsidP="00B93DD7">
      <w:pPr>
        <w:pStyle w:val="Body"/>
      </w:pPr>
    </w:p>
    <w:p w14:paraId="4F9CCAB1" w14:textId="77777777" w:rsidR="00B93DD7" w:rsidRDefault="00B93DD7" w:rsidP="00B93DD7">
      <w:pPr>
        <w:pStyle w:val="Body"/>
      </w:pPr>
      <w:r w:rsidRPr="00CA7802">
        <w:rPr>
          <w:b/>
          <w:bCs/>
        </w:rPr>
        <w:t>Risk Identification</w:t>
      </w:r>
      <w:r>
        <w:t>: Identify and assess various risks that could impact the project's financial performance. This includes both internal risks (e.g., operational risks, management risks) and external risks (e.g., economic risks, market risks, legal and regulatory risks). Evaluate the potential impact of these risks on cash flows and project viability.</w:t>
      </w:r>
    </w:p>
    <w:p w14:paraId="4D18C4B0" w14:textId="77777777" w:rsidR="00B93DD7" w:rsidRDefault="00B93DD7" w:rsidP="00B93DD7">
      <w:pPr>
        <w:pStyle w:val="Body"/>
      </w:pPr>
    </w:p>
    <w:p w14:paraId="4A3E6C5A" w14:textId="13E4CC9F" w:rsidR="00B93DD7" w:rsidRDefault="00B93DD7" w:rsidP="00B93DD7">
      <w:pPr>
        <w:pStyle w:val="Body"/>
      </w:pPr>
      <w:r w:rsidRPr="00CA7802">
        <w:rPr>
          <w:b/>
          <w:bCs/>
        </w:rPr>
        <w:t>Sensitivity Analysis</w:t>
      </w:r>
      <w:r>
        <w:t>: Conduct sensitivity analysis to evaluate the project's vulnerability to changes in critical variables. Assess how variations in factors such as sales, costs, interest rates, or exchange rates can affect cash flows and project outcomes. This analysis helps identify the project's risk exposure and the sensitivity of financial metrics to different scenarios.</w:t>
      </w:r>
      <w:r w:rsidR="003141C2">
        <w:t xml:space="preserve"> </w:t>
      </w:r>
      <w:sdt>
        <w:sdtPr>
          <w:id w:val="-413464650"/>
          <w:citation/>
        </w:sdtPr>
        <w:sdtContent>
          <w:r w:rsidR="003141C2">
            <w:fldChar w:fldCharType="begin"/>
          </w:r>
          <w:r w:rsidR="003141C2">
            <w:instrText xml:space="preserve"> CITATION Cha98 \l 2057 </w:instrText>
          </w:r>
          <w:r w:rsidR="003141C2">
            <w:fldChar w:fldCharType="separate"/>
          </w:r>
          <w:r w:rsidR="005F3A8D">
            <w:rPr>
              <w:noProof/>
            </w:rPr>
            <w:t>(Chapman &amp; Ward, 1998)</w:t>
          </w:r>
          <w:r w:rsidR="003141C2">
            <w:fldChar w:fldCharType="end"/>
          </w:r>
        </w:sdtContent>
      </w:sdt>
    </w:p>
    <w:p w14:paraId="57CF9F6C" w14:textId="77777777" w:rsidR="00B93DD7" w:rsidRDefault="00B93DD7" w:rsidP="00B93DD7">
      <w:pPr>
        <w:pStyle w:val="Body"/>
      </w:pPr>
    </w:p>
    <w:p w14:paraId="5323CD32" w14:textId="77777777" w:rsidR="00B93DD7" w:rsidRDefault="00B93DD7" w:rsidP="00B93DD7">
      <w:pPr>
        <w:pStyle w:val="Body"/>
      </w:pPr>
      <w:r w:rsidRPr="00CA7802">
        <w:rPr>
          <w:b/>
          <w:bCs/>
        </w:rPr>
        <w:t>Scenario Analysis</w:t>
      </w:r>
      <w:r>
        <w:t>: Perform scenario analysis by considering various potential future scenarios and their associated financial implications. This involves creating alternative scenarios based on different assumptions and assessing their impact on project viability and financial performance.</w:t>
      </w:r>
    </w:p>
    <w:p w14:paraId="1F83E4A3" w14:textId="77777777" w:rsidR="00B93DD7" w:rsidRDefault="00B93DD7" w:rsidP="00B93DD7">
      <w:pPr>
        <w:pStyle w:val="Body"/>
      </w:pPr>
    </w:p>
    <w:p w14:paraId="21E70327" w14:textId="644E3610" w:rsidR="00B93DD7" w:rsidRDefault="00B93DD7" w:rsidP="00B93DD7">
      <w:pPr>
        <w:pStyle w:val="Body"/>
      </w:pPr>
      <w:r w:rsidRPr="00CA7802">
        <w:rPr>
          <w:b/>
          <w:bCs/>
        </w:rPr>
        <w:t>Risk Mitigation Strategies</w:t>
      </w:r>
      <w:r>
        <w:t>: Develop strategies to mitigate identified risks and enhance the project's financial stability. This may involve diversification, insurance coverage, contractual arrangements, contingency planning, or adopting risk management techniques such as hedging.</w:t>
      </w:r>
      <w:r w:rsidR="0057640F">
        <w:t xml:space="preserve"> </w:t>
      </w:r>
    </w:p>
    <w:p w14:paraId="3670C303" w14:textId="77777777" w:rsidR="00B93DD7" w:rsidRDefault="00B93DD7" w:rsidP="00B93DD7">
      <w:pPr>
        <w:pStyle w:val="Body"/>
      </w:pPr>
    </w:p>
    <w:p w14:paraId="1EF62DBF" w14:textId="77777777" w:rsidR="00B93DD7" w:rsidRDefault="00B93DD7" w:rsidP="00B93DD7">
      <w:pPr>
        <w:pStyle w:val="Body"/>
      </w:pPr>
      <w:r w:rsidRPr="00CA7802">
        <w:rPr>
          <w:b/>
          <w:bCs/>
        </w:rPr>
        <w:t>Financial Metrics</w:t>
      </w:r>
      <w:r>
        <w:t>: Evaluate key financial metrics such as net present value (NPV), internal rate of return (IRR), payback period, and profitability index. These metrics help assess the project's financial feasibility and risk-adjusted returns.</w:t>
      </w:r>
    </w:p>
    <w:p w14:paraId="6545C230" w14:textId="77777777" w:rsidR="00B93DD7" w:rsidRDefault="00B93DD7" w:rsidP="00B93DD7">
      <w:pPr>
        <w:pStyle w:val="Body"/>
      </w:pPr>
    </w:p>
    <w:p w14:paraId="1217DB38" w14:textId="4037A86B" w:rsidR="00B22682" w:rsidRDefault="00B93DD7" w:rsidP="00B93DD7">
      <w:pPr>
        <w:pStyle w:val="Body"/>
      </w:pPr>
      <w:r w:rsidRPr="00A77FCD">
        <w:rPr>
          <w:b/>
          <w:bCs/>
        </w:rPr>
        <w:t>Capital Budgeting Techniques</w:t>
      </w:r>
      <w:r>
        <w:t>: Apply appropriate capital budgeting techniques, such as discounted cash flow (DCF) analysis or real options analysis, to assess the project's financial viability and compare it to other investment opportunities.</w:t>
      </w:r>
    </w:p>
    <w:p w14:paraId="09C2A704" w14:textId="77777777" w:rsidR="00005FD3" w:rsidRDefault="00005FD3">
      <w:pPr>
        <w:rPr>
          <w:lang w:eastAsia="en-US"/>
        </w:rPr>
      </w:pPr>
      <w:r>
        <w:br w:type="page"/>
      </w:r>
    </w:p>
    <w:p w14:paraId="75E6E7F6" w14:textId="77777777" w:rsidR="002D63D1" w:rsidRDefault="002D63D1" w:rsidP="002D63D1">
      <w:pPr>
        <w:pStyle w:val="Heading"/>
      </w:pPr>
      <w:bookmarkStart w:id="5" w:name="_Toc136290561"/>
      <w:r>
        <w:lastRenderedPageBreak/>
        <w:t>Funding Options</w:t>
      </w:r>
      <w:bookmarkEnd w:id="5"/>
    </w:p>
    <w:p w14:paraId="289D7D0A" w14:textId="2280B0B8" w:rsidR="002D63D1" w:rsidRDefault="00B374EC" w:rsidP="002D63D1">
      <w:pPr>
        <w:pStyle w:val="Body"/>
      </w:pPr>
      <w:r>
        <w:t xml:space="preserve">The following funding options could be considered in relation to this </w:t>
      </w:r>
      <w:r w:rsidR="005A6DA0">
        <w:t>investment:</w:t>
      </w:r>
    </w:p>
    <w:p w14:paraId="0DBA1453" w14:textId="77777777" w:rsidR="008241EC" w:rsidRDefault="008241EC" w:rsidP="002D63D1">
      <w:pPr>
        <w:pStyle w:val="Body"/>
      </w:pPr>
    </w:p>
    <w:p w14:paraId="7BC9CD17" w14:textId="77777777" w:rsidR="005A6DA0" w:rsidRDefault="005A6DA0" w:rsidP="005A6DA0">
      <w:pPr>
        <w:pStyle w:val="Body"/>
      </w:pPr>
      <w:r>
        <w:t>a. Debt Financing:</w:t>
      </w:r>
    </w:p>
    <w:p w14:paraId="0073EE7A" w14:textId="77777777" w:rsidR="005A6DA0" w:rsidRDefault="005A6DA0" w:rsidP="005A6DA0">
      <w:pPr>
        <w:pStyle w:val="Body"/>
      </w:pPr>
      <w:r>
        <w:t>Bank Loans: Traditional bank loans offer access to capital with predefined repayment terms and interest rates. They are suitable for companies with established creditworthiness and steady cash flow.</w:t>
      </w:r>
    </w:p>
    <w:p w14:paraId="7A907C5C" w14:textId="77777777" w:rsidR="005A6DA0" w:rsidRDefault="005A6DA0" w:rsidP="005A6DA0">
      <w:pPr>
        <w:pStyle w:val="Body"/>
      </w:pPr>
      <w:r>
        <w:t>Lines of Credit: Lines of credit provide flexibility, allowing companies to access funds as needed, repay the borrowed amount, and reuse the credit line.</w:t>
      </w:r>
    </w:p>
    <w:p w14:paraId="13FFBE8D" w14:textId="77777777" w:rsidR="005A6DA0" w:rsidRDefault="005A6DA0" w:rsidP="005A6DA0">
      <w:pPr>
        <w:pStyle w:val="Body"/>
      </w:pPr>
      <w:r>
        <w:t>Bonds: Issuing corporate bonds can attract investors who are willing to lend capital in exchange for fixed interest payments.</w:t>
      </w:r>
    </w:p>
    <w:p w14:paraId="5C8D75CD" w14:textId="77777777" w:rsidR="005A6DA0" w:rsidRDefault="005A6DA0" w:rsidP="005A6DA0">
      <w:pPr>
        <w:pStyle w:val="Body"/>
      </w:pPr>
    </w:p>
    <w:p w14:paraId="553DE03E" w14:textId="77777777" w:rsidR="005A6DA0" w:rsidRDefault="005A6DA0" w:rsidP="005A6DA0">
      <w:pPr>
        <w:pStyle w:val="Body"/>
      </w:pPr>
      <w:r>
        <w:t>b. Equity Financing:</w:t>
      </w:r>
    </w:p>
    <w:p w14:paraId="78C30653" w14:textId="77777777" w:rsidR="005A6DA0" w:rsidRDefault="005A6DA0" w:rsidP="005A6DA0">
      <w:pPr>
        <w:pStyle w:val="Body"/>
      </w:pPr>
      <w:r>
        <w:t>Venture Capital: Venture capital firms invest in high-growth potential companies in exchange for equity ownership. They often bring expertise and guidance alongside financial support.</w:t>
      </w:r>
    </w:p>
    <w:p w14:paraId="6CD68819" w14:textId="77777777" w:rsidR="005A6DA0" w:rsidRDefault="005A6DA0" w:rsidP="005A6DA0">
      <w:pPr>
        <w:pStyle w:val="Body"/>
      </w:pPr>
      <w:r>
        <w:t>Angel Investors: Angel investors are individuals who provide capital to startups and early-stage companies in exchange for ownership stakes.</w:t>
      </w:r>
    </w:p>
    <w:p w14:paraId="7D302149" w14:textId="77777777" w:rsidR="005A6DA0" w:rsidRDefault="005A6DA0" w:rsidP="005A6DA0">
      <w:pPr>
        <w:pStyle w:val="Body"/>
      </w:pPr>
      <w:r>
        <w:t>Initial Public Offering (IPO): Companies can go public through an IPO, offering shares to the public and raising funds from investors in exchange for ownership in the company.</w:t>
      </w:r>
    </w:p>
    <w:p w14:paraId="3B2FA11B" w14:textId="77777777" w:rsidR="005A6DA0" w:rsidRDefault="005A6DA0" w:rsidP="005A6DA0">
      <w:pPr>
        <w:pStyle w:val="Body"/>
      </w:pPr>
    </w:p>
    <w:p w14:paraId="741D12E1" w14:textId="33CA1F93" w:rsidR="005A6DA0" w:rsidRDefault="005A6DA0" w:rsidP="005A6DA0">
      <w:pPr>
        <w:pStyle w:val="Body"/>
      </w:pPr>
      <w:r>
        <w:t>c. Government Grants and Subsidies:</w:t>
      </w:r>
    </w:p>
    <w:p w14:paraId="1A6A4192" w14:textId="77777777" w:rsidR="005A6DA0" w:rsidRDefault="005A6DA0" w:rsidP="005A6DA0">
      <w:pPr>
        <w:pStyle w:val="Body"/>
      </w:pPr>
      <w:r>
        <w:t>Research and Development Grants: Government agencies offer grants to support research and development activities, encouraging innovation and technological advancements.</w:t>
      </w:r>
    </w:p>
    <w:p w14:paraId="79622D04" w14:textId="04CDC421" w:rsidR="005A6DA0" w:rsidRDefault="005A6DA0" w:rsidP="005A6DA0">
      <w:pPr>
        <w:pStyle w:val="Body"/>
      </w:pPr>
      <w:r>
        <w:t xml:space="preserve">Industry-Specific Grants: Some industries receive government funding or subsidies to promote growth, sustainability, or job creation. Research relevant grants specific to </w:t>
      </w:r>
      <w:r w:rsidR="00911F7C">
        <w:t xml:space="preserve">The Royal Mint’s </w:t>
      </w:r>
      <w:r>
        <w:t>industry.</w:t>
      </w:r>
    </w:p>
    <w:p w14:paraId="26A09D00" w14:textId="77777777" w:rsidR="005A6DA0" w:rsidRDefault="005A6DA0" w:rsidP="005A6DA0">
      <w:pPr>
        <w:pStyle w:val="Body"/>
      </w:pPr>
    </w:p>
    <w:p w14:paraId="4F771039" w14:textId="3823F7D3" w:rsidR="005A6DA0" w:rsidRDefault="005A6DA0" w:rsidP="005A6DA0">
      <w:pPr>
        <w:pStyle w:val="Body"/>
      </w:pPr>
      <w:r>
        <w:t>d. Strategic Partnerships:</w:t>
      </w:r>
    </w:p>
    <w:p w14:paraId="25B646C1" w14:textId="77777777" w:rsidR="005A6DA0" w:rsidRDefault="005A6DA0" w:rsidP="005A6DA0">
      <w:pPr>
        <w:pStyle w:val="Body"/>
      </w:pPr>
      <w:r>
        <w:t>Joint Ventures: Collaborating with another company through a joint venture can provide access to additional resources, expertise, and capital for mutual business development.</w:t>
      </w:r>
    </w:p>
    <w:p w14:paraId="5CC5311B" w14:textId="521BB106" w:rsidR="005A6DA0" w:rsidRDefault="005A6DA0" w:rsidP="005A6DA0">
      <w:pPr>
        <w:pStyle w:val="Body"/>
      </w:pPr>
      <w:r>
        <w:t>Strategic Alliances: Forming strategic alliances with complementary companies can unlock synergies and potential funding opportunities while sharing risks and rewards.</w:t>
      </w:r>
      <w:r w:rsidR="0087757B">
        <w:t xml:space="preserve">  </w:t>
      </w:r>
      <w:sdt>
        <w:sdtPr>
          <w:id w:val="2096518334"/>
          <w:citation/>
        </w:sdtPr>
        <w:sdtContent>
          <w:r w:rsidR="00911F7C">
            <w:fldChar w:fldCharType="begin"/>
          </w:r>
          <w:r w:rsidR="00911F7C">
            <w:instrText xml:space="preserve"> CITATION Ste13 \l 2057 </w:instrText>
          </w:r>
          <w:r w:rsidR="00911F7C">
            <w:fldChar w:fldCharType="separate"/>
          </w:r>
          <w:r w:rsidR="005F3A8D">
            <w:rPr>
              <w:noProof/>
            </w:rPr>
            <w:t>(Gatti, 2013)</w:t>
          </w:r>
          <w:r w:rsidR="00911F7C">
            <w:fldChar w:fldCharType="end"/>
          </w:r>
        </w:sdtContent>
      </w:sdt>
    </w:p>
    <w:p w14:paraId="653FBF17" w14:textId="77777777" w:rsidR="00C51E89" w:rsidRDefault="00C51E89" w:rsidP="002D63D1">
      <w:pPr>
        <w:pStyle w:val="Body"/>
      </w:pPr>
    </w:p>
    <w:p w14:paraId="1F542FD9" w14:textId="77777777" w:rsidR="000665F1" w:rsidRDefault="000665F1" w:rsidP="00384D6F">
      <w:pPr>
        <w:pStyle w:val="Summary"/>
      </w:pPr>
      <w:r>
        <w:t>Gearing ratio</w:t>
      </w:r>
    </w:p>
    <w:p w14:paraId="5368D4D3" w14:textId="5169A38C" w:rsidR="005A6511" w:rsidRDefault="00532E44" w:rsidP="005A6511">
      <w:pPr>
        <w:pStyle w:val="Body"/>
      </w:pPr>
      <w:r>
        <w:t xml:space="preserve">When it comes to </w:t>
      </w:r>
      <w:r w:rsidR="00950635">
        <w:t xml:space="preserve">using alternative funding sources, the gearing ratio of a business need </w:t>
      </w:r>
      <w:r w:rsidR="005A6511">
        <w:t xml:space="preserve">to be considered.  </w:t>
      </w:r>
      <w:r w:rsidR="00384D6F">
        <w:t>T</w:t>
      </w:r>
      <w:r w:rsidR="005A6511">
        <w:t>he gearing ratio, also known as the leverage ratio or debt ratio, is a financial metric that measures the proportion of a company's capital structure that is financed by debt compared to equity. It helps assess the financial risk associated with a company's debt obligations.</w:t>
      </w:r>
    </w:p>
    <w:p w14:paraId="77B992AB" w14:textId="77777777" w:rsidR="005A6511" w:rsidRDefault="005A6511" w:rsidP="005A6511">
      <w:pPr>
        <w:pStyle w:val="Body"/>
      </w:pPr>
    </w:p>
    <w:p w14:paraId="253C992B" w14:textId="77777777" w:rsidR="005A6511" w:rsidRDefault="005A6511" w:rsidP="005A6511">
      <w:pPr>
        <w:pStyle w:val="Body"/>
      </w:pPr>
      <w:r>
        <w:lastRenderedPageBreak/>
        <w:t>The gearing ratio is typically expressed as a percentage or a ratio and is calculated by dividing the company's total debt by its total equity. The formula for the gearing ratio is as follows:</w:t>
      </w:r>
    </w:p>
    <w:p w14:paraId="6A2B95D2" w14:textId="77777777" w:rsidR="005A6511" w:rsidRDefault="005A6511" w:rsidP="005A6511">
      <w:pPr>
        <w:pStyle w:val="Body"/>
      </w:pPr>
      <w:r>
        <w:t>Gearing Ratio = (Total Debt / Total Equity) × 100</w:t>
      </w:r>
    </w:p>
    <w:p w14:paraId="4D88F931" w14:textId="07C5D364" w:rsidR="00A0379F" w:rsidRDefault="005A6511" w:rsidP="005A6511">
      <w:pPr>
        <w:pStyle w:val="Body"/>
      </w:pPr>
      <w:r>
        <w:t>Total debt refers to all of the company's long-term and short-term debt obligations, including bank loans, bonds, and other borrowings. Total equity represents the value of the company's ownership interest, which includes shareholder's equity and retained earnings.</w:t>
      </w:r>
      <w:r w:rsidR="004726EE">
        <w:t xml:space="preserve"> </w:t>
      </w:r>
      <w:sdt>
        <w:sdtPr>
          <w:id w:val="-123625461"/>
          <w:citation/>
        </w:sdtPr>
        <w:sdtContent>
          <w:r w:rsidR="004726EE">
            <w:fldChar w:fldCharType="begin"/>
          </w:r>
          <w:r w:rsidR="004726EE">
            <w:instrText xml:space="preserve"> CITATION Bri14 \l 2057 </w:instrText>
          </w:r>
          <w:r w:rsidR="004726EE">
            <w:fldChar w:fldCharType="separate"/>
          </w:r>
          <w:r w:rsidR="005F3A8D">
            <w:rPr>
              <w:noProof/>
            </w:rPr>
            <w:t>(Brigham &amp; Ehrhardt, 2014)</w:t>
          </w:r>
          <w:r w:rsidR="004726EE">
            <w:fldChar w:fldCharType="end"/>
          </w:r>
        </w:sdtContent>
      </w:sdt>
    </w:p>
    <w:p w14:paraId="38957743" w14:textId="7E3E7820" w:rsidR="006E1C17" w:rsidRPr="00853E7A" w:rsidRDefault="000665F1" w:rsidP="00853E7A">
      <w:pPr>
        <w:pStyle w:val="Body"/>
      </w:pPr>
      <w:r w:rsidRPr="00853E7A">
        <w:t>Potential lenders w</w:t>
      </w:r>
      <w:r w:rsidR="00AC2FED">
        <w:t>ill</w:t>
      </w:r>
      <w:r w:rsidRPr="00853E7A">
        <w:t xml:space="preserve"> be concerned at the business’ ability to take on further interest payments.</w:t>
      </w:r>
      <w:r w:rsidR="00C66794">
        <w:t xml:space="preserve">  A long-term lender will always want to know the gearing ratio of a company</w:t>
      </w:r>
      <w:r w:rsidR="00AC2FED">
        <w:t>.</w:t>
      </w:r>
    </w:p>
    <w:p w14:paraId="0AE54ED1" w14:textId="77777777" w:rsidR="000665F1" w:rsidRDefault="000665F1" w:rsidP="000665F1">
      <w:pPr>
        <w:pStyle w:val="Body"/>
      </w:pPr>
      <w:r>
        <w:t xml:space="preserve">Current ratio </w:t>
      </w:r>
    </w:p>
    <w:p w14:paraId="7F01B1A9" w14:textId="1B964E41" w:rsidR="002E2E15" w:rsidRDefault="002E2E15" w:rsidP="002E2E15">
      <w:pPr>
        <w:pStyle w:val="Body"/>
      </w:pPr>
      <w:r>
        <w:t>The current ratio is a financial ratio that measures a company's ability to pay its short-term obligations using its short-term assets. It evaluates the liquidity and short-term solvency of a company by comparing its current assets to its current liabilities.  The formula for calculating the current ratio is as follows:</w:t>
      </w:r>
    </w:p>
    <w:p w14:paraId="301AD70E" w14:textId="77777777" w:rsidR="002E2E15" w:rsidRDefault="002E2E15" w:rsidP="002E2E15">
      <w:pPr>
        <w:pStyle w:val="Body"/>
      </w:pPr>
      <w:r>
        <w:t>Current Ratio = Current Assets / Current Liabilities</w:t>
      </w:r>
    </w:p>
    <w:p w14:paraId="67076672" w14:textId="5E861F00" w:rsidR="002E2E15" w:rsidRDefault="002E2E15" w:rsidP="002E2E15">
      <w:pPr>
        <w:pStyle w:val="Body"/>
      </w:pPr>
      <w:r>
        <w:t xml:space="preserve">Current assets typically include cash, cash equivalents, accounts receivable, inventory, and other assets that are expected to be converted into cash or used up within one year. Current liabilities, on the other hand, consist of obligations that are due within one year, such as accounts payable, short-term loans, and accrued expenses.  </w:t>
      </w:r>
      <w:sdt>
        <w:sdtPr>
          <w:id w:val="283857567"/>
          <w:citation/>
        </w:sdtPr>
        <w:sdtContent>
          <w:r w:rsidR="00C66794">
            <w:fldChar w:fldCharType="begin"/>
          </w:r>
          <w:r w:rsidR="00C66794">
            <w:instrText xml:space="preserve"> CITATION Fri11 \l 2057 </w:instrText>
          </w:r>
          <w:r w:rsidR="00C66794">
            <w:fldChar w:fldCharType="separate"/>
          </w:r>
          <w:r w:rsidR="005F3A8D">
            <w:rPr>
              <w:noProof/>
            </w:rPr>
            <w:t>(Fridson &amp; Alvarez, 2011)</w:t>
          </w:r>
          <w:r w:rsidR="00C66794">
            <w:fldChar w:fldCharType="end"/>
          </w:r>
        </w:sdtContent>
      </w:sdt>
    </w:p>
    <w:p w14:paraId="4FD1A923" w14:textId="1CDE4785" w:rsidR="002D63D1" w:rsidRDefault="00AC2FED" w:rsidP="000665F1">
      <w:pPr>
        <w:pStyle w:val="Body"/>
      </w:pPr>
      <w:r>
        <w:t>A</w:t>
      </w:r>
      <w:r w:rsidR="000665F1">
        <w:t xml:space="preserve"> short-term lender will want to know about the current ratio of the business.</w:t>
      </w:r>
      <w:r w:rsidR="002D63D1">
        <w:br w:type="page"/>
      </w:r>
    </w:p>
    <w:p w14:paraId="3F71BA14" w14:textId="77A5B18A" w:rsidR="00005FD3" w:rsidRDefault="009C4783" w:rsidP="00005FD3">
      <w:pPr>
        <w:pStyle w:val="Heading"/>
      </w:pPr>
      <w:bookmarkStart w:id="6" w:name="_Toc136290562"/>
      <w:r>
        <w:lastRenderedPageBreak/>
        <w:t>Capital Rationing</w:t>
      </w:r>
      <w:bookmarkEnd w:id="6"/>
      <w:r w:rsidR="00005FD3">
        <w:t xml:space="preserve"> </w:t>
      </w:r>
    </w:p>
    <w:p w14:paraId="671324DF" w14:textId="03AB7405" w:rsidR="006E009B" w:rsidRDefault="006E009B" w:rsidP="006E009B">
      <w:pPr>
        <w:pStyle w:val="Body"/>
        <w:ind w:left="360"/>
      </w:pPr>
      <w:r>
        <w:t>Capital rationing refers to a situation where a company or organisation has limited funds or resources available for investment in various projects or opportunities. It occurs when the total capital available for investment falls short of the total capital required to undertake all the viable projects. As a result, the company must prioritise and allocate its limited capital among competing investment options.</w:t>
      </w:r>
    </w:p>
    <w:p w14:paraId="499D678F" w14:textId="77777777" w:rsidR="006E009B" w:rsidRDefault="006E009B" w:rsidP="006E009B">
      <w:pPr>
        <w:pStyle w:val="Body"/>
        <w:ind w:left="360"/>
      </w:pPr>
      <w:r>
        <w:t>Capital rationing can be internal or external. Internal capital rationing occurs when a company voluntarily restricts its investment due to self-imposed constraints or strategic considerations. For example, a company may choose to limit its capital expenditure to maintain a certain debt-to-equity ratio or to focus on specific business areas. External capital rationing, on the other hand, is imposed by external factors such as limited access to external financing sources or regulatory restrictions.</w:t>
      </w:r>
    </w:p>
    <w:p w14:paraId="659C1A24" w14:textId="69B572D0" w:rsidR="006E009B" w:rsidRDefault="00EF3E3C" w:rsidP="006E009B">
      <w:pPr>
        <w:pStyle w:val="Body"/>
        <w:ind w:left="360"/>
      </w:pPr>
      <w:r>
        <w:t>Although we don’t need to consider Capit</w:t>
      </w:r>
      <w:r w:rsidR="00B925BE">
        <w:t>al Rationing for this project t</w:t>
      </w:r>
      <w:r w:rsidR="006E009B">
        <w:t xml:space="preserve">he process of capital rationing involves evaluating and selecting investment projects based on </w:t>
      </w:r>
      <w:r w:rsidR="00E95F34">
        <w:t xml:space="preserve">the </w:t>
      </w:r>
      <w:r w:rsidR="00465B01">
        <w:t>six</w:t>
      </w:r>
      <w:r w:rsidR="00E95F34">
        <w:t xml:space="preserve"> tools mentioned in this report</w:t>
      </w:r>
      <w:r w:rsidR="006E009B">
        <w:t xml:space="preserve">. The projects with the highest ranking based on the chosen </w:t>
      </w:r>
      <w:r w:rsidR="00C948CB">
        <w:t>tool or tools</w:t>
      </w:r>
      <w:r w:rsidR="006E009B">
        <w:t xml:space="preserve"> are given priority for funding until the available capital is exhausted.</w:t>
      </w:r>
    </w:p>
    <w:p w14:paraId="1789C236" w14:textId="4BB2B4E9" w:rsidR="006E009B" w:rsidRDefault="006E009B" w:rsidP="006E009B">
      <w:pPr>
        <w:pStyle w:val="Body"/>
        <w:ind w:left="360"/>
      </w:pPr>
      <w:r>
        <w:t xml:space="preserve">Capital rationing requires careful analysis and decision-making to </w:t>
      </w:r>
      <w:r w:rsidR="00465B01">
        <w:t>make best use of</w:t>
      </w:r>
      <w:r>
        <w:t xml:space="preserve"> the allocation of limited resources. It involves considering trade-offs between different projects, assessing their potential returns, risks, and strategic alignment with the company's objectives. Companies may also consider alternative financing options, such as debt financing or equity partnerships, to overcome the constraints of capital rationing.</w:t>
      </w:r>
    </w:p>
    <w:p w14:paraId="7452C147" w14:textId="3B2A367D" w:rsidR="00AC06F9" w:rsidRDefault="006E009B" w:rsidP="006E009B">
      <w:pPr>
        <w:pStyle w:val="Body"/>
        <w:ind w:left="360"/>
      </w:pPr>
      <w:r>
        <w:t>Overall, capital rationing serves as a means for companies to allocate their limited capital efficiently and effectively by prioriti</w:t>
      </w:r>
      <w:r w:rsidR="00465B01">
        <w:t>s</w:t>
      </w:r>
      <w:r>
        <w:t xml:space="preserve">ing and selecting the most promising investment opportunities within the available </w:t>
      </w:r>
      <w:r w:rsidR="005A5659">
        <w:t>resources.</w:t>
      </w:r>
    </w:p>
    <w:p w14:paraId="7487BD62" w14:textId="77777777" w:rsidR="002D63D1" w:rsidRDefault="002D63D1">
      <w:pPr>
        <w:rPr>
          <w:lang w:eastAsia="en-US"/>
        </w:rPr>
      </w:pPr>
      <w:r>
        <w:br w:type="page"/>
      </w:r>
    </w:p>
    <w:p w14:paraId="6BFD6D40" w14:textId="77777777" w:rsidR="009072E7" w:rsidRDefault="002D63D1" w:rsidP="002D63D1">
      <w:pPr>
        <w:pStyle w:val="Heading"/>
      </w:pPr>
      <w:bookmarkStart w:id="7" w:name="_Toc136290563"/>
      <w:r>
        <w:lastRenderedPageBreak/>
        <w:t>Conclusion</w:t>
      </w:r>
      <w:bookmarkEnd w:id="7"/>
    </w:p>
    <w:p w14:paraId="49B47CAC" w14:textId="57902E76" w:rsidR="005E42FD" w:rsidRDefault="005E42FD" w:rsidP="005E42FD">
      <w:pPr>
        <w:pStyle w:val="Body"/>
      </w:pPr>
      <w:r>
        <w:t xml:space="preserve">By critically analysing financial and accounting concepts and applying them to detailed business justification </w:t>
      </w:r>
      <w:r w:rsidR="006A5AC9">
        <w:t>models</w:t>
      </w:r>
      <w:r>
        <w:t>, the company can make informed decisions and maximize the return on capital. Proper evaluation of ROI, NPV, payback period, and risk factors enables the selection of financially viable projects, contributing to the company's long-term success and competitiveness.</w:t>
      </w:r>
    </w:p>
    <w:p w14:paraId="53A1DDA6" w14:textId="2093DAAC" w:rsidR="00702418" w:rsidRDefault="00702418" w:rsidP="00702418">
      <w:pPr>
        <w:pStyle w:val="Body"/>
      </w:pPr>
      <w:r>
        <w:t xml:space="preserve">By exploring funding options beyond internal cash resources, </w:t>
      </w:r>
      <w:r w:rsidR="00A07B05">
        <w:t>The Royal Mint</w:t>
      </w:r>
      <w:r>
        <w:t xml:space="preserve"> can secure the necessary capital to support business expansion and strategic initiatives. Assess the advantages, considerations, and potential implications of debt financing, equity financing, government grants, and strategic partnerships. Tailor the funding approach to align with the company's growth plans, financial objectives, and risk tolerance.</w:t>
      </w:r>
    </w:p>
    <w:p w14:paraId="03C10638" w14:textId="765F6288" w:rsidR="00702418" w:rsidRDefault="00F54985" w:rsidP="00702418">
      <w:pPr>
        <w:pStyle w:val="Body"/>
      </w:pPr>
      <w:r>
        <w:t>Overall this project shows to provide a good Payback</w:t>
      </w:r>
      <w:r w:rsidR="00E90A4F">
        <w:t xml:space="preserve"> within under 3 years and </w:t>
      </w:r>
      <w:r w:rsidR="008C3B63">
        <w:t>an NPV</w:t>
      </w:r>
      <w:r w:rsidR="003F18E9">
        <w:t xml:space="preserve"> of £139,230 based on a WACC of 8</w:t>
      </w:r>
      <w:r w:rsidR="007C02DC">
        <w:t>%.  IRR is over 20% at 23.28% and Profitability index is over 1 at 1.46</w:t>
      </w:r>
      <w:r w:rsidR="003C261E">
        <w:t xml:space="preserve"> and ARR is over 30% at 35.56%</w:t>
      </w:r>
    </w:p>
    <w:p w14:paraId="154DA70F" w14:textId="2977B319" w:rsidR="00D96599" w:rsidRDefault="001D50D0" w:rsidP="00702418">
      <w:pPr>
        <w:pStyle w:val="Body"/>
      </w:pPr>
      <w:r>
        <w:t xml:space="preserve">Given all of the measures indicate a good Return on Investment it </w:t>
      </w:r>
      <w:r w:rsidR="00C367C8">
        <w:t>seems like a safe decision to approve Capital Expenditure on this Project.</w:t>
      </w:r>
    </w:p>
    <w:p w14:paraId="51B44CEB" w14:textId="5B688421" w:rsidR="009072E7" w:rsidRDefault="009072E7">
      <w:pPr>
        <w:rPr>
          <w:lang w:eastAsia="en-US"/>
        </w:rPr>
      </w:pPr>
      <w:r>
        <w:br w:type="page"/>
      </w:r>
    </w:p>
    <w:p w14:paraId="06006629" w14:textId="77777777" w:rsidR="009072E7" w:rsidRDefault="009072E7" w:rsidP="009072E7">
      <w:pPr>
        <w:pStyle w:val="Heading"/>
      </w:pPr>
      <w:bookmarkStart w:id="8" w:name="_Toc136290564"/>
      <w:r>
        <w:lastRenderedPageBreak/>
        <w:t>Appendix</w:t>
      </w:r>
      <w:bookmarkEnd w:id="8"/>
    </w:p>
    <w:p w14:paraId="2D6AADA8" w14:textId="77777777" w:rsidR="0008617D" w:rsidRDefault="009072E7" w:rsidP="009072E7">
      <w:pPr>
        <w:pStyle w:val="HeaderTitle"/>
      </w:pPr>
      <w:bookmarkStart w:id="9" w:name="_Toc136290565"/>
      <w:r>
        <w:t>Calculations</w:t>
      </w:r>
      <w:bookmarkEnd w:id="9"/>
    </w:p>
    <w:p w14:paraId="1F5BCBB4" w14:textId="77777777" w:rsidR="003A44C7" w:rsidRDefault="003A44C7" w:rsidP="003A44C7">
      <w:pPr>
        <w:pStyle w:val="Heading1"/>
      </w:pPr>
      <w:bookmarkStart w:id="10" w:name="_Toc136290566"/>
      <w:r>
        <w:t>Payback Period</w:t>
      </w:r>
      <w:bookmarkEnd w:id="10"/>
    </w:p>
    <w:p w14:paraId="354255A5" w14:textId="77777777" w:rsidR="00791762" w:rsidRDefault="00200BF1" w:rsidP="003A44C7">
      <w:pPr>
        <w:pStyle w:val="Body"/>
      </w:pPr>
      <w:r>
        <w:t xml:space="preserve">The payback period is calculated by </w:t>
      </w:r>
      <w:r w:rsidR="00982602">
        <w:t>dividing the investment</w:t>
      </w:r>
      <w:r w:rsidR="00776D8F">
        <w:t xml:space="preserve"> cost against the annual benefit return (cashflo</w:t>
      </w:r>
      <w:r w:rsidR="00791762">
        <w:t>w) from the project.</w:t>
      </w:r>
    </w:p>
    <w:p w14:paraId="35403042" w14:textId="6038CBE2" w:rsidR="004630BB" w:rsidRDefault="00791762" w:rsidP="003A44C7">
      <w:pPr>
        <w:pStyle w:val="Body"/>
      </w:pPr>
      <w:r>
        <w:t xml:space="preserve">The initial investment amount for this project </w:t>
      </w:r>
      <w:r w:rsidR="00CA4B15">
        <w:t>i</w:t>
      </w:r>
      <w:r>
        <w:t xml:space="preserve">s </w:t>
      </w:r>
      <w:r w:rsidR="002B09FB">
        <w:t>£</w:t>
      </w:r>
      <w:r w:rsidR="00E76A48">
        <w:t>30</w:t>
      </w:r>
      <w:r w:rsidR="002B09FB">
        <w:t xml:space="preserve">0,000 with a </w:t>
      </w:r>
      <w:r w:rsidR="003D5CAD">
        <w:t xml:space="preserve">benefit value </w:t>
      </w:r>
      <w:r w:rsidR="002B09FB">
        <w:t xml:space="preserve">of </w:t>
      </w:r>
      <w:r w:rsidR="00324BDC">
        <w:t>£0.</w:t>
      </w:r>
      <w:r w:rsidR="00D453D5">
        <w:t>0</w:t>
      </w:r>
      <w:r w:rsidR="00155BAF">
        <w:t>04</w:t>
      </w:r>
      <w:r w:rsidR="00324BDC">
        <w:t xml:space="preserve"> per coin printed and </w:t>
      </w:r>
      <w:r w:rsidR="00A8693E">
        <w:t>£</w:t>
      </w:r>
      <w:r w:rsidR="0099198A">
        <w:t>0.</w:t>
      </w:r>
      <w:r w:rsidR="00A8693E">
        <w:t>216</w:t>
      </w:r>
      <w:r w:rsidR="006B329F">
        <w:t xml:space="preserve"> per </w:t>
      </w:r>
      <w:r w:rsidR="00865985">
        <w:t>acrylic</w:t>
      </w:r>
      <w:r w:rsidR="006B329F">
        <w:t xml:space="preserve"> block</w:t>
      </w:r>
      <w:r w:rsidR="004630BB">
        <w:t xml:space="preserve"> printed.</w:t>
      </w:r>
    </w:p>
    <w:p w14:paraId="62B6C048" w14:textId="27E0E870" w:rsidR="00CA4B15" w:rsidRDefault="00D24C2D" w:rsidP="003A44C7">
      <w:pPr>
        <w:pStyle w:val="Body"/>
      </w:pPr>
      <w:r>
        <w:t xml:space="preserve">With </w:t>
      </w:r>
      <w:r w:rsidR="00865985">
        <w:t>a</w:t>
      </w:r>
      <w:r>
        <w:t xml:space="preserve"> planned print of 500,000 coloured coin and acrylic blocks </w:t>
      </w:r>
      <w:r w:rsidR="008D185B">
        <w:t xml:space="preserve">forecast per year then the financial benefit is expected to be </w:t>
      </w:r>
      <w:r w:rsidR="005F33E7">
        <w:t>£</w:t>
      </w:r>
      <w:r w:rsidR="00155BAF">
        <w:t>2</w:t>
      </w:r>
      <w:r w:rsidR="0099198A">
        <w:t>,</w:t>
      </w:r>
      <w:r w:rsidR="00F02BF4">
        <w:t>000</w:t>
      </w:r>
      <w:r w:rsidR="00252271">
        <w:t xml:space="preserve"> for coin and </w:t>
      </w:r>
      <w:r w:rsidR="006D0903">
        <w:t>£108</w:t>
      </w:r>
      <w:r w:rsidR="0099198A">
        <w:t>,</w:t>
      </w:r>
      <w:r w:rsidR="006D0903">
        <w:t xml:space="preserve">000 for acrylic blocks totalling </w:t>
      </w:r>
      <w:r w:rsidR="00F966F4">
        <w:t>£1</w:t>
      </w:r>
      <w:r w:rsidR="00AB3058">
        <w:t>10</w:t>
      </w:r>
      <w:r w:rsidR="0099198A">
        <w:t>,</w:t>
      </w:r>
      <w:r w:rsidR="00F966F4">
        <w:t xml:space="preserve">000 annual </w:t>
      </w:r>
      <w:r w:rsidR="00EA2E94">
        <w:t>cost benefit.</w:t>
      </w:r>
    </w:p>
    <w:p w14:paraId="0F0577E1" w14:textId="4A90B814" w:rsidR="00795F1F" w:rsidRDefault="00795F1F" w:rsidP="003A44C7">
      <w:pPr>
        <w:pStyle w:val="Body"/>
      </w:pPr>
    </w:p>
    <w:tbl>
      <w:tblPr>
        <w:tblStyle w:val="TableGrid"/>
        <w:tblW w:w="0" w:type="auto"/>
        <w:tblLook w:val="04A0" w:firstRow="1" w:lastRow="0" w:firstColumn="1" w:lastColumn="0" w:noHBand="0" w:noVBand="1"/>
      </w:tblPr>
      <w:tblGrid>
        <w:gridCol w:w="4658"/>
        <w:gridCol w:w="4659"/>
      </w:tblGrid>
      <w:tr w:rsidR="00044EDE" w14:paraId="44EE2094" w14:textId="77777777" w:rsidTr="00044EDE">
        <w:tc>
          <w:tcPr>
            <w:tcW w:w="4658" w:type="dxa"/>
          </w:tcPr>
          <w:p w14:paraId="0996FCC6" w14:textId="3C7C9526" w:rsidR="00044EDE" w:rsidRDefault="00044EDE" w:rsidP="003A44C7">
            <w:pPr>
              <w:pStyle w:val="Body"/>
            </w:pPr>
            <w:r>
              <w:t>Project Investment</w:t>
            </w:r>
          </w:p>
        </w:tc>
        <w:tc>
          <w:tcPr>
            <w:tcW w:w="4659" w:type="dxa"/>
          </w:tcPr>
          <w:p w14:paraId="006BDC46" w14:textId="48A159AC" w:rsidR="00044EDE" w:rsidRDefault="008A455A" w:rsidP="003A44C7">
            <w:pPr>
              <w:pStyle w:val="Body"/>
            </w:pPr>
            <w:r>
              <w:t>£</w:t>
            </w:r>
            <w:r w:rsidR="00AB3058">
              <w:t>30</w:t>
            </w:r>
            <w:r>
              <w:t>0,000</w:t>
            </w:r>
          </w:p>
        </w:tc>
      </w:tr>
      <w:tr w:rsidR="00044EDE" w14:paraId="0BF4325C" w14:textId="77777777" w:rsidTr="00044EDE">
        <w:tc>
          <w:tcPr>
            <w:tcW w:w="4658" w:type="dxa"/>
          </w:tcPr>
          <w:p w14:paraId="7E649B9D" w14:textId="3B718296" w:rsidR="00044EDE" w:rsidRDefault="00044EDE" w:rsidP="003A44C7">
            <w:pPr>
              <w:pStyle w:val="Body"/>
            </w:pPr>
            <w:r>
              <w:t>Net Cashflow per year</w:t>
            </w:r>
          </w:p>
        </w:tc>
        <w:tc>
          <w:tcPr>
            <w:tcW w:w="4659" w:type="dxa"/>
          </w:tcPr>
          <w:p w14:paraId="74B2D722" w14:textId="1E5428F1" w:rsidR="00044EDE" w:rsidRDefault="006B63E4" w:rsidP="003A44C7">
            <w:pPr>
              <w:pStyle w:val="Body"/>
            </w:pPr>
            <w:r>
              <w:t>£1</w:t>
            </w:r>
            <w:r w:rsidR="00AB3058">
              <w:t>10</w:t>
            </w:r>
            <w:r w:rsidR="0099198A">
              <w:t>,</w:t>
            </w:r>
            <w:r>
              <w:t>000</w:t>
            </w:r>
          </w:p>
        </w:tc>
      </w:tr>
      <w:tr w:rsidR="00044EDE" w14:paraId="39C49405" w14:textId="77777777" w:rsidTr="00044EDE">
        <w:tc>
          <w:tcPr>
            <w:tcW w:w="4658" w:type="dxa"/>
          </w:tcPr>
          <w:p w14:paraId="323CA267" w14:textId="41DA943F" w:rsidR="00044EDE" w:rsidRDefault="008A455A" w:rsidP="003A44C7">
            <w:pPr>
              <w:pStyle w:val="Body"/>
            </w:pPr>
            <w:r>
              <w:t>Payback Period</w:t>
            </w:r>
          </w:p>
        </w:tc>
        <w:tc>
          <w:tcPr>
            <w:tcW w:w="4659" w:type="dxa"/>
          </w:tcPr>
          <w:p w14:paraId="5B2F1EFC" w14:textId="44A4F99D" w:rsidR="00044EDE" w:rsidRDefault="00AB3058" w:rsidP="003A44C7">
            <w:pPr>
              <w:pStyle w:val="Body"/>
            </w:pPr>
            <w:r>
              <w:t>2.7</w:t>
            </w:r>
            <w:r w:rsidR="0072425C">
              <w:t xml:space="preserve">3 years </w:t>
            </w:r>
          </w:p>
        </w:tc>
      </w:tr>
    </w:tbl>
    <w:p w14:paraId="13D1AF11" w14:textId="61FFD1D1" w:rsidR="001D5882" w:rsidRDefault="001D5882" w:rsidP="003A44C7">
      <w:pPr>
        <w:pStyle w:val="Body"/>
      </w:pPr>
    </w:p>
    <w:p w14:paraId="3AD52E57" w14:textId="6C651CE5" w:rsidR="00937F82" w:rsidRDefault="00937F82" w:rsidP="003A44C7">
      <w:pPr>
        <w:pStyle w:val="Body"/>
      </w:pPr>
    </w:p>
    <w:tbl>
      <w:tblPr>
        <w:tblStyle w:val="TableGrid"/>
        <w:tblW w:w="0" w:type="auto"/>
        <w:tblLook w:val="04A0" w:firstRow="1" w:lastRow="0" w:firstColumn="1" w:lastColumn="0" w:noHBand="0" w:noVBand="1"/>
      </w:tblPr>
      <w:tblGrid>
        <w:gridCol w:w="1838"/>
        <w:gridCol w:w="1276"/>
        <w:gridCol w:w="1134"/>
        <w:gridCol w:w="1276"/>
        <w:gridCol w:w="1275"/>
        <w:gridCol w:w="1276"/>
        <w:gridCol w:w="1242"/>
      </w:tblGrid>
      <w:tr w:rsidR="00920B6C" w14:paraId="5A25EEDB" w14:textId="77777777" w:rsidTr="007B6665">
        <w:tc>
          <w:tcPr>
            <w:tcW w:w="1838" w:type="dxa"/>
          </w:tcPr>
          <w:p w14:paraId="01F4CD8D" w14:textId="63E7C7FE" w:rsidR="00920B6C" w:rsidRDefault="00C9302A" w:rsidP="0082608F">
            <w:pPr>
              <w:pStyle w:val="Body"/>
              <w:jc w:val="center"/>
            </w:pPr>
            <w:r>
              <w:t>Year</w:t>
            </w:r>
          </w:p>
        </w:tc>
        <w:tc>
          <w:tcPr>
            <w:tcW w:w="1276" w:type="dxa"/>
          </w:tcPr>
          <w:p w14:paraId="277E3B31" w14:textId="5EA011DE" w:rsidR="00920B6C" w:rsidRDefault="005C133E" w:rsidP="0082608F">
            <w:pPr>
              <w:pStyle w:val="Body"/>
              <w:jc w:val="center"/>
            </w:pPr>
            <w:r>
              <w:t>0</w:t>
            </w:r>
          </w:p>
        </w:tc>
        <w:tc>
          <w:tcPr>
            <w:tcW w:w="1134" w:type="dxa"/>
          </w:tcPr>
          <w:p w14:paraId="30B19DA5" w14:textId="3DDA53E1" w:rsidR="00920B6C" w:rsidRDefault="005C133E" w:rsidP="0082608F">
            <w:pPr>
              <w:pStyle w:val="Body"/>
              <w:jc w:val="center"/>
            </w:pPr>
            <w:r>
              <w:t>1</w:t>
            </w:r>
          </w:p>
        </w:tc>
        <w:tc>
          <w:tcPr>
            <w:tcW w:w="1276" w:type="dxa"/>
          </w:tcPr>
          <w:p w14:paraId="28F9A16D" w14:textId="7BD0BD98" w:rsidR="00920B6C" w:rsidRDefault="005C133E" w:rsidP="0082608F">
            <w:pPr>
              <w:pStyle w:val="Body"/>
              <w:jc w:val="center"/>
            </w:pPr>
            <w:r>
              <w:t>2</w:t>
            </w:r>
          </w:p>
        </w:tc>
        <w:tc>
          <w:tcPr>
            <w:tcW w:w="1275" w:type="dxa"/>
          </w:tcPr>
          <w:p w14:paraId="0BB2AE50" w14:textId="12066EC7" w:rsidR="00920B6C" w:rsidRDefault="005C133E" w:rsidP="0082608F">
            <w:pPr>
              <w:pStyle w:val="Body"/>
              <w:jc w:val="center"/>
            </w:pPr>
            <w:r>
              <w:t>3</w:t>
            </w:r>
          </w:p>
        </w:tc>
        <w:tc>
          <w:tcPr>
            <w:tcW w:w="1276" w:type="dxa"/>
          </w:tcPr>
          <w:p w14:paraId="60D5F320" w14:textId="1BD473D4" w:rsidR="00920B6C" w:rsidRDefault="005C133E" w:rsidP="0082608F">
            <w:pPr>
              <w:pStyle w:val="Body"/>
              <w:jc w:val="center"/>
            </w:pPr>
            <w:r>
              <w:t>4</w:t>
            </w:r>
          </w:p>
        </w:tc>
        <w:tc>
          <w:tcPr>
            <w:tcW w:w="1242" w:type="dxa"/>
          </w:tcPr>
          <w:p w14:paraId="0ADCF815" w14:textId="406C53F2" w:rsidR="00920B6C" w:rsidRDefault="005C133E" w:rsidP="0082608F">
            <w:pPr>
              <w:pStyle w:val="Body"/>
              <w:jc w:val="center"/>
            </w:pPr>
            <w:r>
              <w:t>5</w:t>
            </w:r>
          </w:p>
        </w:tc>
      </w:tr>
      <w:tr w:rsidR="00920B6C" w14:paraId="1682ED45" w14:textId="77777777" w:rsidTr="007B6665">
        <w:tc>
          <w:tcPr>
            <w:tcW w:w="1838" w:type="dxa"/>
          </w:tcPr>
          <w:p w14:paraId="7C492E5B" w14:textId="5FBB8159" w:rsidR="00920B6C" w:rsidRDefault="00C9302A" w:rsidP="0082608F">
            <w:pPr>
              <w:pStyle w:val="Body"/>
              <w:jc w:val="center"/>
            </w:pPr>
            <w:r>
              <w:t>Initial Investment</w:t>
            </w:r>
          </w:p>
        </w:tc>
        <w:tc>
          <w:tcPr>
            <w:tcW w:w="1276" w:type="dxa"/>
          </w:tcPr>
          <w:p w14:paraId="1E84615B" w14:textId="65F56D92" w:rsidR="00920B6C" w:rsidRDefault="005C133E" w:rsidP="0082608F">
            <w:pPr>
              <w:pStyle w:val="Body"/>
              <w:jc w:val="center"/>
            </w:pPr>
            <w:r>
              <w:t>£</w:t>
            </w:r>
            <w:r w:rsidR="00AB3058">
              <w:t>30</w:t>
            </w:r>
            <w:r>
              <w:t>0,000</w:t>
            </w:r>
          </w:p>
        </w:tc>
        <w:tc>
          <w:tcPr>
            <w:tcW w:w="1134" w:type="dxa"/>
          </w:tcPr>
          <w:p w14:paraId="5797A31E" w14:textId="77777777" w:rsidR="00920B6C" w:rsidRDefault="00920B6C" w:rsidP="0082608F">
            <w:pPr>
              <w:pStyle w:val="Body"/>
              <w:jc w:val="center"/>
            </w:pPr>
          </w:p>
        </w:tc>
        <w:tc>
          <w:tcPr>
            <w:tcW w:w="1276" w:type="dxa"/>
          </w:tcPr>
          <w:p w14:paraId="6F59A58A" w14:textId="77777777" w:rsidR="00920B6C" w:rsidRDefault="00920B6C" w:rsidP="0082608F">
            <w:pPr>
              <w:pStyle w:val="Body"/>
              <w:jc w:val="center"/>
            </w:pPr>
          </w:p>
        </w:tc>
        <w:tc>
          <w:tcPr>
            <w:tcW w:w="1275" w:type="dxa"/>
          </w:tcPr>
          <w:p w14:paraId="5D3091B2" w14:textId="77777777" w:rsidR="00920B6C" w:rsidRDefault="00920B6C" w:rsidP="0082608F">
            <w:pPr>
              <w:pStyle w:val="Body"/>
              <w:jc w:val="center"/>
            </w:pPr>
          </w:p>
        </w:tc>
        <w:tc>
          <w:tcPr>
            <w:tcW w:w="1276" w:type="dxa"/>
          </w:tcPr>
          <w:p w14:paraId="2B524F87" w14:textId="77777777" w:rsidR="00920B6C" w:rsidRDefault="00920B6C" w:rsidP="0082608F">
            <w:pPr>
              <w:pStyle w:val="Body"/>
              <w:jc w:val="center"/>
            </w:pPr>
          </w:p>
        </w:tc>
        <w:tc>
          <w:tcPr>
            <w:tcW w:w="1242" w:type="dxa"/>
          </w:tcPr>
          <w:p w14:paraId="0FC1BD2C" w14:textId="77777777" w:rsidR="00920B6C" w:rsidRDefault="00920B6C" w:rsidP="0082608F">
            <w:pPr>
              <w:pStyle w:val="Body"/>
              <w:jc w:val="center"/>
            </w:pPr>
          </w:p>
        </w:tc>
      </w:tr>
      <w:tr w:rsidR="00920B6C" w14:paraId="38D9E60B" w14:textId="77777777" w:rsidTr="007B6665">
        <w:tc>
          <w:tcPr>
            <w:tcW w:w="1838" w:type="dxa"/>
          </w:tcPr>
          <w:p w14:paraId="37D530F5" w14:textId="2C85F400" w:rsidR="00920B6C" w:rsidRDefault="00A03CF1" w:rsidP="0082608F">
            <w:pPr>
              <w:pStyle w:val="Body"/>
              <w:jc w:val="center"/>
            </w:pPr>
            <w:r>
              <w:t>Benefits</w:t>
            </w:r>
          </w:p>
        </w:tc>
        <w:tc>
          <w:tcPr>
            <w:tcW w:w="1276" w:type="dxa"/>
          </w:tcPr>
          <w:p w14:paraId="08C3E606" w14:textId="77777777" w:rsidR="00920B6C" w:rsidRDefault="00920B6C" w:rsidP="0082608F">
            <w:pPr>
              <w:pStyle w:val="Body"/>
              <w:jc w:val="center"/>
            </w:pPr>
          </w:p>
        </w:tc>
        <w:tc>
          <w:tcPr>
            <w:tcW w:w="1134" w:type="dxa"/>
          </w:tcPr>
          <w:p w14:paraId="5E5C1E70" w14:textId="67CDB4FE" w:rsidR="00920B6C" w:rsidRDefault="00C264D6" w:rsidP="0082608F">
            <w:pPr>
              <w:pStyle w:val="Body"/>
              <w:jc w:val="center"/>
            </w:pPr>
            <w:r>
              <w:t>£1</w:t>
            </w:r>
            <w:r w:rsidR="00AB3058">
              <w:t>10</w:t>
            </w:r>
            <w:r>
              <w:t>,000</w:t>
            </w:r>
          </w:p>
        </w:tc>
        <w:tc>
          <w:tcPr>
            <w:tcW w:w="1276" w:type="dxa"/>
          </w:tcPr>
          <w:p w14:paraId="0F08999D" w14:textId="253184C0" w:rsidR="00920B6C" w:rsidRDefault="00AB3058" w:rsidP="0082608F">
            <w:pPr>
              <w:pStyle w:val="Body"/>
              <w:jc w:val="center"/>
            </w:pPr>
            <w:r>
              <w:t>£110,000</w:t>
            </w:r>
          </w:p>
        </w:tc>
        <w:tc>
          <w:tcPr>
            <w:tcW w:w="1275" w:type="dxa"/>
          </w:tcPr>
          <w:p w14:paraId="57F9D73A" w14:textId="639B8BC3" w:rsidR="00920B6C" w:rsidRDefault="00AB3058" w:rsidP="0082608F">
            <w:pPr>
              <w:pStyle w:val="Body"/>
              <w:jc w:val="center"/>
            </w:pPr>
            <w:r>
              <w:t>£110,000</w:t>
            </w:r>
          </w:p>
        </w:tc>
        <w:tc>
          <w:tcPr>
            <w:tcW w:w="1276" w:type="dxa"/>
          </w:tcPr>
          <w:p w14:paraId="26C2B8F1" w14:textId="78A3C8D4" w:rsidR="00920B6C" w:rsidRDefault="00AB3058" w:rsidP="0082608F">
            <w:pPr>
              <w:pStyle w:val="Body"/>
              <w:jc w:val="center"/>
            </w:pPr>
            <w:r>
              <w:t>£110,000</w:t>
            </w:r>
          </w:p>
        </w:tc>
        <w:tc>
          <w:tcPr>
            <w:tcW w:w="1242" w:type="dxa"/>
          </w:tcPr>
          <w:p w14:paraId="173DCC78" w14:textId="77C8F244" w:rsidR="00920B6C" w:rsidRDefault="00AB3058" w:rsidP="0082608F">
            <w:pPr>
              <w:pStyle w:val="Body"/>
              <w:jc w:val="center"/>
            </w:pPr>
            <w:r>
              <w:t>£110,000</w:t>
            </w:r>
          </w:p>
        </w:tc>
      </w:tr>
      <w:tr w:rsidR="00920B6C" w14:paraId="7F8C222A" w14:textId="77777777" w:rsidTr="007B6665">
        <w:tc>
          <w:tcPr>
            <w:tcW w:w="1838" w:type="dxa"/>
          </w:tcPr>
          <w:p w14:paraId="1A5B14A8" w14:textId="4CA5DE13" w:rsidR="00920B6C" w:rsidRDefault="005C133E" w:rsidP="0082608F">
            <w:pPr>
              <w:pStyle w:val="Body"/>
              <w:jc w:val="center"/>
            </w:pPr>
            <w:r>
              <w:t>Net Benefit</w:t>
            </w:r>
          </w:p>
        </w:tc>
        <w:tc>
          <w:tcPr>
            <w:tcW w:w="1276" w:type="dxa"/>
          </w:tcPr>
          <w:p w14:paraId="333430A5" w14:textId="6FBDDBA1" w:rsidR="00920B6C" w:rsidRDefault="000819A2" w:rsidP="0082608F">
            <w:pPr>
              <w:pStyle w:val="Body"/>
              <w:jc w:val="center"/>
            </w:pPr>
            <w:r>
              <w:t>-£</w:t>
            </w:r>
            <w:r w:rsidR="00AB3058">
              <w:t>30</w:t>
            </w:r>
            <w:r>
              <w:t>0,000</w:t>
            </w:r>
          </w:p>
        </w:tc>
        <w:tc>
          <w:tcPr>
            <w:tcW w:w="1134" w:type="dxa"/>
          </w:tcPr>
          <w:p w14:paraId="743B0BF2" w14:textId="049C898B" w:rsidR="00920B6C" w:rsidRDefault="000819A2" w:rsidP="0082608F">
            <w:pPr>
              <w:pStyle w:val="Body"/>
              <w:jc w:val="center"/>
            </w:pPr>
            <w:r>
              <w:t>-£</w:t>
            </w:r>
            <w:r w:rsidR="00B3189C">
              <w:t>190</w:t>
            </w:r>
            <w:r>
              <w:t>,000</w:t>
            </w:r>
          </w:p>
        </w:tc>
        <w:tc>
          <w:tcPr>
            <w:tcW w:w="1276" w:type="dxa"/>
          </w:tcPr>
          <w:p w14:paraId="1846333C" w14:textId="000CFDBC" w:rsidR="00920B6C" w:rsidRDefault="001567C3" w:rsidP="0082608F">
            <w:pPr>
              <w:pStyle w:val="Body"/>
              <w:jc w:val="center"/>
            </w:pPr>
            <w:r>
              <w:t>-</w:t>
            </w:r>
            <w:r w:rsidR="00FD2BD0">
              <w:t>£</w:t>
            </w:r>
            <w:r>
              <w:t>80</w:t>
            </w:r>
            <w:r w:rsidR="00FD2BD0">
              <w:t>,000</w:t>
            </w:r>
          </w:p>
        </w:tc>
        <w:tc>
          <w:tcPr>
            <w:tcW w:w="1275" w:type="dxa"/>
          </w:tcPr>
          <w:p w14:paraId="58284310" w14:textId="6F76E9AC" w:rsidR="00920B6C" w:rsidRDefault="000A44DB" w:rsidP="0082608F">
            <w:pPr>
              <w:pStyle w:val="Body"/>
              <w:jc w:val="center"/>
            </w:pPr>
            <w:r>
              <w:t>£</w:t>
            </w:r>
            <w:r w:rsidR="001567C3">
              <w:t>30</w:t>
            </w:r>
            <w:r>
              <w:t>,000</w:t>
            </w:r>
          </w:p>
        </w:tc>
        <w:tc>
          <w:tcPr>
            <w:tcW w:w="1276" w:type="dxa"/>
          </w:tcPr>
          <w:p w14:paraId="1BA1947B" w14:textId="6179C4CB" w:rsidR="00920B6C" w:rsidRDefault="000A44DB" w:rsidP="0082608F">
            <w:pPr>
              <w:pStyle w:val="Body"/>
              <w:jc w:val="center"/>
            </w:pPr>
            <w:r>
              <w:t>£</w:t>
            </w:r>
            <w:r w:rsidR="001567C3">
              <w:t>140</w:t>
            </w:r>
            <w:r>
              <w:t>,000</w:t>
            </w:r>
          </w:p>
        </w:tc>
        <w:tc>
          <w:tcPr>
            <w:tcW w:w="1242" w:type="dxa"/>
          </w:tcPr>
          <w:p w14:paraId="20C9FA18" w14:textId="075C4928" w:rsidR="00920B6C" w:rsidRDefault="000A44DB" w:rsidP="0082608F">
            <w:pPr>
              <w:pStyle w:val="Body"/>
              <w:jc w:val="center"/>
            </w:pPr>
            <w:r>
              <w:t>£</w:t>
            </w:r>
            <w:r w:rsidR="001567C3">
              <w:t>250</w:t>
            </w:r>
            <w:r w:rsidR="00C764E4">
              <w:t>,000</w:t>
            </w:r>
          </w:p>
        </w:tc>
      </w:tr>
    </w:tbl>
    <w:p w14:paraId="17C4E8B8" w14:textId="77777777" w:rsidR="00DD7F4C" w:rsidRDefault="00DD7F4C" w:rsidP="006F7489">
      <w:pPr>
        <w:pStyle w:val="Heading1"/>
      </w:pPr>
    </w:p>
    <w:p w14:paraId="571FE183" w14:textId="08D613DE" w:rsidR="00E14206" w:rsidRDefault="00CA3822" w:rsidP="006F7489">
      <w:pPr>
        <w:pStyle w:val="Heading1"/>
      </w:pPr>
      <w:bookmarkStart w:id="11" w:name="_Toc136290567"/>
      <w:r>
        <w:t>Net Present Value (NPV)</w:t>
      </w:r>
      <w:bookmarkEnd w:id="11"/>
    </w:p>
    <w:p w14:paraId="685333C6" w14:textId="7918634F" w:rsidR="00AD5368" w:rsidRDefault="00AD5368" w:rsidP="00AD5368"/>
    <w:p w14:paraId="30540533" w14:textId="4184F83F" w:rsidR="00AD5368" w:rsidRPr="00AD5368" w:rsidRDefault="002F115E" w:rsidP="00AD5368">
      <w:r>
        <w:t>With a Weighted</w:t>
      </w:r>
      <w:r w:rsidR="007A3801">
        <w:t xml:space="preserve"> Average Cost of Capital </w:t>
      </w:r>
      <w:r>
        <w:t xml:space="preserve"> </w:t>
      </w:r>
      <w:r w:rsidR="007A3801">
        <w:t>(WACC)</w:t>
      </w:r>
      <w:r w:rsidR="00335FDE">
        <w:t xml:space="preserve"> of 8% the following NPV is calcu</w:t>
      </w:r>
      <w:r w:rsidR="00DD7F4C">
        <w:t>lated:</w:t>
      </w:r>
    </w:p>
    <w:p w14:paraId="2F73EBA2" w14:textId="37A6B540" w:rsidR="00AD5368" w:rsidRDefault="00DD7F4C">
      <w:pPr>
        <w:rPr>
          <w:rFonts w:ascii="Arial" w:hAnsi="Arial" w:cs="Arial"/>
          <w:b/>
          <w:bCs/>
          <w:kern w:val="32"/>
          <w:sz w:val="32"/>
          <w:szCs w:val="32"/>
        </w:rPr>
      </w:pPr>
      <w:r>
        <w:rPr>
          <w:noProof/>
        </w:rPr>
        <w:drawing>
          <wp:anchor distT="0" distB="0" distL="114300" distR="114300" simplePos="0" relativeHeight="251671552" behindDoc="0" locked="0" layoutInCell="1" allowOverlap="1" wp14:anchorId="5C7690D2" wp14:editId="079BD6FB">
            <wp:simplePos x="0" y="0"/>
            <wp:positionH relativeFrom="margin">
              <wp:align>left</wp:align>
            </wp:positionH>
            <wp:positionV relativeFrom="paragraph">
              <wp:posOffset>245745</wp:posOffset>
            </wp:positionV>
            <wp:extent cx="5724525" cy="2638425"/>
            <wp:effectExtent l="0" t="0" r="9525" b="9525"/>
            <wp:wrapNone/>
            <wp:docPr id="10" name="Picture 10"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number&#10;&#10;Description automatically generated"/>
                    <pic:cNvPicPr/>
                  </pic:nvPicPr>
                  <pic:blipFill rotWithShape="1">
                    <a:blip r:embed="rId17">
                      <a:extLst>
                        <a:ext uri="{28A0092B-C50C-407E-A947-70E740481C1C}">
                          <a14:useLocalDpi xmlns:a14="http://schemas.microsoft.com/office/drawing/2010/main" val="0"/>
                        </a:ext>
                      </a:extLst>
                    </a:blip>
                    <a:srcRect b="12342"/>
                    <a:stretch/>
                  </pic:blipFill>
                  <pic:spPr bwMode="auto">
                    <a:xfrm>
                      <a:off x="0" y="0"/>
                      <a:ext cx="5724525" cy="26384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D5368">
        <w:br w:type="page"/>
      </w:r>
    </w:p>
    <w:p w14:paraId="36531F26" w14:textId="225845A1" w:rsidR="006F7489" w:rsidRDefault="00B6292E" w:rsidP="006F7489">
      <w:pPr>
        <w:pStyle w:val="Heading1"/>
      </w:pPr>
      <w:bookmarkStart w:id="12" w:name="_Toc136290568"/>
      <w:r>
        <w:lastRenderedPageBreak/>
        <w:t>Internal Rate of Return (IRR)</w:t>
      </w:r>
      <w:bookmarkEnd w:id="12"/>
    </w:p>
    <w:p w14:paraId="14374F02" w14:textId="77777777" w:rsidR="00DD7F4C" w:rsidRDefault="00DD7F4C" w:rsidP="00DD7F4C"/>
    <w:p w14:paraId="0242E6EE" w14:textId="0AD9805E" w:rsidR="00DD7F4C" w:rsidRDefault="00DD7F4C" w:rsidP="00DD7F4C">
      <w:r>
        <w:t xml:space="preserve">The calculated </w:t>
      </w:r>
      <w:r w:rsidR="000A5957">
        <w:t xml:space="preserve">IRR is above 20% at 23.28% </w:t>
      </w:r>
      <w:r w:rsidR="002836FA">
        <w:t>shown in the table below:</w:t>
      </w:r>
    </w:p>
    <w:p w14:paraId="68209A6C" w14:textId="77777777" w:rsidR="000B1E54" w:rsidRDefault="000B1E54" w:rsidP="00DD7F4C"/>
    <w:p w14:paraId="0039772D" w14:textId="18EB6A50" w:rsidR="000B1E54" w:rsidRDefault="000B1E54" w:rsidP="00DD7F4C">
      <w:r>
        <w:rPr>
          <w:noProof/>
        </w:rPr>
        <w:drawing>
          <wp:anchor distT="0" distB="0" distL="114300" distR="114300" simplePos="0" relativeHeight="251670528" behindDoc="0" locked="0" layoutInCell="1" allowOverlap="1" wp14:anchorId="304FF5AF" wp14:editId="02F225F9">
            <wp:simplePos x="0" y="0"/>
            <wp:positionH relativeFrom="margin">
              <wp:align>right</wp:align>
            </wp:positionH>
            <wp:positionV relativeFrom="paragraph">
              <wp:posOffset>11430</wp:posOffset>
            </wp:positionV>
            <wp:extent cx="5922645" cy="2921635"/>
            <wp:effectExtent l="0" t="0" r="1905" b="0"/>
            <wp:wrapNone/>
            <wp:docPr id="9" name="Picture 9"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 screen&#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922645" cy="2921635"/>
                    </a:xfrm>
                    <a:prstGeom prst="rect">
                      <a:avLst/>
                    </a:prstGeom>
                  </pic:spPr>
                </pic:pic>
              </a:graphicData>
            </a:graphic>
            <wp14:sizeRelH relativeFrom="page">
              <wp14:pctWidth>0</wp14:pctWidth>
            </wp14:sizeRelH>
            <wp14:sizeRelV relativeFrom="page">
              <wp14:pctHeight>0</wp14:pctHeight>
            </wp14:sizeRelV>
          </wp:anchor>
        </w:drawing>
      </w:r>
    </w:p>
    <w:p w14:paraId="395D50E9" w14:textId="77777777" w:rsidR="000B1E54" w:rsidRDefault="000B1E54" w:rsidP="00DD7F4C"/>
    <w:p w14:paraId="10BC3088" w14:textId="77777777" w:rsidR="000B1E54" w:rsidRDefault="000B1E54" w:rsidP="00DD7F4C"/>
    <w:p w14:paraId="412D0FB1" w14:textId="77777777" w:rsidR="000B1E54" w:rsidRDefault="000B1E54" w:rsidP="00DD7F4C"/>
    <w:p w14:paraId="70844FB9" w14:textId="77777777" w:rsidR="000B1E54" w:rsidRDefault="000B1E54" w:rsidP="00DD7F4C"/>
    <w:p w14:paraId="7B1FCF10" w14:textId="77777777" w:rsidR="000B1E54" w:rsidRDefault="000B1E54" w:rsidP="00DD7F4C"/>
    <w:p w14:paraId="4E854395" w14:textId="77777777" w:rsidR="000B1E54" w:rsidRDefault="000B1E54" w:rsidP="00DD7F4C"/>
    <w:p w14:paraId="33E5A51B" w14:textId="77777777" w:rsidR="000B1E54" w:rsidRDefault="000B1E54" w:rsidP="00DD7F4C"/>
    <w:p w14:paraId="55BFE2FD" w14:textId="77777777" w:rsidR="000B1E54" w:rsidRDefault="000B1E54" w:rsidP="00DD7F4C"/>
    <w:p w14:paraId="1FCA0F0A" w14:textId="77777777" w:rsidR="000B1E54" w:rsidRDefault="000B1E54" w:rsidP="00DD7F4C"/>
    <w:p w14:paraId="5F3F2970" w14:textId="77777777" w:rsidR="000B1E54" w:rsidRDefault="000B1E54" w:rsidP="00DD7F4C"/>
    <w:p w14:paraId="5BD5B753" w14:textId="77777777" w:rsidR="000B1E54" w:rsidRDefault="000B1E54" w:rsidP="00DD7F4C"/>
    <w:p w14:paraId="23F449D9" w14:textId="77777777" w:rsidR="000B1E54" w:rsidRDefault="000B1E54" w:rsidP="00DD7F4C"/>
    <w:p w14:paraId="3E9659B4" w14:textId="77777777" w:rsidR="000B1E54" w:rsidRDefault="000B1E54" w:rsidP="00DD7F4C"/>
    <w:p w14:paraId="6E88DB1E" w14:textId="77777777" w:rsidR="000B1E54" w:rsidRDefault="000B1E54" w:rsidP="00DD7F4C"/>
    <w:p w14:paraId="3FD65F4C" w14:textId="77777777" w:rsidR="000B1E54" w:rsidRDefault="000B1E54" w:rsidP="00DD7F4C"/>
    <w:p w14:paraId="51A15F9C" w14:textId="77777777" w:rsidR="000B1E54" w:rsidRDefault="000B1E54" w:rsidP="00DD7F4C"/>
    <w:p w14:paraId="76935B8A" w14:textId="77777777" w:rsidR="000B1E54" w:rsidRDefault="000B1E54" w:rsidP="00DD7F4C"/>
    <w:p w14:paraId="3DF48A9C" w14:textId="77777777" w:rsidR="000B1E54" w:rsidRDefault="000B1E54" w:rsidP="00DD7F4C"/>
    <w:p w14:paraId="2E89C5E1" w14:textId="2E6662CB" w:rsidR="000B1E54" w:rsidRDefault="000B1E54" w:rsidP="00DD7F4C"/>
    <w:p w14:paraId="17DC3669" w14:textId="56E6A147" w:rsidR="000B1E54" w:rsidRDefault="000B1E54" w:rsidP="000B1E54">
      <w:pPr>
        <w:pStyle w:val="Heading1"/>
      </w:pPr>
      <w:bookmarkStart w:id="13" w:name="_Toc136290569"/>
      <w:r>
        <w:t>Profitability Index (PI)</w:t>
      </w:r>
      <w:r w:rsidR="007610D2">
        <w:t xml:space="preserve"> &amp; Benefit Cost Ratio (BCR)</w:t>
      </w:r>
      <w:bookmarkEnd w:id="13"/>
    </w:p>
    <w:p w14:paraId="7EACAA8B" w14:textId="24DA029E" w:rsidR="005F3A8D" w:rsidRDefault="005F3A8D" w:rsidP="005F3A8D">
      <w:pPr>
        <w:pStyle w:val="HeaderTitle"/>
      </w:pPr>
    </w:p>
    <w:p w14:paraId="5F81115D" w14:textId="77777777" w:rsidR="000B1E54" w:rsidRDefault="000B1E54" w:rsidP="000B1E54">
      <w:pPr>
        <w:pStyle w:val="Body"/>
      </w:pPr>
    </w:p>
    <w:p w14:paraId="30AF12B4" w14:textId="4314B302" w:rsidR="0008617D" w:rsidRDefault="0029394F" w:rsidP="0029394F">
      <w:pPr>
        <w:pStyle w:val="Body1"/>
      </w:pPr>
      <m:oMathPara>
        <m:oMath>
          <m:r>
            <w:rPr>
              <w:rFonts w:ascii="Cambria Math" w:hAnsi="Cambria Math"/>
            </w:rPr>
            <m:t>Profitability</m:t>
          </m:r>
          <m:r>
            <m:rPr>
              <m:sty m:val="p"/>
            </m:rPr>
            <w:rPr>
              <w:rFonts w:ascii="Cambria Math" w:hAnsi="Cambria Math"/>
            </w:rPr>
            <m:t xml:space="preserve"> </m:t>
          </m:r>
          <m:r>
            <w:rPr>
              <w:rFonts w:ascii="Cambria Math" w:hAnsi="Cambria Math"/>
            </w:rPr>
            <m:t>Index</m:t>
          </m:r>
          <m:r>
            <m:rPr>
              <m:sty m:val="p"/>
            </m:rPr>
            <w:rPr>
              <w:rFonts w:ascii="Cambria Math" w:hAnsi="Cambria Math"/>
            </w:rPr>
            <m:t xml:space="preserve">= </m:t>
          </m:r>
          <m:f>
            <m:fPr>
              <m:ctrlPr>
                <w:rPr>
                  <w:rFonts w:ascii="Cambria Math" w:hAnsi="Cambria Math"/>
                </w:rPr>
              </m:ctrlPr>
            </m:fPr>
            <m:num>
              <m:r>
                <w:rPr>
                  <w:rFonts w:ascii="Cambria Math" w:hAnsi="Cambria Math"/>
                </w:rPr>
                <m:t>Gross Present Value of</m:t>
              </m:r>
              <m:r>
                <m:rPr>
                  <m:sty m:val="p"/>
                </m:rPr>
                <w:rPr>
                  <w:rFonts w:ascii="Cambria Math" w:hAnsi="Cambria Math"/>
                </w:rPr>
                <m:t xml:space="preserve"> </m:t>
              </m:r>
              <m:r>
                <w:rPr>
                  <w:rFonts w:ascii="Cambria Math" w:hAnsi="Cambria Math"/>
                </w:rPr>
                <m:t>Cash</m:t>
              </m:r>
              <m:r>
                <m:rPr>
                  <m:sty m:val="p"/>
                </m:rPr>
                <w:rPr>
                  <w:rFonts w:ascii="Cambria Math" w:hAnsi="Cambria Math"/>
                </w:rPr>
                <m:t xml:space="preserve"> </m:t>
              </m:r>
              <m:r>
                <w:rPr>
                  <w:rFonts w:ascii="Cambria Math" w:hAnsi="Cambria Math"/>
                </w:rPr>
                <m:t>Flows</m:t>
              </m:r>
            </m:num>
            <m:den>
              <m:r>
                <w:rPr>
                  <w:rFonts w:ascii="Cambria Math" w:hAnsi="Cambria Math"/>
                </w:rPr>
                <m:t>Investment</m:t>
              </m:r>
            </m:den>
          </m:f>
          <m:r>
            <m:rPr>
              <m:sty m:val="p"/>
            </m:rPr>
            <w:rPr>
              <w:rFonts w:ascii="Cambria Math" w:hAnsi="Cambria Math"/>
            </w:rPr>
            <m:t xml:space="preserve">= </m:t>
          </m:r>
          <m:f>
            <m:fPr>
              <m:ctrlPr>
                <w:rPr>
                  <w:rFonts w:ascii="Cambria Math" w:hAnsi="Cambria Math"/>
                </w:rPr>
              </m:ctrlPr>
            </m:fPr>
            <m:num>
              <m:r>
                <m:rPr>
                  <m:sty m:val="p"/>
                </m:rPr>
                <w:rPr>
                  <w:rFonts w:ascii="Cambria Math" w:hAnsi="Cambria Math"/>
                </w:rPr>
                <m:t>439,230</m:t>
              </m:r>
            </m:num>
            <m:den>
              <m:r>
                <w:rPr>
                  <w:rFonts w:ascii="Cambria Math" w:hAnsi="Cambria Math"/>
                </w:rPr>
                <m:t>300,000</m:t>
              </m:r>
            </m:den>
          </m:f>
          <m:r>
            <m:rPr>
              <m:sty m:val="p"/>
            </m:rPr>
            <w:rPr>
              <w:rFonts w:ascii="Cambria Math" w:hAnsi="Cambria Math"/>
            </w:rPr>
            <m:t>=1.46</m:t>
          </m:r>
        </m:oMath>
      </m:oMathPara>
    </w:p>
    <w:p w14:paraId="53FC7245" w14:textId="2894D4F6" w:rsidR="00E415CC" w:rsidRPr="0008617D" w:rsidRDefault="00E415CC" w:rsidP="006F7489">
      <w:pPr>
        <w:pStyle w:val="Body"/>
      </w:pPr>
    </w:p>
    <w:p w14:paraId="17ACE0F3" w14:textId="5E1DD6F9" w:rsidR="00306D25" w:rsidRDefault="00306D25" w:rsidP="00306D25">
      <w:pPr>
        <w:pStyle w:val="Body1"/>
      </w:pPr>
      <m:oMathPara>
        <m:oMath>
          <m:r>
            <w:rPr>
              <w:rFonts w:ascii="Cambria Math" w:hAnsi="Cambria Math"/>
            </w:rPr>
            <m:t>Benefit/Cost Ratio</m:t>
          </m:r>
          <m:r>
            <m:rPr>
              <m:sty m:val="p"/>
            </m:rPr>
            <w:rPr>
              <w:rFonts w:ascii="Cambria Math" w:hAnsi="Cambria Math"/>
            </w:rPr>
            <m:t xml:space="preserve">= </m:t>
          </m:r>
          <m:f>
            <m:fPr>
              <m:ctrlPr>
                <w:rPr>
                  <w:rFonts w:ascii="Cambria Math" w:hAnsi="Cambria Math"/>
                </w:rPr>
              </m:ctrlPr>
            </m:fPr>
            <m:num>
              <m:r>
                <w:rPr>
                  <w:rFonts w:ascii="Cambria Math" w:hAnsi="Cambria Math"/>
                </w:rPr>
                <m:t>NPV</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Cash</m:t>
              </m:r>
              <m:r>
                <m:rPr>
                  <m:sty m:val="p"/>
                </m:rPr>
                <w:rPr>
                  <w:rFonts w:ascii="Cambria Math" w:hAnsi="Cambria Math"/>
                </w:rPr>
                <m:t xml:space="preserve"> </m:t>
              </m:r>
              <m:r>
                <w:rPr>
                  <w:rFonts w:ascii="Cambria Math" w:hAnsi="Cambria Math"/>
                </w:rPr>
                <m:t>Flows</m:t>
              </m:r>
            </m:num>
            <m:den>
              <m:r>
                <w:rPr>
                  <w:rFonts w:ascii="Cambria Math" w:hAnsi="Cambria Math"/>
                </w:rPr>
                <m:t>Investment</m:t>
              </m:r>
            </m:den>
          </m:f>
          <m:r>
            <m:rPr>
              <m:sty m:val="p"/>
            </m:rPr>
            <w:rPr>
              <w:rFonts w:ascii="Cambria Math" w:hAnsi="Cambria Math"/>
            </w:rPr>
            <m:t xml:space="preserve">= </m:t>
          </m:r>
          <m:f>
            <m:fPr>
              <m:ctrlPr>
                <w:rPr>
                  <w:rFonts w:ascii="Cambria Math" w:hAnsi="Cambria Math"/>
                </w:rPr>
              </m:ctrlPr>
            </m:fPr>
            <m:num>
              <m:r>
                <m:rPr>
                  <m:sty m:val="p"/>
                </m:rPr>
                <w:rPr>
                  <w:rFonts w:ascii="Cambria Math" w:hAnsi="Cambria Math"/>
                </w:rPr>
                <m:t>139,230</m:t>
              </m:r>
            </m:num>
            <m:den>
              <m:r>
                <w:rPr>
                  <w:rFonts w:ascii="Cambria Math" w:hAnsi="Cambria Math"/>
                </w:rPr>
                <m:t>300,000</m:t>
              </m:r>
            </m:den>
          </m:f>
          <m:r>
            <m:rPr>
              <m:sty m:val="p"/>
            </m:rPr>
            <w:rPr>
              <w:rFonts w:ascii="Cambria Math" w:hAnsi="Cambria Math"/>
            </w:rPr>
            <m:t>=0.46</m:t>
          </m:r>
        </m:oMath>
      </m:oMathPara>
    </w:p>
    <w:p w14:paraId="6F369400" w14:textId="07D3FA33" w:rsidR="0008617D" w:rsidRDefault="0008617D" w:rsidP="000B1E54"/>
    <w:p w14:paraId="286A8B8B" w14:textId="0BBB768F" w:rsidR="0008617D" w:rsidRDefault="0008617D" w:rsidP="0008617D">
      <w:pPr>
        <w:pStyle w:val="Body"/>
      </w:pPr>
    </w:p>
    <w:p w14:paraId="4CA64F30" w14:textId="77777777" w:rsidR="00036CC8" w:rsidRDefault="00036CC8">
      <w:pPr>
        <w:rPr>
          <w:rFonts w:ascii="Arial" w:hAnsi="Arial" w:cs="Arial"/>
          <w:b/>
          <w:bCs/>
          <w:kern w:val="32"/>
          <w:sz w:val="32"/>
          <w:szCs w:val="32"/>
        </w:rPr>
      </w:pPr>
      <w:r>
        <w:br w:type="page"/>
      </w:r>
    </w:p>
    <w:p w14:paraId="146BC791" w14:textId="10634DA4" w:rsidR="00116F0E" w:rsidRDefault="00116F0E" w:rsidP="00116F0E">
      <w:pPr>
        <w:pStyle w:val="Heading1"/>
      </w:pPr>
      <w:bookmarkStart w:id="14" w:name="_Toc136290570"/>
      <w:r>
        <w:lastRenderedPageBreak/>
        <w:t>Accounting Rate of Return (ARR)</w:t>
      </w:r>
      <w:bookmarkEnd w:id="14"/>
    </w:p>
    <w:p w14:paraId="55A8BBC7" w14:textId="77777777" w:rsidR="00036CC8" w:rsidRDefault="00036CC8" w:rsidP="0008617D">
      <w:pPr>
        <w:pStyle w:val="Body"/>
      </w:pPr>
    </w:p>
    <w:p w14:paraId="2AC1BA21" w14:textId="77777777" w:rsidR="00FF49AE" w:rsidRDefault="00FF49AE" w:rsidP="00FF49AE">
      <w:pPr>
        <w:pStyle w:val="Body"/>
      </w:pPr>
      <w:r>
        <w:rPr>
          <w:noProof/>
        </w:rPr>
        <w:drawing>
          <wp:anchor distT="0" distB="0" distL="114300" distR="114300" simplePos="0" relativeHeight="251686912" behindDoc="0" locked="0" layoutInCell="1" allowOverlap="1" wp14:anchorId="65E6B3EB" wp14:editId="233C1259">
            <wp:simplePos x="0" y="0"/>
            <wp:positionH relativeFrom="margin">
              <wp:posOffset>-1270</wp:posOffset>
            </wp:positionH>
            <wp:positionV relativeFrom="margin">
              <wp:posOffset>934085</wp:posOffset>
            </wp:positionV>
            <wp:extent cx="5922645" cy="4337685"/>
            <wp:effectExtent l="0" t="0" r="190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22645" cy="4337685"/>
                    </a:xfrm>
                    <a:prstGeom prst="rect">
                      <a:avLst/>
                    </a:prstGeom>
                  </pic:spPr>
                </pic:pic>
              </a:graphicData>
            </a:graphic>
          </wp:anchor>
        </w:drawing>
      </w:r>
      <w:r w:rsidR="00985C5E">
        <w:br w:type="page"/>
      </w:r>
    </w:p>
    <w:bookmarkStart w:id="15" w:name="_Toc136290571" w:displacedByCustomXml="next"/>
    <w:sdt>
      <w:sdtPr>
        <w:rPr>
          <w:rFonts w:ascii="Gill Sans MT" w:hAnsi="Gill Sans MT"/>
          <w:b w:val="0"/>
          <w:color w:val="000000" w:themeColor="text1"/>
          <w:lang w:eastAsia="en-GB"/>
        </w:rPr>
        <w:id w:val="170617475"/>
        <w:docPartObj>
          <w:docPartGallery w:val="Bibliographies"/>
          <w:docPartUnique/>
        </w:docPartObj>
      </w:sdtPr>
      <w:sdtContent>
        <w:p w14:paraId="650E49F8" w14:textId="18E7863F" w:rsidR="00FF49AE" w:rsidRDefault="00FF49AE" w:rsidP="00465B01">
          <w:pPr>
            <w:pStyle w:val="HeaderTitle"/>
          </w:pPr>
          <w:r>
            <w:t>References</w:t>
          </w:r>
          <w:bookmarkEnd w:id="15"/>
        </w:p>
        <w:sdt>
          <w:sdtPr>
            <w:id w:val="-573587230"/>
            <w:bibliography/>
          </w:sdtPr>
          <w:sdtContent>
            <w:p w14:paraId="57F82B10" w14:textId="77777777" w:rsidR="00FF49AE" w:rsidRDefault="00FF49AE" w:rsidP="00FF49AE">
              <w:pPr>
                <w:pStyle w:val="Bibliography"/>
                <w:rPr>
                  <w:noProof/>
                  <w:sz w:val="24"/>
                  <w:szCs w:val="24"/>
                </w:rPr>
              </w:pPr>
              <w:r>
                <w:fldChar w:fldCharType="begin"/>
              </w:r>
              <w:r>
                <w:instrText xml:space="preserve"> BIBLIOGRAPHY </w:instrText>
              </w:r>
              <w:r>
                <w:fldChar w:fldCharType="separate"/>
              </w:r>
              <w:r>
                <w:rPr>
                  <w:noProof/>
                </w:rPr>
                <w:t xml:space="preserve">Allen, S. L., 2003. </w:t>
              </w:r>
              <w:r>
                <w:rPr>
                  <w:i/>
                  <w:iCs/>
                  <w:noProof/>
                </w:rPr>
                <w:t xml:space="preserve">Financial Risk Management: A Practitioner's Guide to Managing Market and Credit Risk. </w:t>
              </w:r>
              <w:r>
                <w:rPr>
                  <w:noProof/>
                </w:rPr>
                <w:t>2nd ed. s.l.:John Wiley &amp; Sons.</w:t>
              </w:r>
            </w:p>
            <w:p w14:paraId="6137189D" w14:textId="77777777" w:rsidR="00FF49AE" w:rsidRDefault="00FF49AE" w:rsidP="00FF49AE">
              <w:pPr>
                <w:pStyle w:val="Bibliography"/>
                <w:rPr>
                  <w:noProof/>
                </w:rPr>
              </w:pPr>
            </w:p>
            <w:p w14:paraId="6698E911" w14:textId="35F3B36C" w:rsidR="00FF49AE" w:rsidRDefault="00FF49AE" w:rsidP="00FF49AE">
              <w:pPr>
                <w:pStyle w:val="Bibliography"/>
                <w:rPr>
                  <w:noProof/>
                </w:rPr>
              </w:pPr>
              <w:r>
                <w:rPr>
                  <w:noProof/>
                </w:rPr>
                <w:t xml:space="preserve">Atrill, P. &amp; McLaney, E., 2022. </w:t>
              </w:r>
              <w:r>
                <w:rPr>
                  <w:i/>
                  <w:iCs/>
                  <w:noProof/>
                </w:rPr>
                <w:t xml:space="preserve">Accounting and finance for non-specialists. </w:t>
              </w:r>
              <w:r>
                <w:rPr>
                  <w:noProof/>
                </w:rPr>
                <w:t>12 ed. Harlow: Pearson Education.</w:t>
              </w:r>
            </w:p>
            <w:p w14:paraId="49765A54" w14:textId="77777777" w:rsidR="00FF49AE" w:rsidRDefault="00FF49AE" w:rsidP="00FF49AE">
              <w:pPr>
                <w:pStyle w:val="Bibliography"/>
                <w:rPr>
                  <w:noProof/>
                </w:rPr>
              </w:pPr>
            </w:p>
            <w:p w14:paraId="13320C5E" w14:textId="19B82BD5" w:rsidR="00FF49AE" w:rsidRDefault="00FF49AE" w:rsidP="00FF49AE">
              <w:pPr>
                <w:pStyle w:val="Bibliography"/>
                <w:rPr>
                  <w:noProof/>
                </w:rPr>
              </w:pPr>
              <w:r>
                <w:rPr>
                  <w:noProof/>
                </w:rPr>
                <w:t xml:space="preserve">Brigham, E. F. &amp; Ehrhardt, M. C., 2014. </w:t>
              </w:r>
              <w:r>
                <w:rPr>
                  <w:i/>
                  <w:iCs/>
                  <w:noProof/>
                </w:rPr>
                <w:t xml:space="preserve">Financial Management. </w:t>
              </w:r>
              <w:r>
                <w:rPr>
                  <w:noProof/>
                </w:rPr>
                <w:t>14 ed. s.l.:Cengage Learning.</w:t>
              </w:r>
            </w:p>
            <w:p w14:paraId="6D3FFB46" w14:textId="77777777" w:rsidR="00FF49AE" w:rsidRDefault="00FF49AE" w:rsidP="00FF49AE">
              <w:pPr>
                <w:pStyle w:val="Bibliography"/>
                <w:rPr>
                  <w:noProof/>
                </w:rPr>
              </w:pPr>
            </w:p>
            <w:p w14:paraId="021127CD" w14:textId="5C741B16" w:rsidR="00FF49AE" w:rsidRDefault="00FF49AE" w:rsidP="00FF49AE">
              <w:pPr>
                <w:pStyle w:val="Bibliography"/>
                <w:rPr>
                  <w:noProof/>
                </w:rPr>
              </w:pPr>
              <w:r>
                <w:rPr>
                  <w:noProof/>
                </w:rPr>
                <w:t xml:space="preserve">Chapman, C. &amp; Ward, S., 1998. Project Risk Management: Processes, Techniques and Insights. </w:t>
              </w:r>
              <w:r>
                <w:rPr>
                  <w:i/>
                  <w:iCs/>
                  <w:noProof/>
                </w:rPr>
                <w:t xml:space="preserve">The Journal of the Operational Research Society, </w:t>
              </w:r>
              <w:r>
                <w:rPr>
                  <w:noProof/>
                </w:rPr>
                <w:t>49(7), pp. 769-770.</w:t>
              </w:r>
            </w:p>
            <w:p w14:paraId="345F9BB6" w14:textId="77777777" w:rsidR="00FF49AE" w:rsidRDefault="00FF49AE" w:rsidP="00FF49AE">
              <w:pPr>
                <w:pStyle w:val="Bibliography"/>
                <w:rPr>
                  <w:noProof/>
                </w:rPr>
              </w:pPr>
            </w:p>
            <w:p w14:paraId="6730990B" w14:textId="4A9795EE" w:rsidR="00FF49AE" w:rsidRDefault="00FF49AE" w:rsidP="00FF49AE">
              <w:pPr>
                <w:pStyle w:val="Bibliography"/>
                <w:rPr>
                  <w:noProof/>
                </w:rPr>
              </w:pPr>
              <w:r>
                <w:rPr>
                  <w:noProof/>
                </w:rPr>
                <w:t xml:space="preserve">Fridson, M. S. &amp; Alvarez, F., 2011. </w:t>
              </w:r>
              <w:r>
                <w:rPr>
                  <w:i/>
                  <w:iCs/>
                  <w:noProof/>
                </w:rPr>
                <w:t xml:space="preserve">Financial Statement Analysis: A Practitioner's Guide. </w:t>
              </w:r>
              <w:r>
                <w:rPr>
                  <w:noProof/>
                </w:rPr>
                <w:t>4th ed. Hoboken: Wiley-Blackwell.</w:t>
              </w:r>
            </w:p>
            <w:p w14:paraId="44353D53" w14:textId="77777777" w:rsidR="00FF49AE" w:rsidRDefault="00FF49AE" w:rsidP="00FF49AE">
              <w:pPr>
                <w:pStyle w:val="Bibliography"/>
                <w:rPr>
                  <w:noProof/>
                </w:rPr>
              </w:pPr>
            </w:p>
            <w:p w14:paraId="4E6C3654" w14:textId="52E55D33" w:rsidR="00FF49AE" w:rsidRDefault="00FF49AE" w:rsidP="00FF49AE">
              <w:pPr>
                <w:pStyle w:val="Bibliography"/>
                <w:rPr>
                  <w:noProof/>
                </w:rPr>
              </w:pPr>
              <w:r>
                <w:rPr>
                  <w:noProof/>
                </w:rPr>
                <w:t xml:space="preserve">Gatti, S., 2013. </w:t>
              </w:r>
              <w:r>
                <w:rPr>
                  <w:i/>
                  <w:iCs/>
                  <w:noProof/>
                </w:rPr>
                <w:t xml:space="preserve">Project Finance in Theory and Practice: designing, structuring, and financing private and public projects. </w:t>
              </w:r>
              <w:r>
                <w:rPr>
                  <w:noProof/>
                </w:rPr>
                <w:t>2nd ed. Waltham, MA: Academic.</w:t>
              </w:r>
            </w:p>
            <w:p w14:paraId="15A08E55" w14:textId="77777777" w:rsidR="00FF49AE" w:rsidRDefault="00FF49AE" w:rsidP="00FF49AE">
              <w:pPr>
                <w:pStyle w:val="Bibliography"/>
                <w:rPr>
                  <w:noProof/>
                </w:rPr>
              </w:pPr>
            </w:p>
            <w:p w14:paraId="286D249C" w14:textId="497E8426" w:rsidR="00FF49AE" w:rsidRDefault="00FF49AE" w:rsidP="00FF49AE">
              <w:pPr>
                <w:pStyle w:val="Bibliography"/>
                <w:rPr>
                  <w:noProof/>
                </w:rPr>
              </w:pPr>
              <w:r>
                <w:rPr>
                  <w:noProof/>
                </w:rPr>
                <w:t xml:space="preserve">Reilly, F. K. &amp; Brown, K. C., 2011. </w:t>
              </w:r>
              <w:r>
                <w:rPr>
                  <w:i/>
                  <w:iCs/>
                  <w:noProof/>
                </w:rPr>
                <w:t xml:space="preserve">Investment Analysis and Portfolio Management. </w:t>
              </w:r>
              <w:r>
                <w:rPr>
                  <w:noProof/>
                </w:rPr>
                <w:t>10th ed. Mason, OH: Cengage Learning.</w:t>
              </w:r>
            </w:p>
            <w:p w14:paraId="3219A8FF" w14:textId="77777777" w:rsidR="00FF49AE" w:rsidRDefault="00FF49AE" w:rsidP="00FF49AE">
              <w:pPr>
                <w:pStyle w:val="Bibliography"/>
                <w:rPr>
                  <w:noProof/>
                </w:rPr>
              </w:pPr>
            </w:p>
            <w:p w14:paraId="7E224451" w14:textId="4B811544" w:rsidR="00FF49AE" w:rsidRDefault="00FF49AE" w:rsidP="00FF49AE">
              <w:pPr>
                <w:pStyle w:val="Bibliography"/>
                <w:rPr>
                  <w:noProof/>
                </w:rPr>
              </w:pPr>
              <w:r>
                <w:rPr>
                  <w:noProof/>
                </w:rPr>
                <w:t xml:space="preserve">Salamon, G. L., 1985. Accounting rates of return. </w:t>
              </w:r>
              <w:r>
                <w:rPr>
                  <w:i/>
                  <w:iCs/>
                  <w:noProof/>
                </w:rPr>
                <w:t xml:space="preserve">The Americal Economic Review, </w:t>
              </w:r>
              <w:r>
                <w:rPr>
                  <w:noProof/>
                </w:rPr>
                <w:t>75(3), pp. 495-504.</w:t>
              </w:r>
            </w:p>
            <w:p w14:paraId="7038A1F5" w14:textId="33A34053" w:rsidR="00FF49AE" w:rsidRDefault="00FF49AE" w:rsidP="00FF49AE">
              <w:r>
                <w:rPr>
                  <w:b/>
                  <w:bCs/>
                  <w:noProof/>
                </w:rPr>
                <w:fldChar w:fldCharType="end"/>
              </w:r>
            </w:p>
          </w:sdtContent>
        </w:sdt>
      </w:sdtContent>
    </w:sdt>
    <w:p w14:paraId="2D71B4F2" w14:textId="5F35B731" w:rsidR="00FF49AE" w:rsidRDefault="00FF49AE" w:rsidP="00FF49AE">
      <w:pPr>
        <w:pStyle w:val="Body"/>
      </w:pPr>
      <w:r>
        <w:t xml:space="preserve"> </w:t>
      </w:r>
    </w:p>
    <w:p w14:paraId="53976C47" w14:textId="6E42738B" w:rsidR="00AE53CA" w:rsidRDefault="00AE53CA">
      <w:pPr>
        <w:rPr>
          <w:lang w:eastAsia="en-US"/>
        </w:rPr>
      </w:pPr>
      <w:r>
        <w:br w:type="page"/>
      </w:r>
    </w:p>
    <w:p w14:paraId="73B04605" w14:textId="77777777" w:rsidR="00273910" w:rsidRDefault="00045BCE" w:rsidP="00273910">
      <w:pPr>
        <w:pStyle w:val="Body"/>
      </w:pPr>
      <w:r w:rsidRPr="00045BCE">
        <w:lastRenderedPageBreak/>
        <w:tab/>
      </w:r>
    </w:p>
    <w:p w14:paraId="4C7B2E05" w14:textId="77777777" w:rsidR="00273910" w:rsidRPr="00273910" w:rsidRDefault="00273910" w:rsidP="00273910">
      <w:pPr>
        <w:pStyle w:val="Body"/>
      </w:pPr>
    </w:p>
    <w:p w14:paraId="2CA14791" w14:textId="77777777" w:rsidR="00273910" w:rsidRPr="00273910" w:rsidRDefault="00273910" w:rsidP="00273910">
      <w:pPr>
        <w:pStyle w:val="Body"/>
      </w:pPr>
    </w:p>
    <w:p w14:paraId="42433FAC" w14:textId="77777777" w:rsidR="00273910" w:rsidRPr="00273910" w:rsidRDefault="00273910" w:rsidP="00273910">
      <w:pPr>
        <w:pStyle w:val="Body"/>
      </w:pPr>
    </w:p>
    <w:p w14:paraId="28EE7397" w14:textId="77777777" w:rsidR="00273910" w:rsidRPr="00273910" w:rsidRDefault="00273910" w:rsidP="00273910">
      <w:pPr>
        <w:pStyle w:val="Body"/>
      </w:pPr>
    </w:p>
    <w:p w14:paraId="5ED533FB" w14:textId="77777777" w:rsidR="00273910" w:rsidRPr="00273910" w:rsidRDefault="00273910" w:rsidP="00273910">
      <w:pPr>
        <w:pStyle w:val="Body"/>
      </w:pPr>
    </w:p>
    <w:p w14:paraId="34381301" w14:textId="77777777" w:rsidR="00273910" w:rsidRPr="00273910" w:rsidRDefault="00273910" w:rsidP="00273910">
      <w:pPr>
        <w:pStyle w:val="Body"/>
      </w:pPr>
    </w:p>
    <w:p w14:paraId="663DD9A3" w14:textId="77777777" w:rsidR="00273910" w:rsidRPr="00273910" w:rsidRDefault="00273910" w:rsidP="00273910">
      <w:pPr>
        <w:pStyle w:val="Body"/>
      </w:pPr>
    </w:p>
    <w:p w14:paraId="6DD33EF8" w14:textId="77777777" w:rsidR="00273910" w:rsidRPr="00273910" w:rsidRDefault="00273910" w:rsidP="00273910">
      <w:pPr>
        <w:pStyle w:val="Body"/>
      </w:pPr>
    </w:p>
    <w:p w14:paraId="5C239A7E" w14:textId="77777777" w:rsidR="00273910" w:rsidRPr="00273910" w:rsidRDefault="00273910" w:rsidP="000D0023">
      <w:pPr>
        <w:pStyle w:val="Body"/>
        <w:ind w:firstLine="720"/>
      </w:pPr>
    </w:p>
    <w:p w14:paraId="31ABB65D" w14:textId="77777777" w:rsidR="00273910" w:rsidRPr="00273910" w:rsidRDefault="00273910" w:rsidP="00273910">
      <w:pPr>
        <w:pStyle w:val="Body"/>
      </w:pPr>
    </w:p>
    <w:p w14:paraId="237FE215" w14:textId="77777777" w:rsidR="00273910" w:rsidRPr="00273910" w:rsidRDefault="00273910" w:rsidP="00273910">
      <w:pPr>
        <w:pStyle w:val="Body"/>
      </w:pPr>
    </w:p>
    <w:p w14:paraId="7C11005D" w14:textId="77777777" w:rsidR="00273910" w:rsidRPr="00273910" w:rsidRDefault="00273910" w:rsidP="00273910">
      <w:pPr>
        <w:pStyle w:val="Body"/>
      </w:pPr>
    </w:p>
    <w:p w14:paraId="3347ED97" w14:textId="77777777" w:rsidR="00273910" w:rsidRPr="00273910" w:rsidRDefault="00273910" w:rsidP="00273910">
      <w:pPr>
        <w:pStyle w:val="Body"/>
      </w:pPr>
    </w:p>
    <w:p w14:paraId="697292CB" w14:textId="77777777" w:rsidR="00273910" w:rsidRDefault="00273910" w:rsidP="00273910">
      <w:pPr>
        <w:pStyle w:val="Body"/>
      </w:pPr>
    </w:p>
    <w:p w14:paraId="6B7666E3" w14:textId="77777777" w:rsidR="00273910" w:rsidRDefault="00273910" w:rsidP="00273910">
      <w:pPr>
        <w:pStyle w:val="Body"/>
      </w:pPr>
      <w:r>
        <w:tab/>
      </w:r>
    </w:p>
    <w:p w14:paraId="3855F6F2" w14:textId="77777777" w:rsidR="00273910" w:rsidRPr="00273910" w:rsidRDefault="00273910" w:rsidP="00273910">
      <w:pPr>
        <w:pStyle w:val="Body"/>
      </w:pPr>
    </w:p>
    <w:p w14:paraId="54EF6BB8" w14:textId="77777777" w:rsidR="008D49C7" w:rsidRPr="00273910" w:rsidRDefault="008D49C7" w:rsidP="00273910">
      <w:pPr>
        <w:pStyle w:val="Body"/>
      </w:pPr>
    </w:p>
    <w:sectPr w:rsidR="008D49C7" w:rsidRPr="00273910" w:rsidSect="00985C5E">
      <w:headerReference w:type="even" r:id="rId20"/>
      <w:headerReference w:type="default" r:id="rId21"/>
      <w:headerReference w:type="first" r:id="rId22"/>
      <w:footerReference w:type="first" r:id="rId23"/>
      <w:pgSz w:w="11899" w:h="16838" w:code="9"/>
      <w:pgMar w:top="454" w:right="1126" w:bottom="2269" w:left="1446" w:header="397" w:footer="397" w:gutter="0"/>
      <w:pgNumType w:start="0"/>
      <w:cols w:space="708"/>
      <w:formProt w:val="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88B2F" w14:textId="77777777" w:rsidR="00C571B6" w:rsidRDefault="00C571B6">
      <w:r>
        <w:separator/>
      </w:r>
    </w:p>
    <w:p w14:paraId="36B05FDE" w14:textId="77777777" w:rsidR="00C571B6" w:rsidRDefault="00C571B6"/>
  </w:endnote>
  <w:endnote w:type="continuationSeparator" w:id="0">
    <w:p w14:paraId="5AD26B81" w14:textId="77777777" w:rsidR="00C571B6" w:rsidRDefault="00C571B6">
      <w:r>
        <w:continuationSeparator/>
      </w:r>
    </w:p>
    <w:p w14:paraId="55731438" w14:textId="77777777" w:rsidR="00C571B6" w:rsidRDefault="00C571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ill Sans">
    <w:altName w:val="Segoe UI Semilight"/>
    <w:charset w:val="B1"/>
    <w:family w:val="swiss"/>
    <w:pitch w:val="variable"/>
    <w:sig w:usb0="00000000" w:usb1="00000000" w:usb2="00000000" w:usb3="00000000" w:csb0="000001F7"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9CA8C" w14:textId="77777777" w:rsidR="003D243E" w:rsidRDefault="003D243E">
    <w:pPr>
      <w:pStyle w:val="Footer"/>
      <w:tabs>
        <w:tab w:val="clear" w:pos="4320"/>
        <w:tab w:val="clear" w:pos="8640"/>
        <w:tab w:val="left" w:pos="1106"/>
      </w:tabs>
      <w:rPr>
        <w:rFonts w:cs="Arial"/>
        <w:sz w:val="23"/>
        <w:szCs w:val="23"/>
      </w:rPr>
    </w:pPr>
    <w:r>
      <w:rPr>
        <w:rStyle w:val="PageNumber"/>
        <w:sz w:val="23"/>
        <w:szCs w:val="23"/>
      </w:rPr>
      <w:fldChar w:fldCharType="begin"/>
    </w:r>
    <w:r>
      <w:rPr>
        <w:rStyle w:val="PageNumber"/>
        <w:sz w:val="23"/>
        <w:szCs w:val="23"/>
      </w:rPr>
      <w:instrText xml:space="preserve"> PAGE </w:instrText>
    </w:r>
    <w:r>
      <w:rPr>
        <w:rStyle w:val="PageNumber"/>
        <w:sz w:val="23"/>
        <w:szCs w:val="23"/>
      </w:rPr>
      <w:fldChar w:fldCharType="separate"/>
    </w:r>
    <w:r>
      <w:rPr>
        <w:rStyle w:val="PageNumber"/>
        <w:noProof/>
        <w:sz w:val="23"/>
        <w:szCs w:val="23"/>
      </w:rPr>
      <w:t>2</w:t>
    </w:r>
    <w:r>
      <w:rPr>
        <w:rStyle w:val="PageNumber"/>
        <w:sz w:val="23"/>
        <w:szCs w:val="23"/>
      </w:rPr>
      <w:fldChar w:fldCharType="end"/>
    </w:r>
    <w:r>
      <w:rPr>
        <w:rStyle w:val="PageNumber"/>
        <w:sz w:val="23"/>
        <w:szCs w:val="23"/>
      </w:rPr>
      <w:t xml:space="preserve"> of </w:t>
    </w:r>
    <w:r>
      <w:rPr>
        <w:rStyle w:val="PageNumber"/>
        <w:sz w:val="23"/>
        <w:szCs w:val="23"/>
      </w:rPr>
      <w:fldChar w:fldCharType="begin"/>
    </w:r>
    <w:r>
      <w:rPr>
        <w:rStyle w:val="PageNumber"/>
        <w:sz w:val="23"/>
        <w:szCs w:val="23"/>
      </w:rPr>
      <w:instrText xml:space="preserve"> NUMPAGES </w:instrText>
    </w:r>
    <w:r>
      <w:rPr>
        <w:rStyle w:val="PageNumber"/>
        <w:sz w:val="23"/>
        <w:szCs w:val="23"/>
      </w:rPr>
      <w:fldChar w:fldCharType="separate"/>
    </w:r>
    <w:r w:rsidR="008D49C7">
      <w:rPr>
        <w:rStyle w:val="PageNumber"/>
        <w:noProof/>
        <w:sz w:val="23"/>
        <w:szCs w:val="23"/>
      </w:rPr>
      <w:t>1</w:t>
    </w:r>
    <w:r>
      <w:rPr>
        <w:rStyle w:val="PageNumber"/>
        <w:sz w:val="23"/>
        <w:szCs w:val="23"/>
      </w:rPr>
      <w:fldChar w:fldCharType="end"/>
    </w:r>
    <w:r>
      <w:rPr>
        <w:rFonts w:cs="Arial"/>
        <w:sz w:val="23"/>
        <w:szCs w:val="23"/>
      </w:rPr>
      <w:tab/>
      <w:t>Restricted – Commercial in confidence</w:t>
    </w:r>
  </w:p>
  <w:p w14:paraId="474C6441" w14:textId="77777777" w:rsidR="003D243E" w:rsidRDefault="003D24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80F18" w14:textId="77777777" w:rsidR="00C571B6" w:rsidRDefault="00C571B6">
      <w:r>
        <w:separator/>
      </w:r>
    </w:p>
    <w:p w14:paraId="38A7C4E4" w14:textId="77777777" w:rsidR="00C571B6" w:rsidRDefault="00C571B6"/>
  </w:footnote>
  <w:footnote w:type="continuationSeparator" w:id="0">
    <w:p w14:paraId="06E704D3" w14:textId="77777777" w:rsidR="00C571B6" w:rsidRDefault="00C571B6">
      <w:r>
        <w:continuationSeparator/>
      </w:r>
    </w:p>
    <w:p w14:paraId="67B0D6FC" w14:textId="77777777" w:rsidR="00C571B6" w:rsidRDefault="00C571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6B390" w14:textId="77777777" w:rsidR="003D243E" w:rsidRDefault="003D243E"/>
  <w:p w14:paraId="43436677" w14:textId="77777777" w:rsidR="003D243E" w:rsidRDefault="003D243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940ED" w14:textId="77777777" w:rsidR="005D5A62" w:rsidRDefault="005D5A62" w:rsidP="005D5A62">
    <w:pPr>
      <w:pStyle w:val="Title2"/>
    </w:pPr>
  </w:p>
  <w:p w14:paraId="36BC959F" w14:textId="77777777" w:rsidR="005D5A62" w:rsidRPr="00045BCE" w:rsidRDefault="005D5A62" w:rsidP="00045BCE">
    <w:pPr>
      <w:pStyle w:val="Body"/>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AC3F2" w14:textId="77777777" w:rsidR="003D243E" w:rsidRDefault="003D243E"/>
  <w:p w14:paraId="759BE65D" w14:textId="77777777" w:rsidR="003D243E" w:rsidRDefault="003D24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962037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778105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252BCE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4B878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CE6BCC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450244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17A094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78A231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AC04B6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A1C72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AB6D45"/>
    <w:multiLevelType w:val="multilevel"/>
    <w:tmpl w:val="34B8CA3A"/>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0AFF186A"/>
    <w:multiLevelType w:val="hybridMultilevel"/>
    <w:tmpl w:val="7BB07E02"/>
    <w:lvl w:ilvl="0" w:tplc="867EB1C0">
      <w:start w:val="1"/>
      <w:numFmt w:val="bullet"/>
      <w:lvlText w:val="–"/>
      <w:lvlJc w:val="left"/>
      <w:pPr>
        <w:tabs>
          <w:tab w:val="num" w:pos="3025"/>
        </w:tabs>
        <w:ind w:left="2948" w:hanging="283"/>
      </w:pPr>
      <w:rPr>
        <w:rFonts w:ascii="Georgia" w:hAnsi="Georgia"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1FD4F15"/>
    <w:multiLevelType w:val="multilevel"/>
    <w:tmpl w:val="EAB26D60"/>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3" w15:restartNumberingAfterBreak="0">
    <w:nsid w:val="14901FD5"/>
    <w:multiLevelType w:val="hybridMultilevel"/>
    <w:tmpl w:val="D9CC097C"/>
    <w:lvl w:ilvl="0" w:tplc="8CDACE00">
      <w:start w:val="1"/>
      <w:numFmt w:val="bullet"/>
      <w:lvlText w:val="–"/>
      <w:lvlJc w:val="left"/>
      <w:pPr>
        <w:tabs>
          <w:tab w:val="num" w:pos="720"/>
        </w:tabs>
        <w:ind w:left="720" w:hanging="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6DD5D09"/>
    <w:multiLevelType w:val="hybridMultilevel"/>
    <w:tmpl w:val="D9CC097C"/>
    <w:lvl w:ilvl="0" w:tplc="AA8C1D2C">
      <w:start w:val="1"/>
      <w:numFmt w:val="bullet"/>
      <w:lvlText w:val="–"/>
      <w:lvlJc w:val="left"/>
      <w:pPr>
        <w:tabs>
          <w:tab w:val="num" w:pos="360"/>
        </w:tabs>
        <w:ind w:left="170"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70665AC"/>
    <w:multiLevelType w:val="hybridMultilevel"/>
    <w:tmpl w:val="A8C62608"/>
    <w:lvl w:ilvl="0" w:tplc="77784C7A">
      <w:numFmt w:val="bullet"/>
      <w:lvlText w:val="–"/>
      <w:lvlJc w:val="left"/>
      <w:pPr>
        <w:tabs>
          <w:tab w:val="num" w:pos="720"/>
        </w:tabs>
        <w:ind w:left="720" w:hanging="360"/>
      </w:pPr>
      <w:rPr>
        <w:rFonts w:ascii="Georgia" w:eastAsia="Times"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E526A16"/>
    <w:multiLevelType w:val="multilevel"/>
    <w:tmpl w:val="3E8E5EB0"/>
    <w:lvl w:ilvl="0">
      <w:start w:val="2"/>
      <w:numFmt w:val="decimal"/>
      <w:lvlText w:val="%1"/>
      <w:lvlJc w:val="left"/>
      <w:pPr>
        <w:tabs>
          <w:tab w:val="num" w:pos="570"/>
        </w:tabs>
        <w:ind w:left="570" w:hanging="570"/>
      </w:pPr>
      <w:rPr>
        <w:rFonts w:hint="default"/>
      </w:rPr>
    </w:lvl>
    <w:lvl w:ilvl="1">
      <w:start w:val="2"/>
      <w:numFmt w:val="decimal"/>
      <w:lvlText w:val="%1.%2"/>
      <w:lvlJc w:val="left"/>
      <w:pPr>
        <w:tabs>
          <w:tab w:val="num" w:pos="570"/>
        </w:tabs>
        <w:ind w:left="570" w:hanging="57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7" w15:restartNumberingAfterBreak="0">
    <w:nsid w:val="21725427"/>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8" w15:restartNumberingAfterBreak="0">
    <w:nsid w:val="233D1196"/>
    <w:multiLevelType w:val="hybridMultilevel"/>
    <w:tmpl w:val="A4EA4E8A"/>
    <w:lvl w:ilvl="0" w:tplc="CE48310A">
      <w:start w:val="1"/>
      <w:numFmt w:val="bullet"/>
      <w:lvlText w:val="–"/>
      <w:lvlJc w:val="left"/>
      <w:pPr>
        <w:tabs>
          <w:tab w:val="num" w:pos="3025"/>
        </w:tabs>
        <w:ind w:left="2835"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B2A355D"/>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2FC26A12"/>
    <w:multiLevelType w:val="multilevel"/>
    <w:tmpl w:val="9DC643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1" w15:restartNumberingAfterBreak="0">
    <w:nsid w:val="2FC8387A"/>
    <w:multiLevelType w:val="hybridMultilevel"/>
    <w:tmpl w:val="C32E4D2A"/>
    <w:lvl w:ilvl="0" w:tplc="BA2A6428">
      <w:start w:val="1"/>
      <w:numFmt w:val="bullet"/>
      <w:lvlText w:val="–"/>
      <w:lvlJc w:val="left"/>
      <w:pPr>
        <w:tabs>
          <w:tab w:val="num" w:pos="3308"/>
        </w:tabs>
        <w:ind w:left="3232"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16C3CAE"/>
    <w:multiLevelType w:val="hybridMultilevel"/>
    <w:tmpl w:val="D9CC097C"/>
    <w:lvl w:ilvl="0" w:tplc="503465BC">
      <w:start w:val="1"/>
      <w:numFmt w:val="bullet"/>
      <w:lvlText w:val="–"/>
      <w:lvlJc w:val="left"/>
      <w:pPr>
        <w:tabs>
          <w:tab w:val="num" w:pos="720"/>
        </w:tabs>
        <w:ind w:left="0" w:firstLine="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31A260A"/>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4" w15:restartNumberingAfterBreak="0">
    <w:nsid w:val="3A19096C"/>
    <w:multiLevelType w:val="hybridMultilevel"/>
    <w:tmpl w:val="25E638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603C8E"/>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6" w15:restartNumberingAfterBreak="0">
    <w:nsid w:val="4846690B"/>
    <w:multiLevelType w:val="hybridMultilevel"/>
    <w:tmpl w:val="3642E8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712F7B"/>
    <w:multiLevelType w:val="multilevel"/>
    <w:tmpl w:val="9FB6B83E"/>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8" w15:restartNumberingAfterBreak="0">
    <w:nsid w:val="4D613E31"/>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9" w15:restartNumberingAfterBreak="0">
    <w:nsid w:val="59A4301D"/>
    <w:multiLevelType w:val="hybridMultilevel"/>
    <w:tmpl w:val="15FEFD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C631546"/>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1" w15:restartNumberingAfterBreak="0">
    <w:nsid w:val="5DC65074"/>
    <w:multiLevelType w:val="hybridMultilevel"/>
    <w:tmpl w:val="1A6AD478"/>
    <w:lvl w:ilvl="0" w:tplc="039C7710">
      <w:start w:val="1"/>
      <w:numFmt w:val="bullet"/>
      <w:lvlText w:val="–"/>
      <w:lvlJc w:val="left"/>
      <w:pPr>
        <w:tabs>
          <w:tab w:val="num" w:pos="360"/>
        </w:tabs>
        <w:ind w:left="284"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5581DEB"/>
    <w:multiLevelType w:val="multilevel"/>
    <w:tmpl w:val="9FB4449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6974" w:hanging="4967"/>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3" w15:restartNumberingAfterBreak="0">
    <w:nsid w:val="65B8112D"/>
    <w:multiLevelType w:val="multilevel"/>
    <w:tmpl w:val="798440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4" w15:restartNumberingAfterBreak="0">
    <w:nsid w:val="6D970B1A"/>
    <w:multiLevelType w:val="multilevel"/>
    <w:tmpl w:val="00066574"/>
    <w:lvl w:ilvl="0">
      <w:start w:val="1"/>
      <w:numFmt w:val="decimal"/>
      <w:pStyle w:val="Head1"/>
      <w:lvlText w:val="%1-"/>
      <w:lvlJc w:val="left"/>
      <w:pPr>
        <w:tabs>
          <w:tab w:val="num" w:pos="357"/>
        </w:tabs>
        <w:ind w:left="360" w:hanging="360"/>
      </w:pPr>
      <w:rPr>
        <w:b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2"/>
      <w:lvlText w:val="%1.%2"/>
      <w:lvlJc w:val="left"/>
      <w:pPr>
        <w:tabs>
          <w:tab w:val="num" w:pos="1106"/>
        </w:tabs>
        <w:ind w:left="1106" w:hanging="1106"/>
      </w:pPr>
      <w:rPr>
        <w:rFonts w:hint="default"/>
      </w:rPr>
    </w:lvl>
    <w:lvl w:ilvl="2">
      <w:start w:val="1"/>
      <w:numFmt w:val="decimal"/>
      <w:pStyle w:val="Head3"/>
      <w:lvlText w:val="%1.%2.%3"/>
      <w:lvlJc w:val="left"/>
      <w:pPr>
        <w:tabs>
          <w:tab w:val="num" w:pos="1106"/>
        </w:tabs>
        <w:ind w:left="879" w:firstLine="227"/>
      </w:pPr>
      <w:rPr>
        <w:rFonts w:hint="default"/>
      </w:rPr>
    </w:lvl>
    <w:lvl w:ilvl="3">
      <w:start w:val="1"/>
      <w:numFmt w:val="decimal"/>
      <w:pStyle w:val="Head4"/>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5" w15:restartNumberingAfterBreak="0">
    <w:nsid w:val="71CA11A7"/>
    <w:multiLevelType w:val="hybridMultilevel"/>
    <w:tmpl w:val="C442CF68"/>
    <w:lvl w:ilvl="0" w:tplc="83D0284E">
      <w:start w:val="1"/>
      <w:numFmt w:val="bullet"/>
      <w:lvlText w:val="•"/>
      <w:lvlJc w:val="left"/>
      <w:pPr>
        <w:tabs>
          <w:tab w:val="num" w:pos="720"/>
        </w:tabs>
        <w:ind w:left="720" w:hanging="360"/>
      </w:pPr>
      <w:rPr>
        <w:rFonts w:ascii="Times New Roman" w:hAnsi="Times New Roman" w:hint="default"/>
      </w:rPr>
    </w:lvl>
    <w:lvl w:ilvl="1" w:tplc="B9ACB226" w:tentative="1">
      <w:start w:val="1"/>
      <w:numFmt w:val="bullet"/>
      <w:lvlText w:val="•"/>
      <w:lvlJc w:val="left"/>
      <w:pPr>
        <w:tabs>
          <w:tab w:val="num" w:pos="1440"/>
        </w:tabs>
        <w:ind w:left="1440" w:hanging="360"/>
      </w:pPr>
      <w:rPr>
        <w:rFonts w:ascii="Times New Roman" w:hAnsi="Times New Roman" w:hint="default"/>
      </w:rPr>
    </w:lvl>
    <w:lvl w:ilvl="2" w:tplc="FC3668FC" w:tentative="1">
      <w:start w:val="1"/>
      <w:numFmt w:val="bullet"/>
      <w:lvlText w:val="•"/>
      <w:lvlJc w:val="left"/>
      <w:pPr>
        <w:tabs>
          <w:tab w:val="num" w:pos="2160"/>
        </w:tabs>
        <w:ind w:left="2160" w:hanging="360"/>
      </w:pPr>
      <w:rPr>
        <w:rFonts w:ascii="Times New Roman" w:hAnsi="Times New Roman" w:hint="default"/>
      </w:rPr>
    </w:lvl>
    <w:lvl w:ilvl="3" w:tplc="E9AADDD4" w:tentative="1">
      <w:start w:val="1"/>
      <w:numFmt w:val="bullet"/>
      <w:lvlText w:val="•"/>
      <w:lvlJc w:val="left"/>
      <w:pPr>
        <w:tabs>
          <w:tab w:val="num" w:pos="2880"/>
        </w:tabs>
        <w:ind w:left="2880" w:hanging="360"/>
      </w:pPr>
      <w:rPr>
        <w:rFonts w:ascii="Times New Roman" w:hAnsi="Times New Roman" w:hint="default"/>
      </w:rPr>
    </w:lvl>
    <w:lvl w:ilvl="4" w:tplc="B5EEF070" w:tentative="1">
      <w:start w:val="1"/>
      <w:numFmt w:val="bullet"/>
      <w:lvlText w:val="•"/>
      <w:lvlJc w:val="left"/>
      <w:pPr>
        <w:tabs>
          <w:tab w:val="num" w:pos="3600"/>
        </w:tabs>
        <w:ind w:left="3600" w:hanging="360"/>
      </w:pPr>
      <w:rPr>
        <w:rFonts w:ascii="Times New Roman" w:hAnsi="Times New Roman" w:hint="default"/>
      </w:rPr>
    </w:lvl>
    <w:lvl w:ilvl="5" w:tplc="A4DAB34C" w:tentative="1">
      <w:start w:val="1"/>
      <w:numFmt w:val="bullet"/>
      <w:lvlText w:val="•"/>
      <w:lvlJc w:val="left"/>
      <w:pPr>
        <w:tabs>
          <w:tab w:val="num" w:pos="4320"/>
        </w:tabs>
        <w:ind w:left="4320" w:hanging="360"/>
      </w:pPr>
      <w:rPr>
        <w:rFonts w:ascii="Times New Roman" w:hAnsi="Times New Roman" w:hint="default"/>
      </w:rPr>
    </w:lvl>
    <w:lvl w:ilvl="6" w:tplc="F5485E32" w:tentative="1">
      <w:start w:val="1"/>
      <w:numFmt w:val="bullet"/>
      <w:lvlText w:val="•"/>
      <w:lvlJc w:val="left"/>
      <w:pPr>
        <w:tabs>
          <w:tab w:val="num" w:pos="5040"/>
        </w:tabs>
        <w:ind w:left="5040" w:hanging="360"/>
      </w:pPr>
      <w:rPr>
        <w:rFonts w:ascii="Times New Roman" w:hAnsi="Times New Roman" w:hint="default"/>
      </w:rPr>
    </w:lvl>
    <w:lvl w:ilvl="7" w:tplc="39FE3666" w:tentative="1">
      <w:start w:val="1"/>
      <w:numFmt w:val="bullet"/>
      <w:lvlText w:val="•"/>
      <w:lvlJc w:val="left"/>
      <w:pPr>
        <w:tabs>
          <w:tab w:val="num" w:pos="5760"/>
        </w:tabs>
        <w:ind w:left="5760" w:hanging="360"/>
      </w:pPr>
      <w:rPr>
        <w:rFonts w:ascii="Times New Roman" w:hAnsi="Times New Roman" w:hint="default"/>
      </w:rPr>
    </w:lvl>
    <w:lvl w:ilvl="8" w:tplc="634E2B50"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77A66808"/>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7" w15:restartNumberingAfterBreak="0">
    <w:nsid w:val="77FA771C"/>
    <w:multiLevelType w:val="multilevel"/>
    <w:tmpl w:val="AEE4CD92"/>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8" w15:restartNumberingAfterBreak="0">
    <w:nsid w:val="78163A3F"/>
    <w:multiLevelType w:val="hybridMultilevel"/>
    <w:tmpl w:val="C324BD10"/>
    <w:lvl w:ilvl="0" w:tplc="C1A42B1A">
      <w:start w:val="1"/>
      <w:numFmt w:val="bullet"/>
      <w:pStyle w:val="Bullet"/>
      <w:lvlText w:val=""/>
      <w:lvlJc w:val="left"/>
      <w:pPr>
        <w:tabs>
          <w:tab w:val="num" w:pos="4680"/>
        </w:tabs>
        <w:ind w:left="4604" w:hanging="284"/>
      </w:pPr>
      <w:rPr>
        <w:rFonts w:ascii="Symbol" w:hAnsi="Symbol" w:hint="default"/>
      </w:rPr>
    </w:lvl>
    <w:lvl w:ilvl="1" w:tplc="04090003">
      <w:start w:val="1"/>
      <w:numFmt w:val="bullet"/>
      <w:lvlText w:val="o"/>
      <w:lvlJc w:val="left"/>
      <w:pPr>
        <w:tabs>
          <w:tab w:val="num" w:pos="5760"/>
        </w:tabs>
        <w:ind w:left="5760" w:hanging="360"/>
      </w:pPr>
      <w:rPr>
        <w:rFonts w:ascii="Courier New" w:hAnsi="Courier New" w:hint="default"/>
      </w:rPr>
    </w:lvl>
    <w:lvl w:ilvl="2" w:tplc="04090005" w:tentative="1">
      <w:start w:val="1"/>
      <w:numFmt w:val="bullet"/>
      <w:lvlText w:val=""/>
      <w:lvlJc w:val="left"/>
      <w:pPr>
        <w:tabs>
          <w:tab w:val="num" w:pos="6480"/>
        </w:tabs>
        <w:ind w:left="6480" w:hanging="360"/>
      </w:pPr>
      <w:rPr>
        <w:rFonts w:ascii="Wingdings" w:hAnsi="Wingdings" w:hint="default"/>
      </w:rPr>
    </w:lvl>
    <w:lvl w:ilvl="3" w:tplc="04090001" w:tentative="1">
      <w:start w:val="1"/>
      <w:numFmt w:val="bullet"/>
      <w:lvlText w:val=""/>
      <w:lvlJc w:val="left"/>
      <w:pPr>
        <w:tabs>
          <w:tab w:val="num" w:pos="7200"/>
        </w:tabs>
        <w:ind w:left="7200" w:hanging="360"/>
      </w:pPr>
      <w:rPr>
        <w:rFonts w:ascii="Symbol" w:hAnsi="Symbol" w:hint="default"/>
      </w:rPr>
    </w:lvl>
    <w:lvl w:ilvl="4" w:tplc="04090003" w:tentative="1">
      <w:start w:val="1"/>
      <w:numFmt w:val="bullet"/>
      <w:lvlText w:val="o"/>
      <w:lvlJc w:val="left"/>
      <w:pPr>
        <w:tabs>
          <w:tab w:val="num" w:pos="7920"/>
        </w:tabs>
        <w:ind w:left="7920" w:hanging="360"/>
      </w:pPr>
      <w:rPr>
        <w:rFonts w:ascii="Courier New" w:hAnsi="Courier New" w:hint="default"/>
      </w:rPr>
    </w:lvl>
    <w:lvl w:ilvl="5" w:tplc="04090005" w:tentative="1">
      <w:start w:val="1"/>
      <w:numFmt w:val="bullet"/>
      <w:lvlText w:val=""/>
      <w:lvlJc w:val="left"/>
      <w:pPr>
        <w:tabs>
          <w:tab w:val="num" w:pos="8640"/>
        </w:tabs>
        <w:ind w:left="8640" w:hanging="360"/>
      </w:pPr>
      <w:rPr>
        <w:rFonts w:ascii="Wingdings" w:hAnsi="Wingdings" w:hint="default"/>
      </w:rPr>
    </w:lvl>
    <w:lvl w:ilvl="6" w:tplc="04090001" w:tentative="1">
      <w:start w:val="1"/>
      <w:numFmt w:val="bullet"/>
      <w:lvlText w:val=""/>
      <w:lvlJc w:val="left"/>
      <w:pPr>
        <w:tabs>
          <w:tab w:val="num" w:pos="9360"/>
        </w:tabs>
        <w:ind w:left="9360" w:hanging="360"/>
      </w:pPr>
      <w:rPr>
        <w:rFonts w:ascii="Symbol" w:hAnsi="Symbol" w:hint="default"/>
      </w:rPr>
    </w:lvl>
    <w:lvl w:ilvl="7" w:tplc="04090003" w:tentative="1">
      <w:start w:val="1"/>
      <w:numFmt w:val="bullet"/>
      <w:lvlText w:val="o"/>
      <w:lvlJc w:val="left"/>
      <w:pPr>
        <w:tabs>
          <w:tab w:val="num" w:pos="10080"/>
        </w:tabs>
        <w:ind w:left="10080" w:hanging="360"/>
      </w:pPr>
      <w:rPr>
        <w:rFonts w:ascii="Courier New" w:hAnsi="Courier New" w:hint="default"/>
      </w:rPr>
    </w:lvl>
    <w:lvl w:ilvl="8" w:tplc="04090005" w:tentative="1">
      <w:start w:val="1"/>
      <w:numFmt w:val="bullet"/>
      <w:lvlText w:val=""/>
      <w:lvlJc w:val="left"/>
      <w:pPr>
        <w:tabs>
          <w:tab w:val="num" w:pos="10800"/>
        </w:tabs>
        <w:ind w:left="10800" w:hanging="360"/>
      </w:pPr>
      <w:rPr>
        <w:rFonts w:ascii="Wingdings" w:hAnsi="Wingdings" w:hint="default"/>
      </w:rPr>
    </w:lvl>
  </w:abstractNum>
  <w:abstractNum w:abstractNumId="39" w15:restartNumberingAfterBreak="0">
    <w:nsid w:val="79306E0F"/>
    <w:multiLevelType w:val="hybridMultilevel"/>
    <w:tmpl w:val="D9CC097C"/>
    <w:lvl w:ilvl="0" w:tplc="2ED46208">
      <w:start w:val="1"/>
      <w:numFmt w:val="bullet"/>
      <w:lvlText w:val="–"/>
      <w:lvlJc w:val="left"/>
      <w:pPr>
        <w:tabs>
          <w:tab w:val="num" w:pos="530"/>
        </w:tabs>
        <w:ind w:left="170" w:firstLine="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464854037">
    <w:abstractNumId w:val="9"/>
  </w:num>
  <w:num w:numId="2" w16cid:durableId="1383089858">
    <w:abstractNumId w:val="7"/>
  </w:num>
  <w:num w:numId="3" w16cid:durableId="980310508">
    <w:abstractNumId w:val="6"/>
  </w:num>
  <w:num w:numId="4" w16cid:durableId="999117680">
    <w:abstractNumId w:val="5"/>
  </w:num>
  <w:num w:numId="5" w16cid:durableId="1932004338">
    <w:abstractNumId w:val="4"/>
  </w:num>
  <w:num w:numId="6" w16cid:durableId="1980182466">
    <w:abstractNumId w:val="8"/>
  </w:num>
  <w:num w:numId="7" w16cid:durableId="2124029732">
    <w:abstractNumId w:val="3"/>
  </w:num>
  <w:num w:numId="8" w16cid:durableId="858734830">
    <w:abstractNumId w:val="2"/>
  </w:num>
  <w:num w:numId="9" w16cid:durableId="1771897731">
    <w:abstractNumId w:val="1"/>
  </w:num>
  <w:num w:numId="10" w16cid:durableId="1230313710">
    <w:abstractNumId w:val="0"/>
  </w:num>
  <w:num w:numId="11" w16cid:durableId="862212749">
    <w:abstractNumId w:val="13"/>
  </w:num>
  <w:num w:numId="12" w16cid:durableId="1934164815">
    <w:abstractNumId w:val="15"/>
  </w:num>
  <w:num w:numId="13" w16cid:durableId="1695692459">
    <w:abstractNumId w:val="22"/>
  </w:num>
  <w:num w:numId="14" w16cid:durableId="1617641866">
    <w:abstractNumId w:val="39"/>
  </w:num>
  <w:num w:numId="15" w16cid:durableId="1208223951">
    <w:abstractNumId w:val="14"/>
  </w:num>
  <w:num w:numId="16" w16cid:durableId="2076583319">
    <w:abstractNumId w:val="31"/>
  </w:num>
  <w:num w:numId="17" w16cid:durableId="948849904">
    <w:abstractNumId w:val="21"/>
  </w:num>
  <w:num w:numId="18" w16cid:durableId="1268661042">
    <w:abstractNumId w:val="18"/>
  </w:num>
  <w:num w:numId="19" w16cid:durableId="492532417">
    <w:abstractNumId w:val="11"/>
  </w:num>
  <w:num w:numId="20" w16cid:durableId="2127236647">
    <w:abstractNumId w:val="38"/>
  </w:num>
  <w:num w:numId="21" w16cid:durableId="1953635257">
    <w:abstractNumId w:val="16"/>
  </w:num>
  <w:num w:numId="22" w16cid:durableId="1218396093">
    <w:abstractNumId w:val="20"/>
  </w:num>
  <w:num w:numId="23" w16cid:durableId="753278170">
    <w:abstractNumId w:val="20"/>
  </w:num>
  <w:num w:numId="24" w16cid:durableId="465125701">
    <w:abstractNumId w:val="20"/>
  </w:num>
  <w:num w:numId="25" w16cid:durableId="889728499">
    <w:abstractNumId w:val="20"/>
  </w:num>
  <w:num w:numId="26" w16cid:durableId="1092821486">
    <w:abstractNumId w:val="33"/>
  </w:num>
  <w:num w:numId="27" w16cid:durableId="18700101">
    <w:abstractNumId w:val="37"/>
  </w:num>
  <w:num w:numId="28" w16cid:durableId="1269778607">
    <w:abstractNumId w:val="27"/>
  </w:num>
  <w:num w:numId="29" w16cid:durableId="259684263">
    <w:abstractNumId w:val="32"/>
  </w:num>
  <w:num w:numId="30" w16cid:durableId="10958421">
    <w:abstractNumId w:val="10"/>
  </w:num>
  <w:num w:numId="31" w16cid:durableId="117116577">
    <w:abstractNumId w:val="12"/>
  </w:num>
  <w:num w:numId="32" w16cid:durableId="1951155972">
    <w:abstractNumId w:val="34"/>
  </w:num>
  <w:num w:numId="33" w16cid:durableId="1312641001">
    <w:abstractNumId w:val="36"/>
  </w:num>
  <w:num w:numId="34" w16cid:durableId="1285961434">
    <w:abstractNumId w:val="17"/>
  </w:num>
  <w:num w:numId="35" w16cid:durableId="1302539671">
    <w:abstractNumId w:val="19"/>
  </w:num>
  <w:num w:numId="36" w16cid:durableId="605426527">
    <w:abstractNumId w:val="30"/>
  </w:num>
  <w:num w:numId="37" w16cid:durableId="266422936">
    <w:abstractNumId w:val="23"/>
  </w:num>
  <w:num w:numId="38" w16cid:durableId="1120878217">
    <w:abstractNumId w:val="28"/>
  </w:num>
  <w:num w:numId="39" w16cid:durableId="144471798">
    <w:abstractNumId w:val="25"/>
  </w:num>
  <w:num w:numId="40" w16cid:durableId="1616445955">
    <w:abstractNumId w:val="29"/>
  </w:num>
  <w:num w:numId="41" w16cid:durableId="1061098416">
    <w:abstractNumId w:val="35"/>
  </w:num>
  <w:num w:numId="42" w16cid:durableId="1218393969">
    <w:abstractNumId w:val="26"/>
  </w:num>
  <w:num w:numId="43" w16cid:durableId="7245236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 w:dllVersion="2" w:checkStyle="1"/>
  <w:defaultTabStop w:val="720"/>
  <w:drawingGridHorizontalSpacing w:val="181"/>
  <w:drawingGridVerticalSpacing w:val="181"/>
  <w:displayHorizontalDrawingGridEvery w:val="0"/>
  <w:displayVerticalDrawingGridEvery w:val="0"/>
  <w:doNotUseMarginsForDrawingGridOrigin/>
  <w:drawingGridVerticalOrigin w:val="1985"/>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9ED"/>
    <w:rsid w:val="00005FD3"/>
    <w:rsid w:val="00007A7E"/>
    <w:rsid w:val="00020EF3"/>
    <w:rsid w:val="0002263D"/>
    <w:rsid w:val="00030416"/>
    <w:rsid w:val="00036CC8"/>
    <w:rsid w:val="0004001F"/>
    <w:rsid w:val="00044A61"/>
    <w:rsid w:val="00044EDE"/>
    <w:rsid w:val="00045BCE"/>
    <w:rsid w:val="0005481E"/>
    <w:rsid w:val="00055693"/>
    <w:rsid w:val="000665F1"/>
    <w:rsid w:val="00067F9A"/>
    <w:rsid w:val="000739EA"/>
    <w:rsid w:val="000777AE"/>
    <w:rsid w:val="000819A2"/>
    <w:rsid w:val="00084CB4"/>
    <w:rsid w:val="0008617D"/>
    <w:rsid w:val="0009777C"/>
    <w:rsid w:val="000A44DB"/>
    <w:rsid w:val="000A5957"/>
    <w:rsid w:val="000B0453"/>
    <w:rsid w:val="000B1E54"/>
    <w:rsid w:val="000B5014"/>
    <w:rsid w:val="000B5419"/>
    <w:rsid w:val="000D0023"/>
    <w:rsid w:val="000F2321"/>
    <w:rsid w:val="0010128F"/>
    <w:rsid w:val="00107A5E"/>
    <w:rsid w:val="001136B4"/>
    <w:rsid w:val="00116F0E"/>
    <w:rsid w:val="001224C4"/>
    <w:rsid w:val="00127D04"/>
    <w:rsid w:val="001369D5"/>
    <w:rsid w:val="001435A6"/>
    <w:rsid w:val="00150DC9"/>
    <w:rsid w:val="00155BAF"/>
    <w:rsid w:val="001567C3"/>
    <w:rsid w:val="00166EEE"/>
    <w:rsid w:val="00170710"/>
    <w:rsid w:val="001A19A7"/>
    <w:rsid w:val="001C7297"/>
    <w:rsid w:val="001D50D0"/>
    <w:rsid w:val="001D5882"/>
    <w:rsid w:val="00200BF1"/>
    <w:rsid w:val="00213F8F"/>
    <w:rsid w:val="00224615"/>
    <w:rsid w:val="00226C55"/>
    <w:rsid w:val="002317DB"/>
    <w:rsid w:val="00232090"/>
    <w:rsid w:val="002350D9"/>
    <w:rsid w:val="00241871"/>
    <w:rsid w:val="002478F0"/>
    <w:rsid w:val="00252271"/>
    <w:rsid w:val="00253DFD"/>
    <w:rsid w:val="0027386E"/>
    <w:rsid w:val="00273910"/>
    <w:rsid w:val="00276466"/>
    <w:rsid w:val="002777F5"/>
    <w:rsid w:val="00282315"/>
    <w:rsid w:val="002836FA"/>
    <w:rsid w:val="0029394F"/>
    <w:rsid w:val="00295C9C"/>
    <w:rsid w:val="002968E5"/>
    <w:rsid w:val="002A1376"/>
    <w:rsid w:val="002B09FB"/>
    <w:rsid w:val="002D10D1"/>
    <w:rsid w:val="002D63D1"/>
    <w:rsid w:val="002D6A13"/>
    <w:rsid w:val="002E2E15"/>
    <w:rsid w:val="002F0854"/>
    <w:rsid w:val="002F115E"/>
    <w:rsid w:val="002F1B45"/>
    <w:rsid w:val="00306D25"/>
    <w:rsid w:val="003141C2"/>
    <w:rsid w:val="00322E4E"/>
    <w:rsid w:val="00324BDC"/>
    <w:rsid w:val="003316C3"/>
    <w:rsid w:val="00335FDE"/>
    <w:rsid w:val="0034239C"/>
    <w:rsid w:val="00343798"/>
    <w:rsid w:val="00346030"/>
    <w:rsid w:val="003467F7"/>
    <w:rsid w:val="00347AB9"/>
    <w:rsid w:val="00360C5C"/>
    <w:rsid w:val="00361AD0"/>
    <w:rsid w:val="00365A73"/>
    <w:rsid w:val="00382547"/>
    <w:rsid w:val="003837EB"/>
    <w:rsid w:val="00384D6F"/>
    <w:rsid w:val="00395263"/>
    <w:rsid w:val="003A44C7"/>
    <w:rsid w:val="003A45E2"/>
    <w:rsid w:val="003B28D9"/>
    <w:rsid w:val="003B40BD"/>
    <w:rsid w:val="003C261E"/>
    <w:rsid w:val="003C2D8C"/>
    <w:rsid w:val="003C3A5C"/>
    <w:rsid w:val="003D243E"/>
    <w:rsid w:val="003D5CAD"/>
    <w:rsid w:val="003D5D9E"/>
    <w:rsid w:val="003E1DD7"/>
    <w:rsid w:val="003E3201"/>
    <w:rsid w:val="003E6479"/>
    <w:rsid w:val="003E71BA"/>
    <w:rsid w:val="003E7E74"/>
    <w:rsid w:val="003F0D7A"/>
    <w:rsid w:val="003F18E9"/>
    <w:rsid w:val="003F6919"/>
    <w:rsid w:val="004215C0"/>
    <w:rsid w:val="00422984"/>
    <w:rsid w:val="00431274"/>
    <w:rsid w:val="004347F3"/>
    <w:rsid w:val="0043500D"/>
    <w:rsid w:val="00435E95"/>
    <w:rsid w:val="004361A1"/>
    <w:rsid w:val="00436A85"/>
    <w:rsid w:val="00454D04"/>
    <w:rsid w:val="004555E2"/>
    <w:rsid w:val="00461F52"/>
    <w:rsid w:val="004630BB"/>
    <w:rsid w:val="00463AE2"/>
    <w:rsid w:val="00465B01"/>
    <w:rsid w:val="00465C68"/>
    <w:rsid w:val="004726EE"/>
    <w:rsid w:val="00474B5E"/>
    <w:rsid w:val="00474C41"/>
    <w:rsid w:val="00477456"/>
    <w:rsid w:val="004779EB"/>
    <w:rsid w:val="0048237E"/>
    <w:rsid w:val="0048319F"/>
    <w:rsid w:val="00483525"/>
    <w:rsid w:val="00496E63"/>
    <w:rsid w:val="004A0F4C"/>
    <w:rsid w:val="004A105F"/>
    <w:rsid w:val="004B1BA5"/>
    <w:rsid w:val="004C1782"/>
    <w:rsid w:val="004E06D1"/>
    <w:rsid w:val="004E11CB"/>
    <w:rsid w:val="004E27A9"/>
    <w:rsid w:val="00510AB5"/>
    <w:rsid w:val="005161AF"/>
    <w:rsid w:val="005270FE"/>
    <w:rsid w:val="00532E44"/>
    <w:rsid w:val="0055375D"/>
    <w:rsid w:val="00554FF5"/>
    <w:rsid w:val="00562A69"/>
    <w:rsid w:val="00566BB1"/>
    <w:rsid w:val="005725E0"/>
    <w:rsid w:val="0057420D"/>
    <w:rsid w:val="0057640F"/>
    <w:rsid w:val="00580911"/>
    <w:rsid w:val="00590382"/>
    <w:rsid w:val="0059249F"/>
    <w:rsid w:val="005A2764"/>
    <w:rsid w:val="005A5659"/>
    <w:rsid w:val="005A6511"/>
    <w:rsid w:val="005A6DA0"/>
    <w:rsid w:val="005B4329"/>
    <w:rsid w:val="005C133E"/>
    <w:rsid w:val="005D0093"/>
    <w:rsid w:val="005D5A62"/>
    <w:rsid w:val="005D696B"/>
    <w:rsid w:val="005E42FD"/>
    <w:rsid w:val="005E6302"/>
    <w:rsid w:val="005E6B5F"/>
    <w:rsid w:val="005F2655"/>
    <w:rsid w:val="005F33E7"/>
    <w:rsid w:val="005F3A8D"/>
    <w:rsid w:val="005F6755"/>
    <w:rsid w:val="005F7B4B"/>
    <w:rsid w:val="00601247"/>
    <w:rsid w:val="006118C1"/>
    <w:rsid w:val="00613D98"/>
    <w:rsid w:val="00620B8D"/>
    <w:rsid w:val="00626CC5"/>
    <w:rsid w:val="00630BFF"/>
    <w:rsid w:val="00633E08"/>
    <w:rsid w:val="00634175"/>
    <w:rsid w:val="006460DA"/>
    <w:rsid w:val="00670855"/>
    <w:rsid w:val="00671526"/>
    <w:rsid w:val="0067485C"/>
    <w:rsid w:val="006765B5"/>
    <w:rsid w:val="00683D54"/>
    <w:rsid w:val="00685D79"/>
    <w:rsid w:val="00686A37"/>
    <w:rsid w:val="006A1D04"/>
    <w:rsid w:val="006A5AC9"/>
    <w:rsid w:val="006B329F"/>
    <w:rsid w:val="006B63E4"/>
    <w:rsid w:val="006C0EA4"/>
    <w:rsid w:val="006C63A1"/>
    <w:rsid w:val="006D0903"/>
    <w:rsid w:val="006E009B"/>
    <w:rsid w:val="006E1C17"/>
    <w:rsid w:val="006E27E7"/>
    <w:rsid w:val="006F451B"/>
    <w:rsid w:val="006F7489"/>
    <w:rsid w:val="00702418"/>
    <w:rsid w:val="007200BD"/>
    <w:rsid w:val="00720CDE"/>
    <w:rsid w:val="0072425C"/>
    <w:rsid w:val="00724654"/>
    <w:rsid w:val="0073457C"/>
    <w:rsid w:val="007469BE"/>
    <w:rsid w:val="0075182E"/>
    <w:rsid w:val="00757AC6"/>
    <w:rsid w:val="007610D2"/>
    <w:rsid w:val="00761619"/>
    <w:rsid w:val="007747F8"/>
    <w:rsid w:val="007765F2"/>
    <w:rsid w:val="00776D8F"/>
    <w:rsid w:val="00780DB5"/>
    <w:rsid w:val="00783C02"/>
    <w:rsid w:val="0078544B"/>
    <w:rsid w:val="00785B46"/>
    <w:rsid w:val="00791762"/>
    <w:rsid w:val="00795F1F"/>
    <w:rsid w:val="007979ED"/>
    <w:rsid w:val="007A3801"/>
    <w:rsid w:val="007B0752"/>
    <w:rsid w:val="007B6665"/>
    <w:rsid w:val="007B7B19"/>
    <w:rsid w:val="007C02DC"/>
    <w:rsid w:val="007D6095"/>
    <w:rsid w:val="00800CEE"/>
    <w:rsid w:val="00804065"/>
    <w:rsid w:val="00811462"/>
    <w:rsid w:val="008121F1"/>
    <w:rsid w:val="008167C0"/>
    <w:rsid w:val="008241EC"/>
    <w:rsid w:val="0082608F"/>
    <w:rsid w:val="00840EB2"/>
    <w:rsid w:val="00844902"/>
    <w:rsid w:val="008469D4"/>
    <w:rsid w:val="00853E7A"/>
    <w:rsid w:val="00865985"/>
    <w:rsid w:val="00870A77"/>
    <w:rsid w:val="008711A9"/>
    <w:rsid w:val="0087757B"/>
    <w:rsid w:val="00881E91"/>
    <w:rsid w:val="00884AE1"/>
    <w:rsid w:val="00885DC0"/>
    <w:rsid w:val="00886B43"/>
    <w:rsid w:val="008876D2"/>
    <w:rsid w:val="008905F6"/>
    <w:rsid w:val="00895BEC"/>
    <w:rsid w:val="008A455A"/>
    <w:rsid w:val="008C3B63"/>
    <w:rsid w:val="008C735C"/>
    <w:rsid w:val="008D185B"/>
    <w:rsid w:val="008D2DBA"/>
    <w:rsid w:val="008D49C7"/>
    <w:rsid w:val="008D4F05"/>
    <w:rsid w:val="008E0714"/>
    <w:rsid w:val="008F3A15"/>
    <w:rsid w:val="008F77C0"/>
    <w:rsid w:val="00901C57"/>
    <w:rsid w:val="00903A80"/>
    <w:rsid w:val="009072E7"/>
    <w:rsid w:val="00911F7C"/>
    <w:rsid w:val="00920B6C"/>
    <w:rsid w:val="009278D3"/>
    <w:rsid w:val="00927905"/>
    <w:rsid w:val="00936F55"/>
    <w:rsid w:val="00937F82"/>
    <w:rsid w:val="00944A3B"/>
    <w:rsid w:val="00950635"/>
    <w:rsid w:val="0095253B"/>
    <w:rsid w:val="00963210"/>
    <w:rsid w:val="009638FA"/>
    <w:rsid w:val="00974BDB"/>
    <w:rsid w:val="00982602"/>
    <w:rsid w:val="00985C5E"/>
    <w:rsid w:val="0099198A"/>
    <w:rsid w:val="009A7B5C"/>
    <w:rsid w:val="009B1B40"/>
    <w:rsid w:val="009B1F55"/>
    <w:rsid w:val="009B457B"/>
    <w:rsid w:val="009C272C"/>
    <w:rsid w:val="009C43EF"/>
    <w:rsid w:val="009C4783"/>
    <w:rsid w:val="009E1A43"/>
    <w:rsid w:val="009F5CDE"/>
    <w:rsid w:val="00A0379F"/>
    <w:rsid w:val="00A03CF1"/>
    <w:rsid w:val="00A0517B"/>
    <w:rsid w:val="00A05E1F"/>
    <w:rsid w:val="00A07B05"/>
    <w:rsid w:val="00A07EA6"/>
    <w:rsid w:val="00A11DB6"/>
    <w:rsid w:val="00A15EEB"/>
    <w:rsid w:val="00A16228"/>
    <w:rsid w:val="00A7138F"/>
    <w:rsid w:val="00A77D61"/>
    <w:rsid w:val="00A77FCD"/>
    <w:rsid w:val="00A848A2"/>
    <w:rsid w:val="00A8693E"/>
    <w:rsid w:val="00AA29D3"/>
    <w:rsid w:val="00AA6819"/>
    <w:rsid w:val="00AA6BB1"/>
    <w:rsid w:val="00AB003E"/>
    <w:rsid w:val="00AB3058"/>
    <w:rsid w:val="00AB403E"/>
    <w:rsid w:val="00AC06F9"/>
    <w:rsid w:val="00AC2FED"/>
    <w:rsid w:val="00AC7794"/>
    <w:rsid w:val="00AD5368"/>
    <w:rsid w:val="00AE53CA"/>
    <w:rsid w:val="00AF1305"/>
    <w:rsid w:val="00AF5E91"/>
    <w:rsid w:val="00B055DC"/>
    <w:rsid w:val="00B16D37"/>
    <w:rsid w:val="00B20869"/>
    <w:rsid w:val="00B208CB"/>
    <w:rsid w:val="00B22682"/>
    <w:rsid w:val="00B27B86"/>
    <w:rsid w:val="00B3189C"/>
    <w:rsid w:val="00B32642"/>
    <w:rsid w:val="00B374EC"/>
    <w:rsid w:val="00B45808"/>
    <w:rsid w:val="00B4721E"/>
    <w:rsid w:val="00B6292E"/>
    <w:rsid w:val="00B644BB"/>
    <w:rsid w:val="00B64A13"/>
    <w:rsid w:val="00B64E58"/>
    <w:rsid w:val="00B65BD2"/>
    <w:rsid w:val="00B66E98"/>
    <w:rsid w:val="00B70ADD"/>
    <w:rsid w:val="00B84CB3"/>
    <w:rsid w:val="00B90949"/>
    <w:rsid w:val="00B91DCF"/>
    <w:rsid w:val="00B925BE"/>
    <w:rsid w:val="00B93DD7"/>
    <w:rsid w:val="00B968A0"/>
    <w:rsid w:val="00BA236D"/>
    <w:rsid w:val="00BA5919"/>
    <w:rsid w:val="00BA7E18"/>
    <w:rsid w:val="00BB70A5"/>
    <w:rsid w:val="00BC6D49"/>
    <w:rsid w:val="00BD1C1E"/>
    <w:rsid w:val="00BD44B9"/>
    <w:rsid w:val="00BE0E3B"/>
    <w:rsid w:val="00BE3C9E"/>
    <w:rsid w:val="00BE5265"/>
    <w:rsid w:val="00BF442A"/>
    <w:rsid w:val="00C01909"/>
    <w:rsid w:val="00C248E8"/>
    <w:rsid w:val="00C24DA8"/>
    <w:rsid w:val="00C264D6"/>
    <w:rsid w:val="00C30B63"/>
    <w:rsid w:val="00C31564"/>
    <w:rsid w:val="00C35B0A"/>
    <w:rsid w:val="00C367C8"/>
    <w:rsid w:val="00C43508"/>
    <w:rsid w:val="00C46BEB"/>
    <w:rsid w:val="00C47E69"/>
    <w:rsid w:val="00C51E89"/>
    <w:rsid w:val="00C53532"/>
    <w:rsid w:val="00C536D8"/>
    <w:rsid w:val="00C56725"/>
    <w:rsid w:val="00C571B6"/>
    <w:rsid w:val="00C63B2D"/>
    <w:rsid w:val="00C66794"/>
    <w:rsid w:val="00C67133"/>
    <w:rsid w:val="00C764E4"/>
    <w:rsid w:val="00C8122C"/>
    <w:rsid w:val="00C8741D"/>
    <w:rsid w:val="00C9302A"/>
    <w:rsid w:val="00C94102"/>
    <w:rsid w:val="00C948CB"/>
    <w:rsid w:val="00C94A1E"/>
    <w:rsid w:val="00C94A70"/>
    <w:rsid w:val="00C94F00"/>
    <w:rsid w:val="00CA3822"/>
    <w:rsid w:val="00CA4B15"/>
    <w:rsid w:val="00CA5048"/>
    <w:rsid w:val="00CA7802"/>
    <w:rsid w:val="00CB2AB4"/>
    <w:rsid w:val="00CB7163"/>
    <w:rsid w:val="00CE1305"/>
    <w:rsid w:val="00CF588B"/>
    <w:rsid w:val="00D07312"/>
    <w:rsid w:val="00D20894"/>
    <w:rsid w:val="00D24C2D"/>
    <w:rsid w:val="00D3510A"/>
    <w:rsid w:val="00D416E9"/>
    <w:rsid w:val="00D419F9"/>
    <w:rsid w:val="00D42D2A"/>
    <w:rsid w:val="00D44BAC"/>
    <w:rsid w:val="00D453D5"/>
    <w:rsid w:val="00D54C19"/>
    <w:rsid w:val="00D62859"/>
    <w:rsid w:val="00D6345A"/>
    <w:rsid w:val="00D666F6"/>
    <w:rsid w:val="00D67BDA"/>
    <w:rsid w:val="00D8557C"/>
    <w:rsid w:val="00D96599"/>
    <w:rsid w:val="00DA6BB9"/>
    <w:rsid w:val="00DB7C8D"/>
    <w:rsid w:val="00DC2A06"/>
    <w:rsid w:val="00DC2BB4"/>
    <w:rsid w:val="00DC3255"/>
    <w:rsid w:val="00DD0656"/>
    <w:rsid w:val="00DD7F4C"/>
    <w:rsid w:val="00DE1012"/>
    <w:rsid w:val="00DE616F"/>
    <w:rsid w:val="00DF1D07"/>
    <w:rsid w:val="00DF62CD"/>
    <w:rsid w:val="00E0250B"/>
    <w:rsid w:val="00E1175A"/>
    <w:rsid w:val="00E14206"/>
    <w:rsid w:val="00E2777B"/>
    <w:rsid w:val="00E3165E"/>
    <w:rsid w:val="00E316C7"/>
    <w:rsid w:val="00E415CC"/>
    <w:rsid w:val="00E54695"/>
    <w:rsid w:val="00E65993"/>
    <w:rsid w:val="00E71388"/>
    <w:rsid w:val="00E76A48"/>
    <w:rsid w:val="00E90A4F"/>
    <w:rsid w:val="00E9139E"/>
    <w:rsid w:val="00E95F34"/>
    <w:rsid w:val="00E97BCF"/>
    <w:rsid w:val="00EA2E94"/>
    <w:rsid w:val="00EA3D10"/>
    <w:rsid w:val="00EB4097"/>
    <w:rsid w:val="00EB5B59"/>
    <w:rsid w:val="00EC1391"/>
    <w:rsid w:val="00EC3DD9"/>
    <w:rsid w:val="00EC4828"/>
    <w:rsid w:val="00ED6E13"/>
    <w:rsid w:val="00EE2151"/>
    <w:rsid w:val="00EF3E3C"/>
    <w:rsid w:val="00EF5662"/>
    <w:rsid w:val="00F02BF4"/>
    <w:rsid w:val="00F21543"/>
    <w:rsid w:val="00F42D0F"/>
    <w:rsid w:val="00F46A83"/>
    <w:rsid w:val="00F54985"/>
    <w:rsid w:val="00F63D1A"/>
    <w:rsid w:val="00F65C08"/>
    <w:rsid w:val="00F667C0"/>
    <w:rsid w:val="00F67F46"/>
    <w:rsid w:val="00F74BD3"/>
    <w:rsid w:val="00F82016"/>
    <w:rsid w:val="00F842AA"/>
    <w:rsid w:val="00F9162E"/>
    <w:rsid w:val="00F966F4"/>
    <w:rsid w:val="00FA3123"/>
    <w:rsid w:val="00FA403C"/>
    <w:rsid w:val="00FC1210"/>
    <w:rsid w:val="00FC3363"/>
    <w:rsid w:val="00FD2BD0"/>
    <w:rsid w:val="00FE7850"/>
    <w:rsid w:val="00FF4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BACC63"/>
  <w15:chartTrackingRefBased/>
  <w15:docId w15:val="{D0842C87-FE75-442C-9182-0069A46E0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Gill Sans MT" w:eastAsia="Times New Roman" w:hAnsi="Gill Sans MT" w:cs="Times New Roman"/>
        <w:color w:val="000000" w:themeColor="text1"/>
        <w:kern w:val="2"/>
        <w:sz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emiHidden/>
    <w:qFormat/>
    <w:rsid w:val="003C2D8C"/>
  </w:style>
  <w:style w:type="paragraph" w:styleId="Heading1">
    <w:name w:val="heading 1"/>
    <w:basedOn w:val="Normal"/>
    <w:next w:val="Normal"/>
    <w:link w:val="Heading1Char"/>
    <w:uiPriority w:val="9"/>
    <w:qFormat/>
    <w:pPr>
      <w:keepNext/>
      <w:spacing w:before="240" w:after="60"/>
      <w:outlineLvl w:val="0"/>
    </w:pPr>
    <w:rPr>
      <w:rFonts w:ascii="Arial" w:hAnsi="Arial" w:cs="Arial"/>
      <w:b/>
      <w:bCs/>
      <w:kern w:val="32"/>
      <w:sz w:val="32"/>
      <w:szCs w:val="32"/>
    </w:rPr>
  </w:style>
  <w:style w:type="paragraph" w:styleId="Heading2">
    <w:name w:val="heading 2"/>
    <w:basedOn w:val="Normal"/>
    <w:next w:val="Normal"/>
    <w:semiHidden/>
    <w:qFormat/>
    <w:pPr>
      <w:keepNext/>
      <w:spacing w:before="240" w:after="60"/>
      <w:outlineLvl w:val="1"/>
    </w:pPr>
    <w:rPr>
      <w:rFonts w:ascii="Arial" w:hAnsi="Arial" w:cs="Arial"/>
      <w:b/>
      <w:bCs/>
      <w:i/>
      <w:iCs/>
      <w:sz w:val="28"/>
      <w:szCs w:val="28"/>
    </w:rPr>
  </w:style>
  <w:style w:type="paragraph" w:styleId="Heading3">
    <w:name w:val="heading 3"/>
    <w:basedOn w:val="Normal"/>
    <w:next w:val="Normal"/>
    <w:semiHidden/>
    <w:qFormat/>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rPr>
      <w:rFonts w:ascii="Georgia" w:hAnsi="Georgia"/>
      <w:sz w:val="22"/>
    </w:rPr>
  </w:style>
  <w:style w:type="paragraph" w:styleId="Header">
    <w:name w:val="header"/>
    <w:basedOn w:val="Normal"/>
    <w:link w:val="HeaderChar"/>
    <w:uiPriority w:val="99"/>
    <w:rsid w:val="00422984"/>
    <w:pPr>
      <w:tabs>
        <w:tab w:val="center" w:pos="4320"/>
        <w:tab w:val="right" w:pos="8640"/>
      </w:tabs>
    </w:pPr>
    <w:rPr>
      <w:rFonts w:ascii="Calibri" w:hAnsi="Calibri"/>
      <w:sz w:val="44"/>
    </w:rPr>
  </w:style>
  <w:style w:type="paragraph" w:styleId="Footer">
    <w:name w:val="footer"/>
    <w:basedOn w:val="Normal"/>
    <w:semiHidden/>
    <w:pPr>
      <w:tabs>
        <w:tab w:val="center" w:pos="4320"/>
        <w:tab w:val="right" w:pos="8640"/>
      </w:tabs>
    </w:pPr>
  </w:style>
  <w:style w:type="character" w:styleId="Hyperlink">
    <w:name w:val="Hyperlink"/>
    <w:uiPriority w:val="99"/>
    <w:rsid w:val="0043500D"/>
    <w:rPr>
      <w:noProof/>
      <w:color w:val="000000"/>
      <w:u w:val="single"/>
    </w:rPr>
  </w:style>
  <w:style w:type="paragraph" w:customStyle="1" w:styleId="Bodynogap">
    <w:name w:val="Body (no gap)"/>
    <w:rsid w:val="009F5CDE"/>
    <w:pPr>
      <w:spacing w:line="260" w:lineRule="exact"/>
    </w:pPr>
    <w:rPr>
      <w:rFonts w:ascii="Calibri" w:hAnsi="Calibri"/>
      <w:lang w:eastAsia="en-US"/>
    </w:rPr>
  </w:style>
  <w:style w:type="paragraph" w:customStyle="1" w:styleId="Body">
    <w:name w:val="Body"/>
    <w:qFormat/>
    <w:rsid w:val="00B20869"/>
    <w:pPr>
      <w:keepLines/>
      <w:spacing w:after="130" w:line="260" w:lineRule="exact"/>
    </w:pPr>
    <w:rPr>
      <w:lang w:eastAsia="en-US"/>
    </w:rPr>
  </w:style>
  <w:style w:type="paragraph" w:styleId="BodyText">
    <w:name w:val="Body Text"/>
    <w:basedOn w:val="Normal"/>
    <w:semiHidden/>
  </w:style>
  <w:style w:type="paragraph" w:customStyle="1" w:styleId="Bullet">
    <w:name w:val="Bullet"/>
    <w:qFormat/>
    <w:rsid w:val="00B20869"/>
    <w:pPr>
      <w:keepLines/>
      <w:numPr>
        <w:numId w:val="20"/>
      </w:numPr>
      <w:spacing w:after="130" w:line="260" w:lineRule="exact"/>
      <w:ind w:left="284"/>
    </w:pPr>
    <w:rPr>
      <w:lang w:eastAsia="en-US"/>
    </w:rPr>
  </w:style>
  <w:style w:type="paragraph" w:customStyle="1" w:styleId="HeaderTitle">
    <w:name w:val="Header_Title"/>
    <w:basedOn w:val="Body"/>
    <w:next w:val="Body"/>
    <w:qFormat/>
    <w:rsid w:val="00170710"/>
    <w:pPr>
      <w:outlineLvl w:val="0"/>
    </w:pPr>
    <w:rPr>
      <w:rFonts w:ascii="Times" w:hAnsi="Times"/>
      <w:b/>
      <w:color w:val="5E5785"/>
    </w:rPr>
  </w:style>
  <w:style w:type="paragraph" w:customStyle="1" w:styleId="Title1">
    <w:name w:val="Title1"/>
    <w:basedOn w:val="Body"/>
    <w:next w:val="Body"/>
    <w:qFormat/>
    <w:rsid w:val="00170710"/>
    <w:pPr>
      <w:spacing w:after="220" w:line="410" w:lineRule="exact"/>
      <w:outlineLvl w:val="0"/>
    </w:pPr>
    <w:rPr>
      <w:rFonts w:ascii="Times New Roman" w:hAnsi="Times New Roman"/>
      <w:color w:val="5E5785"/>
      <w:kern w:val="0"/>
      <w:sz w:val="33"/>
      <w14:ligatures w14:val="none"/>
    </w:rPr>
  </w:style>
  <w:style w:type="paragraph" w:customStyle="1" w:styleId="Title2">
    <w:name w:val="Title2"/>
    <w:basedOn w:val="Title1"/>
    <w:next w:val="Body"/>
    <w:qFormat/>
    <w:rsid w:val="00170710"/>
    <w:pPr>
      <w:spacing w:after="80"/>
      <w:outlineLvl w:val="1"/>
    </w:pPr>
    <w:rPr>
      <w:bCs/>
    </w:rPr>
  </w:style>
  <w:style w:type="paragraph" w:customStyle="1" w:styleId="Head1">
    <w:name w:val="Head1"/>
    <w:basedOn w:val="Body"/>
    <w:next w:val="Body1"/>
    <w:qFormat/>
    <w:rsid w:val="00170710"/>
    <w:pPr>
      <w:keepNext/>
      <w:numPr>
        <w:numId w:val="32"/>
      </w:numPr>
      <w:pBdr>
        <w:bottom w:val="dotted" w:sz="4" w:space="1" w:color="auto"/>
      </w:pBdr>
      <w:spacing w:before="350" w:line="410" w:lineRule="exact"/>
      <w:ind w:left="357" w:hanging="357"/>
      <w:outlineLvl w:val="0"/>
    </w:pPr>
    <w:rPr>
      <w:rFonts w:ascii="Times New Roman" w:hAnsi="Times New Roman"/>
      <w:b/>
      <w:color w:val="5E5785"/>
      <w:sz w:val="33"/>
      <w:szCs w:val="33"/>
    </w:rPr>
  </w:style>
  <w:style w:type="paragraph" w:customStyle="1" w:styleId="Body1">
    <w:name w:val="Body1"/>
    <w:basedOn w:val="Body2"/>
    <w:qFormat/>
    <w:rsid w:val="0057420D"/>
  </w:style>
  <w:style w:type="paragraph" w:customStyle="1" w:styleId="Body2">
    <w:name w:val="Body2"/>
    <w:qFormat/>
    <w:rsid w:val="0057420D"/>
    <w:pPr>
      <w:keepLines/>
      <w:spacing w:after="130"/>
      <w:ind w:left="1106"/>
    </w:pPr>
    <w:rPr>
      <w:szCs w:val="33"/>
    </w:rPr>
  </w:style>
  <w:style w:type="paragraph" w:customStyle="1" w:styleId="Head2">
    <w:name w:val="Head2"/>
    <w:next w:val="Body2"/>
    <w:qFormat/>
    <w:rsid w:val="00170710"/>
    <w:pPr>
      <w:keepNext/>
      <w:numPr>
        <w:ilvl w:val="1"/>
        <w:numId w:val="32"/>
      </w:numPr>
      <w:spacing w:before="220" w:line="260" w:lineRule="exact"/>
      <w:outlineLvl w:val="1"/>
    </w:pPr>
    <w:rPr>
      <w:b/>
      <w:color w:val="5E5785"/>
      <w:szCs w:val="33"/>
    </w:rPr>
  </w:style>
  <w:style w:type="paragraph" w:customStyle="1" w:styleId="Head3">
    <w:name w:val="Head3"/>
    <w:next w:val="Body3"/>
    <w:qFormat/>
    <w:rsid w:val="00170710"/>
    <w:pPr>
      <w:keepNext/>
      <w:numPr>
        <w:ilvl w:val="2"/>
        <w:numId w:val="32"/>
      </w:numPr>
      <w:tabs>
        <w:tab w:val="clear" w:pos="1106"/>
        <w:tab w:val="num" w:pos="1985"/>
      </w:tabs>
      <w:spacing w:before="220" w:line="260" w:lineRule="exact"/>
      <w:ind w:left="1985" w:hanging="879"/>
      <w:outlineLvl w:val="2"/>
    </w:pPr>
    <w:rPr>
      <w:b/>
      <w:color w:val="5E5785"/>
      <w:szCs w:val="33"/>
    </w:rPr>
  </w:style>
  <w:style w:type="paragraph" w:customStyle="1" w:styleId="Body3">
    <w:name w:val="Body3"/>
    <w:basedOn w:val="Body2"/>
    <w:qFormat/>
    <w:rsid w:val="000F2321"/>
    <w:pPr>
      <w:ind w:left="1985"/>
    </w:pPr>
  </w:style>
  <w:style w:type="paragraph" w:customStyle="1" w:styleId="Head4">
    <w:name w:val="Head4"/>
    <w:next w:val="Body4"/>
    <w:qFormat/>
    <w:rsid w:val="00170710"/>
    <w:pPr>
      <w:keepNext/>
      <w:numPr>
        <w:ilvl w:val="3"/>
        <w:numId w:val="32"/>
      </w:numPr>
      <w:tabs>
        <w:tab w:val="clear" w:pos="1080"/>
        <w:tab w:val="num" w:pos="2835"/>
      </w:tabs>
      <w:spacing w:before="220" w:line="260" w:lineRule="exact"/>
      <w:ind w:left="2835" w:hanging="828"/>
      <w:outlineLvl w:val="3"/>
    </w:pPr>
    <w:rPr>
      <w:b/>
      <w:color w:val="5E5785"/>
      <w:szCs w:val="33"/>
    </w:rPr>
  </w:style>
  <w:style w:type="paragraph" w:customStyle="1" w:styleId="Body4">
    <w:name w:val="Body4"/>
    <w:basedOn w:val="Body3"/>
    <w:qFormat/>
    <w:rsid w:val="00E316C7"/>
    <w:pPr>
      <w:ind w:left="2835"/>
    </w:pPr>
  </w:style>
  <w:style w:type="paragraph" w:customStyle="1" w:styleId="Summary">
    <w:name w:val="Summary"/>
    <w:basedOn w:val="Body"/>
    <w:next w:val="Body"/>
    <w:qFormat/>
    <w:rsid w:val="0057420D"/>
  </w:style>
  <w:style w:type="paragraph" w:styleId="TOC1">
    <w:name w:val="toc 1"/>
    <w:next w:val="Normal"/>
    <w:autoRedefine/>
    <w:uiPriority w:val="39"/>
    <w:rsid w:val="009B1B40"/>
    <w:pPr>
      <w:tabs>
        <w:tab w:val="left" w:pos="879"/>
        <w:tab w:val="left" w:pos="1320"/>
        <w:tab w:val="right" w:pos="9356"/>
      </w:tabs>
      <w:spacing w:before="350" w:line="260" w:lineRule="exact"/>
    </w:pPr>
    <w:rPr>
      <w:rFonts w:ascii="Times" w:hAnsi="Times"/>
      <w:b/>
      <w:bCs/>
      <w:color w:val="5C556F"/>
      <w:szCs w:val="33"/>
    </w:rPr>
  </w:style>
  <w:style w:type="paragraph" w:styleId="TOC2">
    <w:name w:val="toc 2"/>
    <w:basedOn w:val="Head2"/>
    <w:next w:val="Normal"/>
    <w:autoRedefine/>
    <w:uiPriority w:val="39"/>
    <w:rsid w:val="002A1376"/>
    <w:pPr>
      <w:numPr>
        <w:ilvl w:val="0"/>
        <w:numId w:val="0"/>
      </w:numPr>
      <w:tabs>
        <w:tab w:val="left" w:pos="879"/>
        <w:tab w:val="right" w:pos="9356"/>
      </w:tabs>
      <w:spacing w:before="0"/>
    </w:pPr>
    <w:rPr>
      <w:rFonts w:ascii="Times" w:hAnsi="Times" w:cs="Gill Sans"/>
      <w:bCs/>
      <w:noProof/>
      <w:color w:val="000000" w:themeColor="text1"/>
      <w:szCs w:val="24"/>
    </w:rPr>
  </w:style>
  <w:style w:type="paragraph" w:styleId="TOC3">
    <w:name w:val="toc 3"/>
    <w:basedOn w:val="Head2"/>
    <w:next w:val="Normal"/>
    <w:autoRedefine/>
    <w:uiPriority w:val="39"/>
    <w:semiHidden/>
    <w:rsid w:val="004361A1"/>
    <w:pPr>
      <w:numPr>
        <w:ilvl w:val="0"/>
        <w:numId w:val="0"/>
      </w:numPr>
      <w:tabs>
        <w:tab w:val="left" w:pos="879"/>
        <w:tab w:val="right" w:pos="9356"/>
      </w:tabs>
      <w:spacing w:before="0"/>
    </w:pPr>
    <w:rPr>
      <w:b w:val="0"/>
      <w:szCs w:val="23"/>
    </w:rPr>
  </w:style>
  <w:style w:type="paragraph" w:customStyle="1" w:styleId="Bullet2">
    <w:name w:val="Bullet2"/>
    <w:basedOn w:val="Bullet"/>
    <w:qFormat/>
    <w:rsid w:val="009F5CDE"/>
    <w:pPr>
      <w:tabs>
        <w:tab w:val="num" w:pos="1418"/>
      </w:tabs>
      <w:ind w:left="1390"/>
    </w:pPr>
  </w:style>
  <w:style w:type="paragraph" w:customStyle="1" w:styleId="Bullet3">
    <w:name w:val="Bullet3"/>
    <w:basedOn w:val="Bullet2"/>
    <w:qFormat/>
    <w:pPr>
      <w:tabs>
        <w:tab w:val="clear" w:pos="1418"/>
        <w:tab w:val="num" w:pos="2268"/>
      </w:tabs>
      <w:ind w:left="2269"/>
    </w:pPr>
  </w:style>
  <w:style w:type="paragraph" w:customStyle="1" w:styleId="Bullet4">
    <w:name w:val="Bullet4"/>
    <w:basedOn w:val="Bullet3"/>
    <w:qFormat/>
    <w:rsid w:val="00E316C7"/>
    <w:pPr>
      <w:tabs>
        <w:tab w:val="clear" w:pos="2268"/>
        <w:tab w:val="num" w:pos="3119"/>
      </w:tabs>
      <w:ind w:left="3119"/>
    </w:pPr>
  </w:style>
  <w:style w:type="paragraph" w:customStyle="1" w:styleId="Bullet1">
    <w:name w:val="Bullet1"/>
    <w:basedOn w:val="Bullet2"/>
    <w:qFormat/>
    <w:rsid w:val="0057420D"/>
  </w:style>
  <w:style w:type="character" w:styleId="FollowedHyperlink">
    <w:name w:val="FollowedHyperlink"/>
    <w:uiPriority w:val="99"/>
    <w:semiHidden/>
    <w:rsid w:val="00422984"/>
    <w:rPr>
      <w:color w:val="800080"/>
      <w:u w:val="single"/>
    </w:rPr>
  </w:style>
  <w:style w:type="paragraph" w:styleId="BalloonText">
    <w:name w:val="Balloon Text"/>
    <w:basedOn w:val="Normal"/>
    <w:link w:val="BalloonTextChar"/>
    <w:uiPriority w:val="99"/>
    <w:semiHidden/>
    <w:rsid w:val="00C8741D"/>
    <w:rPr>
      <w:rFonts w:ascii="Tahoma" w:hAnsi="Tahoma" w:cs="Tahoma"/>
      <w:sz w:val="16"/>
      <w:szCs w:val="16"/>
    </w:rPr>
  </w:style>
  <w:style w:type="character" w:customStyle="1" w:styleId="BalloonTextChar">
    <w:name w:val="Balloon Text Char"/>
    <w:basedOn w:val="DefaultParagraphFont"/>
    <w:link w:val="BalloonText"/>
    <w:uiPriority w:val="99"/>
    <w:semiHidden/>
    <w:rsid w:val="003C2D8C"/>
    <w:rPr>
      <w:rFonts w:ascii="Tahoma" w:hAnsi="Tahoma" w:cs="Tahoma"/>
      <w:sz w:val="16"/>
      <w:szCs w:val="16"/>
      <w:lang w:eastAsia="en-US"/>
    </w:rPr>
  </w:style>
  <w:style w:type="paragraph" w:customStyle="1" w:styleId="Heading">
    <w:name w:val="Heading"/>
    <w:basedOn w:val="Normal"/>
    <w:qFormat/>
    <w:rsid w:val="00170710"/>
    <w:pPr>
      <w:pBdr>
        <w:bottom w:val="dotted" w:sz="4" w:space="10" w:color="auto"/>
      </w:pBdr>
      <w:spacing w:before="240" w:line="440" w:lineRule="exact"/>
      <w:outlineLvl w:val="0"/>
    </w:pPr>
    <w:rPr>
      <w:rFonts w:ascii="Times New Roman" w:hAnsi="Times New Roman"/>
      <w:b/>
      <w:color w:val="5E5785"/>
      <w:sz w:val="33"/>
    </w:rPr>
  </w:style>
  <w:style w:type="character" w:styleId="PlaceholderText">
    <w:name w:val="Placeholder Text"/>
    <w:basedOn w:val="DefaultParagraphFont"/>
    <w:uiPriority w:val="99"/>
    <w:semiHidden/>
    <w:rsid w:val="00BE3C9E"/>
    <w:rPr>
      <w:color w:val="808080"/>
    </w:rPr>
  </w:style>
  <w:style w:type="paragraph" w:styleId="Title">
    <w:name w:val="Title"/>
    <w:next w:val="Normal"/>
    <w:link w:val="TitleChar"/>
    <w:uiPriority w:val="10"/>
    <w:rsid w:val="003A45E2"/>
    <w:pPr>
      <w:spacing w:before="350" w:line="260" w:lineRule="exact"/>
      <w:contextualSpacing/>
    </w:pPr>
    <w:rPr>
      <w:rFonts w:ascii="Times" w:eastAsiaTheme="majorEastAsia" w:hAnsi="Times" w:cstheme="majorBidi"/>
      <w:bCs/>
      <w:color w:val="5C556F"/>
      <w:kern w:val="28"/>
      <w:szCs w:val="56"/>
      <w:lang w:eastAsia="en-US"/>
    </w:rPr>
  </w:style>
  <w:style w:type="character" w:customStyle="1" w:styleId="TitleChar">
    <w:name w:val="Title Char"/>
    <w:basedOn w:val="DefaultParagraphFont"/>
    <w:link w:val="Title"/>
    <w:uiPriority w:val="10"/>
    <w:rsid w:val="003A45E2"/>
    <w:rPr>
      <w:rFonts w:ascii="Times" w:eastAsiaTheme="majorEastAsia" w:hAnsi="Times" w:cstheme="majorBidi"/>
      <w:bCs/>
      <w:color w:val="5C556F"/>
      <w:kern w:val="28"/>
      <w:sz w:val="22"/>
      <w:szCs w:val="56"/>
      <w:lang w:eastAsia="en-US"/>
    </w:rPr>
  </w:style>
  <w:style w:type="character" w:styleId="SubtleEmphasis">
    <w:name w:val="Subtle Emphasis"/>
    <w:basedOn w:val="DefaultParagraphFont"/>
    <w:uiPriority w:val="19"/>
    <w:rsid w:val="006765B5"/>
    <w:rPr>
      <w:i/>
      <w:iCs/>
      <w:color w:val="404040" w:themeColor="text1" w:themeTint="BF"/>
    </w:rPr>
  </w:style>
  <w:style w:type="character" w:customStyle="1" w:styleId="HeaderChar">
    <w:name w:val="Header Char"/>
    <w:basedOn w:val="DefaultParagraphFont"/>
    <w:link w:val="Header"/>
    <w:uiPriority w:val="99"/>
    <w:rsid w:val="008D49C7"/>
    <w:rPr>
      <w:rFonts w:ascii="Calibri" w:hAnsi="Calibri"/>
      <w:sz w:val="44"/>
      <w:lang w:eastAsia="en-US"/>
    </w:rPr>
  </w:style>
  <w:style w:type="paragraph" w:styleId="NoSpacing">
    <w:name w:val="No Spacing"/>
    <w:link w:val="NoSpacingChar"/>
    <w:uiPriority w:val="1"/>
    <w:qFormat/>
    <w:rsid w:val="00985C5E"/>
    <w:rPr>
      <w:rFonts w:asciiTheme="minorHAnsi" w:eastAsiaTheme="minorEastAsia" w:hAnsiTheme="minorHAnsi" w:cstheme="minorBidi"/>
      <w:color w:val="auto"/>
      <w:kern w:val="0"/>
      <w:szCs w:val="22"/>
      <w:lang w:val="en-US" w:eastAsia="en-US"/>
      <w14:ligatures w14:val="none"/>
    </w:rPr>
  </w:style>
  <w:style w:type="character" w:customStyle="1" w:styleId="NoSpacingChar">
    <w:name w:val="No Spacing Char"/>
    <w:basedOn w:val="DefaultParagraphFont"/>
    <w:link w:val="NoSpacing"/>
    <w:uiPriority w:val="1"/>
    <w:rsid w:val="00985C5E"/>
    <w:rPr>
      <w:rFonts w:asciiTheme="minorHAnsi" w:eastAsiaTheme="minorEastAsia" w:hAnsiTheme="minorHAnsi" w:cstheme="minorBidi"/>
      <w:color w:val="auto"/>
      <w:kern w:val="0"/>
      <w:szCs w:val="22"/>
      <w:lang w:val="en-US" w:eastAsia="en-US"/>
      <w14:ligatures w14:val="none"/>
    </w:rPr>
  </w:style>
  <w:style w:type="character" w:customStyle="1" w:styleId="Heading1Char">
    <w:name w:val="Heading 1 Char"/>
    <w:basedOn w:val="DefaultParagraphFont"/>
    <w:link w:val="Heading1"/>
    <w:uiPriority w:val="9"/>
    <w:rsid w:val="0008617D"/>
    <w:rPr>
      <w:rFonts w:ascii="Arial" w:hAnsi="Arial" w:cs="Arial"/>
      <w:b/>
      <w:bCs/>
      <w:kern w:val="32"/>
      <w:sz w:val="32"/>
      <w:szCs w:val="32"/>
    </w:rPr>
  </w:style>
  <w:style w:type="paragraph" w:styleId="TOCHeading">
    <w:name w:val="TOC Heading"/>
    <w:basedOn w:val="Heading1"/>
    <w:next w:val="Normal"/>
    <w:uiPriority w:val="39"/>
    <w:unhideWhenUsed/>
    <w:qFormat/>
    <w:rsid w:val="004E27A9"/>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14:ligatures w14:val="none"/>
    </w:rPr>
  </w:style>
  <w:style w:type="paragraph" w:styleId="ListParagraph">
    <w:name w:val="List Paragraph"/>
    <w:basedOn w:val="Normal"/>
    <w:uiPriority w:val="34"/>
    <w:rsid w:val="00C01909"/>
    <w:pPr>
      <w:ind w:left="720"/>
      <w:contextualSpacing/>
    </w:pPr>
  </w:style>
  <w:style w:type="paragraph" w:styleId="Caption">
    <w:name w:val="caption"/>
    <w:basedOn w:val="Normal"/>
    <w:next w:val="Normal"/>
    <w:uiPriority w:val="35"/>
    <w:unhideWhenUsed/>
    <w:qFormat/>
    <w:rsid w:val="004A0F4C"/>
    <w:pPr>
      <w:spacing w:after="200"/>
    </w:pPr>
    <w:rPr>
      <w:i/>
      <w:iCs/>
      <w:color w:val="44546A" w:themeColor="text2"/>
      <w:sz w:val="18"/>
      <w:szCs w:val="18"/>
    </w:rPr>
  </w:style>
  <w:style w:type="table" w:styleId="TableGrid">
    <w:name w:val="Table Grid"/>
    <w:basedOn w:val="TableNormal"/>
    <w:uiPriority w:val="59"/>
    <w:rsid w:val="00044E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A1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465">
      <w:bodyDiv w:val="1"/>
      <w:marLeft w:val="0"/>
      <w:marRight w:val="0"/>
      <w:marTop w:val="0"/>
      <w:marBottom w:val="0"/>
      <w:divBdr>
        <w:top w:val="none" w:sz="0" w:space="0" w:color="auto"/>
        <w:left w:val="none" w:sz="0" w:space="0" w:color="auto"/>
        <w:bottom w:val="none" w:sz="0" w:space="0" w:color="auto"/>
        <w:right w:val="none" w:sz="0" w:space="0" w:color="auto"/>
      </w:divBdr>
    </w:div>
    <w:div w:id="28916724">
      <w:bodyDiv w:val="1"/>
      <w:marLeft w:val="0"/>
      <w:marRight w:val="0"/>
      <w:marTop w:val="0"/>
      <w:marBottom w:val="0"/>
      <w:divBdr>
        <w:top w:val="none" w:sz="0" w:space="0" w:color="auto"/>
        <w:left w:val="none" w:sz="0" w:space="0" w:color="auto"/>
        <w:bottom w:val="none" w:sz="0" w:space="0" w:color="auto"/>
        <w:right w:val="none" w:sz="0" w:space="0" w:color="auto"/>
      </w:divBdr>
    </w:div>
    <w:div w:id="30619798">
      <w:bodyDiv w:val="1"/>
      <w:marLeft w:val="0"/>
      <w:marRight w:val="0"/>
      <w:marTop w:val="0"/>
      <w:marBottom w:val="0"/>
      <w:divBdr>
        <w:top w:val="none" w:sz="0" w:space="0" w:color="auto"/>
        <w:left w:val="none" w:sz="0" w:space="0" w:color="auto"/>
        <w:bottom w:val="none" w:sz="0" w:space="0" w:color="auto"/>
        <w:right w:val="none" w:sz="0" w:space="0" w:color="auto"/>
      </w:divBdr>
    </w:div>
    <w:div w:id="36005808">
      <w:bodyDiv w:val="1"/>
      <w:marLeft w:val="0"/>
      <w:marRight w:val="0"/>
      <w:marTop w:val="0"/>
      <w:marBottom w:val="0"/>
      <w:divBdr>
        <w:top w:val="none" w:sz="0" w:space="0" w:color="auto"/>
        <w:left w:val="none" w:sz="0" w:space="0" w:color="auto"/>
        <w:bottom w:val="none" w:sz="0" w:space="0" w:color="auto"/>
        <w:right w:val="none" w:sz="0" w:space="0" w:color="auto"/>
      </w:divBdr>
    </w:div>
    <w:div w:id="41559014">
      <w:bodyDiv w:val="1"/>
      <w:marLeft w:val="0"/>
      <w:marRight w:val="0"/>
      <w:marTop w:val="0"/>
      <w:marBottom w:val="0"/>
      <w:divBdr>
        <w:top w:val="none" w:sz="0" w:space="0" w:color="auto"/>
        <w:left w:val="none" w:sz="0" w:space="0" w:color="auto"/>
        <w:bottom w:val="none" w:sz="0" w:space="0" w:color="auto"/>
        <w:right w:val="none" w:sz="0" w:space="0" w:color="auto"/>
      </w:divBdr>
    </w:div>
    <w:div w:id="53936596">
      <w:bodyDiv w:val="1"/>
      <w:marLeft w:val="0"/>
      <w:marRight w:val="0"/>
      <w:marTop w:val="0"/>
      <w:marBottom w:val="0"/>
      <w:divBdr>
        <w:top w:val="none" w:sz="0" w:space="0" w:color="auto"/>
        <w:left w:val="none" w:sz="0" w:space="0" w:color="auto"/>
        <w:bottom w:val="none" w:sz="0" w:space="0" w:color="auto"/>
        <w:right w:val="none" w:sz="0" w:space="0" w:color="auto"/>
      </w:divBdr>
    </w:div>
    <w:div w:id="120223738">
      <w:bodyDiv w:val="1"/>
      <w:marLeft w:val="0"/>
      <w:marRight w:val="0"/>
      <w:marTop w:val="0"/>
      <w:marBottom w:val="0"/>
      <w:divBdr>
        <w:top w:val="none" w:sz="0" w:space="0" w:color="auto"/>
        <w:left w:val="none" w:sz="0" w:space="0" w:color="auto"/>
        <w:bottom w:val="none" w:sz="0" w:space="0" w:color="auto"/>
        <w:right w:val="none" w:sz="0" w:space="0" w:color="auto"/>
      </w:divBdr>
    </w:div>
    <w:div w:id="177160180">
      <w:bodyDiv w:val="1"/>
      <w:marLeft w:val="0"/>
      <w:marRight w:val="0"/>
      <w:marTop w:val="0"/>
      <w:marBottom w:val="0"/>
      <w:divBdr>
        <w:top w:val="none" w:sz="0" w:space="0" w:color="auto"/>
        <w:left w:val="none" w:sz="0" w:space="0" w:color="auto"/>
        <w:bottom w:val="none" w:sz="0" w:space="0" w:color="auto"/>
        <w:right w:val="none" w:sz="0" w:space="0" w:color="auto"/>
      </w:divBdr>
    </w:div>
    <w:div w:id="184909505">
      <w:bodyDiv w:val="1"/>
      <w:marLeft w:val="0"/>
      <w:marRight w:val="0"/>
      <w:marTop w:val="0"/>
      <w:marBottom w:val="0"/>
      <w:divBdr>
        <w:top w:val="none" w:sz="0" w:space="0" w:color="auto"/>
        <w:left w:val="none" w:sz="0" w:space="0" w:color="auto"/>
        <w:bottom w:val="none" w:sz="0" w:space="0" w:color="auto"/>
        <w:right w:val="none" w:sz="0" w:space="0" w:color="auto"/>
      </w:divBdr>
    </w:div>
    <w:div w:id="190143812">
      <w:bodyDiv w:val="1"/>
      <w:marLeft w:val="0"/>
      <w:marRight w:val="0"/>
      <w:marTop w:val="0"/>
      <w:marBottom w:val="0"/>
      <w:divBdr>
        <w:top w:val="none" w:sz="0" w:space="0" w:color="auto"/>
        <w:left w:val="none" w:sz="0" w:space="0" w:color="auto"/>
        <w:bottom w:val="none" w:sz="0" w:space="0" w:color="auto"/>
        <w:right w:val="none" w:sz="0" w:space="0" w:color="auto"/>
      </w:divBdr>
    </w:div>
    <w:div w:id="195510684">
      <w:bodyDiv w:val="1"/>
      <w:marLeft w:val="0"/>
      <w:marRight w:val="0"/>
      <w:marTop w:val="0"/>
      <w:marBottom w:val="0"/>
      <w:divBdr>
        <w:top w:val="none" w:sz="0" w:space="0" w:color="auto"/>
        <w:left w:val="none" w:sz="0" w:space="0" w:color="auto"/>
        <w:bottom w:val="none" w:sz="0" w:space="0" w:color="auto"/>
        <w:right w:val="none" w:sz="0" w:space="0" w:color="auto"/>
      </w:divBdr>
      <w:divsChild>
        <w:div w:id="455147590">
          <w:marLeft w:val="547"/>
          <w:marRight w:val="0"/>
          <w:marTop w:val="0"/>
          <w:marBottom w:val="0"/>
          <w:divBdr>
            <w:top w:val="none" w:sz="0" w:space="0" w:color="auto"/>
            <w:left w:val="none" w:sz="0" w:space="0" w:color="auto"/>
            <w:bottom w:val="none" w:sz="0" w:space="0" w:color="auto"/>
            <w:right w:val="none" w:sz="0" w:space="0" w:color="auto"/>
          </w:divBdr>
        </w:div>
      </w:divsChild>
    </w:div>
    <w:div w:id="212742776">
      <w:bodyDiv w:val="1"/>
      <w:marLeft w:val="0"/>
      <w:marRight w:val="0"/>
      <w:marTop w:val="0"/>
      <w:marBottom w:val="0"/>
      <w:divBdr>
        <w:top w:val="none" w:sz="0" w:space="0" w:color="auto"/>
        <w:left w:val="none" w:sz="0" w:space="0" w:color="auto"/>
        <w:bottom w:val="none" w:sz="0" w:space="0" w:color="auto"/>
        <w:right w:val="none" w:sz="0" w:space="0" w:color="auto"/>
      </w:divBdr>
    </w:div>
    <w:div w:id="248083659">
      <w:bodyDiv w:val="1"/>
      <w:marLeft w:val="0"/>
      <w:marRight w:val="0"/>
      <w:marTop w:val="0"/>
      <w:marBottom w:val="0"/>
      <w:divBdr>
        <w:top w:val="none" w:sz="0" w:space="0" w:color="auto"/>
        <w:left w:val="none" w:sz="0" w:space="0" w:color="auto"/>
        <w:bottom w:val="none" w:sz="0" w:space="0" w:color="auto"/>
        <w:right w:val="none" w:sz="0" w:space="0" w:color="auto"/>
      </w:divBdr>
    </w:div>
    <w:div w:id="251553037">
      <w:bodyDiv w:val="1"/>
      <w:marLeft w:val="0"/>
      <w:marRight w:val="0"/>
      <w:marTop w:val="0"/>
      <w:marBottom w:val="0"/>
      <w:divBdr>
        <w:top w:val="none" w:sz="0" w:space="0" w:color="auto"/>
        <w:left w:val="none" w:sz="0" w:space="0" w:color="auto"/>
        <w:bottom w:val="none" w:sz="0" w:space="0" w:color="auto"/>
        <w:right w:val="none" w:sz="0" w:space="0" w:color="auto"/>
      </w:divBdr>
    </w:div>
    <w:div w:id="261762245">
      <w:bodyDiv w:val="1"/>
      <w:marLeft w:val="0"/>
      <w:marRight w:val="0"/>
      <w:marTop w:val="0"/>
      <w:marBottom w:val="0"/>
      <w:divBdr>
        <w:top w:val="none" w:sz="0" w:space="0" w:color="auto"/>
        <w:left w:val="none" w:sz="0" w:space="0" w:color="auto"/>
        <w:bottom w:val="none" w:sz="0" w:space="0" w:color="auto"/>
        <w:right w:val="none" w:sz="0" w:space="0" w:color="auto"/>
      </w:divBdr>
    </w:div>
    <w:div w:id="298076547">
      <w:bodyDiv w:val="1"/>
      <w:marLeft w:val="0"/>
      <w:marRight w:val="0"/>
      <w:marTop w:val="0"/>
      <w:marBottom w:val="0"/>
      <w:divBdr>
        <w:top w:val="none" w:sz="0" w:space="0" w:color="auto"/>
        <w:left w:val="none" w:sz="0" w:space="0" w:color="auto"/>
        <w:bottom w:val="none" w:sz="0" w:space="0" w:color="auto"/>
        <w:right w:val="none" w:sz="0" w:space="0" w:color="auto"/>
      </w:divBdr>
    </w:div>
    <w:div w:id="315695496">
      <w:bodyDiv w:val="1"/>
      <w:marLeft w:val="0"/>
      <w:marRight w:val="0"/>
      <w:marTop w:val="0"/>
      <w:marBottom w:val="0"/>
      <w:divBdr>
        <w:top w:val="none" w:sz="0" w:space="0" w:color="auto"/>
        <w:left w:val="none" w:sz="0" w:space="0" w:color="auto"/>
        <w:bottom w:val="none" w:sz="0" w:space="0" w:color="auto"/>
        <w:right w:val="none" w:sz="0" w:space="0" w:color="auto"/>
      </w:divBdr>
    </w:div>
    <w:div w:id="368721934">
      <w:bodyDiv w:val="1"/>
      <w:marLeft w:val="0"/>
      <w:marRight w:val="0"/>
      <w:marTop w:val="0"/>
      <w:marBottom w:val="0"/>
      <w:divBdr>
        <w:top w:val="none" w:sz="0" w:space="0" w:color="auto"/>
        <w:left w:val="none" w:sz="0" w:space="0" w:color="auto"/>
        <w:bottom w:val="none" w:sz="0" w:space="0" w:color="auto"/>
        <w:right w:val="none" w:sz="0" w:space="0" w:color="auto"/>
      </w:divBdr>
    </w:div>
    <w:div w:id="376048464">
      <w:bodyDiv w:val="1"/>
      <w:marLeft w:val="0"/>
      <w:marRight w:val="0"/>
      <w:marTop w:val="0"/>
      <w:marBottom w:val="0"/>
      <w:divBdr>
        <w:top w:val="none" w:sz="0" w:space="0" w:color="auto"/>
        <w:left w:val="none" w:sz="0" w:space="0" w:color="auto"/>
        <w:bottom w:val="none" w:sz="0" w:space="0" w:color="auto"/>
        <w:right w:val="none" w:sz="0" w:space="0" w:color="auto"/>
      </w:divBdr>
    </w:div>
    <w:div w:id="392851455">
      <w:bodyDiv w:val="1"/>
      <w:marLeft w:val="0"/>
      <w:marRight w:val="0"/>
      <w:marTop w:val="0"/>
      <w:marBottom w:val="0"/>
      <w:divBdr>
        <w:top w:val="none" w:sz="0" w:space="0" w:color="auto"/>
        <w:left w:val="none" w:sz="0" w:space="0" w:color="auto"/>
        <w:bottom w:val="none" w:sz="0" w:space="0" w:color="auto"/>
        <w:right w:val="none" w:sz="0" w:space="0" w:color="auto"/>
      </w:divBdr>
    </w:div>
    <w:div w:id="394086718">
      <w:bodyDiv w:val="1"/>
      <w:marLeft w:val="0"/>
      <w:marRight w:val="0"/>
      <w:marTop w:val="0"/>
      <w:marBottom w:val="0"/>
      <w:divBdr>
        <w:top w:val="none" w:sz="0" w:space="0" w:color="auto"/>
        <w:left w:val="none" w:sz="0" w:space="0" w:color="auto"/>
        <w:bottom w:val="none" w:sz="0" w:space="0" w:color="auto"/>
        <w:right w:val="none" w:sz="0" w:space="0" w:color="auto"/>
      </w:divBdr>
    </w:div>
    <w:div w:id="405302465">
      <w:bodyDiv w:val="1"/>
      <w:marLeft w:val="0"/>
      <w:marRight w:val="0"/>
      <w:marTop w:val="0"/>
      <w:marBottom w:val="0"/>
      <w:divBdr>
        <w:top w:val="none" w:sz="0" w:space="0" w:color="auto"/>
        <w:left w:val="none" w:sz="0" w:space="0" w:color="auto"/>
        <w:bottom w:val="none" w:sz="0" w:space="0" w:color="auto"/>
        <w:right w:val="none" w:sz="0" w:space="0" w:color="auto"/>
      </w:divBdr>
    </w:div>
    <w:div w:id="448857980">
      <w:bodyDiv w:val="1"/>
      <w:marLeft w:val="0"/>
      <w:marRight w:val="0"/>
      <w:marTop w:val="0"/>
      <w:marBottom w:val="0"/>
      <w:divBdr>
        <w:top w:val="none" w:sz="0" w:space="0" w:color="auto"/>
        <w:left w:val="none" w:sz="0" w:space="0" w:color="auto"/>
        <w:bottom w:val="none" w:sz="0" w:space="0" w:color="auto"/>
        <w:right w:val="none" w:sz="0" w:space="0" w:color="auto"/>
      </w:divBdr>
    </w:div>
    <w:div w:id="472521547">
      <w:bodyDiv w:val="1"/>
      <w:marLeft w:val="0"/>
      <w:marRight w:val="0"/>
      <w:marTop w:val="0"/>
      <w:marBottom w:val="0"/>
      <w:divBdr>
        <w:top w:val="none" w:sz="0" w:space="0" w:color="auto"/>
        <w:left w:val="none" w:sz="0" w:space="0" w:color="auto"/>
        <w:bottom w:val="none" w:sz="0" w:space="0" w:color="auto"/>
        <w:right w:val="none" w:sz="0" w:space="0" w:color="auto"/>
      </w:divBdr>
    </w:div>
    <w:div w:id="554583766">
      <w:bodyDiv w:val="1"/>
      <w:marLeft w:val="0"/>
      <w:marRight w:val="0"/>
      <w:marTop w:val="0"/>
      <w:marBottom w:val="0"/>
      <w:divBdr>
        <w:top w:val="none" w:sz="0" w:space="0" w:color="auto"/>
        <w:left w:val="none" w:sz="0" w:space="0" w:color="auto"/>
        <w:bottom w:val="none" w:sz="0" w:space="0" w:color="auto"/>
        <w:right w:val="none" w:sz="0" w:space="0" w:color="auto"/>
      </w:divBdr>
    </w:div>
    <w:div w:id="597522444">
      <w:bodyDiv w:val="1"/>
      <w:marLeft w:val="0"/>
      <w:marRight w:val="0"/>
      <w:marTop w:val="0"/>
      <w:marBottom w:val="0"/>
      <w:divBdr>
        <w:top w:val="none" w:sz="0" w:space="0" w:color="auto"/>
        <w:left w:val="none" w:sz="0" w:space="0" w:color="auto"/>
        <w:bottom w:val="none" w:sz="0" w:space="0" w:color="auto"/>
        <w:right w:val="none" w:sz="0" w:space="0" w:color="auto"/>
      </w:divBdr>
    </w:div>
    <w:div w:id="623578812">
      <w:bodyDiv w:val="1"/>
      <w:marLeft w:val="0"/>
      <w:marRight w:val="0"/>
      <w:marTop w:val="0"/>
      <w:marBottom w:val="0"/>
      <w:divBdr>
        <w:top w:val="none" w:sz="0" w:space="0" w:color="auto"/>
        <w:left w:val="none" w:sz="0" w:space="0" w:color="auto"/>
        <w:bottom w:val="none" w:sz="0" w:space="0" w:color="auto"/>
        <w:right w:val="none" w:sz="0" w:space="0" w:color="auto"/>
      </w:divBdr>
    </w:div>
    <w:div w:id="654915441">
      <w:bodyDiv w:val="1"/>
      <w:marLeft w:val="0"/>
      <w:marRight w:val="0"/>
      <w:marTop w:val="0"/>
      <w:marBottom w:val="0"/>
      <w:divBdr>
        <w:top w:val="none" w:sz="0" w:space="0" w:color="auto"/>
        <w:left w:val="none" w:sz="0" w:space="0" w:color="auto"/>
        <w:bottom w:val="none" w:sz="0" w:space="0" w:color="auto"/>
        <w:right w:val="none" w:sz="0" w:space="0" w:color="auto"/>
      </w:divBdr>
    </w:div>
    <w:div w:id="682247095">
      <w:bodyDiv w:val="1"/>
      <w:marLeft w:val="0"/>
      <w:marRight w:val="0"/>
      <w:marTop w:val="0"/>
      <w:marBottom w:val="0"/>
      <w:divBdr>
        <w:top w:val="none" w:sz="0" w:space="0" w:color="auto"/>
        <w:left w:val="none" w:sz="0" w:space="0" w:color="auto"/>
        <w:bottom w:val="none" w:sz="0" w:space="0" w:color="auto"/>
        <w:right w:val="none" w:sz="0" w:space="0" w:color="auto"/>
      </w:divBdr>
    </w:div>
    <w:div w:id="697317878">
      <w:bodyDiv w:val="1"/>
      <w:marLeft w:val="0"/>
      <w:marRight w:val="0"/>
      <w:marTop w:val="0"/>
      <w:marBottom w:val="0"/>
      <w:divBdr>
        <w:top w:val="none" w:sz="0" w:space="0" w:color="auto"/>
        <w:left w:val="none" w:sz="0" w:space="0" w:color="auto"/>
        <w:bottom w:val="none" w:sz="0" w:space="0" w:color="auto"/>
        <w:right w:val="none" w:sz="0" w:space="0" w:color="auto"/>
      </w:divBdr>
    </w:div>
    <w:div w:id="754087699">
      <w:bodyDiv w:val="1"/>
      <w:marLeft w:val="0"/>
      <w:marRight w:val="0"/>
      <w:marTop w:val="0"/>
      <w:marBottom w:val="0"/>
      <w:divBdr>
        <w:top w:val="none" w:sz="0" w:space="0" w:color="auto"/>
        <w:left w:val="none" w:sz="0" w:space="0" w:color="auto"/>
        <w:bottom w:val="none" w:sz="0" w:space="0" w:color="auto"/>
        <w:right w:val="none" w:sz="0" w:space="0" w:color="auto"/>
      </w:divBdr>
    </w:div>
    <w:div w:id="770900388">
      <w:bodyDiv w:val="1"/>
      <w:marLeft w:val="0"/>
      <w:marRight w:val="0"/>
      <w:marTop w:val="0"/>
      <w:marBottom w:val="0"/>
      <w:divBdr>
        <w:top w:val="none" w:sz="0" w:space="0" w:color="auto"/>
        <w:left w:val="none" w:sz="0" w:space="0" w:color="auto"/>
        <w:bottom w:val="none" w:sz="0" w:space="0" w:color="auto"/>
        <w:right w:val="none" w:sz="0" w:space="0" w:color="auto"/>
      </w:divBdr>
    </w:div>
    <w:div w:id="776563537">
      <w:bodyDiv w:val="1"/>
      <w:marLeft w:val="0"/>
      <w:marRight w:val="0"/>
      <w:marTop w:val="0"/>
      <w:marBottom w:val="0"/>
      <w:divBdr>
        <w:top w:val="none" w:sz="0" w:space="0" w:color="auto"/>
        <w:left w:val="none" w:sz="0" w:space="0" w:color="auto"/>
        <w:bottom w:val="none" w:sz="0" w:space="0" w:color="auto"/>
        <w:right w:val="none" w:sz="0" w:space="0" w:color="auto"/>
      </w:divBdr>
    </w:div>
    <w:div w:id="825240812">
      <w:bodyDiv w:val="1"/>
      <w:marLeft w:val="0"/>
      <w:marRight w:val="0"/>
      <w:marTop w:val="0"/>
      <w:marBottom w:val="0"/>
      <w:divBdr>
        <w:top w:val="none" w:sz="0" w:space="0" w:color="auto"/>
        <w:left w:val="none" w:sz="0" w:space="0" w:color="auto"/>
        <w:bottom w:val="none" w:sz="0" w:space="0" w:color="auto"/>
        <w:right w:val="none" w:sz="0" w:space="0" w:color="auto"/>
      </w:divBdr>
    </w:div>
    <w:div w:id="839929474">
      <w:bodyDiv w:val="1"/>
      <w:marLeft w:val="0"/>
      <w:marRight w:val="0"/>
      <w:marTop w:val="0"/>
      <w:marBottom w:val="0"/>
      <w:divBdr>
        <w:top w:val="none" w:sz="0" w:space="0" w:color="auto"/>
        <w:left w:val="none" w:sz="0" w:space="0" w:color="auto"/>
        <w:bottom w:val="none" w:sz="0" w:space="0" w:color="auto"/>
        <w:right w:val="none" w:sz="0" w:space="0" w:color="auto"/>
      </w:divBdr>
    </w:div>
    <w:div w:id="874971686">
      <w:bodyDiv w:val="1"/>
      <w:marLeft w:val="0"/>
      <w:marRight w:val="0"/>
      <w:marTop w:val="0"/>
      <w:marBottom w:val="0"/>
      <w:divBdr>
        <w:top w:val="none" w:sz="0" w:space="0" w:color="auto"/>
        <w:left w:val="none" w:sz="0" w:space="0" w:color="auto"/>
        <w:bottom w:val="none" w:sz="0" w:space="0" w:color="auto"/>
        <w:right w:val="none" w:sz="0" w:space="0" w:color="auto"/>
      </w:divBdr>
    </w:div>
    <w:div w:id="884373424">
      <w:bodyDiv w:val="1"/>
      <w:marLeft w:val="0"/>
      <w:marRight w:val="0"/>
      <w:marTop w:val="0"/>
      <w:marBottom w:val="0"/>
      <w:divBdr>
        <w:top w:val="none" w:sz="0" w:space="0" w:color="auto"/>
        <w:left w:val="none" w:sz="0" w:space="0" w:color="auto"/>
        <w:bottom w:val="none" w:sz="0" w:space="0" w:color="auto"/>
        <w:right w:val="none" w:sz="0" w:space="0" w:color="auto"/>
      </w:divBdr>
    </w:div>
    <w:div w:id="916860048">
      <w:bodyDiv w:val="1"/>
      <w:marLeft w:val="0"/>
      <w:marRight w:val="0"/>
      <w:marTop w:val="0"/>
      <w:marBottom w:val="0"/>
      <w:divBdr>
        <w:top w:val="none" w:sz="0" w:space="0" w:color="auto"/>
        <w:left w:val="none" w:sz="0" w:space="0" w:color="auto"/>
        <w:bottom w:val="none" w:sz="0" w:space="0" w:color="auto"/>
        <w:right w:val="none" w:sz="0" w:space="0" w:color="auto"/>
      </w:divBdr>
    </w:div>
    <w:div w:id="950168222">
      <w:bodyDiv w:val="1"/>
      <w:marLeft w:val="0"/>
      <w:marRight w:val="0"/>
      <w:marTop w:val="0"/>
      <w:marBottom w:val="0"/>
      <w:divBdr>
        <w:top w:val="none" w:sz="0" w:space="0" w:color="auto"/>
        <w:left w:val="none" w:sz="0" w:space="0" w:color="auto"/>
        <w:bottom w:val="none" w:sz="0" w:space="0" w:color="auto"/>
        <w:right w:val="none" w:sz="0" w:space="0" w:color="auto"/>
      </w:divBdr>
    </w:div>
    <w:div w:id="950429480">
      <w:bodyDiv w:val="1"/>
      <w:marLeft w:val="0"/>
      <w:marRight w:val="0"/>
      <w:marTop w:val="0"/>
      <w:marBottom w:val="0"/>
      <w:divBdr>
        <w:top w:val="none" w:sz="0" w:space="0" w:color="auto"/>
        <w:left w:val="none" w:sz="0" w:space="0" w:color="auto"/>
        <w:bottom w:val="none" w:sz="0" w:space="0" w:color="auto"/>
        <w:right w:val="none" w:sz="0" w:space="0" w:color="auto"/>
      </w:divBdr>
    </w:div>
    <w:div w:id="964849121">
      <w:bodyDiv w:val="1"/>
      <w:marLeft w:val="0"/>
      <w:marRight w:val="0"/>
      <w:marTop w:val="0"/>
      <w:marBottom w:val="0"/>
      <w:divBdr>
        <w:top w:val="none" w:sz="0" w:space="0" w:color="auto"/>
        <w:left w:val="none" w:sz="0" w:space="0" w:color="auto"/>
        <w:bottom w:val="none" w:sz="0" w:space="0" w:color="auto"/>
        <w:right w:val="none" w:sz="0" w:space="0" w:color="auto"/>
      </w:divBdr>
    </w:div>
    <w:div w:id="970481202">
      <w:bodyDiv w:val="1"/>
      <w:marLeft w:val="0"/>
      <w:marRight w:val="0"/>
      <w:marTop w:val="0"/>
      <w:marBottom w:val="0"/>
      <w:divBdr>
        <w:top w:val="none" w:sz="0" w:space="0" w:color="auto"/>
        <w:left w:val="none" w:sz="0" w:space="0" w:color="auto"/>
        <w:bottom w:val="none" w:sz="0" w:space="0" w:color="auto"/>
        <w:right w:val="none" w:sz="0" w:space="0" w:color="auto"/>
      </w:divBdr>
    </w:div>
    <w:div w:id="970525518">
      <w:bodyDiv w:val="1"/>
      <w:marLeft w:val="0"/>
      <w:marRight w:val="0"/>
      <w:marTop w:val="0"/>
      <w:marBottom w:val="0"/>
      <w:divBdr>
        <w:top w:val="none" w:sz="0" w:space="0" w:color="auto"/>
        <w:left w:val="none" w:sz="0" w:space="0" w:color="auto"/>
        <w:bottom w:val="none" w:sz="0" w:space="0" w:color="auto"/>
        <w:right w:val="none" w:sz="0" w:space="0" w:color="auto"/>
      </w:divBdr>
    </w:div>
    <w:div w:id="1022127891">
      <w:bodyDiv w:val="1"/>
      <w:marLeft w:val="0"/>
      <w:marRight w:val="0"/>
      <w:marTop w:val="0"/>
      <w:marBottom w:val="0"/>
      <w:divBdr>
        <w:top w:val="none" w:sz="0" w:space="0" w:color="auto"/>
        <w:left w:val="none" w:sz="0" w:space="0" w:color="auto"/>
        <w:bottom w:val="none" w:sz="0" w:space="0" w:color="auto"/>
        <w:right w:val="none" w:sz="0" w:space="0" w:color="auto"/>
      </w:divBdr>
    </w:div>
    <w:div w:id="1037900329">
      <w:bodyDiv w:val="1"/>
      <w:marLeft w:val="0"/>
      <w:marRight w:val="0"/>
      <w:marTop w:val="0"/>
      <w:marBottom w:val="0"/>
      <w:divBdr>
        <w:top w:val="none" w:sz="0" w:space="0" w:color="auto"/>
        <w:left w:val="none" w:sz="0" w:space="0" w:color="auto"/>
        <w:bottom w:val="none" w:sz="0" w:space="0" w:color="auto"/>
        <w:right w:val="none" w:sz="0" w:space="0" w:color="auto"/>
      </w:divBdr>
    </w:div>
    <w:div w:id="1069425639">
      <w:bodyDiv w:val="1"/>
      <w:marLeft w:val="0"/>
      <w:marRight w:val="0"/>
      <w:marTop w:val="0"/>
      <w:marBottom w:val="0"/>
      <w:divBdr>
        <w:top w:val="none" w:sz="0" w:space="0" w:color="auto"/>
        <w:left w:val="none" w:sz="0" w:space="0" w:color="auto"/>
        <w:bottom w:val="none" w:sz="0" w:space="0" w:color="auto"/>
        <w:right w:val="none" w:sz="0" w:space="0" w:color="auto"/>
      </w:divBdr>
    </w:div>
    <w:div w:id="1175266157">
      <w:bodyDiv w:val="1"/>
      <w:marLeft w:val="0"/>
      <w:marRight w:val="0"/>
      <w:marTop w:val="0"/>
      <w:marBottom w:val="0"/>
      <w:divBdr>
        <w:top w:val="none" w:sz="0" w:space="0" w:color="auto"/>
        <w:left w:val="none" w:sz="0" w:space="0" w:color="auto"/>
        <w:bottom w:val="none" w:sz="0" w:space="0" w:color="auto"/>
        <w:right w:val="none" w:sz="0" w:space="0" w:color="auto"/>
      </w:divBdr>
    </w:div>
    <w:div w:id="1192380248">
      <w:bodyDiv w:val="1"/>
      <w:marLeft w:val="0"/>
      <w:marRight w:val="0"/>
      <w:marTop w:val="0"/>
      <w:marBottom w:val="0"/>
      <w:divBdr>
        <w:top w:val="none" w:sz="0" w:space="0" w:color="auto"/>
        <w:left w:val="none" w:sz="0" w:space="0" w:color="auto"/>
        <w:bottom w:val="none" w:sz="0" w:space="0" w:color="auto"/>
        <w:right w:val="none" w:sz="0" w:space="0" w:color="auto"/>
      </w:divBdr>
    </w:div>
    <w:div w:id="1203637712">
      <w:bodyDiv w:val="1"/>
      <w:marLeft w:val="0"/>
      <w:marRight w:val="0"/>
      <w:marTop w:val="0"/>
      <w:marBottom w:val="0"/>
      <w:divBdr>
        <w:top w:val="none" w:sz="0" w:space="0" w:color="auto"/>
        <w:left w:val="none" w:sz="0" w:space="0" w:color="auto"/>
        <w:bottom w:val="none" w:sz="0" w:space="0" w:color="auto"/>
        <w:right w:val="none" w:sz="0" w:space="0" w:color="auto"/>
      </w:divBdr>
    </w:div>
    <w:div w:id="1212885450">
      <w:bodyDiv w:val="1"/>
      <w:marLeft w:val="0"/>
      <w:marRight w:val="0"/>
      <w:marTop w:val="0"/>
      <w:marBottom w:val="0"/>
      <w:divBdr>
        <w:top w:val="none" w:sz="0" w:space="0" w:color="auto"/>
        <w:left w:val="none" w:sz="0" w:space="0" w:color="auto"/>
        <w:bottom w:val="none" w:sz="0" w:space="0" w:color="auto"/>
        <w:right w:val="none" w:sz="0" w:space="0" w:color="auto"/>
      </w:divBdr>
    </w:div>
    <w:div w:id="1219781032">
      <w:bodyDiv w:val="1"/>
      <w:marLeft w:val="0"/>
      <w:marRight w:val="0"/>
      <w:marTop w:val="0"/>
      <w:marBottom w:val="0"/>
      <w:divBdr>
        <w:top w:val="none" w:sz="0" w:space="0" w:color="auto"/>
        <w:left w:val="none" w:sz="0" w:space="0" w:color="auto"/>
        <w:bottom w:val="none" w:sz="0" w:space="0" w:color="auto"/>
        <w:right w:val="none" w:sz="0" w:space="0" w:color="auto"/>
      </w:divBdr>
    </w:div>
    <w:div w:id="1304458517">
      <w:bodyDiv w:val="1"/>
      <w:marLeft w:val="0"/>
      <w:marRight w:val="0"/>
      <w:marTop w:val="0"/>
      <w:marBottom w:val="0"/>
      <w:divBdr>
        <w:top w:val="none" w:sz="0" w:space="0" w:color="auto"/>
        <w:left w:val="none" w:sz="0" w:space="0" w:color="auto"/>
        <w:bottom w:val="none" w:sz="0" w:space="0" w:color="auto"/>
        <w:right w:val="none" w:sz="0" w:space="0" w:color="auto"/>
      </w:divBdr>
    </w:div>
    <w:div w:id="1316715869">
      <w:bodyDiv w:val="1"/>
      <w:marLeft w:val="0"/>
      <w:marRight w:val="0"/>
      <w:marTop w:val="0"/>
      <w:marBottom w:val="0"/>
      <w:divBdr>
        <w:top w:val="none" w:sz="0" w:space="0" w:color="auto"/>
        <w:left w:val="none" w:sz="0" w:space="0" w:color="auto"/>
        <w:bottom w:val="none" w:sz="0" w:space="0" w:color="auto"/>
        <w:right w:val="none" w:sz="0" w:space="0" w:color="auto"/>
      </w:divBdr>
    </w:div>
    <w:div w:id="1336691799">
      <w:bodyDiv w:val="1"/>
      <w:marLeft w:val="0"/>
      <w:marRight w:val="0"/>
      <w:marTop w:val="0"/>
      <w:marBottom w:val="0"/>
      <w:divBdr>
        <w:top w:val="none" w:sz="0" w:space="0" w:color="auto"/>
        <w:left w:val="none" w:sz="0" w:space="0" w:color="auto"/>
        <w:bottom w:val="none" w:sz="0" w:space="0" w:color="auto"/>
        <w:right w:val="none" w:sz="0" w:space="0" w:color="auto"/>
      </w:divBdr>
    </w:div>
    <w:div w:id="1343433436">
      <w:bodyDiv w:val="1"/>
      <w:marLeft w:val="0"/>
      <w:marRight w:val="0"/>
      <w:marTop w:val="0"/>
      <w:marBottom w:val="0"/>
      <w:divBdr>
        <w:top w:val="none" w:sz="0" w:space="0" w:color="auto"/>
        <w:left w:val="none" w:sz="0" w:space="0" w:color="auto"/>
        <w:bottom w:val="none" w:sz="0" w:space="0" w:color="auto"/>
        <w:right w:val="none" w:sz="0" w:space="0" w:color="auto"/>
      </w:divBdr>
    </w:div>
    <w:div w:id="1387029210">
      <w:bodyDiv w:val="1"/>
      <w:marLeft w:val="0"/>
      <w:marRight w:val="0"/>
      <w:marTop w:val="0"/>
      <w:marBottom w:val="0"/>
      <w:divBdr>
        <w:top w:val="none" w:sz="0" w:space="0" w:color="auto"/>
        <w:left w:val="none" w:sz="0" w:space="0" w:color="auto"/>
        <w:bottom w:val="none" w:sz="0" w:space="0" w:color="auto"/>
        <w:right w:val="none" w:sz="0" w:space="0" w:color="auto"/>
      </w:divBdr>
    </w:div>
    <w:div w:id="1415124885">
      <w:bodyDiv w:val="1"/>
      <w:marLeft w:val="0"/>
      <w:marRight w:val="0"/>
      <w:marTop w:val="0"/>
      <w:marBottom w:val="0"/>
      <w:divBdr>
        <w:top w:val="none" w:sz="0" w:space="0" w:color="auto"/>
        <w:left w:val="none" w:sz="0" w:space="0" w:color="auto"/>
        <w:bottom w:val="none" w:sz="0" w:space="0" w:color="auto"/>
        <w:right w:val="none" w:sz="0" w:space="0" w:color="auto"/>
      </w:divBdr>
    </w:div>
    <w:div w:id="1443112797">
      <w:bodyDiv w:val="1"/>
      <w:marLeft w:val="0"/>
      <w:marRight w:val="0"/>
      <w:marTop w:val="0"/>
      <w:marBottom w:val="0"/>
      <w:divBdr>
        <w:top w:val="none" w:sz="0" w:space="0" w:color="auto"/>
        <w:left w:val="none" w:sz="0" w:space="0" w:color="auto"/>
        <w:bottom w:val="none" w:sz="0" w:space="0" w:color="auto"/>
        <w:right w:val="none" w:sz="0" w:space="0" w:color="auto"/>
      </w:divBdr>
    </w:div>
    <w:div w:id="1485005658">
      <w:bodyDiv w:val="1"/>
      <w:marLeft w:val="0"/>
      <w:marRight w:val="0"/>
      <w:marTop w:val="0"/>
      <w:marBottom w:val="0"/>
      <w:divBdr>
        <w:top w:val="none" w:sz="0" w:space="0" w:color="auto"/>
        <w:left w:val="none" w:sz="0" w:space="0" w:color="auto"/>
        <w:bottom w:val="none" w:sz="0" w:space="0" w:color="auto"/>
        <w:right w:val="none" w:sz="0" w:space="0" w:color="auto"/>
      </w:divBdr>
    </w:div>
    <w:div w:id="1486318655">
      <w:bodyDiv w:val="1"/>
      <w:marLeft w:val="0"/>
      <w:marRight w:val="0"/>
      <w:marTop w:val="0"/>
      <w:marBottom w:val="0"/>
      <w:divBdr>
        <w:top w:val="none" w:sz="0" w:space="0" w:color="auto"/>
        <w:left w:val="none" w:sz="0" w:space="0" w:color="auto"/>
        <w:bottom w:val="none" w:sz="0" w:space="0" w:color="auto"/>
        <w:right w:val="none" w:sz="0" w:space="0" w:color="auto"/>
      </w:divBdr>
    </w:div>
    <w:div w:id="1487282359">
      <w:bodyDiv w:val="1"/>
      <w:marLeft w:val="0"/>
      <w:marRight w:val="0"/>
      <w:marTop w:val="0"/>
      <w:marBottom w:val="0"/>
      <w:divBdr>
        <w:top w:val="none" w:sz="0" w:space="0" w:color="auto"/>
        <w:left w:val="none" w:sz="0" w:space="0" w:color="auto"/>
        <w:bottom w:val="none" w:sz="0" w:space="0" w:color="auto"/>
        <w:right w:val="none" w:sz="0" w:space="0" w:color="auto"/>
      </w:divBdr>
    </w:div>
    <w:div w:id="1527713880">
      <w:bodyDiv w:val="1"/>
      <w:marLeft w:val="0"/>
      <w:marRight w:val="0"/>
      <w:marTop w:val="0"/>
      <w:marBottom w:val="0"/>
      <w:divBdr>
        <w:top w:val="none" w:sz="0" w:space="0" w:color="auto"/>
        <w:left w:val="none" w:sz="0" w:space="0" w:color="auto"/>
        <w:bottom w:val="none" w:sz="0" w:space="0" w:color="auto"/>
        <w:right w:val="none" w:sz="0" w:space="0" w:color="auto"/>
      </w:divBdr>
    </w:div>
    <w:div w:id="1539925906">
      <w:bodyDiv w:val="1"/>
      <w:marLeft w:val="0"/>
      <w:marRight w:val="0"/>
      <w:marTop w:val="0"/>
      <w:marBottom w:val="0"/>
      <w:divBdr>
        <w:top w:val="none" w:sz="0" w:space="0" w:color="auto"/>
        <w:left w:val="none" w:sz="0" w:space="0" w:color="auto"/>
        <w:bottom w:val="none" w:sz="0" w:space="0" w:color="auto"/>
        <w:right w:val="none" w:sz="0" w:space="0" w:color="auto"/>
      </w:divBdr>
    </w:div>
    <w:div w:id="1631596255">
      <w:bodyDiv w:val="1"/>
      <w:marLeft w:val="0"/>
      <w:marRight w:val="0"/>
      <w:marTop w:val="0"/>
      <w:marBottom w:val="0"/>
      <w:divBdr>
        <w:top w:val="none" w:sz="0" w:space="0" w:color="auto"/>
        <w:left w:val="none" w:sz="0" w:space="0" w:color="auto"/>
        <w:bottom w:val="none" w:sz="0" w:space="0" w:color="auto"/>
        <w:right w:val="none" w:sz="0" w:space="0" w:color="auto"/>
      </w:divBdr>
    </w:div>
    <w:div w:id="1636331096">
      <w:bodyDiv w:val="1"/>
      <w:marLeft w:val="0"/>
      <w:marRight w:val="0"/>
      <w:marTop w:val="0"/>
      <w:marBottom w:val="0"/>
      <w:divBdr>
        <w:top w:val="none" w:sz="0" w:space="0" w:color="auto"/>
        <w:left w:val="none" w:sz="0" w:space="0" w:color="auto"/>
        <w:bottom w:val="none" w:sz="0" w:space="0" w:color="auto"/>
        <w:right w:val="none" w:sz="0" w:space="0" w:color="auto"/>
      </w:divBdr>
    </w:div>
    <w:div w:id="1710105925">
      <w:bodyDiv w:val="1"/>
      <w:marLeft w:val="0"/>
      <w:marRight w:val="0"/>
      <w:marTop w:val="0"/>
      <w:marBottom w:val="0"/>
      <w:divBdr>
        <w:top w:val="none" w:sz="0" w:space="0" w:color="auto"/>
        <w:left w:val="none" w:sz="0" w:space="0" w:color="auto"/>
        <w:bottom w:val="none" w:sz="0" w:space="0" w:color="auto"/>
        <w:right w:val="none" w:sz="0" w:space="0" w:color="auto"/>
      </w:divBdr>
    </w:div>
    <w:div w:id="1726875724">
      <w:bodyDiv w:val="1"/>
      <w:marLeft w:val="0"/>
      <w:marRight w:val="0"/>
      <w:marTop w:val="0"/>
      <w:marBottom w:val="0"/>
      <w:divBdr>
        <w:top w:val="none" w:sz="0" w:space="0" w:color="auto"/>
        <w:left w:val="none" w:sz="0" w:space="0" w:color="auto"/>
        <w:bottom w:val="none" w:sz="0" w:space="0" w:color="auto"/>
        <w:right w:val="none" w:sz="0" w:space="0" w:color="auto"/>
      </w:divBdr>
    </w:div>
    <w:div w:id="1737703647">
      <w:bodyDiv w:val="1"/>
      <w:marLeft w:val="0"/>
      <w:marRight w:val="0"/>
      <w:marTop w:val="0"/>
      <w:marBottom w:val="0"/>
      <w:divBdr>
        <w:top w:val="none" w:sz="0" w:space="0" w:color="auto"/>
        <w:left w:val="none" w:sz="0" w:space="0" w:color="auto"/>
        <w:bottom w:val="none" w:sz="0" w:space="0" w:color="auto"/>
        <w:right w:val="none" w:sz="0" w:space="0" w:color="auto"/>
      </w:divBdr>
    </w:div>
    <w:div w:id="1809860307">
      <w:bodyDiv w:val="1"/>
      <w:marLeft w:val="0"/>
      <w:marRight w:val="0"/>
      <w:marTop w:val="0"/>
      <w:marBottom w:val="0"/>
      <w:divBdr>
        <w:top w:val="none" w:sz="0" w:space="0" w:color="auto"/>
        <w:left w:val="none" w:sz="0" w:space="0" w:color="auto"/>
        <w:bottom w:val="none" w:sz="0" w:space="0" w:color="auto"/>
        <w:right w:val="none" w:sz="0" w:space="0" w:color="auto"/>
      </w:divBdr>
    </w:div>
    <w:div w:id="1811440945">
      <w:bodyDiv w:val="1"/>
      <w:marLeft w:val="0"/>
      <w:marRight w:val="0"/>
      <w:marTop w:val="0"/>
      <w:marBottom w:val="0"/>
      <w:divBdr>
        <w:top w:val="none" w:sz="0" w:space="0" w:color="auto"/>
        <w:left w:val="none" w:sz="0" w:space="0" w:color="auto"/>
        <w:bottom w:val="none" w:sz="0" w:space="0" w:color="auto"/>
        <w:right w:val="none" w:sz="0" w:space="0" w:color="auto"/>
      </w:divBdr>
    </w:div>
    <w:div w:id="1813935802">
      <w:bodyDiv w:val="1"/>
      <w:marLeft w:val="0"/>
      <w:marRight w:val="0"/>
      <w:marTop w:val="0"/>
      <w:marBottom w:val="0"/>
      <w:divBdr>
        <w:top w:val="none" w:sz="0" w:space="0" w:color="auto"/>
        <w:left w:val="none" w:sz="0" w:space="0" w:color="auto"/>
        <w:bottom w:val="none" w:sz="0" w:space="0" w:color="auto"/>
        <w:right w:val="none" w:sz="0" w:space="0" w:color="auto"/>
      </w:divBdr>
    </w:div>
    <w:div w:id="1899435337">
      <w:bodyDiv w:val="1"/>
      <w:marLeft w:val="0"/>
      <w:marRight w:val="0"/>
      <w:marTop w:val="0"/>
      <w:marBottom w:val="0"/>
      <w:divBdr>
        <w:top w:val="none" w:sz="0" w:space="0" w:color="auto"/>
        <w:left w:val="none" w:sz="0" w:space="0" w:color="auto"/>
        <w:bottom w:val="none" w:sz="0" w:space="0" w:color="auto"/>
        <w:right w:val="none" w:sz="0" w:space="0" w:color="auto"/>
      </w:divBdr>
    </w:div>
    <w:div w:id="1902134744">
      <w:bodyDiv w:val="1"/>
      <w:marLeft w:val="0"/>
      <w:marRight w:val="0"/>
      <w:marTop w:val="0"/>
      <w:marBottom w:val="0"/>
      <w:divBdr>
        <w:top w:val="none" w:sz="0" w:space="0" w:color="auto"/>
        <w:left w:val="none" w:sz="0" w:space="0" w:color="auto"/>
        <w:bottom w:val="none" w:sz="0" w:space="0" w:color="auto"/>
        <w:right w:val="none" w:sz="0" w:space="0" w:color="auto"/>
      </w:divBdr>
    </w:div>
    <w:div w:id="1962108340">
      <w:bodyDiv w:val="1"/>
      <w:marLeft w:val="0"/>
      <w:marRight w:val="0"/>
      <w:marTop w:val="0"/>
      <w:marBottom w:val="0"/>
      <w:divBdr>
        <w:top w:val="none" w:sz="0" w:space="0" w:color="auto"/>
        <w:left w:val="none" w:sz="0" w:space="0" w:color="auto"/>
        <w:bottom w:val="none" w:sz="0" w:space="0" w:color="auto"/>
        <w:right w:val="none" w:sz="0" w:space="0" w:color="auto"/>
      </w:divBdr>
    </w:div>
    <w:div w:id="1968509726">
      <w:bodyDiv w:val="1"/>
      <w:marLeft w:val="0"/>
      <w:marRight w:val="0"/>
      <w:marTop w:val="0"/>
      <w:marBottom w:val="0"/>
      <w:divBdr>
        <w:top w:val="none" w:sz="0" w:space="0" w:color="auto"/>
        <w:left w:val="none" w:sz="0" w:space="0" w:color="auto"/>
        <w:bottom w:val="none" w:sz="0" w:space="0" w:color="auto"/>
        <w:right w:val="none" w:sz="0" w:space="0" w:color="auto"/>
      </w:divBdr>
    </w:div>
    <w:div w:id="1971937549">
      <w:bodyDiv w:val="1"/>
      <w:marLeft w:val="0"/>
      <w:marRight w:val="0"/>
      <w:marTop w:val="0"/>
      <w:marBottom w:val="0"/>
      <w:divBdr>
        <w:top w:val="none" w:sz="0" w:space="0" w:color="auto"/>
        <w:left w:val="none" w:sz="0" w:space="0" w:color="auto"/>
        <w:bottom w:val="none" w:sz="0" w:space="0" w:color="auto"/>
        <w:right w:val="none" w:sz="0" w:space="0" w:color="auto"/>
      </w:divBdr>
    </w:div>
    <w:div w:id="1973440122">
      <w:bodyDiv w:val="1"/>
      <w:marLeft w:val="0"/>
      <w:marRight w:val="0"/>
      <w:marTop w:val="0"/>
      <w:marBottom w:val="0"/>
      <w:divBdr>
        <w:top w:val="none" w:sz="0" w:space="0" w:color="auto"/>
        <w:left w:val="none" w:sz="0" w:space="0" w:color="auto"/>
        <w:bottom w:val="none" w:sz="0" w:space="0" w:color="auto"/>
        <w:right w:val="none" w:sz="0" w:space="0" w:color="auto"/>
      </w:divBdr>
    </w:div>
    <w:div w:id="1994867584">
      <w:bodyDiv w:val="1"/>
      <w:marLeft w:val="0"/>
      <w:marRight w:val="0"/>
      <w:marTop w:val="0"/>
      <w:marBottom w:val="0"/>
      <w:divBdr>
        <w:top w:val="none" w:sz="0" w:space="0" w:color="auto"/>
        <w:left w:val="none" w:sz="0" w:space="0" w:color="auto"/>
        <w:bottom w:val="none" w:sz="0" w:space="0" w:color="auto"/>
        <w:right w:val="none" w:sz="0" w:space="0" w:color="auto"/>
      </w:divBdr>
    </w:div>
    <w:div w:id="1998266122">
      <w:bodyDiv w:val="1"/>
      <w:marLeft w:val="0"/>
      <w:marRight w:val="0"/>
      <w:marTop w:val="0"/>
      <w:marBottom w:val="0"/>
      <w:divBdr>
        <w:top w:val="none" w:sz="0" w:space="0" w:color="auto"/>
        <w:left w:val="none" w:sz="0" w:space="0" w:color="auto"/>
        <w:bottom w:val="none" w:sz="0" w:space="0" w:color="auto"/>
        <w:right w:val="none" w:sz="0" w:space="0" w:color="auto"/>
      </w:divBdr>
    </w:div>
    <w:div w:id="2053842008">
      <w:bodyDiv w:val="1"/>
      <w:marLeft w:val="0"/>
      <w:marRight w:val="0"/>
      <w:marTop w:val="0"/>
      <w:marBottom w:val="0"/>
      <w:divBdr>
        <w:top w:val="none" w:sz="0" w:space="0" w:color="auto"/>
        <w:left w:val="none" w:sz="0" w:space="0" w:color="auto"/>
        <w:bottom w:val="none" w:sz="0" w:space="0" w:color="auto"/>
        <w:right w:val="none" w:sz="0" w:space="0" w:color="auto"/>
      </w:divBdr>
    </w:div>
    <w:div w:id="2071153292">
      <w:bodyDiv w:val="1"/>
      <w:marLeft w:val="0"/>
      <w:marRight w:val="0"/>
      <w:marTop w:val="0"/>
      <w:marBottom w:val="0"/>
      <w:divBdr>
        <w:top w:val="none" w:sz="0" w:space="0" w:color="auto"/>
        <w:left w:val="none" w:sz="0" w:space="0" w:color="auto"/>
        <w:bottom w:val="none" w:sz="0" w:space="0" w:color="auto"/>
        <w:right w:val="none" w:sz="0" w:space="0" w:color="auto"/>
      </w:divBdr>
    </w:div>
    <w:div w:id="2100786755">
      <w:bodyDiv w:val="1"/>
      <w:marLeft w:val="0"/>
      <w:marRight w:val="0"/>
      <w:marTop w:val="0"/>
      <w:marBottom w:val="0"/>
      <w:divBdr>
        <w:top w:val="none" w:sz="0" w:space="0" w:color="auto"/>
        <w:left w:val="none" w:sz="0" w:space="0" w:color="auto"/>
        <w:bottom w:val="none" w:sz="0" w:space="0" w:color="auto"/>
        <w:right w:val="none" w:sz="0" w:space="0" w:color="auto"/>
      </w:divBdr>
    </w:div>
    <w:div w:id="2136756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settings" Target="setting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2023-05-30T00:00:00</PublishDate>
  <Abstract/>
  <CompanyAddress>Student No.: 2134221</CompanyAddress>
  <CompanyPhone/>
  <CompanyFax/>
  <CompanyEmail/>
</CoverPageProperties>
</file>

<file path=customXml/item2.xml><?xml version="1.0" encoding="utf-8"?>
<?mso-contentType ?>
<p:Policy xmlns:p="office.server.policy" id="" local="true">
  <p:Name>Document</p:Name>
  <p:Description/>
  <p:Statement/>
  <p:PolicyItems>
    <p:PolicyItem featureId="Microsoft.Office.RecordsManagement.PolicyFeatures.PolicyLabel" staticId="0x010100868A5ED9F84FF9468FA1A642CC0451E8|801092262" UniqueId="8dc2fde0-fced-4f0a-b551-3681084eb55a">
      <p:Name>Labels</p:Name>
      <p:Description>Generates labels that can be inserted in Microsoft Office documents to ensure that document properties or other important information are included when documents are printed. Labels can also be used to search for documents.</p:Description>
      <p:CustomData>
        <label>
          <segment type="metadata">_UIVersionString</segment>
        </label>
      </p:CustomData>
    </p:PolicyItem>
  </p:PolicyItems>
</p:Policy>
</file>

<file path=customXml/item3.xml><?xml version="1.0" encoding="utf-8"?>
<ct:contentTypeSchema xmlns:ct="http://schemas.microsoft.com/office/2006/metadata/contentType" xmlns:ma="http://schemas.microsoft.com/office/2006/metadata/properties/metaAttributes" ct:_="" ma:_="" ma:contentTypeName="Document" ma:contentTypeID="0x010100868A5ED9F84FF9468FA1A642CC0451E8" ma:contentTypeVersion="23" ma:contentTypeDescription="Create a new document." ma:contentTypeScope="" ma:versionID="30ac5775fddd79eb7873b8d22ef61623">
  <xsd:schema xmlns:xsd="http://www.w3.org/2001/XMLSchema" xmlns:xs="http://www.w3.org/2001/XMLSchema" xmlns:p="http://schemas.microsoft.com/office/2006/metadata/properties" xmlns:ns1="http://schemas.microsoft.com/sharepoint/v3" xmlns:ns2="caba52a4-3d65-41f1-b107-d2824686600d" xmlns:ns3="da98ddd1-c7ff-49a6-8428-ea7843518513" targetNamespace="http://schemas.microsoft.com/office/2006/metadata/properties" ma:root="true" ma:fieldsID="bd972ab5ba1439d607cbeb1129565cd2" ns1:_="" ns2:_="" ns3:_="">
    <xsd:import namespace="http://schemas.microsoft.com/sharepoint/v3"/>
    <xsd:import namespace="caba52a4-3d65-41f1-b107-d2824686600d"/>
    <xsd:import namespace="da98ddd1-c7ff-49a6-8428-ea7843518513"/>
    <xsd:element name="properties">
      <xsd:complexType>
        <xsd:sequence>
          <xsd:element name="documentManagement">
            <xsd:complexType>
              <xsd:all>
                <xsd:element ref="ns2:RM_x0020_Department" minOccurs="0"/>
                <xsd:element ref="ns2:Form_x0020_or_x0020_Guidance" minOccurs="0"/>
                <xsd:element ref="ns2:Next_x0020_Review_x0020_Date" minOccurs="0"/>
                <xsd:element ref="ns2:Notes0" minOccurs="0"/>
                <xsd:element ref="ns1:_dlc_Exempt" minOccurs="0"/>
                <xsd:element ref="ns2:DLCPolicyLabelValue" minOccurs="0"/>
                <xsd:element ref="ns2:DLCPolicyLabelClientValue" minOccurs="0"/>
                <xsd:element ref="ns2:DLCPolicyLabelLock" minOccurs="0"/>
                <xsd:element ref="ns3:_dlc_DocId" minOccurs="0"/>
                <xsd:element ref="ns3:_dlc_DocIdUrl" minOccurs="0"/>
                <xsd:element ref="ns3: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dlc_Exempt" ma:index="9" nillable="true" ma:displayName="Exempt from Policy" ma:hidden="true" ma:internalName="_dlc_Exempt"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aba52a4-3d65-41f1-b107-d2824686600d" elementFormDefault="qualified">
    <xsd:import namespace="http://schemas.microsoft.com/office/2006/documentManagement/types"/>
    <xsd:import namespace="http://schemas.microsoft.com/office/infopath/2007/PartnerControls"/>
    <xsd:element name="RM_x0020_Department" ma:index="2" nillable="true" ma:displayName="RM Department" ma:internalName="RM_x0020_Department" ma:requiredMultiChoice="true">
      <xsd:complexType>
        <xsd:complexContent>
          <xsd:extension base="dms:MultiChoice">
            <xsd:sequence>
              <xsd:element name="Value" maxOccurs="unbounded" minOccurs="0" nillable="true">
                <xsd:simpleType>
                  <xsd:restriction base="dms:Choice">
                    <xsd:enumeration value="IT"/>
                    <xsd:enumeration value="HR"/>
                    <xsd:enumeration value="Legal &amp; Compliance"/>
                    <xsd:enumeration value="Miscellaneous"/>
                    <xsd:enumeration value="Purchasing"/>
                    <xsd:enumeration value="Security"/>
                  </xsd:restriction>
                </xsd:simpleType>
              </xsd:element>
            </xsd:sequence>
          </xsd:extension>
        </xsd:complexContent>
      </xsd:complexType>
    </xsd:element>
    <xsd:element name="Form_x0020_or_x0020_Guidance" ma:index="3" nillable="true" ma:displayName="Doc Type" ma:default="Template" ma:internalName="Form_x0020_or_x0020_Guidance" ma:readOnly="false" ma:requiredMultiChoice="true">
      <xsd:complexType>
        <xsd:complexContent>
          <xsd:extension base="dms:MultiChoice">
            <xsd:sequence>
              <xsd:element name="Value" maxOccurs="unbounded" minOccurs="0" nillable="true">
                <xsd:simpleType>
                  <xsd:restriction base="dms:Choice">
                    <xsd:enumeration value="Form"/>
                    <xsd:enumeration value="Guidance"/>
                    <xsd:enumeration value="Operational Instruction"/>
                    <xsd:enumeration value="Template"/>
                  </xsd:restriction>
                </xsd:simpleType>
              </xsd:element>
            </xsd:sequence>
          </xsd:extension>
        </xsd:complexContent>
      </xsd:complexType>
    </xsd:element>
    <xsd:element name="Next_x0020_Review_x0020_Date" ma:index="4" nillable="true" ma:displayName="Next Review Date" ma:description="Date document needs  to be reviewed" ma:format="DateOnly" ma:internalName="Next_x0020_Review_x0020_Date">
      <xsd:simpleType>
        <xsd:restriction base="dms:DateTime"/>
      </xsd:simpleType>
    </xsd:element>
    <xsd:element name="Notes0" ma:index="8" nillable="true" ma:displayName="Notes" ma:internalName="Notes0">
      <xsd:simpleType>
        <xsd:restriction base="dms:Note">
          <xsd:maxLength value="255"/>
        </xsd:restriction>
      </xsd:simpleType>
    </xsd:element>
    <xsd:element name="DLCPolicyLabelValue" ma:index="10" nillable="true" ma:displayName="Label" ma:description="Stores the current value of the label." ma:internalName="DLCPolicyLabelValue" ma:readOnly="true">
      <xsd:simpleType>
        <xsd:restriction base="dms:Note">
          <xsd:maxLength value="255"/>
        </xsd:restriction>
      </xsd:simpleType>
    </xsd:element>
    <xsd:element name="DLCPolicyLabelClientValue" ma:index="11" nillable="true" ma:displayName="Client Label Value" ma:description="Stores the last label value computed on the client." ma:hidden="true" ma:internalName="DLCPolicyLabelClientValue" ma:readOnly="false">
      <xsd:simpleType>
        <xsd:restriction base="dms:Note"/>
      </xsd:simpleType>
    </xsd:element>
    <xsd:element name="DLCPolicyLabelLock" ma:index="12" nillable="true" ma:displayName="Label Locked" ma:description="Indicates whether the label should be updated when item properties are modified." ma:hidden="true" ma:internalName="DLCPolicyLabelLock"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98ddd1-c7ff-49a6-8428-ea7843518513" elementFormDefault="qualified">
    <xsd:import namespace="http://schemas.microsoft.com/office/2006/documentManagement/types"/>
    <xsd:import namespace="http://schemas.microsoft.com/office/infopath/2007/PartnerControls"/>
    <xsd:element name="_dlc_DocId" ma:index="17" nillable="true" ma:displayName="Document ID Value" ma:description="The value of the document ID assigned to this item." ma:internalName="_dlc_DocId" ma:readOnly="true">
      <xsd:simpleType>
        <xsd:restriction base="dms:Text"/>
      </xsd:simpleType>
    </xsd:element>
    <xsd:element name="_dlc_DocIdUrl" ma:index="18"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9"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3" ma:displayName="Content Type"/>
        <xsd:element ref="dc:title" minOccurs="0" maxOccurs="1" ma:index="1" ma:displayName="Title"/>
        <xsd:element ref="dc:subject" minOccurs="0" maxOccurs="1"/>
        <xsd:element ref="dc:description" minOccurs="0" maxOccurs="1"/>
        <xsd:element name="keywords" minOccurs="0" maxOccurs="1" type="xsd:string" ma:index="5"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Atr22</b:Tag>
    <b:SourceType>Book</b:SourceType>
    <b:Guid>{C0DEBFD4-053B-4C64-8DAB-9110AB419EAB}</b:Guid>
    <b:Title>Accounting and finance for non-specialists</b:Title>
    <b:Year>2022</b:Year>
    <b:City>Harlow</b:City>
    <b:Publisher>Pearson Education</b:Publisher>
    <b:Edition>12</b:Edition>
    <b:Author>
      <b:Author>
        <b:NameList>
          <b:Person>
            <b:Last>Atrill</b:Last>
            <b:First>Peter</b:First>
          </b:Person>
          <b:Person>
            <b:Last>McLaney</b:Last>
            <b:First>Edward</b:First>
          </b:Person>
        </b:NameList>
      </b:Author>
    </b:Author>
    <b:RefOrder>1</b:RefOrder>
  </b:Source>
  <b:Source>
    <b:Tag>Bri14</b:Tag>
    <b:SourceType>Book</b:SourceType>
    <b:Guid>{A6277DA3-6CE0-4F33-860A-DA38466ACC8C}</b:Guid>
    <b:Title>Financial Management</b:Title>
    <b:Year>2014</b:Year>
    <b:Publisher>Cengage Learning</b:Publisher>
    <b:Edition>14</b:Edition>
    <b:Author>
      <b:Author>
        <b:NameList>
          <b:Person>
            <b:Last>Brigham</b:Last>
            <b:Middle>F</b:Middle>
            <b:First>Eugene</b:First>
          </b:Person>
          <b:Person>
            <b:Last>Ehrhardt</b:Last>
            <b:Middle>C</b:Middle>
            <b:First>Michael</b:First>
          </b:Person>
        </b:NameList>
      </b:Author>
    </b:Author>
    <b:RefOrder>7</b:RefOrder>
  </b:Source>
  <b:Source>
    <b:Tag>Fri11</b:Tag>
    <b:SourceType>Book</b:SourceType>
    <b:Guid>{25D1CAD8-811D-4193-B624-EB6735269B30}</b:Guid>
    <b:Title>Financial Statement Analysis: A Practitioner's Guide</b:Title>
    <b:Year>2011</b:Year>
    <b:City>Hoboken</b:City>
    <b:Publisher>Wiley-Blackwell</b:Publisher>
    <b:Edition>4th</b:Edition>
    <b:Author>
      <b:Author>
        <b:NameList>
          <b:Person>
            <b:Last>Fridson</b:Last>
            <b:Middle>S</b:Middle>
            <b:First>Martin</b:First>
          </b:Person>
          <b:Person>
            <b:Last>Alvarez</b:Last>
            <b:First>Fernando</b:First>
          </b:Person>
        </b:NameList>
      </b:Author>
    </b:Author>
    <b:RefOrder>8</b:RefOrder>
  </b:Source>
  <b:Source>
    <b:Tag>Cha98</b:Tag>
    <b:SourceType>JournalArticle</b:SourceType>
    <b:Guid>{1A44ECF8-FD2D-46BA-A976-665042BC6E42}</b:Guid>
    <b:Title>Project Risk Management: Processes, Techniques and Insights</b:Title>
    <b:Year>1998</b:Year>
    <b:JournalName>The Journal of the Operational Research Society</b:JournalName>
    <b:Pages>769-770</b:Pages>
    <b:Volume>49</b:Volume>
    <b:Issue>7</b:Issue>
    <b:Author>
      <b:Author>
        <b:NameList>
          <b:Person>
            <b:Last>Chapman</b:Last>
            <b:First>C</b:First>
          </b:Person>
          <b:Person>
            <b:Last>Ward</b:Last>
            <b:First>S</b:First>
          </b:Person>
        </b:NameList>
      </b:Author>
    </b:Author>
    <b:RefOrder>5</b:RefOrder>
  </b:Source>
  <b:Source>
    <b:Tag>Ste</b:Tag>
    <b:SourceType>Book</b:SourceType>
    <b:Guid>{B785AC0F-958C-4173-ADD4-1072DA82F499}</b:Guid>
    <b:Title>Financial Risk Management: A Practitioner's Guide to Managing Market and Credit Risk</b:Title>
    <b:Author>
      <b:Author>
        <b:NameList>
          <b:Person>
            <b:Last>Allen</b:Last>
            <b:First>Steve</b:First>
            <b:Middle>L</b:Middle>
          </b:Person>
        </b:NameList>
      </b:Author>
    </b:Author>
    <b:Year>2003</b:Year>
    <b:Publisher>John Wiley &amp; Sons</b:Publisher>
    <b:Edition>2nd</b:Edition>
    <b:RefOrder>4</b:RefOrder>
  </b:Source>
  <b:Source>
    <b:Tag>Ste13</b:Tag>
    <b:SourceType>Book</b:SourceType>
    <b:Guid>{4D12DF46-E2F2-4E29-9A7B-92AC2B53C04D}</b:Guid>
    <b:Author>
      <b:Author>
        <b:NameList>
          <b:Person>
            <b:Last>Gatti</b:Last>
            <b:First>Stefano</b:First>
          </b:Person>
        </b:NameList>
      </b:Author>
    </b:Author>
    <b:Title>Project Finance in Theory and Practice: designing, structuring, and financing private and public projects</b:Title>
    <b:Year>2013</b:Year>
    <b:City>Waltham, MA</b:City>
    <b:Publisher>Academic</b:Publisher>
    <b:Edition>2nd</b:Edition>
    <b:RefOrder>6</b:RefOrder>
  </b:Source>
  <b:Source>
    <b:Tag>Kum17</b:Tag>
    <b:SourceType>Book</b:SourceType>
    <b:Guid>{DE00365E-5D7B-42C6-A708-E1EE67C533D7}</b:Guid>
    <b:Title>Investment Analysis and Portfolio Management</b:Title>
    <b:Year>2011</b:Year>
    <b:JournalName>Global Business Review</b:JournalName>
    <b:Pages>1107-1123</b:Pages>
    <b:Volume>18</b:Volume>
    <b:Issue>5</b:Issue>
    <b:Author>
      <b:Author>
        <b:NameList>
          <b:Person>
            <b:Last>Reilly</b:Last>
            <b:Middle>K</b:Middle>
            <b:First>Frank</b:First>
          </b:Person>
          <b:Person>
            <b:Last>Brown</b:Last>
            <b:Middle>C</b:Middle>
            <b:First>Keith</b:First>
          </b:Person>
        </b:NameList>
      </b:Author>
    </b:Author>
    <b:City>Mason, OH</b:City>
    <b:Publisher>Cengage Learning</b:Publisher>
    <b:Edition>10th</b:Edition>
    <b:RefOrder>2</b:RefOrder>
  </b:Source>
  <b:Source>
    <b:Tag>Ger85</b:Tag>
    <b:SourceType>JournalArticle</b:SourceType>
    <b:Guid>{649D32B1-4537-4580-99C8-EDF266297AD8}</b:Guid>
    <b:Title>Accounting rates of return</b:Title>
    <b:Year>1985</b:Year>
    <b:Author>
      <b:Author>
        <b:NameList>
          <b:Person>
            <b:Last>Salamon</b:Last>
            <b:First>Gerald</b:First>
            <b:Middle>L</b:Middle>
          </b:Person>
        </b:NameList>
      </b:Author>
    </b:Author>
    <b:JournalName>The Americal Economic Review</b:JournalName>
    <b:Pages>495-504</b:Pages>
    <b:Volume>75</b:Volume>
    <b:Issue>3</b:Issue>
    <b:RefOrder>3</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DLCPolicyLabelClientValue xmlns="caba52a4-3d65-41f1-b107-d2824686600d">{_UIVersionString}</DLCPolicyLabelClientValue>
    <Form_x0020_or_x0020_Guidance xmlns="caba52a4-3d65-41f1-b107-d2824686600d">
      <Value>Template</Value>
    </Form_x0020_or_x0020_Guidance>
    <DLCPolicyLabelLock xmlns="caba52a4-3d65-41f1-b107-d2824686600d" xsi:nil="true"/>
    <RM_x0020_Department xmlns="caba52a4-3d65-41f1-b107-d2824686600d"/>
    <Next_x0020_Review_x0020_Date xmlns="caba52a4-3d65-41f1-b107-d2824686600d" xsi:nil="true"/>
    <Notes0 xmlns="caba52a4-3d65-41f1-b107-d2824686600d" xsi:nil="true"/>
    <DLCPolicyLabelValue xmlns="caba52a4-3d65-41f1-b107-d2824686600d">1.0</DLCPolicyLabelValue>
    <_dlc_DocId xmlns="da98ddd1-c7ff-49a6-8428-ea7843518513">SZV5NVWNE56P-159-220</_dlc_DocId>
    <_dlc_DocIdUrl xmlns="da98ddd1-c7ff-49a6-8428-ea7843518513">
      <Url>http://normality/formsandguidance/_layouts/15/DocIdRedir.aspx?ID=SZV5NVWNE56P-159-220</Url>
      <Description>SZV5NVWNE56P-159-220</Description>
    </_dlc_DocIdUrl>
  </documentManagement>
</p:properties>
</file>

<file path=customXml/item6.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7.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87DBFB-8A67-4CE3-AFB2-D011318AFC15}">
  <ds:schemaRefs>
    <ds:schemaRef ds:uri="office.server.policy"/>
  </ds:schemaRefs>
</ds:datastoreItem>
</file>

<file path=customXml/itemProps3.xml><?xml version="1.0" encoding="utf-8"?>
<ds:datastoreItem xmlns:ds="http://schemas.openxmlformats.org/officeDocument/2006/customXml" ds:itemID="{ACE2BC79-285C-4336-B84B-3529C58177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aba52a4-3d65-41f1-b107-d2824686600d"/>
    <ds:schemaRef ds:uri="da98ddd1-c7ff-49a6-8428-ea78435185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713658-02EA-4E63-8548-4F35AE96AC36}">
  <ds:schemaRefs>
    <ds:schemaRef ds:uri="http://schemas.openxmlformats.org/officeDocument/2006/bibliography"/>
  </ds:schemaRefs>
</ds:datastoreItem>
</file>

<file path=customXml/itemProps5.xml><?xml version="1.0" encoding="utf-8"?>
<ds:datastoreItem xmlns:ds="http://schemas.openxmlformats.org/officeDocument/2006/customXml" ds:itemID="{52B23E4B-2831-4F8A-AC19-779112B7D78B}">
  <ds:schemaRefs>
    <ds:schemaRef ds:uri="http://schemas.microsoft.com/office/2006/metadata/properties"/>
    <ds:schemaRef ds:uri="http://schemas.microsoft.com/office/infopath/2007/PartnerControls"/>
    <ds:schemaRef ds:uri="caba52a4-3d65-41f1-b107-d2824686600d"/>
    <ds:schemaRef ds:uri="da98ddd1-c7ff-49a6-8428-ea7843518513"/>
  </ds:schemaRefs>
</ds:datastoreItem>
</file>

<file path=customXml/itemProps6.xml><?xml version="1.0" encoding="utf-8"?>
<ds:datastoreItem xmlns:ds="http://schemas.openxmlformats.org/officeDocument/2006/customXml" ds:itemID="{36851D34-C6E2-46A5-A475-0B2B1E7AA5F5}">
  <ds:schemaRefs>
    <ds:schemaRef ds:uri="http://schemas.microsoft.com/sharepoint/events"/>
  </ds:schemaRefs>
</ds:datastoreItem>
</file>

<file path=customXml/itemProps7.xml><?xml version="1.0" encoding="utf-8"?>
<ds:datastoreItem xmlns:ds="http://schemas.openxmlformats.org/officeDocument/2006/customXml" ds:itemID="{FD38F6BD-266D-4C7E-ABDD-5A76E3FC0F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16</Pages>
  <Words>3001</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Portrait Report</vt:lpstr>
    </vt:vector>
  </TitlesOfParts>
  <Company>University of south wales</Company>
  <LinksUpToDate>false</LinksUpToDate>
  <CharactersWithSpaces>20067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printing appraisal</dc:title>
  <dc:subject>Financial Management and Planning Assignment</dc:subject>
  <dc:creator>Mike Waite</dc:creator>
  <cp:keywords/>
  <dc:description/>
  <cp:lastModifiedBy>Michael</cp:lastModifiedBy>
  <cp:revision>332</cp:revision>
  <cp:lastPrinted>2016-05-20T17:36:00Z</cp:lastPrinted>
  <dcterms:created xsi:type="dcterms:W3CDTF">2023-05-26T12:50:00Z</dcterms:created>
  <dcterms:modified xsi:type="dcterms:W3CDTF">2023-05-29T21:16:00Z</dcterms:modified>
</cp:coreProperties>
</file>