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DBB34E" w14:textId="7E22DBEF" w:rsidR="00CF378E" w:rsidRPr="00FE788C" w:rsidRDefault="005F3A82" w:rsidP="00FE788C">
      <w:pPr>
        <w:spacing w:line="360" w:lineRule="auto"/>
        <w:rPr>
          <w:sz w:val="22"/>
          <w:szCs w:val="22"/>
        </w:rPr>
      </w:pPr>
      <w:r w:rsidRPr="00FE788C">
        <w:rPr>
          <w:sz w:val="22"/>
          <w:szCs w:val="22"/>
        </w:rPr>
        <w:t xml:space="preserve">The argument that there is a democratic deficit </w:t>
      </w:r>
      <w:r w:rsidR="004B021B" w:rsidRPr="00FE788C">
        <w:rPr>
          <w:sz w:val="22"/>
          <w:szCs w:val="22"/>
        </w:rPr>
        <w:t>within</w:t>
      </w:r>
      <w:r w:rsidRPr="00FE788C">
        <w:rPr>
          <w:sz w:val="22"/>
          <w:szCs w:val="22"/>
        </w:rPr>
        <w:t xml:space="preserve"> the </w:t>
      </w:r>
      <w:r w:rsidR="004B021B" w:rsidRPr="00FE788C">
        <w:rPr>
          <w:sz w:val="22"/>
          <w:szCs w:val="22"/>
        </w:rPr>
        <w:t>European</w:t>
      </w:r>
      <w:r w:rsidRPr="00FE788C">
        <w:rPr>
          <w:sz w:val="22"/>
          <w:szCs w:val="22"/>
        </w:rPr>
        <w:t xml:space="preserve"> Union (EU) </w:t>
      </w:r>
      <w:r w:rsidR="004B021B" w:rsidRPr="00FE788C">
        <w:rPr>
          <w:sz w:val="22"/>
          <w:szCs w:val="22"/>
        </w:rPr>
        <w:t>refers</w:t>
      </w:r>
      <w:r w:rsidRPr="00FE788C">
        <w:rPr>
          <w:sz w:val="22"/>
          <w:szCs w:val="22"/>
        </w:rPr>
        <w:t xml:space="preserve"> to the institutions within the EU having a lack of democracy and being so complex in its operation it presents as inaccessible to the ‘ordinary citizen (House of Commons, 2014).</w:t>
      </w:r>
      <w:r w:rsidR="00422F8B" w:rsidRPr="00FE788C">
        <w:rPr>
          <w:sz w:val="22"/>
          <w:szCs w:val="22"/>
        </w:rPr>
        <w:t xml:space="preserve"> The Treaty on European Union</w:t>
      </w:r>
      <w:r w:rsidR="008C2723" w:rsidRPr="00FE788C">
        <w:rPr>
          <w:sz w:val="22"/>
          <w:szCs w:val="22"/>
        </w:rPr>
        <w:t xml:space="preserve"> (1992) (TEU)</w:t>
      </w:r>
      <w:r w:rsidR="00422F8B" w:rsidRPr="00FE788C">
        <w:rPr>
          <w:sz w:val="22"/>
          <w:szCs w:val="22"/>
        </w:rPr>
        <w:t xml:space="preserve"> constitutionalises that there should be no democratic deficit within the European Union. This solidifies that the EU should be representative of citizens and work alongside them (Article 10 (1-4)). It ensures that citizens are represented in a transparent and coherent way, allowing them to be </w:t>
      </w:r>
      <w:r w:rsidR="008C2723" w:rsidRPr="00FE788C">
        <w:rPr>
          <w:sz w:val="22"/>
          <w:szCs w:val="22"/>
        </w:rPr>
        <w:t>involved</w:t>
      </w:r>
      <w:r w:rsidR="00422F8B" w:rsidRPr="00FE788C">
        <w:rPr>
          <w:sz w:val="22"/>
          <w:szCs w:val="22"/>
        </w:rPr>
        <w:t xml:space="preserve"> as practically possible and having the process in place for citizens to bring movements seen necessary (Article 11 (1-4)). </w:t>
      </w:r>
      <w:r w:rsidR="00EC333D" w:rsidRPr="00FE788C">
        <w:rPr>
          <w:sz w:val="22"/>
          <w:szCs w:val="22"/>
        </w:rPr>
        <w:t>T</w:t>
      </w:r>
      <w:r w:rsidR="00800F08" w:rsidRPr="00FE788C">
        <w:rPr>
          <w:sz w:val="22"/>
          <w:szCs w:val="22"/>
        </w:rPr>
        <w:t>o</w:t>
      </w:r>
      <w:r w:rsidR="00EC333D" w:rsidRPr="00FE788C">
        <w:rPr>
          <w:sz w:val="22"/>
          <w:szCs w:val="22"/>
        </w:rPr>
        <w:t xml:space="preserve"> </w:t>
      </w:r>
      <w:r w:rsidR="00800F08" w:rsidRPr="00FE788C">
        <w:rPr>
          <w:sz w:val="22"/>
          <w:szCs w:val="22"/>
        </w:rPr>
        <w:t>assess</w:t>
      </w:r>
      <w:r w:rsidR="00EC333D" w:rsidRPr="00FE788C">
        <w:rPr>
          <w:sz w:val="22"/>
          <w:szCs w:val="22"/>
        </w:rPr>
        <w:t xml:space="preserve"> if there is a democratic deficit the institutions will need to be broken down.</w:t>
      </w:r>
      <w:r w:rsidR="00800F08" w:rsidRPr="00FE788C">
        <w:rPr>
          <w:sz w:val="22"/>
          <w:szCs w:val="22"/>
        </w:rPr>
        <w:t xml:space="preserve"> There are </w:t>
      </w:r>
      <w:r w:rsidR="00F830F3" w:rsidRPr="00FE788C">
        <w:rPr>
          <w:sz w:val="22"/>
          <w:szCs w:val="22"/>
        </w:rPr>
        <w:t>the following</w:t>
      </w:r>
      <w:r w:rsidR="00800F08" w:rsidRPr="00FE788C">
        <w:rPr>
          <w:sz w:val="22"/>
          <w:szCs w:val="22"/>
        </w:rPr>
        <w:t xml:space="preserve"> institutions within the </w:t>
      </w:r>
      <w:r w:rsidR="00F830F3" w:rsidRPr="00FE788C">
        <w:rPr>
          <w:sz w:val="22"/>
          <w:szCs w:val="22"/>
        </w:rPr>
        <w:t>European</w:t>
      </w:r>
      <w:r w:rsidR="00800F08" w:rsidRPr="00FE788C">
        <w:rPr>
          <w:sz w:val="22"/>
          <w:szCs w:val="22"/>
        </w:rPr>
        <w:t xml:space="preserve"> Union: The European Parliament, The European Council, The European Commission, The Court of Justice of the European Union, The European Central Bank and The Court of Auditors (Consolidation of the Treaty of The European Union, 2012).</w:t>
      </w:r>
    </w:p>
    <w:p w14:paraId="46D65194" w14:textId="2704871D" w:rsidR="00DA1E0E" w:rsidRPr="00FE788C" w:rsidRDefault="00DA1E0E" w:rsidP="00FE788C">
      <w:pPr>
        <w:spacing w:line="360" w:lineRule="auto"/>
        <w:rPr>
          <w:sz w:val="22"/>
          <w:szCs w:val="22"/>
        </w:rPr>
      </w:pPr>
    </w:p>
    <w:p w14:paraId="7BAD0391" w14:textId="4AF5FF13" w:rsidR="00E53A12" w:rsidRPr="00FE788C" w:rsidRDefault="00DA1E0E" w:rsidP="00FE788C">
      <w:pPr>
        <w:spacing w:line="360" w:lineRule="auto"/>
        <w:rPr>
          <w:sz w:val="22"/>
          <w:szCs w:val="22"/>
        </w:rPr>
      </w:pPr>
      <w:r w:rsidRPr="00FE788C">
        <w:rPr>
          <w:sz w:val="22"/>
          <w:szCs w:val="22"/>
        </w:rPr>
        <w:t>The EU parliament is directly elected</w:t>
      </w:r>
      <w:r w:rsidR="00EC6CD0" w:rsidRPr="00FE788C">
        <w:rPr>
          <w:sz w:val="22"/>
          <w:szCs w:val="22"/>
        </w:rPr>
        <w:t xml:space="preserve"> by the members of the state</w:t>
      </w:r>
      <w:r w:rsidR="00E53A12" w:rsidRPr="00FE788C">
        <w:rPr>
          <w:sz w:val="22"/>
          <w:szCs w:val="22"/>
        </w:rPr>
        <w:t xml:space="preserve"> which opposes the view of a democratic deficit</w:t>
      </w:r>
      <w:r w:rsidRPr="00FE788C">
        <w:rPr>
          <w:sz w:val="22"/>
          <w:szCs w:val="22"/>
        </w:rPr>
        <w:t>.</w:t>
      </w:r>
      <w:r w:rsidR="00E53A12" w:rsidRPr="00FE788C">
        <w:rPr>
          <w:sz w:val="22"/>
          <w:szCs w:val="22"/>
        </w:rPr>
        <w:t xml:space="preserve"> However, when analysing the statistics for 2019 only 37.18% of the UK voted for the Members of parliament (MEP). In </w:t>
      </w:r>
      <w:r w:rsidR="00E02DB2" w:rsidRPr="00FE788C">
        <w:rPr>
          <w:sz w:val="22"/>
          <w:szCs w:val="22"/>
        </w:rPr>
        <w:t>addition,</w:t>
      </w:r>
      <w:r w:rsidR="00E53A12" w:rsidRPr="00FE788C">
        <w:rPr>
          <w:sz w:val="22"/>
          <w:szCs w:val="22"/>
        </w:rPr>
        <w:t xml:space="preserve"> only a combine</w:t>
      </w:r>
      <w:r w:rsidR="00F830F3" w:rsidRPr="00FE788C">
        <w:rPr>
          <w:sz w:val="22"/>
          <w:szCs w:val="22"/>
        </w:rPr>
        <w:t>d</w:t>
      </w:r>
      <w:r w:rsidR="00E53A12" w:rsidRPr="00FE788C">
        <w:rPr>
          <w:sz w:val="22"/>
          <w:szCs w:val="22"/>
        </w:rPr>
        <w:t xml:space="preserve"> total of 50.66% of all EU member states citizens voted for MEPs (European Parliament, 2019). While the initial method of electing MEPs promotes democratic legitimacy</w:t>
      </w:r>
      <w:r w:rsidR="002E5A2F" w:rsidRPr="00FE788C">
        <w:rPr>
          <w:sz w:val="22"/>
          <w:szCs w:val="22"/>
        </w:rPr>
        <w:t>,</w:t>
      </w:r>
      <w:r w:rsidR="00E53A12" w:rsidRPr="00FE788C">
        <w:rPr>
          <w:sz w:val="22"/>
          <w:szCs w:val="22"/>
        </w:rPr>
        <w:t xml:space="preserve"> the low percentage of voters results in the MEPs being representative of only 50.66% of the EU in </w:t>
      </w:r>
      <w:r w:rsidR="00E02DB2" w:rsidRPr="00FE788C">
        <w:rPr>
          <w:sz w:val="22"/>
          <w:szCs w:val="22"/>
        </w:rPr>
        <w:t>total,</w:t>
      </w:r>
      <w:r w:rsidR="00E53A12" w:rsidRPr="00FE788C">
        <w:rPr>
          <w:sz w:val="22"/>
          <w:szCs w:val="22"/>
        </w:rPr>
        <w:t xml:space="preserve"> which supports the argument for a democratic deficit. </w:t>
      </w:r>
      <w:r w:rsidR="00787D0A" w:rsidRPr="00FE788C">
        <w:rPr>
          <w:sz w:val="22"/>
          <w:szCs w:val="22"/>
        </w:rPr>
        <w:t xml:space="preserve">The EU parliament holds seats for 705 members (European Union, </w:t>
      </w:r>
      <w:r w:rsidR="00000108" w:rsidRPr="00FE788C">
        <w:rPr>
          <w:sz w:val="22"/>
          <w:szCs w:val="22"/>
        </w:rPr>
        <w:t>2021</w:t>
      </w:r>
      <w:r w:rsidR="00787D0A" w:rsidRPr="00FE788C">
        <w:rPr>
          <w:sz w:val="22"/>
          <w:szCs w:val="22"/>
        </w:rPr>
        <w:t>). The 705 members are representative of 447.01 million citizens (O’Neil, 2021). As only 50.66% of EU citizens voted in the 2019 elections this leaves 226,455,266 citizens not being represented in Parliament which furthers the support for a democratic deficit.</w:t>
      </w:r>
      <w:r w:rsidR="00A53F78" w:rsidRPr="00FE788C">
        <w:rPr>
          <w:sz w:val="22"/>
          <w:szCs w:val="22"/>
        </w:rPr>
        <w:t xml:space="preserve"> </w:t>
      </w:r>
      <w:r w:rsidR="00E02DB2" w:rsidRPr="00FE788C">
        <w:rPr>
          <w:sz w:val="22"/>
          <w:szCs w:val="22"/>
        </w:rPr>
        <w:t>However,</w:t>
      </w:r>
      <w:r w:rsidR="00A53F78" w:rsidRPr="00FE788C">
        <w:rPr>
          <w:sz w:val="22"/>
          <w:szCs w:val="22"/>
        </w:rPr>
        <w:t xml:space="preserve"> the European Commission (</w:t>
      </w:r>
      <w:r w:rsidR="00000108" w:rsidRPr="00FE788C">
        <w:rPr>
          <w:sz w:val="22"/>
          <w:szCs w:val="22"/>
        </w:rPr>
        <w:t>2022</w:t>
      </w:r>
      <w:r w:rsidR="00A53F78" w:rsidRPr="00FE788C">
        <w:rPr>
          <w:sz w:val="22"/>
          <w:szCs w:val="22"/>
        </w:rPr>
        <w:t xml:space="preserve">) would argue that the turn-out for the 2019 elections is record high </w:t>
      </w:r>
      <w:r w:rsidR="004A0831">
        <w:t xml:space="preserve">with the last time it was this high being in 1994 (Ayres, 2014).  This is used to support that there is not a democratic deficit within the EU parliament.  </w:t>
      </w:r>
    </w:p>
    <w:p w14:paraId="2FD5A950" w14:textId="77777777" w:rsidR="00E53A12" w:rsidRPr="00FE788C" w:rsidRDefault="00E53A12" w:rsidP="00FE788C">
      <w:pPr>
        <w:spacing w:line="360" w:lineRule="auto"/>
        <w:rPr>
          <w:sz w:val="22"/>
          <w:szCs w:val="22"/>
        </w:rPr>
      </w:pPr>
    </w:p>
    <w:p w14:paraId="00CB8EF0" w14:textId="0A6940DE" w:rsidR="00E53A12" w:rsidRPr="00FE788C" w:rsidRDefault="00DE2405" w:rsidP="00FE788C">
      <w:pPr>
        <w:spacing w:line="360" w:lineRule="auto"/>
        <w:rPr>
          <w:sz w:val="22"/>
          <w:szCs w:val="22"/>
        </w:rPr>
      </w:pPr>
      <w:r w:rsidRPr="00FE788C">
        <w:rPr>
          <w:sz w:val="22"/>
          <w:szCs w:val="22"/>
        </w:rPr>
        <w:t xml:space="preserve">This </w:t>
      </w:r>
      <w:r w:rsidR="00EC6CD0" w:rsidRPr="00FE788C">
        <w:rPr>
          <w:sz w:val="22"/>
          <w:szCs w:val="22"/>
        </w:rPr>
        <w:t xml:space="preserve">institution </w:t>
      </w:r>
      <w:r w:rsidRPr="00FE788C">
        <w:rPr>
          <w:sz w:val="22"/>
          <w:szCs w:val="22"/>
        </w:rPr>
        <w:t xml:space="preserve">promotes the image of a democratic EU as it allows the member state citizens to closely scrutinise the legislative function of the European Union. </w:t>
      </w:r>
      <w:r w:rsidR="00B37B3C" w:rsidRPr="00FE788C">
        <w:rPr>
          <w:sz w:val="22"/>
          <w:szCs w:val="22"/>
        </w:rPr>
        <w:t xml:space="preserve">As per Article 263 (Consolidated Version) of The Treaty of the Functioning of the European Union (TFEU) </w:t>
      </w:r>
      <w:r w:rsidR="00F830F3" w:rsidRPr="00FE788C">
        <w:rPr>
          <w:sz w:val="22"/>
          <w:szCs w:val="22"/>
        </w:rPr>
        <w:t xml:space="preserve">institution of </w:t>
      </w:r>
      <w:r w:rsidR="00B37B3C" w:rsidRPr="00FE788C">
        <w:rPr>
          <w:sz w:val="22"/>
          <w:szCs w:val="22"/>
        </w:rPr>
        <w:t xml:space="preserve">the Court of Justice allows </w:t>
      </w:r>
      <w:r w:rsidR="00E53A12" w:rsidRPr="00FE788C">
        <w:rPr>
          <w:sz w:val="22"/>
          <w:szCs w:val="22"/>
        </w:rPr>
        <w:t xml:space="preserve">all </w:t>
      </w:r>
      <w:r w:rsidR="00B37B3C" w:rsidRPr="00FE788C">
        <w:rPr>
          <w:sz w:val="22"/>
          <w:szCs w:val="22"/>
        </w:rPr>
        <w:t xml:space="preserve">‘natural or legal’ individuals to ‘initiate proceedings’ if they have been effected by an act. This promotes the much-needed transparency to disprove a democratic deficit within the European Union.  </w:t>
      </w:r>
      <w:r w:rsidR="00EC6CD0" w:rsidRPr="00FE788C">
        <w:rPr>
          <w:sz w:val="22"/>
          <w:szCs w:val="22"/>
        </w:rPr>
        <w:t>This promotes a democratic view as without this</w:t>
      </w:r>
      <w:r w:rsidRPr="00FE788C">
        <w:rPr>
          <w:sz w:val="22"/>
          <w:szCs w:val="22"/>
        </w:rPr>
        <w:t xml:space="preserve"> social backlash </w:t>
      </w:r>
      <w:r w:rsidR="00EC6CD0" w:rsidRPr="00FE788C">
        <w:rPr>
          <w:sz w:val="22"/>
          <w:szCs w:val="22"/>
        </w:rPr>
        <w:t xml:space="preserve">would </w:t>
      </w:r>
      <w:r w:rsidR="00B37B3C" w:rsidRPr="00FE788C">
        <w:rPr>
          <w:sz w:val="22"/>
          <w:szCs w:val="22"/>
        </w:rPr>
        <w:t xml:space="preserve">likely </w:t>
      </w:r>
      <w:r w:rsidR="00EC6CD0" w:rsidRPr="00FE788C">
        <w:rPr>
          <w:sz w:val="22"/>
          <w:szCs w:val="22"/>
        </w:rPr>
        <w:t xml:space="preserve">be caused </w:t>
      </w:r>
      <w:r w:rsidRPr="00FE788C">
        <w:rPr>
          <w:sz w:val="22"/>
          <w:szCs w:val="22"/>
        </w:rPr>
        <w:t>(Crum, 2005).</w:t>
      </w:r>
      <w:r w:rsidR="00EC6CD0" w:rsidRPr="00FE788C">
        <w:rPr>
          <w:sz w:val="22"/>
          <w:szCs w:val="22"/>
        </w:rPr>
        <w:t xml:space="preserve">  </w:t>
      </w:r>
    </w:p>
    <w:p w14:paraId="73C03009" w14:textId="2EFFB491" w:rsidR="00DA1E0E" w:rsidRPr="00FE788C" w:rsidRDefault="00DA1E0E" w:rsidP="00FE788C">
      <w:pPr>
        <w:spacing w:line="360" w:lineRule="auto"/>
        <w:rPr>
          <w:sz w:val="22"/>
          <w:szCs w:val="22"/>
        </w:rPr>
      </w:pPr>
    </w:p>
    <w:p w14:paraId="0A6F8473" w14:textId="63E1DC1A" w:rsidR="00F56E44" w:rsidRDefault="008C2723" w:rsidP="00FE788C">
      <w:pPr>
        <w:spacing w:line="360" w:lineRule="auto"/>
        <w:rPr>
          <w:sz w:val="22"/>
          <w:szCs w:val="22"/>
        </w:rPr>
      </w:pPr>
      <w:r w:rsidRPr="00FE788C">
        <w:rPr>
          <w:sz w:val="22"/>
          <w:szCs w:val="22"/>
        </w:rPr>
        <w:t>The TEU (1992) stipulates in Article 11 that the EU should be working in a transparent and coherent way with the citizens. Meaning that the</w:t>
      </w:r>
      <w:r w:rsidR="001E5353" w:rsidRPr="00FE788C">
        <w:rPr>
          <w:sz w:val="22"/>
          <w:szCs w:val="22"/>
        </w:rPr>
        <w:t>re</w:t>
      </w:r>
      <w:r w:rsidRPr="00FE788C">
        <w:rPr>
          <w:sz w:val="22"/>
          <w:szCs w:val="22"/>
        </w:rPr>
        <w:t xml:space="preserve"> </w:t>
      </w:r>
      <w:r w:rsidR="001A3144" w:rsidRPr="00FE788C">
        <w:rPr>
          <w:sz w:val="22"/>
          <w:szCs w:val="22"/>
        </w:rPr>
        <w:t>should not be a democratic deficit. However</w:t>
      </w:r>
      <w:r w:rsidR="001E5353" w:rsidRPr="00FE788C">
        <w:rPr>
          <w:sz w:val="22"/>
          <w:szCs w:val="22"/>
        </w:rPr>
        <w:t>,</w:t>
      </w:r>
      <w:r w:rsidR="001A3144" w:rsidRPr="00FE788C">
        <w:rPr>
          <w:sz w:val="22"/>
          <w:szCs w:val="22"/>
        </w:rPr>
        <w:t xml:space="preserve"> in practice the complexities of the EU parliament are argued to be proof of the democratic deficit instead</w:t>
      </w:r>
      <w:r w:rsidR="004B021B" w:rsidRPr="00FE788C">
        <w:rPr>
          <w:sz w:val="22"/>
          <w:szCs w:val="22"/>
        </w:rPr>
        <w:t xml:space="preserve"> (Parliament: House of Commons, 2014)</w:t>
      </w:r>
      <w:r w:rsidR="00E53A12" w:rsidRPr="00FE788C">
        <w:rPr>
          <w:sz w:val="22"/>
          <w:szCs w:val="22"/>
        </w:rPr>
        <w:t>.</w:t>
      </w:r>
      <w:r w:rsidR="00404E86" w:rsidRPr="00FE788C">
        <w:rPr>
          <w:sz w:val="22"/>
          <w:szCs w:val="22"/>
        </w:rPr>
        <w:t xml:space="preserve"> </w:t>
      </w:r>
      <w:r w:rsidR="00271039">
        <w:rPr>
          <w:sz w:val="22"/>
          <w:szCs w:val="22"/>
        </w:rPr>
        <w:t xml:space="preserve">Which would encourage a poor voter turnout due to a lack of understanding due to the complexities. </w:t>
      </w:r>
      <w:proofErr w:type="spellStart"/>
      <w:r w:rsidR="00404E86" w:rsidRPr="00FE788C">
        <w:rPr>
          <w:sz w:val="22"/>
          <w:szCs w:val="22"/>
        </w:rPr>
        <w:t>Crombez</w:t>
      </w:r>
      <w:proofErr w:type="spellEnd"/>
      <w:r w:rsidR="00404E86" w:rsidRPr="00FE788C">
        <w:rPr>
          <w:sz w:val="22"/>
          <w:szCs w:val="22"/>
        </w:rPr>
        <w:t xml:space="preserve"> (2003) </w:t>
      </w:r>
      <w:r w:rsidR="00E53A12" w:rsidRPr="00FE788C">
        <w:rPr>
          <w:sz w:val="22"/>
          <w:szCs w:val="22"/>
        </w:rPr>
        <w:t xml:space="preserve">agrees the lack of transparency and excess legislative delegation does support a deficit being present. However, he </w:t>
      </w:r>
      <w:r w:rsidR="00404E86" w:rsidRPr="00FE788C">
        <w:rPr>
          <w:sz w:val="22"/>
          <w:szCs w:val="22"/>
        </w:rPr>
        <w:t xml:space="preserve">compares the EU institutions to its US counterparts and believes that there is no more a democratic deficit. </w:t>
      </w:r>
      <w:r w:rsidR="00E53A12" w:rsidRPr="00FE788C">
        <w:rPr>
          <w:sz w:val="22"/>
          <w:szCs w:val="22"/>
        </w:rPr>
        <w:t xml:space="preserve">Which supports </w:t>
      </w:r>
      <w:proofErr w:type="spellStart"/>
      <w:r w:rsidR="00E53A12" w:rsidRPr="00FE788C">
        <w:rPr>
          <w:sz w:val="22"/>
          <w:szCs w:val="22"/>
        </w:rPr>
        <w:t>Moravcsiks</w:t>
      </w:r>
      <w:proofErr w:type="spellEnd"/>
      <w:r w:rsidR="00E53A12" w:rsidRPr="00FE788C">
        <w:rPr>
          <w:sz w:val="22"/>
          <w:szCs w:val="22"/>
        </w:rPr>
        <w:t xml:space="preserve"> (2003) view that the EU has democratic legitimacy when compared with real examples rather than an idealistic view of complete democracy the European Union does not have a democratic deficit.</w:t>
      </w:r>
    </w:p>
    <w:p w14:paraId="4B377B90" w14:textId="77777777" w:rsidR="00271039" w:rsidRPr="00FE788C" w:rsidRDefault="00271039" w:rsidP="00FE788C">
      <w:pPr>
        <w:spacing w:line="360" w:lineRule="auto"/>
        <w:rPr>
          <w:sz w:val="22"/>
          <w:szCs w:val="22"/>
        </w:rPr>
      </w:pPr>
    </w:p>
    <w:p w14:paraId="6D1B539D" w14:textId="67678BEA" w:rsidR="00E53A12" w:rsidRPr="00FE788C" w:rsidRDefault="00787D0A" w:rsidP="00FE788C">
      <w:pPr>
        <w:spacing w:line="360" w:lineRule="auto"/>
        <w:rPr>
          <w:sz w:val="22"/>
          <w:szCs w:val="22"/>
        </w:rPr>
      </w:pPr>
      <w:r w:rsidRPr="00FE788C">
        <w:rPr>
          <w:sz w:val="22"/>
          <w:szCs w:val="22"/>
        </w:rPr>
        <w:t>The Treaty of Lisbon (2009) increased parliaments legislative powers through the ‘ordinary legislative procedure’ (</w:t>
      </w:r>
      <w:proofErr w:type="spellStart"/>
      <w:r w:rsidRPr="00FE788C">
        <w:rPr>
          <w:sz w:val="22"/>
          <w:szCs w:val="22"/>
        </w:rPr>
        <w:t>Pavy</w:t>
      </w:r>
      <w:proofErr w:type="spellEnd"/>
      <w:r w:rsidRPr="00FE788C">
        <w:rPr>
          <w:sz w:val="22"/>
          <w:szCs w:val="22"/>
        </w:rPr>
        <w:t>, 2021). However</w:t>
      </w:r>
      <w:r w:rsidR="00F56E44" w:rsidRPr="00FE788C">
        <w:rPr>
          <w:sz w:val="22"/>
          <w:szCs w:val="22"/>
        </w:rPr>
        <w:t>,</w:t>
      </w:r>
      <w:r w:rsidRPr="00FE788C">
        <w:rPr>
          <w:sz w:val="22"/>
          <w:szCs w:val="22"/>
        </w:rPr>
        <w:t xml:space="preserve"> it</w:t>
      </w:r>
      <w:r w:rsidR="002A68B3" w:rsidRPr="00FE788C">
        <w:rPr>
          <w:sz w:val="22"/>
          <w:szCs w:val="22"/>
        </w:rPr>
        <w:t xml:space="preserve"> is suggested that increasing the power afforded to the EU parliament could decrease the democratic deficit (Parliament: House of Commons, 2004). This however is criticised by </w:t>
      </w:r>
      <w:proofErr w:type="spellStart"/>
      <w:r w:rsidR="002A68B3" w:rsidRPr="00FE788C">
        <w:rPr>
          <w:sz w:val="22"/>
          <w:szCs w:val="22"/>
        </w:rPr>
        <w:t>Schleicher</w:t>
      </w:r>
      <w:proofErr w:type="spellEnd"/>
      <w:r w:rsidR="002A68B3" w:rsidRPr="00FE788C">
        <w:rPr>
          <w:sz w:val="22"/>
          <w:szCs w:val="22"/>
        </w:rPr>
        <w:t xml:space="preserve"> (2011) who argues that giving more power is just a desperate attempt </w:t>
      </w:r>
      <w:r w:rsidRPr="00FE788C">
        <w:rPr>
          <w:sz w:val="22"/>
          <w:szCs w:val="22"/>
        </w:rPr>
        <w:t xml:space="preserve">to disprove the democratic deficit </w:t>
      </w:r>
      <w:r w:rsidR="002A68B3" w:rsidRPr="00FE788C">
        <w:rPr>
          <w:sz w:val="22"/>
          <w:szCs w:val="22"/>
        </w:rPr>
        <w:t>and not a guaranteed fix.</w:t>
      </w:r>
    </w:p>
    <w:p w14:paraId="2EAB3ECC" w14:textId="4B83167A" w:rsidR="00E53A12" w:rsidRPr="00FE788C" w:rsidRDefault="00852D9F" w:rsidP="00FE788C">
      <w:pPr>
        <w:pStyle w:val="NormalWeb"/>
        <w:spacing w:line="360" w:lineRule="auto"/>
        <w:rPr>
          <w:rFonts w:asciiTheme="minorHAnsi" w:hAnsiTheme="minorHAnsi"/>
          <w:sz w:val="22"/>
          <w:szCs w:val="22"/>
        </w:rPr>
      </w:pPr>
      <w:r w:rsidRPr="00FE788C">
        <w:rPr>
          <w:rFonts w:asciiTheme="minorHAnsi" w:hAnsiTheme="minorHAnsi"/>
          <w:sz w:val="22"/>
          <w:szCs w:val="22"/>
        </w:rPr>
        <w:t>The EU parliament is headed by a president that is voted in by the MEPs</w:t>
      </w:r>
      <w:r w:rsidR="00F56E44" w:rsidRPr="00FE788C">
        <w:rPr>
          <w:rFonts w:asciiTheme="minorHAnsi" w:hAnsiTheme="minorHAnsi"/>
          <w:sz w:val="22"/>
          <w:szCs w:val="22"/>
        </w:rPr>
        <w:t xml:space="preserve"> that meet the low threshold as per the rules of procedure rule 179 (1(a))</w:t>
      </w:r>
      <w:r w:rsidR="002A76A5" w:rsidRPr="00FE788C">
        <w:rPr>
          <w:rFonts w:asciiTheme="minorHAnsi" w:hAnsiTheme="minorHAnsi"/>
          <w:sz w:val="22"/>
          <w:szCs w:val="22"/>
        </w:rPr>
        <w:t xml:space="preserve"> (European Union, 2021)</w:t>
      </w:r>
      <w:r w:rsidR="00F56E44" w:rsidRPr="00FE788C">
        <w:rPr>
          <w:rFonts w:asciiTheme="minorHAnsi" w:hAnsiTheme="minorHAnsi"/>
          <w:sz w:val="22"/>
          <w:szCs w:val="22"/>
        </w:rPr>
        <w:t>. As per the previous statistics this means that the president is representative of only 44.111 million citizens at a minimum. This figure equats to only 9.9% of the EU citizens which supports the argument of a democratic deficit.</w:t>
      </w:r>
    </w:p>
    <w:p w14:paraId="7F021B23" w14:textId="54FA0FD5" w:rsidR="003E3AE5" w:rsidRDefault="003E3AE5" w:rsidP="00FE788C">
      <w:pPr>
        <w:pStyle w:val="NormalWeb"/>
        <w:spacing w:line="360" w:lineRule="auto"/>
        <w:rPr>
          <w:rFonts w:asciiTheme="minorHAnsi" w:hAnsiTheme="minorHAnsi"/>
          <w:sz w:val="22"/>
          <w:szCs w:val="22"/>
        </w:rPr>
      </w:pPr>
      <w:r w:rsidRPr="00FE788C">
        <w:rPr>
          <w:rFonts w:asciiTheme="minorHAnsi" w:hAnsiTheme="minorHAnsi"/>
          <w:sz w:val="22"/>
          <w:szCs w:val="22"/>
        </w:rPr>
        <w:t xml:space="preserve">The Treaty of Lisbon implemented in 2009 assigned more power to the EU parliament </w:t>
      </w:r>
      <w:proofErr w:type="gramStart"/>
      <w:r w:rsidRPr="00FE788C">
        <w:rPr>
          <w:rFonts w:asciiTheme="minorHAnsi" w:hAnsiTheme="minorHAnsi"/>
          <w:sz w:val="22"/>
          <w:szCs w:val="22"/>
        </w:rPr>
        <w:t>in an attempt to</w:t>
      </w:r>
      <w:proofErr w:type="gramEnd"/>
      <w:r w:rsidRPr="00FE788C">
        <w:rPr>
          <w:rFonts w:asciiTheme="minorHAnsi" w:hAnsiTheme="minorHAnsi"/>
          <w:sz w:val="22"/>
          <w:szCs w:val="22"/>
        </w:rPr>
        <w:t xml:space="preserve"> provide democratic legitimacy. As the EU parliament is directly elected by citizens having larger decision-making power and responsibility would lead to conclusions in line with the citizens view (European Parliament, </w:t>
      </w:r>
      <w:r w:rsidR="00000108" w:rsidRPr="00FE788C">
        <w:rPr>
          <w:rFonts w:asciiTheme="minorHAnsi" w:hAnsiTheme="minorHAnsi"/>
          <w:sz w:val="22"/>
          <w:szCs w:val="22"/>
        </w:rPr>
        <w:t>2021</w:t>
      </w:r>
      <w:r w:rsidRPr="00FE788C">
        <w:rPr>
          <w:rFonts w:asciiTheme="minorHAnsi" w:hAnsiTheme="minorHAnsi"/>
          <w:sz w:val="22"/>
          <w:szCs w:val="22"/>
        </w:rPr>
        <w:t>).</w:t>
      </w:r>
    </w:p>
    <w:p w14:paraId="22CB4684" w14:textId="0AAAA455" w:rsidR="00C76837" w:rsidRPr="00FE788C" w:rsidRDefault="00C76837" w:rsidP="00FE788C">
      <w:pPr>
        <w:pStyle w:val="NormalWeb"/>
        <w:spacing w:line="360" w:lineRule="auto"/>
        <w:rPr>
          <w:rFonts w:asciiTheme="minorHAnsi" w:hAnsiTheme="minorHAnsi"/>
          <w:sz w:val="22"/>
          <w:szCs w:val="22"/>
        </w:rPr>
      </w:pPr>
      <w:r>
        <w:rPr>
          <w:rFonts w:asciiTheme="minorHAnsi" w:hAnsiTheme="minorHAnsi"/>
          <w:sz w:val="22"/>
          <w:szCs w:val="22"/>
        </w:rPr>
        <w:t xml:space="preserve">Although the European Parliament is the most representative institution due to being a direct elect from the citizens the low voter turnout represents a lack of interest. This could be due to the complexity of the institution. But regardless of the reason the low </w:t>
      </w:r>
      <w:proofErr w:type="spellStart"/>
      <w:r>
        <w:rPr>
          <w:rFonts w:asciiTheme="minorHAnsi" w:hAnsiTheme="minorHAnsi"/>
          <w:sz w:val="22"/>
          <w:szCs w:val="22"/>
        </w:rPr>
        <w:t>turn out</w:t>
      </w:r>
      <w:proofErr w:type="spellEnd"/>
      <w:r>
        <w:rPr>
          <w:rFonts w:asciiTheme="minorHAnsi" w:hAnsiTheme="minorHAnsi"/>
          <w:sz w:val="22"/>
          <w:szCs w:val="22"/>
        </w:rPr>
        <w:t xml:space="preserve"> provides a voter </w:t>
      </w:r>
      <w:proofErr w:type="spellStart"/>
      <w:r>
        <w:rPr>
          <w:rFonts w:asciiTheme="minorHAnsi" w:hAnsiTheme="minorHAnsi"/>
          <w:sz w:val="22"/>
          <w:szCs w:val="22"/>
        </w:rPr>
        <w:t>turn out</w:t>
      </w:r>
      <w:proofErr w:type="spellEnd"/>
      <w:r>
        <w:rPr>
          <w:rFonts w:asciiTheme="minorHAnsi" w:hAnsiTheme="minorHAnsi"/>
          <w:sz w:val="22"/>
          <w:szCs w:val="22"/>
        </w:rPr>
        <w:t xml:space="preserve"> which is not representative of the European member states at all.</w:t>
      </w:r>
    </w:p>
    <w:p w14:paraId="0A2FE7CF" w14:textId="2D21FF73" w:rsidR="006B0123" w:rsidRPr="00FE788C" w:rsidRDefault="00E53A12" w:rsidP="00C212EA">
      <w:pPr>
        <w:pStyle w:val="NormalWeb"/>
        <w:spacing w:line="360" w:lineRule="auto"/>
        <w:rPr>
          <w:rFonts w:asciiTheme="minorHAnsi" w:hAnsiTheme="minorHAnsi"/>
          <w:sz w:val="22"/>
          <w:szCs w:val="22"/>
        </w:rPr>
      </w:pPr>
      <w:r w:rsidRPr="00FE788C">
        <w:rPr>
          <w:rFonts w:asciiTheme="minorHAnsi" w:hAnsiTheme="minorHAnsi"/>
          <w:sz w:val="22"/>
          <w:szCs w:val="22"/>
        </w:rPr>
        <w:t xml:space="preserve">The EU Commission is </w:t>
      </w:r>
      <w:r w:rsidR="00412277">
        <w:rPr>
          <w:rFonts w:asciiTheme="minorHAnsi" w:hAnsiTheme="minorHAnsi"/>
          <w:sz w:val="22"/>
          <w:szCs w:val="22"/>
        </w:rPr>
        <w:t>an</w:t>
      </w:r>
      <w:r w:rsidRPr="00FE788C">
        <w:rPr>
          <w:rFonts w:asciiTheme="minorHAnsi" w:hAnsiTheme="minorHAnsi"/>
          <w:sz w:val="22"/>
          <w:szCs w:val="22"/>
        </w:rPr>
        <w:t xml:space="preserve"> </w:t>
      </w:r>
      <w:r w:rsidR="00412277">
        <w:rPr>
          <w:rFonts w:asciiTheme="minorHAnsi" w:hAnsiTheme="minorHAnsi"/>
          <w:sz w:val="22"/>
          <w:szCs w:val="22"/>
        </w:rPr>
        <w:t xml:space="preserve">executive body </w:t>
      </w:r>
      <w:r w:rsidRPr="00FE788C">
        <w:rPr>
          <w:rFonts w:asciiTheme="minorHAnsi" w:hAnsiTheme="minorHAnsi"/>
          <w:sz w:val="22"/>
          <w:szCs w:val="22"/>
        </w:rPr>
        <w:t xml:space="preserve">responsible for proposing and implementing EU law for all EU member states. Made up of 27 commissioners and led by the commission president (European Union, </w:t>
      </w:r>
      <w:r w:rsidR="00000108" w:rsidRPr="00FE788C">
        <w:rPr>
          <w:rFonts w:asciiTheme="minorHAnsi" w:hAnsiTheme="minorHAnsi"/>
          <w:sz w:val="22"/>
          <w:szCs w:val="22"/>
        </w:rPr>
        <w:t>2022</w:t>
      </w:r>
      <w:r w:rsidRPr="00FE788C">
        <w:rPr>
          <w:rFonts w:asciiTheme="minorHAnsi" w:hAnsiTheme="minorHAnsi"/>
          <w:sz w:val="22"/>
          <w:szCs w:val="22"/>
        </w:rPr>
        <w:t xml:space="preserve">). </w:t>
      </w:r>
      <w:r w:rsidR="00C1511B" w:rsidRPr="00FE788C">
        <w:rPr>
          <w:rFonts w:asciiTheme="minorHAnsi" w:hAnsiTheme="minorHAnsi"/>
          <w:sz w:val="22"/>
          <w:szCs w:val="22"/>
        </w:rPr>
        <w:t xml:space="preserve">The commissioners are put forward by the heads of EU member states and appointed </w:t>
      </w:r>
      <w:r w:rsidR="00C1511B" w:rsidRPr="00FE788C">
        <w:rPr>
          <w:rFonts w:asciiTheme="minorHAnsi" w:hAnsiTheme="minorHAnsi"/>
          <w:sz w:val="22"/>
          <w:szCs w:val="22"/>
        </w:rPr>
        <w:lastRenderedPageBreak/>
        <w:t xml:space="preserve">by the EU council (European Union, </w:t>
      </w:r>
      <w:r w:rsidR="00000108" w:rsidRPr="00FE788C">
        <w:rPr>
          <w:rFonts w:asciiTheme="minorHAnsi" w:hAnsiTheme="minorHAnsi"/>
          <w:sz w:val="22"/>
          <w:szCs w:val="22"/>
        </w:rPr>
        <w:t>2022</w:t>
      </w:r>
      <w:r w:rsidR="00C1511B" w:rsidRPr="00FE788C">
        <w:rPr>
          <w:rFonts w:asciiTheme="minorHAnsi" w:hAnsiTheme="minorHAnsi"/>
          <w:sz w:val="22"/>
          <w:szCs w:val="22"/>
        </w:rPr>
        <w:t>)</w:t>
      </w:r>
      <w:r w:rsidR="00C95EEC" w:rsidRPr="00FE788C">
        <w:rPr>
          <w:rFonts w:asciiTheme="minorHAnsi" w:hAnsiTheme="minorHAnsi"/>
          <w:sz w:val="22"/>
          <w:szCs w:val="22"/>
        </w:rPr>
        <w:t xml:space="preserve">. </w:t>
      </w:r>
      <w:proofErr w:type="spellStart"/>
      <w:r w:rsidR="00C95EEC" w:rsidRPr="00FE788C">
        <w:rPr>
          <w:rFonts w:asciiTheme="minorHAnsi" w:hAnsiTheme="minorHAnsi"/>
          <w:sz w:val="22"/>
          <w:szCs w:val="22"/>
        </w:rPr>
        <w:t>Majone</w:t>
      </w:r>
      <w:proofErr w:type="spellEnd"/>
      <w:r w:rsidR="00C95EEC" w:rsidRPr="00FE788C">
        <w:rPr>
          <w:rFonts w:asciiTheme="minorHAnsi" w:hAnsiTheme="minorHAnsi"/>
          <w:sz w:val="22"/>
          <w:szCs w:val="22"/>
        </w:rPr>
        <w:t xml:space="preserve"> (200</w:t>
      </w:r>
      <w:r w:rsidR="003A1E44" w:rsidRPr="00FE788C">
        <w:rPr>
          <w:rFonts w:asciiTheme="minorHAnsi" w:hAnsiTheme="minorHAnsi"/>
          <w:sz w:val="22"/>
          <w:szCs w:val="22"/>
        </w:rPr>
        <w:t>6</w:t>
      </w:r>
      <w:r w:rsidR="00C95EEC" w:rsidRPr="00FE788C">
        <w:rPr>
          <w:rFonts w:asciiTheme="minorHAnsi" w:hAnsiTheme="minorHAnsi"/>
          <w:sz w:val="22"/>
          <w:szCs w:val="22"/>
        </w:rPr>
        <w:t>) adds criticism to this point, arguing that the commission as an institution increases the democratic deficit as they are not directly accountable to their voters.</w:t>
      </w:r>
      <w:r w:rsidR="00CA31C6" w:rsidRPr="00FE788C">
        <w:rPr>
          <w:rFonts w:asciiTheme="minorHAnsi" w:hAnsiTheme="minorHAnsi"/>
          <w:sz w:val="22"/>
          <w:szCs w:val="22"/>
        </w:rPr>
        <w:t xml:space="preserve"> </w:t>
      </w:r>
      <w:r w:rsidR="002A2980">
        <w:rPr>
          <w:rFonts w:asciiTheme="minorHAnsi" w:hAnsiTheme="minorHAnsi"/>
          <w:sz w:val="22"/>
          <w:szCs w:val="22"/>
        </w:rPr>
        <w:t>Although it could be argued this is simply an oversight</w:t>
      </w:r>
      <w:r w:rsidR="00932659">
        <w:rPr>
          <w:rFonts w:asciiTheme="minorHAnsi" w:hAnsiTheme="minorHAnsi"/>
          <w:sz w:val="22"/>
          <w:szCs w:val="22"/>
        </w:rPr>
        <w:t xml:space="preserve">. This could be due to </w:t>
      </w:r>
      <w:r w:rsidR="002A2980">
        <w:rPr>
          <w:rFonts w:asciiTheme="minorHAnsi" w:hAnsiTheme="minorHAnsi"/>
          <w:sz w:val="22"/>
          <w:szCs w:val="22"/>
        </w:rPr>
        <w:t xml:space="preserve">each commissioner </w:t>
      </w:r>
      <w:r w:rsidR="00932659">
        <w:rPr>
          <w:rFonts w:asciiTheme="minorHAnsi" w:hAnsiTheme="minorHAnsi"/>
          <w:sz w:val="22"/>
          <w:szCs w:val="22"/>
        </w:rPr>
        <w:t>being</w:t>
      </w:r>
      <w:r w:rsidR="002A2980">
        <w:rPr>
          <w:rFonts w:asciiTheme="minorHAnsi" w:hAnsiTheme="minorHAnsi"/>
          <w:sz w:val="22"/>
          <w:szCs w:val="22"/>
        </w:rPr>
        <w:t xml:space="preserve"> recommended by each member state</w:t>
      </w:r>
      <w:r w:rsidR="00932659">
        <w:rPr>
          <w:rFonts w:asciiTheme="minorHAnsi" w:hAnsiTheme="minorHAnsi"/>
          <w:sz w:val="22"/>
          <w:szCs w:val="22"/>
        </w:rPr>
        <w:t>.</w:t>
      </w:r>
      <w:r w:rsidR="002A2980">
        <w:rPr>
          <w:rFonts w:asciiTheme="minorHAnsi" w:hAnsiTheme="minorHAnsi"/>
          <w:sz w:val="22"/>
          <w:szCs w:val="22"/>
        </w:rPr>
        <w:t xml:space="preserve"> </w:t>
      </w:r>
      <w:r w:rsidR="00932659">
        <w:rPr>
          <w:rFonts w:asciiTheme="minorHAnsi" w:hAnsiTheme="minorHAnsi"/>
          <w:sz w:val="22"/>
          <w:szCs w:val="22"/>
        </w:rPr>
        <w:t xml:space="preserve">Due to this </w:t>
      </w:r>
      <w:r w:rsidR="002A2980">
        <w:rPr>
          <w:rFonts w:asciiTheme="minorHAnsi" w:hAnsiTheme="minorHAnsi"/>
          <w:sz w:val="22"/>
          <w:szCs w:val="22"/>
        </w:rPr>
        <w:t xml:space="preserve">they should represent the views of the member </w:t>
      </w:r>
      <w:r w:rsidR="00932659">
        <w:rPr>
          <w:rFonts w:asciiTheme="minorHAnsi" w:hAnsiTheme="minorHAnsi"/>
          <w:sz w:val="22"/>
          <w:szCs w:val="22"/>
        </w:rPr>
        <w:t>state</w:t>
      </w:r>
      <w:r w:rsidR="002A2980">
        <w:rPr>
          <w:rFonts w:asciiTheme="minorHAnsi" w:hAnsiTheme="minorHAnsi"/>
          <w:sz w:val="22"/>
          <w:szCs w:val="22"/>
        </w:rPr>
        <w:t xml:space="preserve"> voting them in, which in turn represents the citizens of that member </w:t>
      </w:r>
      <w:proofErr w:type="gramStart"/>
      <w:r w:rsidR="002A2980">
        <w:rPr>
          <w:rFonts w:asciiTheme="minorHAnsi" w:hAnsiTheme="minorHAnsi"/>
          <w:sz w:val="22"/>
          <w:szCs w:val="22"/>
        </w:rPr>
        <w:t>state;</w:t>
      </w:r>
      <w:proofErr w:type="gramEnd"/>
      <w:r w:rsidR="002A2980">
        <w:rPr>
          <w:rFonts w:asciiTheme="minorHAnsi" w:hAnsiTheme="minorHAnsi"/>
          <w:sz w:val="22"/>
          <w:szCs w:val="22"/>
        </w:rPr>
        <w:t xml:space="preserve"> making the</w:t>
      </w:r>
      <w:r w:rsidR="00932659">
        <w:rPr>
          <w:rFonts w:asciiTheme="minorHAnsi" w:hAnsiTheme="minorHAnsi"/>
          <w:sz w:val="22"/>
          <w:szCs w:val="22"/>
        </w:rPr>
        <w:t>m</w:t>
      </w:r>
      <w:r w:rsidR="002A2980">
        <w:rPr>
          <w:rFonts w:asciiTheme="minorHAnsi" w:hAnsiTheme="minorHAnsi"/>
          <w:sz w:val="22"/>
          <w:szCs w:val="22"/>
        </w:rPr>
        <w:t xml:space="preserve"> representative </w:t>
      </w:r>
      <w:r w:rsidR="00932659">
        <w:rPr>
          <w:rFonts w:asciiTheme="minorHAnsi" w:hAnsiTheme="minorHAnsi"/>
          <w:sz w:val="22"/>
          <w:szCs w:val="22"/>
        </w:rPr>
        <w:t>and not adding to the democratic deficit</w:t>
      </w:r>
      <w:r w:rsidR="002A2980">
        <w:rPr>
          <w:rFonts w:asciiTheme="minorHAnsi" w:hAnsiTheme="minorHAnsi"/>
          <w:sz w:val="22"/>
          <w:szCs w:val="22"/>
        </w:rPr>
        <w:t xml:space="preserve">. </w:t>
      </w:r>
      <w:r w:rsidR="00480285">
        <w:rPr>
          <w:rFonts w:asciiTheme="minorHAnsi" w:hAnsiTheme="minorHAnsi"/>
          <w:sz w:val="22"/>
          <w:szCs w:val="22"/>
        </w:rPr>
        <w:t>However</w:t>
      </w:r>
      <w:r w:rsidR="00D42DD6">
        <w:rPr>
          <w:rFonts w:asciiTheme="minorHAnsi" w:hAnsiTheme="minorHAnsi"/>
          <w:sz w:val="22"/>
          <w:szCs w:val="22"/>
        </w:rPr>
        <w:t>,</w:t>
      </w:r>
      <w:r w:rsidR="00480285">
        <w:rPr>
          <w:rFonts w:asciiTheme="minorHAnsi" w:hAnsiTheme="minorHAnsi"/>
          <w:sz w:val="22"/>
          <w:szCs w:val="22"/>
        </w:rPr>
        <w:t xml:space="preserve"> </w:t>
      </w:r>
      <w:proofErr w:type="gramStart"/>
      <w:r w:rsidR="00480285">
        <w:rPr>
          <w:rFonts w:asciiTheme="minorHAnsi" w:hAnsiTheme="minorHAnsi"/>
          <w:sz w:val="22"/>
          <w:szCs w:val="22"/>
        </w:rPr>
        <w:t>its</w:t>
      </w:r>
      <w:proofErr w:type="gramEnd"/>
      <w:r w:rsidR="00480285">
        <w:rPr>
          <w:rFonts w:asciiTheme="minorHAnsi" w:hAnsiTheme="minorHAnsi"/>
          <w:sz w:val="22"/>
          <w:szCs w:val="22"/>
        </w:rPr>
        <w:t xml:space="preserve"> argued that the citizens are unable to see the connections between the institutions ‘goals and everyday functions’ as they feel cut out (Council of European Union, 2001). Something that if the commission where more directly representative would likely alleviate and promote democratic legitimacy. </w:t>
      </w:r>
      <w:r w:rsidR="00CA31C6" w:rsidRPr="00FE788C">
        <w:rPr>
          <w:rFonts w:asciiTheme="minorHAnsi" w:hAnsiTheme="minorHAnsi"/>
          <w:sz w:val="22"/>
          <w:szCs w:val="22"/>
        </w:rPr>
        <w:t xml:space="preserve">The president leading the commission is </w:t>
      </w:r>
      <w:r w:rsidR="000650DA" w:rsidRPr="00FE788C">
        <w:rPr>
          <w:rFonts w:asciiTheme="minorHAnsi" w:hAnsiTheme="minorHAnsi"/>
          <w:sz w:val="22"/>
          <w:szCs w:val="22"/>
        </w:rPr>
        <w:t>appointed by</w:t>
      </w:r>
      <w:r w:rsidR="003E3AE5" w:rsidRPr="00FE788C">
        <w:rPr>
          <w:rFonts w:asciiTheme="minorHAnsi" w:hAnsiTheme="minorHAnsi"/>
          <w:sz w:val="22"/>
          <w:szCs w:val="22"/>
        </w:rPr>
        <w:t xml:space="preserve"> the </w:t>
      </w:r>
      <w:r w:rsidR="00CA31C6" w:rsidRPr="00FE788C">
        <w:rPr>
          <w:rFonts w:asciiTheme="minorHAnsi" w:hAnsiTheme="minorHAnsi"/>
          <w:sz w:val="22"/>
          <w:szCs w:val="22"/>
        </w:rPr>
        <w:t xml:space="preserve">EU </w:t>
      </w:r>
      <w:r w:rsidR="003E3AE5" w:rsidRPr="00FE788C">
        <w:rPr>
          <w:rFonts w:asciiTheme="minorHAnsi" w:hAnsiTheme="minorHAnsi"/>
          <w:sz w:val="22"/>
          <w:szCs w:val="22"/>
        </w:rPr>
        <w:t>parliaments</w:t>
      </w:r>
      <w:r w:rsidR="00CA31C6" w:rsidRPr="00FE788C">
        <w:rPr>
          <w:rFonts w:asciiTheme="minorHAnsi" w:hAnsiTheme="minorHAnsi"/>
          <w:sz w:val="22"/>
          <w:szCs w:val="22"/>
        </w:rPr>
        <w:t>. A majority vote is required by members of EU parliament to appoint them</w:t>
      </w:r>
      <w:r w:rsidR="003E3AE5" w:rsidRPr="00FE788C">
        <w:rPr>
          <w:rFonts w:asciiTheme="minorHAnsi" w:hAnsiTheme="minorHAnsi"/>
          <w:sz w:val="22"/>
          <w:szCs w:val="22"/>
        </w:rPr>
        <w:t xml:space="preserve"> from nominees presented from each member state</w:t>
      </w:r>
      <w:r w:rsidR="00CA31C6" w:rsidRPr="00FE788C">
        <w:rPr>
          <w:rFonts w:asciiTheme="minorHAnsi" w:hAnsiTheme="minorHAnsi"/>
          <w:sz w:val="22"/>
          <w:szCs w:val="22"/>
        </w:rPr>
        <w:t xml:space="preserve"> (European Union, No Date). This is method is criticised by </w:t>
      </w:r>
      <w:proofErr w:type="spellStart"/>
      <w:r w:rsidR="00CA31C6" w:rsidRPr="00FE788C">
        <w:rPr>
          <w:rFonts w:asciiTheme="minorHAnsi" w:hAnsiTheme="minorHAnsi"/>
          <w:sz w:val="22"/>
          <w:szCs w:val="22"/>
        </w:rPr>
        <w:t>Tullock</w:t>
      </w:r>
      <w:proofErr w:type="spellEnd"/>
      <w:r w:rsidR="00CA31C6" w:rsidRPr="00FE788C">
        <w:rPr>
          <w:rFonts w:asciiTheme="minorHAnsi" w:hAnsiTheme="minorHAnsi"/>
          <w:sz w:val="22"/>
          <w:szCs w:val="22"/>
        </w:rPr>
        <w:t xml:space="preserve"> (1959) as </w:t>
      </w:r>
      <w:r w:rsidR="003E3AE5" w:rsidRPr="00FE788C">
        <w:rPr>
          <w:rFonts w:asciiTheme="minorHAnsi" w:hAnsiTheme="minorHAnsi"/>
          <w:sz w:val="22"/>
          <w:szCs w:val="22"/>
        </w:rPr>
        <w:t xml:space="preserve">it is seen as </w:t>
      </w:r>
      <w:r w:rsidR="00CA31C6" w:rsidRPr="00FE788C">
        <w:rPr>
          <w:rFonts w:asciiTheme="minorHAnsi" w:hAnsiTheme="minorHAnsi"/>
          <w:sz w:val="22"/>
          <w:szCs w:val="22"/>
        </w:rPr>
        <w:t xml:space="preserve">forcing the majority to accept the </w:t>
      </w:r>
      <w:r w:rsidR="006D1409" w:rsidRPr="00FE788C">
        <w:rPr>
          <w:rFonts w:asciiTheme="minorHAnsi" w:hAnsiTheme="minorHAnsi"/>
          <w:sz w:val="22"/>
          <w:szCs w:val="22"/>
        </w:rPr>
        <w:t>majorities’</w:t>
      </w:r>
      <w:r w:rsidR="00CA31C6" w:rsidRPr="00FE788C">
        <w:rPr>
          <w:rFonts w:asciiTheme="minorHAnsi" w:hAnsiTheme="minorHAnsi"/>
          <w:sz w:val="22"/>
          <w:szCs w:val="22"/>
        </w:rPr>
        <w:t xml:space="preserve"> view which supports the argument for a democratic deficit within the EU institutions.  </w:t>
      </w:r>
      <w:r w:rsidR="000650DA" w:rsidRPr="00FE788C">
        <w:rPr>
          <w:rFonts w:asciiTheme="minorHAnsi" w:hAnsiTheme="minorHAnsi"/>
          <w:sz w:val="22"/>
          <w:szCs w:val="22"/>
        </w:rPr>
        <w:t xml:space="preserve">Further criticism of this method comes from </w:t>
      </w:r>
      <w:r w:rsidR="000650DA" w:rsidRPr="00FE788C">
        <w:rPr>
          <w:rFonts w:asciiTheme="minorHAnsi" w:hAnsiTheme="minorHAnsi" w:cs="AppleSystemUIFont"/>
          <w:sz w:val="22"/>
          <w:szCs w:val="22"/>
        </w:rPr>
        <w:t>Schulz (</w:t>
      </w:r>
      <w:r w:rsidR="00A53F78" w:rsidRPr="00FE788C">
        <w:rPr>
          <w:rFonts w:asciiTheme="minorHAnsi" w:hAnsiTheme="minorHAnsi" w:cs="AppleSystemUIFont"/>
          <w:sz w:val="22"/>
          <w:szCs w:val="22"/>
        </w:rPr>
        <w:t xml:space="preserve">quoted in </w:t>
      </w:r>
      <w:r w:rsidR="009E46AD" w:rsidRPr="009E46AD">
        <w:rPr>
          <w:rFonts w:ascii="AppleSystemUIFont" w:hAnsi="AppleSystemUIFont" w:cs="AppleSystemUIFont"/>
        </w:rPr>
        <w:t>The International Charlemagne Prize of Aachen</w:t>
      </w:r>
      <w:r w:rsidR="00A53F78" w:rsidRPr="00FE788C">
        <w:rPr>
          <w:rFonts w:asciiTheme="minorHAnsi" w:hAnsiTheme="minorHAnsi" w:cs="AppleSystemUIFont"/>
          <w:sz w:val="22"/>
          <w:szCs w:val="22"/>
        </w:rPr>
        <w:t xml:space="preserve">, </w:t>
      </w:r>
      <w:r w:rsidR="000650DA" w:rsidRPr="00FE788C">
        <w:rPr>
          <w:rFonts w:asciiTheme="minorHAnsi" w:hAnsiTheme="minorHAnsi" w:cs="AppleSystemUIFont"/>
          <w:sz w:val="22"/>
          <w:szCs w:val="22"/>
        </w:rPr>
        <w:t>2015) who argues to increase democratic legitimacy the president should be a direct elect of the citizens.</w:t>
      </w:r>
      <w:r w:rsidR="003E3AE5" w:rsidRPr="00FE788C">
        <w:rPr>
          <w:rFonts w:asciiTheme="minorHAnsi" w:hAnsiTheme="minorHAnsi" w:cs="AppleSystemUIFont"/>
          <w:sz w:val="22"/>
          <w:szCs w:val="22"/>
        </w:rPr>
        <w:t xml:space="preserve"> </w:t>
      </w:r>
      <w:r w:rsidR="003E3AE5" w:rsidRPr="00FE788C">
        <w:rPr>
          <w:rFonts w:asciiTheme="minorHAnsi" w:hAnsiTheme="minorHAnsi"/>
          <w:sz w:val="22"/>
          <w:szCs w:val="22"/>
        </w:rPr>
        <w:t>The process of legitimising the appointment of the commission president was attempted through the Spitzenkandidaten process. This was used in the 2014 elections and was praised as adding democratic legitimacy to the commission as it allowed the president to be more representative of member state citizens (European Union, 2019). This process was however not continued into the 2019 elections due to the council challenging the process and complying with the pre 2014 procedure (</w:t>
      </w:r>
      <w:proofErr w:type="spellStart"/>
      <w:r w:rsidR="003E3AE5" w:rsidRPr="00FE788C">
        <w:rPr>
          <w:rFonts w:asciiTheme="minorHAnsi" w:hAnsiTheme="minorHAnsi"/>
          <w:sz w:val="22"/>
          <w:szCs w:val="22"/>
        </w:rPr>
        <w:t>Heidbreder</w:t>
      </w:r>
      <w:proofErr w:type="spellEnd"/>
      <w:r w:rsidR="003E3AE5" w:rsidRPr="00FE788C">
        <w:rPr>
          <w:rFonts w:asciiTheme="minorHAnsi" w:hAnsiTheme="minorHAnsi"/>
          <w:sz w:val="22"/>
          <w:szCs w:val="22"/>
        </w:rPr>
        <w:t xml:space="preserve"> and Schade, 2020). </w:t>
      </w:r>
    </w:p>
    <w:p w14:paraId="4BCA65FB" w14:textId="2E9AEC9F" w:rsidR="002A68B3" w:rsidRPr="00FE788C" w:rsidRDefault="006B0123" w:rsidP="00FE788C">
      <w:pPr>
        <w:spacing w:line="360" w:lineRule="auto"/>
        <w:rPr>
          <w:sz w:val="22"/>
          <w:szCs w:val="22"/>
        </w:rPr>
      </w:pPr>
      <w:r w:rsidRPr="00FE788C">
        <w:rPr>
          <w:sz w:val="22"/>
          <w:szCs w:val="22"/>
        </w:rPr>
        <w:t xml:space="preserve">The commission must act in a way that is completely independent to the other institutions and must do what is best for the </w:t>
      </w:r>
      <w:proofErr w:type="gramStart"/>
      <w:r w:rsidRPr="00FE788C">
        <w:rPr>
          <w:sz w:val="22"/>
          <w:szCs w:val="22"/>
        </w:rPr>
        <w:t xml:space="preserve">EU </w:t>
      </w:r>
      <w:r w:rsidR="00812493" w:rsidRPr="00FE788C">
        <w:rPr>
          <w:sz w:val="22"/>
          <w:szCs w:val="22"/>
        </w:rPr>
        <w:t>as a whole</w:t>
      </w:r>
      <w:proofErr w:type="gramEnd"/>
      <w:r w:rsidR="00812493" w:rsidRPr="00FE788C">
        <w:rPr>
          <w:sz w:val="22"/>
          <w:szCs w:val="22"/>
        </w:rPr>
        <w:t xml:space="preserve"> </w:t>
      </w:r>
      <w:r w:rsidRPr="00FE788C">
        <w:rPr>
          <w:sz w:val="22"/>
          <w:szCs w:val="22"/>
        </w:rPr>
        <w:t xml:space="preserve">(Art17 (3) TEU). </w:t>
      </w:r>
      <w:r w:rsidR="00F374EF" w:rsidRPr="00FE788C">
        <w:rPr>
          <w:sz w:val="22"/>
          <w:szCs w:val="22"/>
        </w:rPr>
        <w:t xml:space="preserve">The responsibility of holding member states to their obligations is held by the commission who must take the scenario to the Court of Justice if obligations are not met (TFEU, 1957). </w:t>
      </w:r>
      <w:r w:rsidR="00812493" w:rsidRPr="00FE788C">
        <w:rPr>
          <w:sz w:val="22"/>
          <w:szCs w:val="22"/>
        </w:rPr>
        <w:t>T</w:t>
      </w:r>
      <w:r w:rsidRPr="00FE788C">
        <w:rPr>
          <w:sz w:val="22"/>
          <w:szCs w:val="22"/>
        </w:rPr>
        <w:t>his promotes the criticism of the democratic deficit argument</w:t>
      </w:r>
      <w:r w:rsidR="006C6A39" w:rsidRPr="00FE788C">
        <w:rPr>
          <w:sz w:val="22"/>
          <w:szCs w:val="22"/>
        </w:rPr>
        <w:t xml:space="preserve"> within the institutions</w:t>
      </w:r>
      <w:r w:rsidRPr="00FE788C">
        <w:rPr>
          <w:sz w:val="22"/>
          <w:szCs w:val="22"/>
        </w:rPr>
        <w:t xml:space="preserve"> as it supports the view that the EU is representative of the member states and EU. </w:t>
      </w:r>
    </w:p>
    <w:p w14:paraId="738575BB" w14:textId="2EB72208" w:rsidR="00DA1E0E" w:rsidRPr="00FE788C" w:rsidRDefault="00DA1E0E" w:rsidP="00FE788C">
      <w:pPr>
        <w:spacing w:line="360" w:lineRule="auto"/>
        <w:rPr>
          <w:sz w:val="22"/>
          <w:szCs w:val="22"/>
        </w:rPr>
      </w:pPr>
    </w:p>
    <w:p w14:paraId="67967E63" w14:textId="7FB06264" w:rsidR="00F830F3" w:rsidRPr="00FE788C" w:rsidRDefault="00F830F3" w:rsidP="00FE788C">
      <w:pPr>
        <w:spacing w:line="360" w:lineRule="auto"/>
        <w:rPr>
          <w:sz w:val="22"/>
          <w:szCs w:val="22"/>
        </w:rPr>
      </w:pPr>
      <w:r w:rsidRPr="00FE788C">
        <w:rPr>
          <w:sz w:val="22"/>
          <w:szCs w:val="22"/>
        </w:rPr>
        <w:t xml:space="preserve">The European Council </w:t>
      </w:r>
      <w:r w:rsidR="00577DBD">
        <w:rPr>
          <w:sz w:val="22"/>
          <w:szCs w:val="22"/>
        </w:rPr>
        <w:t xml:space="preserve">is an executive body that </w:t>
      </w:r>
      <w:r w:rsidRPr="00FE788C">
        <w:rPr>
          <w:sz w:val="22"/>
          <w:szCs w:val="22"/>
        </w:rPr>
        <w:t>defines the ‘direction and priorities</w:t>
      </w:r>
      <w:r w:rsidR="00892D50">
        <w:rPr>
          <w:sz w:val="22"/>
          <w:szCs w:val="22"/>
        </w:rPr>
        <w:t>’</w:t>
      </w:r>
      <w:r w:rsidRPr="00FE788C">
        <w:rPr>
          <w:sz w:val="22"/>
          <w:szCs w:val="22"/>
        </w:rPr>
        <w:t xml:space="preserve"> of the European Union (Europa, </w:t>
      </w:r>
      <w:r w:rsidR="00000108" w:rsidRPr="00FE788C">
        <w:rPr>
          <w:sz w:val="22"/>
          <w:szCs w:val="22"/>
        </w:rPr>
        <w:t>2021</w:t>
      </w:r>
      <w:r w:rsidRPr="00FE788C">
        <w:rPr>
          <w:sz w:val="22"/>
          <w:szCs w:val="22"/>
        </w:rPr>
        <w:t>).</w:t>
      </w:r>
      <w:r w:rsidR="00E02DB2" w:rsidRPr="00FE788C">
        <w:rPr>
          <w:sz w:val="22"/>
          <w:szCs w:val="22"/>
        </w:rPr>
        <w:t xml:space="preserve"> The EU Council is made up of </w:t>
      </w:r>
      <w:r w:rsidR="00892D50">
        <w:rPr>
          <w:sz w:val="22"/>
          <w:szCs w:val="22"/>
        </w:rPr>
        <w:t>a</w:t>
      </w:r>
      <w:r w:rsidR="00E02DB2" w:rsidRPr="00FE788C">
        <w:rPr>
          <w:sz w:val="22"/>
          <w:szCs w:val="22"/>
        </w:rPr>
        <w:t xml:space="preserve"> representative from each member state (Consolidated Version of the TEU, 2008</w:t>
      </w:r>
      <w:r w:rsidR="00AB0BA9" w:rsidRPr="00FE788C">
        <w:rPr>
          <w:sz w:val="22"/>
          <w:szCs w:val="22"/>
        </w:rPr>
        <w:t>, Art 16(2)</w:t>
      </w:r>
      <w:r w:rsidR="00E02DB2" w:rsidRPr="00FE788C">
        <w:rPr>
          <w:sz w:val="22"/>
          <w:szCs w:val="22"/>
        </w:rPr>
        <w:t>)</w:t>
      </w:r>
      <w:r w:rsidR="000057E2" w:rsidRPr="00FE788C">
        <w:rPr>
          <w:sz w:val="22"/>
          <w:szCs w:val="22"/>
        </w:rPr>
        <w:t xml:space="preserve">. </w:t>
      </w:r>
      <w:r w:rsidR="00577DBD">
        <w:rPr>
          <w:sz w:val="22"/>
          <w:szCs w:val="22"/>
        </w:rPr>
        <w:t xml:space="preserve">Thus, ensuring each member state has a voice and encourages democratic legitimacy. </w:t>
      </w:r>
      <w:r w:rsidR="000057E2" w:rsidRPr="00FE788C">
        <w:rPr>
          <w:sz w:val="22"/>
          <w:szCs w:val="22"/>
        </w:rPr>
        <w:t xml:space="preserve">The EU Council acts by qualified majority (Consolidated Version of the TEU, 2008, Art 16(3)). </w:t>
      </w:r>
      <w:r w:rsidR="000057E2" w:rsidRPr="00FE788C">
        <w:rPr>
          <w:rFonts w:cs="AppleSystemUIFont"/>
          <w:sz w:val="22"/>
          <w:szCs w:val="22"/>
        </w:rPr>
        <w:t xml:space="preserve">Schuette (2019) points out that qualified majority voting ensures that ‘single state or small groups’ cannot prevent movements the majority supports. With </w:t>
      </w:r>
      <w:r w:rsidR="000057E2" w:rsidRPr="00FE788C">
        <w:rPr>
          <w:rFonts w:cs="AppleSystemUIFont"/>
          <w:sz w:val="22"/>
          <w:szCs w:val="22"/>
        </w:rPr>
        <w:lastRenderedPageBreak/>
        <w:t xml:space="preserve">unanimous decisions being </w:t>
      </w:r>
      <w:r w:rsidR="00D2201E" w:rsidRPr="00FE788C">
        <w:rPr>
          <w:rFonts w:cs="AppleSystemUIFont"/>
          <w:sz w:val="22"/>
          <w:szCs w:val="22"/>
        </w:rPr>
        <w:t>an idealistic aim,</w:t>
      </w:r>
      <w:r w:rsidR="000057E2" w:rsidRPr="00FE788C">
        <w:rPr>
          <w:rFonts w:cs="AppleSystemUIFont"/>
          <w:sz w:val="22"/>
          <w:szCs w:val="22"/>
        </w:rPr>
        <w:t xml:space="preserve"> this point promotes the argument against a democratic deficit as qualified majority voting allows the end goal to be representative of a larger proportion of member states rather that a small group blocking the action and the result being representative of a small group only.  </w:t>
      </w:r>
      <w:r w:rsidR="000057E2" w:rsidRPr="00FE788C">
        <w:rPr>
          <w:sz w:val="22"/>
          <w:szCs w:val="22"/>
        </w:rPr>
        <w:t xml:space="preserve"> </w:t>
      </w:r>
    </w:p>
    <w:p w14:paraId="630D3E7D" w14:textId="77777777" w:rsidR="00B23F1A" w:rsidRPr="00FE788C" w:rsidRDefault="00B23F1A" w:rsidP="00FE788C">
      <w:pPr>
        <w:spacing w:line="360" w:lineRule="auto"/>
        <w:rPr>
          <w:b/>
          <w:bCs/>
          <w:sz w:val="22"/>
          <w:szCs w:val="22"/>
          <w:u w:val="single"/>
        </w:rPr>
      </w:pPr>
    </w:p>
    <w:p w14:paraId="535E5462" w14:textId="79C860F7" w:rsidR="00B23F1A" w:rsidRPr="00FE788C" w:rsidRDefault="00057EC2" w:rsidP="00FE788C">
      <w:pPr>
        <w:spacing w:line="360" w:lineRule="auto"/>
        <w:rPr>
          <w:sz w:val="22"/>
          <w:szCs w:val="22"/>
        </w:rPr>
      </w:pPr>
      <w:r w:rsidRPr="00FE788C">
        <w:rPr>
          <w:sz w:val="22"/>
          <w:szCs w:val="22"/>
        </w:rPr>
        <w:t xml:space="preserve">The European Central Bank manages the euro and the EU ‘economic and monetary policy (European Union, </w:t>
      </w:r>
      <w:r w:rsidR="00000108" w:rsidRPr="00FE788C">
        <w:rPr>
          <w:sz w:val="22"/>
          <w:szCs w:val="22"/>
        </w:rPr>
        <w:t>2022</w:t>
      </w:r>
      <w:r w:rsidRPr="00FE788C">
        <w:rPr>
          <w:sz w:val="22"/>
          <w:szCs w:val="22"/>
        </w:rPr>
        <w:t xml:space="preserve">). </w:t>
      </w:r>
      <w:proofErr w:type="spellStart"/>
      <w:r w:rsidR="00B23F1A" w:rsidRPr="00FE788C">
        <w:rPr>
          <w:sz w:val="22"/>
          <w:szCs w:val="22"/>
        </w:rPr>
        <w:t>Krajewski</w:t>
      </w:r>
      <w:proofErr w:type="spellEnd"/>
      <w:r w:rsidR="00B23F1A" w:rsidRPr="00FE788C">
        <w:rPr>
          <w:sz w:val="22"/>
          <w:szCs w:val="22"/>
        </w:rPr>
        <w:t xml:space="preserve"> (2000, quoted in </w:t>
      </w:r>
      <w:proofErr w:type="spellStart"/>
      <w:r w:rsidR="00B23F1A" w:rsidRPr="00FE788C">
        <w:rPr>
          <w:sz w:val="22"/>
          <w:szCs w:val="22"/>
        </w:rPr>
        <w:t>Raustiala</w:t>
      </w:r>
      <w:proofErr w:type="spellEnd"/>
      <w:r w:rsidR="00B23F1A" w:rsidRPr="00FE788C">
        <w:rPr>
          <w:sz w:val="22"/>
          <w:szCs w:val="22"/>
        </w:rPr>
        <w:t>, 2003. P853) that the financial intuitions within the European Union are said to be ‘unaccountable and distant’ therefore strengthening the democratic deficit.</w:t>
      </w:r>
      <w:r w:rsidR="004830AE" w:rsidRPr="00FE788C">
        <w:rPr>
          <w:sz w:val="22"/>
          <w:szCs w:val="22"/>
        </w:rPr>
        <w:t xml:space="preserve"> </w:t>
      </w:r>
      <w:proofErr w:type="spellStart"/>
      <w:r w:rsidR="00E34BBE" w:rsidRPr="00FE788C">
        <w:rPr>
          <w:rFonts w:cs="AppleSystemUIFont"/>
          <w:sz w:val="22"/>
          <w:szCs w:val="22"/>
        </w:rPr>
        <w:t>Follesdal</w:t>
      </w:r>
      <w:proofErr w:type="spellEnd"/>
      <w:r w:rsidR="00E34BBE" w:rsidRPr="00FE788C">
        <w:rPr>
          <w:rFonts w:cs="AppleSystemUIFont"/>
          <w:sz w:val="22"/>
          <w:szCs w:val="22"/>
        </w:rPr>
        <w:t xml:space="preserve"> and Hix (2006) support this and argue that the delegation of powers within the EU institution weaken the EU parliament and strengthen the democratic deficit.</w:t>
      </w:r>
    </w:p>
    <w:p w14:paraId="62C05FF2" w14:textId="04B9CD38" w:rsidR="00EC6CD0" w:rsidRPr="00FE788C" w:rsidRDefault="00EC6CD0" w:rsidP="00FE788C">
      <w:pPr>
        <w:spacing w:line="360" w:lineRule="auto"/>
        <w:rPr>
          <w:sz w:val="22"/>
          <w:szCs w:val="22"/>
        </w:rPr>
      </w:pPr>
    </w:p>
    <w:p w14:paraId="67029324" w14:textId="11BA7923" w:rsidR="00EC6CD0" w:rsidRPr="00FE788C" w:rsidRDefault="0085086F" w:rsidP="00FE788C">
      <w:pPr>
        <w:spacing w:line="360" w:lineRule="auto"/>
        <w:rPr>
          <w:sz w:val="22"/>
          <w:szCs w:val="22"/>
        </w:rPr>
      </w:pPr>
      <w:r w:rsidRPr="00FE788C">
        <w:rPr>
          <w:sz w:val="22"/>
          <w:szCs w:val="22"/>
        </w:rPr>
        <w:t xml:space="preserve">The court of Justice of the EU (CJEU) </w:t>
      </w:r>
      <w:r w:rsidR="00C212EA">
        <w:rPr>
          <w:sz w:val="22"/>
          <w:szCs w:val="22"/>
        </w:rPr>
        <w:t xml:space="preserve">has a Judicial function. It </w:t>
      </w:r>
      <w:r w:rsidRPr="00FE788C">
        <w:rPr>
          <w:sz w:val="22"/>
          <w:szCs w:val="22"/>
        </w:rPr>
        <w:t xml:space="preserve">is made up of two courts: The court of Justice and the General court. The Court of Justice is made up of 1 Judge from each EU member state and 11 advocates whereas the general court is made up of 2 judges from each member state (European Union, No Date). </w:t>
      </w:r>
      <w:r w:rsidR="00892D50">
        <w:rPr>
          <w:sz w:val="22"/>
          <w:szCs w:val="22"/>
        </w:rPr>
        <w:t xml:space="preserve">However, in practice it would be difficult to put aside their national </w:t>
      </w:r>
      <w:r w:rsidR="004A20BB">
        <w:rPr>
          <w:sz w:val="22"/>
          <w:szCs w:val="22"/>
        </w:rPr>
        <w:t>interests,</w:t>
      </w:r>
      <w:r w:rsidR="00892D50">
        <w:rPr>
          <w:sz w:val="22"/>
          <w:szCs w:val="22"/>
        </w:rPr>
        <w:t xml:space="preserve"> so this brings question to how democratic the CJEU is to the European Union as a whole. </w:t>
      </w:r>
      <w:r w:rsidR="004010D9" w:rsidRPr="00FE788C">
        <w:rPr>
          <w:sz w:val="22"/>
          <w:szCs w:val="22"/>
        </w:rPr>
        <w:t xml:space="preserve">The judges who are appointed must be representative of the EU as a </w:t>
      </w:r>
      <w:proofErr w:type="gramStart"/>
      <w:r w:rsidR="004A20BB" w:rsidRPr="00FE788C">
        <w:rPr>
          <w:sz w:val="22"/>
          <w:szCs w:val="22"/>
        </w:rPr>
        <w:t>whole</w:t>
      </w:r>
      <w:r w:rsidR="004A20BB">
        <w:rPr>
          <w:sz w:val="22"/>
          <w:szCs w:val="22"/>
        </w:rPr>
        <w:t>;</w:t>
      </w:r>
      <w:proofErr w:type="gramEnd"/>
      <w:r w:rsidR="004010D9" w:rsidRPr="00FE788C">
        <w:rPr>
          <w:sz w:val="22"/>
          <w:szCs w:val="22"/>
        </w:rPr>
        <w:t xml:space="preserve"> rather than their member state. They will be appointed by a unanimous decision of all member states (Consolidated Version of TFEU, 2016, art 253)</w:t>
      </w:r>
      <w:r w:rsidR="00276FF0" w:rsidRPr="00FE788C">
        <w:rPr>
          <w:sz w:val="22"/>
          <w:szCs w:val="22"/>
        </w:rPr>
        <w:t xml:space="preserve">. This promotes democratic legitimacy as it ensures that the courts are representative of all member state citizens. </w:t>
      </w:r>
    </w:p>
    <w:p w14:paraId="1423F38F" w14:textId="42436427" w:rsidR="00A12BF7" w:rsidRPr="00FE788C" w:rsidRDefault="00A12BF7" w:rsidP="00FE788C">
      <w:pPr>
        <w:spacing w:line="360" w:lineRule="auto"/>
        <w:rPr>
          <w:sz w:val="22"/>
          <w:szCs w:val="22"/>
        </w:rPr>
      </w:pPr>
    </w:p>
    <w:p w14:paraId="535C50D3" w14:textId="39C5E026" w:rsidR="00A6338B" w:rsidRPr="00FE788C" w:rsidRDefault="00A12BF7" w:rsidP="00FE788C">
      <w:pPr>
        <w:spacing w:line="360" w:lineRule="auto"/>
        <w:rPr>
          <w:sz w:val="22"/>
          <w:szCs w:val="22"/>
        </w:rPr>
      </w:pPr>
      <w:r w:rsidRPr="00FE788C">
        <w:rPr>
          <w:sz w:val="22"/>
          <w:szCs w:val="22"/>
        </w:rPr>
        <w:t xml:space="preserve">The role of the CJEU is </w:t>
      </w:r>
      <w:r w:rsidR="00C212EA">
        <w:rPr>
          <w:sz w:val="22"/>
          <w:szCs w:val="22"/>
        </w:rPr>
        <w:t>to</w:t>
      </w:r>
      <w:r w:rsidRPr="00FE788C">
        <w:rPr>
          <w:sz w:val="22"/>
          <w:szCs w:val="22"/>
        </w:rPr>
        <w:t xml:space="preserve"> interpret the EU law and ensure it is applied appropriately throughout the EU (European Union, </w:t>
      </w:r>
      <w:r w:rsidR="000236F6" w:rsidRPr="00FE788C">
        <w:rPr>
          <w:sz w:val="22"/>
          <w:szCs w:val="22"/>
        </w:rPr>
        <w:t>2022</w:t>
      </w:r>
      <w:r w:rsidRPr="00FE788C">
        <w:rPr>
          <w:sz w:val="22"/>
          <w:szCs w:val="22"/>
        </w:rPr>
        <w:t xml:space="preserve">). </w:t>
      </w:r>
      <w:r w:rsidR="00276FF0" w:rsidRPr="00FE788C">
        <w:rPr>
          <w:sz w:val="22"/>
          <w:szCs w:val="22"/>
        </w:rPr>
        <w:t xml:space="preserve">The </w:t>
      </w:r>
      <w:r w:rsidRPr="00FE788C">
        <w:rPr>
          <w:sz w:val="22"/>
          <w:szCs w:val="22"/>
        </w:rPr>
        <w:t>CJEU</w:t>
      </w:r>
      <w:r w:rsidR="00276FF0" w:rsidRPr="00FE788C">
        <w:rPr>
          <w:sz w:val="22"/>
          <w:szCs w:val="22"/>
        </w:rPr>
        <w:t xml:space="preserve"> allows individuals to initiate proceedings against acts created by institutions (TFEU, art 263). This promotes democratic legitimacy as it holds institutions accountable and ensure the procedures </w:t>
      </w:r>
      <w:r w:rsidR="00A6338B" w:rsidRPr="00FE788C">
        <w:rPr>
          <w:sz w:val="22"/>
          <w:szCs w:val="22"/>
        </w:rPr>
        <w:t>of the EU are transparent (</w:t>
      </w:r>
      <w:proofErr w:type="spellStart"/>
      <w:r w:rsidR="00A6338B" w:rsidRPr="00FE788C">
        <w:rPr>
          <w:rFonts w:cs="AppleSystemUIFont"/>
          <w:sz w:val="22"/>
          <w:szCs w:val="22"/>
        </w:rPr>
        <w:t>Lenaerts</w:t>
      </w:r>
      <w:proofErr w:type="spellEnd"/>
      <w:r w:rsidR="00A6338B" w:rsidRPr="00FE788C">
        <w:rPr>
          <w:rFonts w:cs="AppleSystemUIFont"/>
          <w:sz w:val="22"/>
          <w:szCs w:val="22"/>
        </w:rPr>
        <w:t>, 2013).</w:t>
      </w:r>
      <w:r w:rsidR="00C212EA">
        <w:rPr>
          <w:rFonts w:cs="AppleSystemUIFont"/>
          <w:sz w:val="22"/>
          <w:szCs w:val="22"/>
        </w:rPr>
        <w:t xml:space="preserve"> </w:t>
      </w:r>
    </w:p>
    <w:p w14:paraId="5EB91A69" w14:textId="77777777" w:rsidR="00A6338B" w:rsidRPr="00FE788C" w:rsidRDefault="00A6338B" w:rsidP="00FE788C">
      <w:pPr>
        <w:spacing w:line="360" w:lineRule="auto"/>
        <w:rPr>
          <w:sz w:val="22"/>
          <w:szCs w:val="22"/>
        </w:rPr>
      </w:pPr>
    </w:p>
    <w:p w14:paraId="40ED7EEC" w14:textId="50E0B423" w:rsidR="00A12BF7" w:rsidRPr="00FE788C" w:rsidRDefault="00A12BF7" w:rsidP="00FE788C">
      <w:pPr>
        <w:spacing w:line="360" w:lineRule="auto"/>
        <w:rPr>
          <w:sz w:val="22"/>
          <w:szCs w:val="22"/>
        </w:rPr>
      </w:pPr>
      <w:r w:rsidRPr="00FE788C">
        <w:rPr>
          <w:sz w:val="22"/>
          <w:szCs w:val="22"/>
        </w:rPr>
        <w:t>Lastly the</w:t>
      </w:r>
      <w:r w:rsidR="00A6338B" w:rsidRPr="00FE788C">
        <w:rPr>
          <w:sz w:val="22"/>
          <w:szCs w:val="22"/>
        </w:rPr>
        <w:t xml:space="preserve"> institution of The</w:t>
      </w:r>
      <w:r w:rsidRPr="00FE788C">
        <w:rPr>
          <w:sz w:val="22"/>
          <w:szCs w:val="22"/>
        </w:rPr>
        <w:t xml:space="preserve"> Court of auditors of the EU is</w:t>
      </w:r>
      <w:r w:rsidR="00A6338B" w:rsidRPr="00FE788C">
        <w:rPr>
          <w:sz w:val="22"/>
          <w:szCs w:val="22"/>
        </w:rPr>
        <w:t xml:space="preserve"> </w:t>
      </w:r>
      <w:r w:rsidRPr="00FE788C">
        <w:rPr>
          <w:sz w:val="22"/>
          <w:szCs w:val="22"/>
        </w:rPr>
        <w:t>responsible for ensuring monies within the EU institutions are accounted for (TFEU, 2012, art 2</w:t>
      </w:r>
      <w:r w:rsidR="00F13BEC" w:rsidRPr="00FE788C">
        <w:rPr>
          <w:sz w:val="22"/>
          <w:szCs w:val="22"/>
        </w:rPr>
        <w:t>86</w:t>
      </w:r>
      <w:r w:rsidRPr="00FE788C">
        <w:rPr>
          <w:sz w:val="22"/>
          <w:szCs w:val="22"/>
        </w:rPr>
        <w:t xml:space="preserve"> (4)).</w:t>
      </w:r>
      <w:r w:rsidR="00F13BEC" w:rsidRPr="00FE788C">
        <w:rPr>
          <w:sz w:val="22"/>
          <w:szCs w:val="22"/>
        </w:rPr>
        <w:t xml:space="preserve"> Theis institution is made up of one member from each member state who must be completely independent in their duties (TFEU, 2012, art 285).</w:t>
      </w:r>
      <w:r w:rsidR="00A6338B" w:rsidRPr="00FE788C">
        <w:rPr>
          <w:sz w:val="22"/>
          <w:szCs w:val="22"/>
        </w:rPr>
        <w:t xml:space="preserve"> This promotes democratic legitimacy within the institutions of the EU as it ensures transparency and accountability. </w:t>
      </w:r>
    </w:p>
    <w:p w14:paraId="51B183CE" w14:textId="221A5ED0" w:rsidR="00DA1E0E" w:rsidRPr="00FE788C" w:rsidRDefault="00DA1E0E" w:rsidP="00FE788C">
      <w:pPr>
        <w:spacing w:line="360" w:lineRule="auto"/>
        <w:rPr>
          <w:sz w:val="22"/>
          <w:szCs w:val="22"/>
        </w:rPr>
      </w:pPr>
    </w:p>
    <w:p w14:paraId="7076C5B9" w14:textId="6B5B190B" w:rsidR="003E3AE5" w:rsidRPr="00FE788C" w:rsidRDefault="00083DDD" w:rsidP="00FE788C">
      <w:pPr>
        <w:spacing w:line="360" w:lineRule="auto"/>
        <w:rPr>
          <w:sz w:val="22"/>
          <w:szCs w:val="22"/>
        </w:rPr>
      </w:pPr>
      <w:r w:rsidRPr="00FE788C">
        <w:rPr>
          <w:sz w:val="22"/>
          <w:szCs w:val="22"/>
        </w:rPr>
        <w:t xml:space="preserve">In conclusion there is clearly an argument for a democratic deficit within the European Union. </w:t>
      </w:r>
      <w:r w:rsidR="000650DA" w:rsidRPr="00FE788C">
        <w:rPr>
          <w:sz w:val="22"/>
          <w:szCs w:val="22"/>
        </w:rPr>
        <w:t>However</w:t>
      </w:r>
      <w:r w:rsidR="003E3AE5" w:rsidRPr="00FE788C">
        <w:rPr>
          <w:sz w:val="22"/>
          <w:szCs w:val="22"/>
        </w:rPr>
        <w:t>,</w:t>
      </w:r>
      <w:r w:rsidR="000650DA" w:rsidRPr="00FE788C">
        <w:rPr>
          <w:sz w:val="22"/>
          <w:szCs w:val="22"/>
        </w:rPr>
        <w:t xml:space="preserve"> the institution </w:t>
      </w:r>
      <w:r w:rsidRPr="00FE788C">
        <w:rPr>
          <w:sz w:val="22"/>
          <w:szCs w:val="22"/>
        </w:rPr>
        <w:t xml:space="preserve">such as </w:t>
      </w:r>
      <w:r w:rsidR="000650DA" w:rsidRPr="00FE788C">
        <w:rPr>
          <w:sz w:val="22"/>
          <w:szCs w:val="22"/>
        </w:rPr>
        <w:t xml:space="preserve">the Court of Justice and the Commission holding the other </w:t>
      </w:r>
      <w:r w:rsidR="000650DA" w:rsidRPr="00FE788C">
        <w:rPr>
          <w:sz w:val="22"/>
          <w:szCs w:val="22"/>
        </w:rPr>
        <w:lastRenderedPageBreak/>
        <w:t>institutions accountable to be representative shows that there are steps</w:t>
      </w:r>
      <w:r w:rsidRPr="00FE788C">
        <w:rPr>
          <w:sz w:val="22"/>
          <w:szCs w:val="22"/>
        </w:rPr>
        <w:t xml:space="preserve"> in place</w:t>
      </w:r>
      <w:r w:rsidR="000650DA" w:rsidRPr="00FE788C">
        <w:rPr>
          <w:sz w:val="22"/>
          <w:szCs w:val="22"/>
        </w:rPr>
        <w:t xml:space="preserve"> to </w:t>
      </w:r>
      <w:r w:rsidRPr="00FE788C">
        <w:rPr>
          <w:sz w:val="22"/>
          <w:szCs w:val="22"/>
        </w:rPr>
        <w:t>minimise the</w:t>
      </w:r>
      <w:r w:rsidR="000650DA" w:rsidRPr="00FE788C">
        <w:rPr>
          <w:sz w:val="22"/>
          <w:szCs w:val="22"/>
        </w:rPr>
        <w:t xml:space="preserve"> democratic deficit. </w:t>
      </w:r>
      <w:r w:rsidRPr="00FE788C">
        <w:rPr>
          <w:sz w:val="22"/>
          <w:szCs w:val="22"/>
        </w:rPr>
        <w:t xml:space="preserve">Although a relevant question to ask is how </w:t>
      </w:r>
      <w:r w:rsidR="003E3AE5" w:rsidRPr="00FE788C">
        <w:rPr>
          <w:sz w:val="22"/>
          <w:szCs w:val="22"/>
        </w:rPr>
        <w:t xml:space="preserve">representative </w:t>
      </w:r>
      <w:r w:rsidRPr="00FE788C">
        <w:rPr>
          <w:sz w:val="22"/>
          <w:szCs w:val="22"/>
        </w:rPr>
        <w:t xml:space="preserve">any institution, or the </w:t>
      </w:r>
      <w:proofErr w:type="gramStart"/>
      <w:r w:rsidRPr="00FE788C">
        <w:rPr>
          <w:sz w:val="22"/>
          <w:szCs w:val="22"/>
        </w:rPr>
        <w:t>EU as a whole, could</w:t>
      </w:r>
      <w:proofErr w:type="gramEnd"/>
      <w:r w:rsidRPr="00FE788C">
        <w:rPr>
          <w:sz w:val="22"/>
          <w:szCs w:val="22"/>
        </w:rPr>
        <w:t xml:space="preserve"> </w:t>
      </w:r>
      <w:r w:rsidR="003E3AE5" w:rsidRPr="00FE788C">
        <w:rPr>
          <w:sz w:val="22"/>
          <w:szCs w:val="22"/>
        </w:rPr>
        <w:t xml:space="preserve">truly </w:t>
      </w:r>
      <w:r w:rsidRPr="00FE788C">
        <w:rPr>
          <w:sz w:val="22"/>
          <w:szCs w:val="22"/>
        </w:rPr>
        <w:t>be</w:t>
      </w:r>
      <w:r w:rsidR="003E3AE5" w:rsidRPr="00FE788C">
        <w:rPr>
          <w:sz w:val="22"/>
          <w:szCs w:val="22"/>
        </w:rPr>
        <w:t xml:space="preserve"> when only 50.66% of the EU citizens voted them into power. </w:t>
      </w:r>
      <w:r w:rsidR="00892D50">
        <w:rPr>
          <w:sz w:val="22"/>
          <w:szCs w:val="22"/>
        </w:rPr>
        <w:t xml:space="preserve">There is support that changed to the delegation of powers and how the commission elects their president could increase the balance within the European Union and thus reduce the democratic deficit within the EU institutions </w:t>
      </w:r>
      <w:proofErr w:type="spellStart"/>
      <w:r w:rsidR="00892D50">
        <w:rPr>
          <w:sz w:val="22"/>
          <w:szCs w:val="22"/>
        </w:rPr>
        <w:t>Vesnic-Alujevic</w:t>
      </w:r>
      <w:proofErr w:type="spellEnd"/>
      <w:r w:rsidR="00892D50">
        <w:rPr>
          <w:sz w:val="22"/>
          <w:szCs w:val="22"/>
        </w:rPr>
        <w:t xml:space="preserve"> and </w:t>
      </w:r>
      <w:proofErr w:type="spellStart"/>
      <w:r w:rsidR="00892D50">
        <w:rPr>
          <w:sz w:val="22"/>
          <w:szCs w:val="22"/>
        </w:rPr>
        <w:t>Nacarino</w:t>
      </w:r>
      <w:proofErr w:type="spellEnd"/>
      <w:r w:rsidR="00892D50">
        <w:rPr>
          <w:sz w:val="22"/>
          <w:szCs w:val="22"/>
        </w:rPr>
        <w:t>, 2012).</w:t>
      </w:r>
    </w:p>
    <w:p w14:paraId="7FCE7CBC" w14:textId="2F943F2B" w:rsidR="00DA1E0E" w:rsidRPr="00C212EA" w:rsidRDefault="00DA1E0E">
      <w:pPr>
        <w:pBdr>
          <w:bottom w:val="single" w:sz="6" w:space="1" w:color="auto"/>
        </w:pBdr>
      </w:pPr>
    </w:p>
    <w:p w14:paraId="7D166C2E" w14:textId="77777777" w:rsidR="00DA1E0E" w:rsidRDefault="00DA1E0E"/>
    <w:p w14:paraId="473E3825" w14:textId="4941ABD3" w:rsidR="00DA1E0E" w:rsidRPr="00DA1E0E" w:rsidRDefault="00DA1E0E">
      <w:pPr>
        <w:rPr>
          <w:b/>
          <w:bCs/>
          <w:sz w:val="28"/>
          <w:szCs w:val="28"/>
          <w:u w:val="single"/>
        </w:rPr>
      </w:pPr>
      <w:r w:rsidRPr="00DA1E0E">
        <w:rPr>
          <w:b/>
          <w:bCs/>
          <w:sz w:val="28"/>
          <w:szCs w:val="28"/>
          <w:u w:val="single"/>
        </w:rPr>
        <w:t>References</w:t>
      </w:r>
    </w:p>
    <w:p w14:paraId="3B59CF79" w14:textId="77777777" w:rsidR="00C212EA" w:rsidRPr="00000108" w:rsidRDefault="00C212EA" w:rsidP="00C212EA">
      <w:pPr>
        <w:rPr>
          <w:sz w:val="22"/>
          <w:szCs w:val="22"/>
        </w:rPr>
      </w:pPr>
    </w:p>
    <w:p w14:paraId="3F051EE2" w14:textId="77777777" w:rsidR="0011775A" w:rsidRPr="00C212EA" w:rsidRDefault="0011775A" w:rsidP="00C212EA">
      <w:pPr>
        <w:spacing w:line="360" w:lineRule="auto"/>
        <w:ind w:left="1080"/>
        <w:rPr>
          <w:sz w:val="21"/>
          <w:szCs w:val="21"/>
        </w:rPr>
      </w:pPr>
    </w:p>
    <w:p w14:paraId="427E8DFB" w14:textId="77777777" w:rsidR="0011775A" w:rsidRPr="00C212EA" w:rsidRDefault="0011775A" w:rsidP="00C212EA">
      <w:pPr>
        <w:spacing w:line="360" w:lineRule="auto"/>
        <w:ind w:left="1080"/>
        <w:rPr>
          <w:sz w:val="21"/>
          <w:szCs w:val="21"/>
        </w:rPr>
      </w:pPr>
      <w:r w:rsidRPr="00C212EA">
        <w:rPr>
          <w:sz w:val="21"/>
          <w:szCs w:val="21"/>
        </w:rPr>
        <w:t xml:space="preserve">Ayres, S (2014) ‘European Parliament </w:t>
      </w:r>
      <w:proofErr w:type="spellStart"/>
      <w:r w:rsidRPr="00C212EA">
        <w:rPr>
          <w:sz w:val="21"/>
          <w:szCs w:val="21"/>
        </w:rPr>
        <w:t>Elevtions</w:t>
      </w:r>
      <w:proofErr w:type="spellEnd"/>
      <w:r w:rsidRPr="00C212EA">
        <w:rPr>
          <w:sz w:val="21"/>
          <w:szCs w:val="21"/>
        </w:rPr>
        <w:t xml:space="preserve">: Turnout trends, 1979 – 2009’ </w:t>
      </w:r>
      <w:r w:rsidRPr="00C212EA">
        <w:rPr>
          <w:i/>
          <w:iCs/>
          <w:sz w:val="21"/>
          <w:szCs w:val="21"/>
        </w:rPr>
        <w:t>House of Commons Library</w:t>
      </w:r>
      <w:r w:rsidRPr="00C212EA">
        <w:rPr>
          <w:sz w:val="21"/>
          <w:szCs w:val="21"/>
        </w:rPr>
        <w:t xml:space="preserve">. Available at: </w:t>
      </w:r>
      <w:hyperlink r:id="rId5" w:history="1">
        <w:r w:rsidRPr="00C212EA">
          <w:rPr>
            <w:rStyle w:val="Hyperlink"/>
            <w:sz w:val="21"/>
            <w:szCs w:val="21"/>
          </w:rPr>
          <w:t>https://researchbriefings.files.parliament.uk/documents/SN06865/SN06865.pdf</w:t>
        </w:r>
      </w:hyperlink>
      <w:r w:rsidRPr="00C212EA">
        <w:rPr>
          <w:sz w:val="21"/>
          <w:szCs w:val="21"/>
        </w:rPr>
        <w:t xml:space="preserve"> (Accessed on: 22</w:t>
      </w:r>
      <w:r w:rsidRPr="00C212EA">
        <w:rPr>
          <w:sz w:val="21"/>
          <w:szCs w:val="21"/>
          <w:vertAlign w:val="superscript"/>
        </w:rPr>
        <w:t>nd</w:t>
      </w:r>
      <w:r w:rsidRPr="00C212EA">
        <w:rPr>
          <w:sz w:val="21"/>
          <w:szCs w:val="21"/>
        </w:rPr>
        <w:t xml:space="preserve"> February 2022)</w:t>
      </w:r>
    </w:p>
    <w:p w14:paraId="0C19B3C6" w14:textId="77777777" w:rsidR="0011775A" w:rsidRPr="00480285" w:rsidRDefault="0011775A" w:rsidP="00C212EA">
      <w:pPr>
        <w:spacing w:line="360" w:lineRule="auto"/>
        <w:ind w:left="1080"/>
        <w:rPr>
          <w:sz w:val="21"/>
          <w:szCs w:val="21"/>
        </w:rPr>
      </w:pPr>
      <w:r>
        <w:rPr>
          <w:sz w:val="21"/>
          <w:szCs w:val="21"/>
        </w:rPr>
        <w:t xml:space="preserve">Council of European Union (2001) </w:t>
      </w:r>
      <w:r>
        <w:rPr>
          <w:i/>
          <w:iCs/>
          <w:sz w:val="21"/>
          <w:szCs w:val="21"/>
        </w:rPr>
        <w:t xml:space="preserve">European Council Meeting in </w:t>
      </w:r>
      <w:proofErr w:type="spellStart"/>
      <w:r>
        <w:rPr>
          <w:i/>
          <w:iCs/>
          <w:sz w:val="21"/>
          <w:szCs w:val="21"/>
        </w:rPr>
        <w:t>Laeken</w:t>
      </w:r>
      <w:proofErr w:type="spellEnd"/>
      <w:r>
        <w:rPr>
          <w:i/>
          <w:iCs/>
          <w:sz w:val="21"/>
          <w:szCs w:val="21"/>
        </w:rPr>
        <w:t xml:space="preserve"> 14 and 15 December 2001. </w:t>
      </w:r>
      <w:r>
        <w:rPr>
          <w:sz w:val="21"/>
          <w:szCs w:val="21"/>
        </w:rPr>
        <w:t xml:space="preserve">Available at: </w:t>
      </w:r>
      <w:hyperlink r:id="rId6" w:history="1">
        <w:r w:rsidRPr="006327AF">
          <w:rPr>
            <w:rStyle w:val="Hyperlink"/>
            <w:sz w:val="21"/>
            <w:szCs w:val="21"/>
          </w:rPr>
          <w:t>https://www.consilium.europa.eu/media/20950/68827.pdf</w:t>
        </w:r>
      </w:hyperlink>
      <w:r>
        <w:rPr>
          <w:sz w:val="21"/>
          <w:szCs w:val="21"/>
        </w:rPr>
        <w:t xml:space="preserve"> (Accessed on: 23</w:t>
      </w:r>
      <w:r w:rsidRPr="00480285">
        <w:rPr>
          <w:sz w:val="21"/>
          <w:szCs w:val="21"/>
          <w:vertAlign w:val="superscript"/>
        </w:rPr>
        <w:t>rd</w:t>
      </w:r>
      <w:r>
        <w:rPr>
          <w:sz w:val="21"/>
          <w:szCs w:val="21"/>
        </w:rPr>
        <w:t xml:space="preserve"> February 2022)</w:t>
      </w:r>
    </w:p>
    <w:p w14:paraId="51126162" w14:textId="77777777" w:rsidR="0011775A" w:rsidRPr="00C212EA" w:rsidRDefault="0011775A" w:rsidP="00C212EA">
      <w:pPr>
        <w:spacing w:line="360" w:lineRule="auto"/>
        <w:ind w:left="1080"/>
        <w:rPr>
          <w:sz w:val="21"/>
          <w:szCs w:val="21"/>
        </w:rPr>
      </w:pPr>
      <w:proofErr w:type="spellStart"/>
      <w:r w:rsidRPr="00C212EA">
        <w:rPr>
          <w:sz w:val="21"/>
          <w:szCs w:val="21"/>
        </w:rPr>
        <w:t>Crombez</w:t>
      </w:r>
      <w:proofErr w:type="spellEnd"/>
      <w:r w:rsidRPr="00C212EA">
        <w:rPr>
          <w:sz w:val="21"/>
          <w:szCs w:val="21"/>
        </w:rPr>
        <w:t xml:space="preserve">, C (2003) ‘The Democratic Deficit in the European Union’ </w:t>
      </w:r>
      <w:r w:rsidRPr="00C212EA">
        <w:rPr>
          <w:i/>
          <w:iCs/>
          <w:sz w:val="21"/>
          <w:szCs w:val="21"/>
        </w:rPr>
        <w:t xml:space="preserve">Sage Journals. </w:t>
      </w:r>
      <w:r w:rsidRPr="00C212EA">
        <w:rPr>
          <w:sz w:val="21"/>
          <w:szCs w:val="21"/>
        </w:rPr>
        <w:t xml:space="preserve">Vol. 4(1) Page 101 – 120. Available at: </w:t>
      </w:r>
      <w:hyperlink r:id="rId7" w:history="1">
        <w:r w:rsidRPr="00C212EA">
          <w:rPr>
            <w:rStyle w:val="Hyperlink"/>
            <w:sz w:val="21"/>
            <w:szCs w:val="21"/>
          </w:rPr>
          <w:t>https://moodle.uwtsd.ac.uk/pluginfile.php/564456/mod_resource/content/0/Crombez%20%282003%29.pdf</w:t>
        </w:r>
      </w:hyperlink>
      <w:r w:rsidRPr="00C212EA">
        <w:rPr>
          <w:sz w:val="21"/>
          <w:szCs w:val="21"/>
        </w:rPr>
        <w:t xml:space="preserve"> (Accessed on: 12</w:t>
      </w:r>
      <w:r w:rsidRPr="00C212EA">
        <w:rPr>
          <w:sz w:val="21"/>
          <w:szCs w:val="21"/>
          <w:vertAlign w:val="superscript"/>
        </w:rPr>
        <w:t>th</w:t>
      </w:r>
      <w:r w:rsidRPr="00C212EA">
        <w:rPr>
          <w:sz w:val="21"/>
          <w:szCs w:val="21"/>
        </w:rPr>
        <w:t xml:space="preserve"> February 2022). </w:t>
      </w:r>
    </w:p>
    <w:p w14:paraId="492EDE1E" w14:textId="77777777" w:rsidR="0011775A" w:rsidRPr="00C212EA" w:rsidRDefault="0011775A" w:rsidP="00C212EA">
      <w:pPr>
        <w:spacing w:line="360" w:lineRule="auto"/>
        <w:ind w:left="1080"/>
        <w:rPr>
          <w:sz w:val="21"/>
          <w:szCs w:val="21"/>
        </w:rPr>
      </w:pPr>
      <w:r w:rsidRPr="00C212EA">
        <w:rPr>
          <w:sz w:val="21"/>
          <w:szCs w:val="21"/>
        </w:rPr>
        <w:t xml:space="preserve">Crum, B (2005) ‘Tailoring Representative Democracy to the European Union: Does the European Constitution Reduce the Democratic Deficit?’ </w:t>
      </w:r>
      <w:r w:rsidRPr="00C212EA">
        <w:rPr>
          <w:i/>
          <w:iCs/>
          <w:sz w:val="21"/>
          <w:szCs w:val="21"/>
        </w:rPr>
        <w:t xml:space="preserve">European Law Journal. </w:t>
      </w:r>
      <w:r w:rsidRPr="00C212EA">
        <w:rPr>
          <w:sz w:val="21"/>
          <w:szCs w:val="21"/>
        </w:rPr>
        <w:t xml:space="preserve">Vol 11(4). Page 452 – 467 Available at: </w:t>
      </w:r>
      <w:hyperlink r:id="rId8" w:history="1">
        <w:r w:rsidRPr="00C212EA">
          <w:rPr>
            <w:rStyle w:val="Hyperlink"/>
            <w:sz w:val="21"/>
            <w:szCs w:val="21"/>
          </w:rPr>
          <w:t>https://web-p-ebscohost-com.ezproxy.uwtsd.ac.uk/ehost/pdfviewer/pdfviewer?vid=1&amp;sid=dc2d96bd-b75c-46ea-89a4-ecd7d5556c1c%40redis</w:t>
        </w:r>
      </w:hyperlink>
      <w:r w:rsidRPr="00C212EA">
        <w:rPr>
          <w:sz w:val="21"/>
          <w:szCs w:val="21"/>
        </w:rPr>
        <w:t xml:space="preserve"> (Accessed on: 13</w:t>
      </w:r>
      <w:r w:rsidRPr="00C212EA">
        <w:rPr>
          <w:sz w:val="21"/>
          <w:szCs w:val="21"/>
          <w:vertAlign w:val="superscript"/>
        </w:rPr>
        <w:t>th</w:t>
      </w:r>
      <w:r w:rsidRPr="00C212EA">
        <w:rPr>
          <w:sz w:val="21"/>
          <w:szCs w:val="21"/>
        </w:rPr>
        <w:t xml:space="preserve"> February 2022).</w:t>
      </w:r>
    </w:p>
    <w:p w14:paraId="260C05DC" w14:textId="77777777" w:rsidR="0011775A" w:rsidRPr="00C212EA" w:rsidRDefault="0011775A" w:rsidP="00C212EA">
      <w:pPr>
        <w:spacing w:line="360" w:lineRule="auto"/>
        <w:ind w:left="1080"/>
        <w:rPr>
          <w:sz w:val="21"/>
          <w:szCs w:val="21"/>
        </w:rPr>
      </w:pPr>
      <w:r w:rsidRPr="00C212EA">
        <w:rPr>
          <w:sz w:val="21"/>
          <w:szCs w:val="21"/>
        </w:rPr>
        <w:t xml:space="preserve">Europa (2021) </w:t>
      </w:r>
      <w:r w:rsidRPr="00C212EA">
        <w:rPr>
          <w:i/>
          <w:iCs/>
          <w:sz w:val="21"/>
          <w:szCs w:val="21"/>
        </w:rPr>
        <w:t xml:space="preserve">European Council. </w:t>
      </w:r>
      <w:r w:rsidRPr="00C212EA">
        <w:rPr>
          <w:sz w:val="21"/>
          <w:szCs w:val="21"/>
        </w:rPr>
        <w:t xml:space="preserve">Available at: </w:t>
      </w:r>
      <w:hyperlink r:id="rId9" w:history="1">
        <w:r w:rsidRPr="00C212EA">
          <w:rPr>
            <w:rStyle w:val="Hyperlink"/>
            <w:sz w:val="21"/>
            <w:szCs w:val="21"/>
          </w:rPr>
          <w:t>https://www.consilium.europa.eu/en/european-cou</w:t>
        </w:r>
        <w:r w:rsidRPr="00C212EA">
          <w:rPr>
            <w:rStyle w:val="Hyperlink"/>
            <w:sz w:val="21"/>
            <w:szCs w:val="21"/>
          </w:rPr>
          <w:t>n</w:t>
        </w:r>
        <w:r w:rsidRPr="00C212EA">
          <w:rPr>
            <w:rStyle w:val="Hyperlink"/>
            <w:sz w:val="21"/>
            <w:szCs w:val="21"/>
          </w:rPr>
          <w:t>cil/</w:t>
        </w:r>
      </w:hyperlink>
      <w:r w:rsidRPr="00C212EA">
        <w:rPr>
          <w:sz w:val="21"/>
          <w:szCs w:val="21"/>
        </w:rPr>
        <w:t xml:space="preserve"> (Accessed on: 18</w:t>
      </w:r>
      <w:r w:rsidRPr="00C212EA">
        <w:rPr>
          <w:sz w:val="21"/>
          <w:szCs w:val="21"/>
          <w:vertAlign w:val="superscript"/>
        </w:rPr>
        <w:t>th</w:t>
      </w:r>
      <w:r w:rsidRPr="00C212EA">
        <w:rPr>
          <w:sz w:val="21"/>
          <w:szCs w:val="21"/>
        </w:rPr>
        <w:t xml:space="preserve"> February 2022) </w:t>
      </w:r>
    </w:p>
    <w:p w14:paraId="36497E0C" w14:textId="77777777" w:rsidR="0011775A" w:rsidRPr="00C212EA" w:rsidRDefault="0011775A" w:rsidP="00C212EA">
      <w:pPr>
        <w:spacing w:line="360" w:lineRule="auto"/>
        <w:ind w:left="1080"/>
        <w:rPr>
          <w:sz w:val="21"/>
          <w:szCs w:val="21"/>
        </w:rPr>
      </w:pPr>
      <w:r w:rsidRPr="00C212EA">
        <w:rPr>
          <w:sz w:val="21"/>
          <w:szCs w:val="21"/>
        </w:rPr>
        <w:t xml:space="preserve">European Commission (2022) </w:t>
      </w:r>
      <w:r w:rsidRPr="00C212EA">
        <w:rPr>
          <w:i/>
          <w:iCs/>
          <w:sz w:val="21"/>
          <w:szCs w:val="21"/>
        </w:rPr>
        <w:t xml:space="preserve">A New Push for European Democracy </w:t>
      </w:r>
      <w:r w:rsidRPr="00C212EA">
        <w:rPr>
          <w:sz w:val="21"/>
          <w:szCs w:val="21"/>
        </w:rPr>
        <w:t xml:space="preserve">Available at: </w:t>
      </w:r>
      <w:hyperlink r:id="rId10" w:history="1">
        <w:r w:rsidRPr="00C212EA">
          <w:rPr>
            <w:rStyle w:val="Hyperlink"/>
            <w:sz w:val="21"/>
            <w:szCs w:val="21"/>
          </w:rPr>
          <w:t>https://ec.europa.eu/info/strategy/priorities-2019-2024/</w:t>
        </w:r>
        <w:r w:rsidRPr="00C212EA">
          <w:rPr>
            <w:rStyle w:val="Hyperlink"/>
            <w:sz w:val="21"/>
            <w:szCs w:val="21"/>
          </w:rPr>
          <w:t>n</w:t>
        </w:r>
        <w:r w:rsidRPr="00C212EA">
          <w:rPr>
            <w:rStyle w:val="Hyperlink"/>
            <w:sz w:val="21"/>
            <w:szCs w:val="21"/>
          </w:rPr>
          <w:t>ew-push-european-democracy_en</w:t>
        </w:r>
      </w:hyperlink>
      <w:r w:rsidRPr="00C212EA">
        <w:rPr>
          <w:sz w:val="21"/>
          <w:szCs w:val="21"/>
        </w:rPr>
        <w:t xml:space="preserve"> (Accessed on: 19</w:t>
      </w:r>
      <w:r w:rsidRPr="00C212EA">
        <w:rPr>
          <w:sz w:val="21"/>
          <w:szCs w:val="21"/>
          <w:vertAlign w:val="superscript"/>
        </w:rPr>
        <w:t>th</w:t>
      </w:r>
      <w:r w:rsidRPr="00C212EA">
        <w:rPr>
          <w:sz w:val="21"/>
          <w:szCs w:val="21"/>
        </w:rPr>
        <w:t xml:space="preserve"> February 2022)</w:t>
      </w:r>
    </w:p>
    <w:p w14:paraId="3C7563E2" w14:textId="77777777" w:rsidR="0011775A" w:rsidRDefault="0011775A" w:rsidP="00C212EA">
      <w:pPr>
        <w:spacing w:line="360" w:lineRule="auto"/>
        <w:ind w:left="1080"/>
        <w:rPr>
          <w:sz w:val="21"/>
          <w:szCs w:val="21"/>
        </w:rPr>
      </w:pPr>
      <w:r w:rsidRPr="00C212EA">
        <w:rPr>
          <w:sz w:val="21"/>
          <w:szCs w:val="21"/>
        </w:rPr>
        <w:t xml:space="preserve">European Parliament (2019) </w:t>
      </w:r>
      <w:r w:rsidRPr="00C212EA">
        <w:rPr>
          <w:i/>
          <w:iCs/>
          <w:sz w:val="21"/>
          <w:szCs w:val="21"/>
        </w:rPr>
        <w:t xml:space="preserve">2019 European Election Results. </w:t>
      </w:r>
      <w:r w:rsidRPr="00C212EA">
        <w:rPr>
          <w:sz w:val="21"/>
          <w:szCs w:val="21"/>
        </w:rPr>
        <w:t xml:space="preserve">Available at: </w:t>
      </w:r>
      <w:hyperlink r:id="rId11" w:history="1">
        <w:r w:rsidRPr="00C212EA">
          <w:rPr>
            <w:rStyle w:val="Hyperlink"/>
            <w:sz w:val="21"/>
            <w:szCs w:val="21"/>
          </w:rPr>
          <w:t>https://www.europarl.europa.eu/election-results-2019/en/turnout/</w:t>
        </w:r>
      </w:hyperlink>
      <w:r w:rsidRPr="00C212EA">
        <w:rPr>
          <w:sz w:val="21"/>
          <w:szCs w:val="21"/>
        </w:rPr>
        <w:t xml:space="preserve"> (Accessed on: 14</w:t>
      </w:r>
      <w:r w:rsidRPr="00C212EA">
        <w:rPr>
          <w:sz w:val="21"/>
          <w:szCs w:val="21"/>
          <w:vertAlign w:val="superscript"/>
        </w:rPr>
        <w:t>th</w:t>
      </w:r>
      <w:r w:rsidRPr="00C212EA">
        <w:rPr>
          <w:sz w:val="21"/>
          <w:szCs w:val="21"/>
        </w:rPr>
        <w:t xml:space="preserve"> February 2022).</w:t>
      </w:r>
    </w:p>
    <w:p w14:paraId="7E85A08D" w14:textId="77777777" w:rsidR="0011775A" w:rsidRPr="00C212EA" w:rsidRDefault="0011775A" w:rsidP="00C212EA">
      <w:pPr>
        <w:spacing w:line="360" w:lineRule="auto"/>
        <w:ind w:left="1080"/>
        <w:rPr>
          <w:sz w:val="21"/>
          <w:szCs w:val="21"/>
        </w:rPr>
      </w:pPr>
      <w:r w:rsidRPr="00C212EA">
        <w:rPr>
          <w:color w:val="00427A"/>
          <w:sz w:val="21"/>
          <w:szCs w:val="21"/>
        </w:rPr>
        <w:lastRenderedPageBreak/>
        <w:t xml:space="preserve">European Parliament (2021). </w:t>
      </w:r>
      <w:r w:rsidRPr="00C212EA">
        <w:rPr>
          <w:i/>
          <w:iCs/>
          <w:color w:val="00427A"/>
          <w:sz w:val="21"/>
          <w:szCs w:val="21"/>
        </w:rPr>
        <w:t xml:space="preserve">EP after the Lisbon Treaty: Bigger Role in Shaping Europe. </w:t>
      </w:r>
      <w:r w:rsidRPr="00C212EA">
        <w:rPr>
          <w:color w:val="00427A"/>
          <w:sz w:val="21"/>
          <w:szCs w:val="21"/>
        </w:rPr>
        <w:t xml:space="preserve">Available at: </w:t>
      </w:r>
      <w:hyperlink r:id="rId12" w:history="1">
        <w:r w:rsidRPr="00C212EA">
          <w:rPr>
            <w:rStyle w:val="Hyperlink"/>
            <w:sz w:val="21"/>
            <w:szCs w:val="21"/>
          </w:rPr>
          <w:t>https://www.europarl.europa.eu/about-parliament/en/powers-and-proce</w:t>
        </w:r>
        <w:r w:rsidRPr="00C212EA">
          <w:rPr>
            <w:rStyle w:val="Hyperlink"/>
            <w:sz w:val="21"/>
            <w:szCs w:val="21"/>
          </w:rPr>
          <w:t>d</w:t>
        </w:r>
        <w:r w:rsidRPr="00C212EA">
          <w:rPr>
            <w:rStyle w:val="Hyperlink"/>
            <w:sz w:val="21"/>
            <w:szCs w:val="21"/>
          </w:rPr>
          <w:t>ures/the-lisbon-treaty</w:t>
        </w:r>
      </w:hyperlink>
      <w:r w:rsidRPr="00C212EA">
        <w:rPr>
          <w:color w:val="00427A"/>
          <w:sz w:val="21"/>
          <w:szCs w:val="21"/>
        </w:rPr>
        <w:t xml:space="preserve"> (Accessed on: 20</w:t>
      </w:r>
      <w:r w:rsidRPr="00C212EA">
        <w:rPr>
          <w:color w:val="00427A"/>
          <w:sz w:val="21"/>
          <w:szCs w:val="21"/>
          <w:vertAlign w:val="superscript"/>
        </w:rPr>
        <w:t>th</w:t>
      </w:r>
      <w:r w:rsidRPr="00C212EA">
        <w:rPr>
          <w:color w:val="00427A"/>
          <w:sz w:val="21"/>
          <w:szCs w:val="21"/>
        </w:rPr>
        <w:t xml:space="preserve"> February 2022)</w:t>
      </w:r>
    </w:p>
    <w:p w14:paraId="676D3E0D" w14:textId="77777777" w:rsidR="0011775A" w:rsidRPr="00C212EA" w:rsidRDefault="0011775A" w:rsidP="00C212EA">
      <w:pPr>
        <w:spacing w:line="360" w:lineRule="auto"/>
        <w:ind w:left="1080"/>
        <w:rPr>
          <w:sz w:val="21"/>
          <w:szCs w:val="21"/>
        </w:rPr>
      </w:pPr>
      <w:r w:rsidRPr="00C212EA">
        <w:rPr>
          <w:sz w:val="21"/>
          <w:szCs w:val="21"/>
        </w:rPr>
        <w:t xml:space="preserve">European </w:t>
      </w:r>
      <w:proofErr w:type="spellStart"/>
      <w:r w:rsidRPr="00C212EA">
        <w:rPr>
          <w:sz w:val="21"/>
          <w:szCs w:val="21"/>
        </w:rPr>
        <w:t>Parliment</w:t>
      </w:r>
      <w:proofErr w:type="spellEnd"/>
      <w:r w:rsidRPr="00C212EA">
        <w:rPr>
          <w:sz w:val="21"/>
          <w:szCs w:val="21"/>
        </w:rPr>
        <w:t xml:space="preserve">, 2021. </w:t>
      </w:r>
      <w:r w:rsidRPr="00C212EA">
        <w:rPr>
          <w:i/>
          <w:iCs/>
          <w:sz w:val="21"/>
          <w:szCs w:val="21"/>
        </w:rPr>
        <w:t xml:space="preserve">European Parliament. </w:t>
      </w:r>
      <w:r w:rsidRPr="00C212EA">
        <w:rPr>
          <w:sz w:val="21"/>
          <w:szCs w:val="21"/>
        </w:rPr>
        <w:t xml:space="preserve">Available at: </w:t>
      </w:r>
      <w:hyperlink r:id="rId13" w:history="1">
        <w:r w:rsidRPr="00C212EA">
          <w:rPr>
            <w:rStyle w:val="Hyperlink"/>
            <w:sz w:val="21"/>
            <w:szCs w:val="21"/>
          </w:rPr>
          <w:t>https://www.e</w:t>
        </w:r>
        <w:r w:rsidRPr="00C212EA">
          <w:rPr>
            <w:rStyle w:val="Hyperlink"/>
            <w:sz w:val="21"/>
            <w:szCs w:val="21"/>
          </w:rPr>
          <w:t>u</w:t>
        </w:r>
        <w:r w:rsidRPr="00C212EA">
          <w:rPr>
            <w:rStyle w:val="Hyperlink"/>
            <w:sz w:val="21"/>
            <w:szCs w:val="21"/>
          </w:rPr>
          <w:t>roparl.europa.eu/factsheets/en/sheet/5/the-treaty-of-lisbon</w:t>
        </w:r>
      </w:hyperlink>
      <w:r w:rsidRPr="00C212EA">
        <w:rPr>
          <w:sz w:val="21"/>
          <w:szCs w:val="21"/>
        </w:rPr>
        <w:t xml:space="preserve"> (Accessed on 19th February 2022)</w:t>
      </w:r>
    </w:p>
    <w:p w14:paraId="64F26A3D" w14:textId="77777777" w:rsidR="0011775A" w:rsidRPr="00C212EA" w:rsidRDefault="0011775A" w:rsidP="00C212EA">
      <w:pPr>
        <w:spacing w:line="360" w:lineRule="auto"/>
        <w:ind w:left="1080"/>
        <w:rPr>
          <w:sz w:val="21"/>
          <w:szCs w:val="21"/>
        </w:rPr>
      </w:pPr>
      <w:r w:rsidRPr="00C212EA">
        <w:rPr>
          <w:rFonts w:cs="AppleSystemUIFont"/>
          <w:sz w:val="21"/>
          <w:szCs w:val="21"/>
        </w:rPr>
        <w:t xml:space="preserve">European Union (2019) </w:t>
      </w:r>
      <w:r w:rsidRPr="00C212EA">
        <w:rPr>
          <w:rFonts w:cs="AppleSystemUIFont"/>
          <w:i/>
          <w:iCs/>
          <w:sz w:val="21"/>
          <w:szCs w:val="21"/>
        </w:rPr>
        <w:t xml:space="preserve">Election of the President of the European Commission </w:t>
      </w:r>
      <w:r w:rsidRPr="00C212EA">
        <w:rPr>
          <w:rFonts w:cs="AppleSystemUIFont"/>
          <w:sz w:val="21"/>
          <w:szCs w:val="21"/>
        </w:rPr>
        <w:t xml:space="preserve">Available at: </w:t>
      </w:r>
      <w:hyperlink r:id="rId14" w:history="1">
        <w:r w:rsidRPr="00C212EA">
          <w:rPr>
            <w:rStyle w:val="Hyperlink"/>
            <w:rFonts w:cs="AppleSystemUIFont"/>
            <w:sz w:val="21"/>
            <w:szCs w:val="21"/>
          </w:rPr>
          <w:t>https://www.europarl.europa.eu/RegData/etudes/BRIE/2018/630264/EPRS_BRI(2018)630264_EN.pdf</w:t>
        </w:r>
      </w:hyperlink>
      <w:r w:rsidRPr="00C212EA">
        <w:rPr>
          <w:rFonts w:cs="AppleSystemUIFont"/>
          <w:sz w:val="21"/>
          <w:szCs w:val="21"/>
        </w:rPr>
        <w:t xml:space="preserve"> (Accessed on: 20</w:t>
      </w:r>
      <w:r w:rsidRPr="00C212EA">
        <w:rPr>
          <w:rFonts w:cs="AppleSystemUIFont"/>
          <w:sz w:val="21"/>
          <w:szCs w:val="21"/>
          <w:vertAlign w:val="superscript"/>
        </w:rPr>
        <w:t>th</w:t>
      </w:r>
      <w:r w:rsidRPr="00C212EA">
        <w:rPr>
          <w:rFonts w:cs="AppleSystemUIFont"/>
          <w:sz w:val="21"/>
          <w:szCs w:val="21"/>
        </w:rPr>
        <w:t xml:space="preserve"> February 2022)</w:t>
      </w:r>
    </w:p>
    <w:p w14:paraId="42E2871E" w14:textId="77777777" w:rsidR="0011775A" w:rsidRPr="00C212EA" w:rsidRDefault="0011775A" w:rsidP="00C212EA">
      <w:pPr>
        <w:spacing w:line="360" w:lineRule="auto"/>
        <w:ind w:left="1080"/>
        <w:rPr>
          <w:sz w:val="21"/>
          <w:szCs w:val="21"/>
        </w:rPr>
      </w:pPr>
      <w:r w:rsidRPr="00C212EA">
        <w:rPr>
          <w:rFonts w:cs="AppleSystemUIFont"/>
          <w:sz w:val="21"/>
          <w:szCs w:val="21"/>
        </w:rPr>
        <w:t xml:space="preserve">European Union (2022) </w:t>
      </w:r>
      <w:r w:rsidRPr="00C212EA">
        <w:rPr>
          <w:rFonts w:cs="AppleSystemUIFont"/>
          <w:i/>
          <w:iCs/>
          <w:sz w:val="21"/>
          <w:szCs w:val="21"/>
        </w:rPr>
        <w:t xml:space="preserve">Court of Justice of the European Union (CJEU) </w:t>
      </w:r>
      <w:r w:rsidRPr="00C212EA">
        <w:rPr>
          <w:rFonts w:cs="AppleSystemUIFont"/>
          <w:sz w:val="21"/>
          <w:szCs w:val="21"/>
        </w:rPr>
        <w:t xml:space="preserve">Available at: </w:t>
      </w:r>
      <w:hyperlink r:id="rId15" w:history="1">
        <w:r w:rsidRPr="00C212EA">
          <w:rPr>
            <w:rStyle w:val="Hyperlink"/>
            <w:rFonts w:cs="AppleSystemUIFont"/>
            <w:sz w:val="21"/>
            <w:szCs w:val="21"/>
          </w:rPr>
          <w:t>https://european-union.europa.eu/institutions-law-budget/institutions-and-bodies/institutions-and-bodies-profiles/court-justice-european-union-cjeu_en</w:t>
        </w:r>
      </w:hyperlink>
      <w:r w:rsidRPr="00C212EA">
        <w:rPr>
          <w:rFonts w:cs="AppleSystemUIFont"/>
          <w:sz w:val="21"/>
          <w:szCs w:val="21"/>
        </w:rPr>
        <w:t xml:space="preserve"> (Accessed on: 19</w:t>
      </w:r>
      <w:r w:rsidRPr="00C212EA">
        <w:rPr>
          <w:rFonts w:cs="AppleSystemUIFont"/>
          <w:sz w:val="21"/>
          <w:szCs w:val="21"/>
          <w:vertAlign w:val="superscript"/>
        </w:rPr>
        <w:t>th</w:t>
      </w:r>
      <w:r w:rsidRPr="00C212EA">
        <w:rPr>
          <w:rFonts w:cs="AppleSystemUIFont"/>
          <w:sz w:val="21"/>
          <w:szCs w:val="21"/>
        </w:rPr>
        <w:t xml:space="preserve"> February 2022). </w:t>
      </w:r>
    </w:p>
    <w:p w14:paraId="07666564" w14:textId="77777777" w:rsidR="0011775A" w:rsidRPr="00C212EA" w:rsidRDefault="0011775A" w:rsidP="00C212EA">
      <w:pPr>
        <w:spacing w:line="360" w:lineRule="auto"/>
        <w:ind w:left="1080"/>
        <w:rPr>
          <w:sz w:val="21"/>
          <w:szCs w:val="21"/>
        </w:rPr>
      </w:pPr>
      <w:r w:rsidRPr="00C212EA">
        <w:rPr>
          <w:sz w:val="21"/>
          <w:szCs w:val="21"/>
        </w:rPr>
        <w:t xml:space="preserve">European Union (2022) </w:t>
      </w:r>
      <w:r w:rsidRPr="00C212EA">
        <w:rPr>
          <w:i/>
          <w:iCs/>
          <w:sz w:val="21"/>
          <w:szCs w:val="21"/>
        </w:rPr>
        <w:t xml:space="preserve">European Commission. </w:t>
      </w:r>
      <w:r w:rsidRPr="00C212EA">
        <w:rPr>
          <w:sz w:val="21"/>
          <w:szCs w:val="21"/>
        </w:rPr>
        <w:t xml:space="preserve">Available at: </w:t>
      </w:r>
      <w:hyperlink r:id="rId16" w:history="1">
        <w:r w:rsidRPr="00C212EA">
          <w:rPr>
            <w:rStyle w:val="Hyperlink"/>
            <w:sz w:val="21"/>
            <w:szCs w:val="21"/>
          </w:rPr>
          <w:t>https://european-union.europa.eu/institutions-law</w:t>
        </w:r>
        <w:r w:rsidRPr="00C212EA">
          <w:rPr>
            <w:rStyle w:val="Hyperlink"/>
            <w:sz w:val="21"/>
            <w:szCs w:val="21"/>
          </w:rPr>
          <w:t>-</w:t>
        </w:r>
        <w:r w:rsidRPr="00C212EA">
          <w:rPr>
            <w:rStyle w:val="Hyperlink"/>
            <w:sz w:val="21"/>
            <w:szCs w:val="21"/>
          </w:rPr>
          <w:t>budget/institutions-and-bodies/institutions-and-bodies-profiles/european-commission_en</w:t>
        </w:r>
      </w:hyperlink>
      <w:r w:rsidRPr="00C212EA">
        <w:rPr>
          <w:sz w:val="21"/>
          <w:szCs w:val="21"/>
        </w:rPr>
        <w:t xml:space="preserve"> (Accessed on: 5</w:t>
      </w:r>
      <w:r w:rsidRPr="00C212EA">
        <w:rPr>
          <w:sz w:val="21"/>
          <w:szCs w:val="21"/>
          <w:vertAlign w:val="superscript"/>
        </w:rPr>
        <w:t>th</w:t>
      </w:r>
      <w:r w:rsidRPr="00C212EA">
        <w:rPr>
          <w:sz w:val="21"/>
          <w:szCs w:val="21"/>
        </w:rPr>
        <w:t xml:space="preserve"> February 2022).</w:t>
      </w:r>
    </w:p>
    <w:p w14:paraId="7E4C587C" w14:textId="77777777" w:rsidR="0011775A" w:rsidRPr="00C212EA" w:rsidRDefault="0011775A" w:rsidP="00C212EA">
      <w:pPr>
        <w:spacing w:line="360" w:lineRule="auto"/>
        <w:ind w:left="1080"/>
        <w:rPr>
          <w:sz w:val="21"/>
          <w:szCs w:val="21"/>
        </w:rPr>
      </w:pPr>
      <w:r w:rsidRPr="00C212EA">
        <w:rPr>
          <w:sz w:val="21"/>
          <w:szCs w:val="21"/>
        </w:rPr>
        <w:t xml:space="preserve">European Union. (2021). </w:t>
      </w:r>
      <w:r w:rsidRPr="00C212EA">
        <w:rPr>
          <w:i/>
          <w:iCs/>
          <w:sz w:val="21"/>
          <w:szCs w:val="21"/>
        </w:rPr>
        <w:t xml:space="preserve">Rules of Procedure of the European Parliament. </w:t>
      </w:r>
      <w:r w:rsidRPr="00C212EA">
        <w:rPr>
          <w:sz w:val="21"/>
          <w:szCs w:val="21"/>
        </w:rPr>
        <w:t xml:space="preserve">Available at: </w:t>
      </w:r>
      <w:hyperlink r:id="rId17" w:history="1">
        <w:r w:rsidRPr="00C212EA">
          <w:rPr>
            <w:rStyle w:val="Hyperlink"/>
            <w:sz w:val="21"/>
            <w:szCs w:val="21"/>
          </w:rPr>
          <w:t>https://www.europarl.europa.eu/doceo/document/RULES-9-2021-09-13-RULE-179_EN.html</w:t>
        </w:r>
      </w:hyperlink>
      <w:r w:rsidRPr="00C212EA">
        <w:rPr>
          <w:sz w:val="21"/>
          <w:szCs w:val="21"/>
        </w:rPr>
        <w:t xml:space="preserve"> (Accessed on: 19</w:t>
      </w:r>
      <w:r w:rsidRPr="00C212EA">
        <w:rPr>
          <w:sz w:val="21"/>
          <w:szCs w:val="21"/>
          <w:vertAlign w:val="superscript"/>
        </w:rPr>
        <w:t>th</w:t>
      </w:r>
      <w:r w:rsidRPr="00C212EA">
        <w:rPr>
          <w:sz w:val="21"/>
          <w:szCs w:val="21"/>
        </w:rPr>
        <w:t xml:space="preserve"> February 2022).</w:t>
      </w:r>
    </w:p>
    <w:p w14:paraId="51EB7EDD" w14:textId="77777777" w:rsidR="0011775A" w:rsidRPr="00C212EA" w:rsidRDefault="0011775A" w:rsidP="00C212EA">
      <w:pPr>
        <w:spacing w:line="360" w:lineRule="auto"/>
        <w:ind w:left="1080"/>
        <w:rPr>
          <w:sz w:val="21"/>
          <w:szCs w:val="21"/>
        </w:rPr>
      </w:pPr>
      <w:r w:rsidRPr="00C212EA">
        <w:rPr>
          <w:sz w:val="21"/>
          <w:szCs w:val="21"/>
        </w:rPr>
        <w:t xml:space="preserve">European Union. (No Date) </w:t>
      </w:r>
      <w:r w:rsidRPr="00C212EA">
        <w:rPr>
          <w:i/>
          <w:iCs/>
          <w:sz w:val="21"/>
          <w:szCs w:val="21"/>
        </w:rPr>
        <w:t xml:space="preserve">Political Leadership. </w:t>
      </w:r>
      <w:r w:rsidRPr="00C212EA">
        <w:rPr>
          <w:sz w:val="21"/>
          <w:szCs w:val="21"/>
        </w:rPr>
        <w:t xml:space="preserve">Available at: </w:t>
      </w:r>
      <w:hyperlink r:id="rId18" w:history="1">
        <w:r w:rsidRPr="00C212EA">
          <w:rPr>
            <w:rStyle w:val="Hyperlink"/>
            <w:sz w:val="21"/>
            <w:szCs w:val="21"/>
          </w:rPr>
          <w:t>https://ec.europa.eu/info/about-european-commission/organisational-structure/how-commission-organised/political-leadership_en</w:t>
        </w:r>
      </w:hyperlink>
      <w:r w:rsidRPr="00C212EA">
        <w:rPr>
          <w:sz w:val="21"/>
          <w:szCs w:val="21"/>
        </w:rPr>
        <w:t xml:space="preserve"> (Accessed on: 19</w:t>
      </w:r>
      <w:r w:rsidRPr="00C212EA">
        <w:rPr>
          <w:sz w:val="21"/>
          <w:szCs w:val="21"/>
          <w:vertAlign w:val="superscript"/>
        </w:rPr>
        <w:t>th</w:t>
      </w:r>
      <w:r w:rsidRPr="00C212EA">
        <w:rPr>
          <w:sz w:val="21"/>
          <w:szCs w:val="21"/>
        </w:rPr>
        <w:t xml:space="preserve"> February 2022)</w:t>
      </w:r>
    </w:p>
    <w:p w14:paraId="526EBAD4" w14:textId="77777777" w:rsidR="0011775A" w:rsidRPr="00C212EA" w:rsidRDefault="0011775A" w:rsidP="00C212EA">
      <w:pPr>
        <w:spacing w:line="360" w:lineRule="auto"/>
        <w:ind w:left="1080"/>
        <w:rPr>
          <w:sz w:val="21"/>
          <w:szCs w:val="21"/>
        </w:rPr>
      </w:pPr>
      <w:r w:rsidRPr="00C212EA">
        <w:rPr>
          <w:sz w:val="21"/>
          <w:szCs w:val="21"/>
        </w:rPr>
        <w:t xml:space="preserve">European Unions. (2022) </w:t>
      </w:r>
      <w:r w:rsidRPr="00C212EA">
        <w:rPr>
          <w:i/>
          <w:iCs/>
          <w:sz w:val="21"/>
          <w:szCs w:val="21"/>
        </w:rPr>
        <w:t xml:space="preserve">European Central Bank ECB. </w:t>
      </w:r>
      <w:r w:rsidRPr="00C212EA">
        <w:rPr>
          <w:sz w:val="21"/>
          <w:szCs w:val="21"/>
        </w:rPr>
        <w:t xml:space="preserve">Available at: </w:t>
      </w:r>
      <w:hyperlink r:id="rId19" w:history="1">
        <w:r w:rsidRPr="00C212EA">
          <w:rPr>
            <w:rStyle w:val="Hyperlink"/>
            <w:sz w:val="21"/>
            <w:szCs w:val="21"/>
          </w:rPr>
          <w:t>https://european-union.europa.eu/instit</w:t>
        </w:r>
        <w:r w:rsidRPr="00C212EA">
          <w:rPr>
            <w:rStyle w:val="Hyperlink"/>
            <w:sz w:val="21"/>
            <w:szCs w:val="21"/>
          </w:rPr>
          <w:t>u</w:t>
        </w:r>
        <w:r w:rsidRPr="00C212EA">
          <w:rPr>
            <w:rStyle w:val="Hyperlink"/>
            <w:sz w:val="21"/>
            <w:szCs w:val="21"/>
          </w:rPr>
          <w:t>tions-law-budget/institutions-and-bodies/institutions-and-bodies-profiles/ecb_en</w:t>
        </w:r>
      </w:hyperlink>
      <w:r w:rsidRPr="00C212EA">
        <w:rPr>
          <w:sz w:val="21"/>
          <w:szCs w:val="21"/>
        </w:rPr>
        <w:t xml:space="preserve"> (Accessed on: 19</w:t>
      </w:r>
      <w:r w:rsidRPr="00C212EA">
        <w:rPr>
          <w:sz w:val="21"/>
          <w:szCs w:val="21"/>
          <w:vertAlign w:val="superscript"/>
        </w:rPr>
        <w:t>th</w:t>
      </w:r>
      <w:r w:rsidRPr="00C212EA">
        <w:rPr>
          <w:sz w:val="21"/>
          <w:szCs w:val="21"/>
        </w:rPr>
        <w:t xml:space="preserve"> February 2022)</w:t>
      </w:r>
    </w:p>
    <w:p w14:paraId="7D0228FC" w14:textId="77777777" w:rsidR="0011775A" w:rsidRPr="00C212EA" w:rsidRDefault="0011775A" w:rsidP="00C212EA">
      <w:pPr>
        <w:spacing w:line="360" w:lineRule="auto"/>
        <w:ind w:left="1080"/>
        <w:rPr>
          <w:sz w:val="21"/>
          <w:szCs w:val="21"/>
        </w:rPr>
      </w:pPr>
      <w:proofErr w:type="spellStart"/>
      <w:r w:rsidRPr="00C212EA">
        <w:rPr>
          <w:rFonts w:cs="AppleSystemUIFont"/>
          <w:sz w:val="21"/>
          <w:szCs w:val="21"/>
        </w:rPr>
        <w:t>Follesdal</w:t>
      </w:r>
      <w:proofErr w:type="spellEnd"/>
      <w:r w:rsidRPr="00C212EA">
        <w:rPr>
          <w:rFonts w:cs="AppleSystemUIFont"/>
          <w:sz w:val="21"/>
          <w:szCs w:val="21"/>
        </w:rPr>
        <w:t xml:space="preserve">, A and Hix, S (2006) ‘Why There is a Democratic Deficit in the EU: A Response to </w:t>
      </w:r>
      <w:proofErr w:type="spellStart"/>
      <w:r w:rsidRPr="00C212EA">
        <w:rPr>
          <w:rFonts w:cs="AppleSystemUIFont"/>
          <w:sz w:val="21"/>
          <w:szCs w:val="21"/>
        </w:rPr>
        <w:t>Majone</w:t>
      </w:r>
      <w:proofErr w:type="spellEnd"/>
      <w:r w:rsidRPr="00C212EA">
        <w:rPr>
          <w:rFonts w:cs="AppleSystemUIFont"/>
          <w:sz w:val="21"/>
          <w:szCs w:val="21"/>
        </w:rPr>
        <w:t xml:space="preserve"> and </w:t>
      </w:r>
      <w:proofErr w:type="spellStart"/>
      <w:r w:rsidRPr="00C212EA">
        <w:rPr>
          <w:rFonts w:cs="AppleSystemUIFont"/>
          <w:sz w:val="21"/>
          <w:szCs w:val="21"/>
        </w:rPr>
        <w:t>Moravcsik</w:t>
      </w:r>
      <w:proofErr w:type="spellEnd"/>
      <w:r w:rsidRPr="00C212EA">
        <w:rPr>
          <w:rFonts w:cs="AppleSystemUIFont"/>
          <w:sz w:val="21"/>
          <w:szCs w:val="21"/>
        </w:rPr>
        <w:t xml:space="preserve">’. </w:t>
      </w:r>
      <w:r w:rsidRPr="00C212EA">
        <w:rPr>
          <w:rFonts w:cs="AppleSystemUIFont"/>
          <w:i/>
          <w:iCs/>
          <w:sz w:val="21"/>
          <w:szCs w:val="21"/>
        </w:rPr>
        <w:t>Journal of Common Market Studies</w:t>
      </w:r>
      <w:r w:rsidRPr="00C212EA">
        <w:rPr>
          <w:rFonts w:cs="AppleSystemUIFont"/>
          <w:sz w:val="21"/>
          <w:szCs w:val="21"/>
        </w:rPr>
        <w:t xml:space="preserve"> vol. 44. p.533 – 562</w:t>
      </w:r>
    </w:p>
    <w:p w14:paraId="56EB40CF" w14:textId="77777777" w:rsidR="0011775A" w:rsidRPr="00C212EA" w:rsidRDefault="0011775A" w:rsidP="00C212EA">
      <w:pPr>
        <w:spacing w:line="360" w:lineRule="auto"/>
        <w:ind w:left="1080"/>
        <w:rPr>
          <w:sz w:val="21"/>
          <w:szCs w:val="21"/>
        </w:rPr>
      </w:pPr>
      <w:proofErr w:type="spellStart"/>
      <w:r w:rsidRPr="00C212EA">
        <w:rPr>
          <w:color w:val="00427A"/>
          <w:sz w:val="21"/>
          <w:szCs w:val="21"/>
        </w:rPr>
        <w:t>Heidbreder</w:t>
      </w:r>
      <w:proofErr w:type="spellEnd"/>
      <w:r w:rsidRPr="00C212EA">
        <w:rPr>
          <w:color w:val="00427A"/>
          <w:sz w:val="21"/>
          <w:szCs w:val="21"/>
        </w:rPr>
        <w:t xml:space="preserve">, E and Schade, D. (2020). ‘(Un)settling the precedent: Contrasting institutionalisation dynamics in the spitzenkandidaten procedure of 2014 and 2019’ </w:t>
      </w:r>
      <w:r w:rsidRPr="00C212EA">
        <w:rPr>
          <w:i/>
          <w:iCs/>
          <w:color w:val="00427A"/>
          <w:sz w:val="21"/>
          <w:szCs w:val="21"/>
        </w:rPr>
        <w:t xml:space="preserve">Sage Journals </w:t>
      </w:r>
      <w:r w:rsidRPr="00C212EA">
        <w:rPr>
          <w:color w:val="00427A"/>
          <w:sz w:val="21"/>
          <w:szCs w:val="21"/>
        </w:rPr>
        <w:t xml:space="preserve">1-6 Available at: </w:t>
      </w:r>
      <w:hyperlink r:id="rId20" w:history="1">
        <w:r w:rsidRPr="00C212EA">
          <w:rPr>
            <w:rStyle w:val="Hyperlink"/>
            <w:sz w:val="21"/>
            <w:szCs w:val="21"/>
          </w:rPr>
          <w:t>https://journals.sagepub.com/doi/pdf/10.1177/2053168020925975</w:t>
        </w:r>
      </w:hyperlink>
      <w:r w:rsidRPr="00C212EA">
        <w:rPr>
          <w:color w:val="00427A"/>
          <w:sz w:val="21"/>
          <w:szCs w:val="21"/>
        </w:rPr>
        <w:t xml:space="preserve"> (Accessed on: 20</w:t>
      </w:r>
      <w:r w:rsidRPr="00C212EA">
        <w:rPr>
          <w:color w:val="00427A"/>
          <w:sz w:val="21"/>
          <w:szCs w:val="21"/>
          <w:vertAlign w:val="superscript"/>
        </w:rPr>
        <w:t>th</w:t>
      </w:r>
      <w:r w:rsidRPr="00C212EA">
        <w:rPr>
          <w:color w:val="00427A"/>
          <w:sz w:val="21"/>
          <w:szCs w:val="21"/>
        </w:rPr>
        <w:t xml:space="preserve"> February 2022)</w:t>
      </w:r>
    </w:p>
    <w:p w14:paraId="1A222962" w14:textId="77777777" w:rsidR="0011775A" w:rsidRPr="00C212EA" w:rsidRDefault="0011775A" w:rsidP="00C212EA">
      <w:pPr>
        <w:spacing w:line="360" w:lineRule="auto"/>
        <w:ind w:left="1080"/>
        <w:rPr>
          <w:sz w:val="21"/>
          <w:szCs w:val="21"/>
        </w:rPr>
      </w:pPr>
      <w:proofErr w:type="spellStart"/>
      <w:r w:rsidRPr="00C212EA">
        <w:rPr>
          <w:rFonts w:cs="AppleSystemUIFont"/>
          <w:sz w:val="21"/>
          <w:szCs w:val="21"/>
        </w:rPr>
        <w:t>Lenaerts</w:t>
      </w:r>
      <w:proofErr w:type="spellEnd"/>
      <w:r w:rsidRPr="00C212EA">
        <w:rPr>
          <w:rFonts w:cs="AppleSystemUIFont"/>
          <w:sz w:val="21"/>
          <w:szCs w:val="21"/>
        </w:rPr>
        <w:t xml:space="preserve">, K (2013) ‘The Principle of Democracy in the Case Law of the European Court of Justice’ </w:t>
      </w:r>
      <w:r w:rsidRPr="00C212EA">
        <w:rPr>
          <w:rFonts w:cs="AppleSystemUIFont"/>
          <w:i/>
          <w:iCs/>
          <w:sz w:val="21"/>
          <w:szCs w:val="21"/>
        </w:rPr>
        <w:t>The International and Comparative Law Quarterly</w:t>
      </w:r>
      <w:r w:rsidRPr="00C212EA">
        <w:rPr>
          <w:rFonts w:cs="AppleSystemUIFont"/>
          <w:sz w:val="21"/>
          <w:szCs w:val="21"/>
        </w:rPr>
        <w:t xml:space="preserve">. Vol 62. p 271 -315. Available at: </w:t>
      </w:r>
      <w:hyperlink r:id="rId21" w:history="1">
        <w:r w:rsidRPr="00C212EA">
          <w:rPr>
            <w:rStyle w:val="Hyperlink"/>
            <w:rFonts w:cs="AppleSystemUIFont"/>
            <w:sz w:val="21"/>
            <w:szCs w:val="21"/>
          </w:rPr>
          <w:t>https://www-jstor-</w:t>
        </w:r>
        <w:r w:rsidRPr="00C212EA">
          <w:rPr>
            <w:rStyle w:val="Hyperlink"/>
            <w:rFonts w:cs="AppleSystemUIFont"/>
            <w:sz w:val="21"/>
            <w:szCs w:val="21"/>
          </w:rPr>
          <w:lastRenderedPageBreak/>
          <w:t>org.ezproxy.uwtsd.ac.uk/stable/pdf/43301563.pdf?refreqid=excelsior%3Ab7a98bab57f195471e47da675ee6e75a&amp;ab_segments=&amp;origin=</w:t>
        </w:r>
      </w:hyperlink>
      <w:r w:rsidRPr="00C212EA">
        <w:rPr>
          <w:rFonts w:cs="AppleSystemUIFont"/>
          <w:sz w:val="21"/>
          <w:szCs w:val="21"/>
        </w:rPr>
        <w:t xml:space="preserve"> (Accessed on: 19</w:t>
      </w:r>
      <w:r w:rsidRPr="00C212EA">
        <w:rPr>
          <w:rFonts w:cs="AppleSystemUIFont"/>
          <w:sz w:val="21"/>
          <w:szCs w:val="21"/>
          <w:vertAlign w:val="superscript"/>
        </w:rPr>
        <w:t>th</w:t>
      </w:r>
      <w:r w:rsidRPr="00C212EA">
        <w:rPr>
          <w:rFonts w:cs="AppleSystemUIFont"/>
          <w:sz w:val="21"/>
          <w:szCs w:val="21"/>
        </w:rPr>
        <w:t xml:space="preserve"> February 2022).</w:t>
      </w:r>
    </w:p>
    <w:p w14:paraId="2B9A4276" w14:textId="77777777" w:rsidR="0011775A" w:rsidRPr="00C212EA" w:rsidRDefault="0011775A" w:rsidP="00C212EA">
      <w:pPr>
        <w:spacing w:line="360" w:lineRule="auto"/>
        <w:ind w:left="1080"/>
        <w:rPr>
          <w:sz w:val="21"/>
          <w:szCs w:val="21"/>
        </w:rPr>
      </w:pPr>
      <w:proofErr w:type="spellStart"/>
      <w:r w:rsidRPr="00C212EA">
        <w:rPr>
          <w:sz w:val="21"/>
          <w:szCs w:val="21"/>
        </w:rPr>
        <w:t>Majone</w:t>
      </w:r>
      <w:proofErr w:type="spellEnd"/>
      <w:r w:rsidRPr="00C212EA">
        <w:rPr>
          <w:sz w:val="21"/>
          <w:szCs w:val="21"/>
        </w:rPr>
        <w:t xml:space="preserve">, G (2006) </w:t>
      </w:r>
      <w:r w:rsidRPr="00C212EA">
        <w:rPr>
          <w:i/>
          <w:iCs/>
          <w:sz w:val="21"/>
          <w:szCs w:val="21"/>
        </w:rPr>
        <w:t xml:space="preserve">Dilemmas of European Integration: The Ambiguities and Pitfalls of </w:t>
      </w:r>
      <w:proofErr w:type="spellStart"/>
      <w:r w:rsidRPr="00C212EA">
        <w:rPr>
          <w:i/>
          <w:iCs/>
          <w:sz w:val="21"/>
          <w:szCs w:val="21"/>
        </w:rPr>
        <w:t>Tntegration</w:t>
      </w:r>
      <w:proofErr w:type="spellEnd"/>
      <w:r w:rsidRPr="00C212EA">
        <w:rPr>
          <w:i/>
          <w:iCs/>
          <w:sz w:val="21"/>
          <w:szCs w:val="21"/>
        </w:rPr>
        <w:t xml:space="preserve"> by Stealth. </w:t>
      </w:r>
      <w:r w:rsidRPr="00C212EA">
        <w:rPr>
          <w:sz w:val="21"/>
          <w:szCs w:val="21"/>
        </w:rPr>
        <w:t>Oxford University Press</w:t>
      </w:r>
    </w:p>
    <w:p w14:paraId="57F462A3" w14:textId="77777777" w:rsidR="0011775A" w:rsidRPr="00C212EA" w:rsidRDefault="0011775A" w:rsidP="00C212EA">
      <w:pPr>
        <w:spacing w:line="360" w:lineRule="auto"/>
        <w:ind w:left="1080"/>
        <w:rPr>
          <w:sz w:val="21"/>
          <w:szCs w:val="21"/>
        </w:rPr>
      </w:pPr>
      <w:proofErr w:type="spellStart"/>
      <w:r w:rsidRPr="00C212EA">
        <w:rPr>
          <w:sz w:val="21"/>
          <w:szCs w:val="21"/>
        </w:rPr>
        <w:t>Moravcsik</w:t>
      </w:r>
      <w:proofErr w:type="spellEnd"/>
      <w:r w:rsidRPr="00C212EA">
        <w:rPr>
          <w:sz w:val="21"/>
          <w:szCs w:val="21"/>
        </w:rPr>
        <w:t xml:space="preserve">, A (2003) ‘In Defence of the ‘Democratic Deficit’: Reassessing Legitimacy in the European Union’. </w:t>
      </w:r>
      <w:r w:rsidRPr="00C212EA">
        <w:rPr>
          <w:i/>
          <w:iCs/>
          <w:sz w:val="21"/>
          <w:szCs w:val="21"/>
        </w:rPr>
        <w:t xml:space="preserve">Centre for European Studies Working Paper. </w:t>
      </w:r>
      <w:r w:rsidRPr="00C212EA">
        <w:rPr>
          <w:sz w:val="21"/>
          <w:szCs w:val="21"/>
        </w:rPr>
        <w:t xml:space="preserve">No 92. Available at: </w:t>
      </w:r>
      <w:hyperlink r:id="rId22" w:history="1">
        <w:r w:rsidRPr="00C212EA">
          <w:rPr>
            <w:rStyle w:val="Hyperlink"/>
            <w:sz w:val="21"/>
            <w:szCs w:val="21"/>
          </w:rPr>
          <w:t>http://aei.pitt.edu/9136/1/Moravcsik92.pdf</w:t>
        </w:r>
      </w:hyperlink>
      <w:r w:rsidRPr="00C212EA">
        <w:rPr>
          <w:sz w:val="21"/>
          <w:szCs w:val="21"/>
        </w:rPr>
        <w:t xml:space="preserve"> (Accessed on: 4</w:t>
      </w:r>
      <w:r w:rsidRPr="00C212EA">
        <w:rPr>
          <w:sz w:val="21"/>
          <w:szCs w:val="21"/>
          <w:vertAlign w:val="superscript"/>
        </w:rPr>
        <w:t>th</w:t>
      </w:r>
      <w:r w:rsidRPr="00C212EA">
        <w:rPr>
          <w:sz w:val="21"/>
          <w:szCs w:val="21"/>
        </w:rPr>
        <w:t xml:space="preserve"> February 2022).</w:t>
      </w:r>
    </w:p>
    <w:p w14:paraId="5578E2C7" w14:textId="77777777" w:rsidR="0011775A" w:rsidRPr="00C212EA" w:rsidRDefault="0011775A" w:rsidP="00C212EA">
      <w:pPr>
        <w:spacing w:line="360" w:lineRule="auto"/>
        <w:ind w:left="1080"/>
        <w:rPr>
          <w:sz w:val="21"/>
          <w:szCs w:val="21"/>
        </w:rPr>
      </w:pPr>
      <w:r w:rsidRPr="00C212EA">
        <w:rPr>
          <w:sz w:val="21"/>
          <w:szCs w:val="21"/>
        </w:rPr>
        <w:t xml:space="preserve">O’Neil, A (2021) </w:t>
      </w:r>
      <w:r w:rsidRPr="00C212EA">
        <w:rPr>
          <w:i/>
          <w:iCs/>
          <w:sz w:val="21"/>
          <w:szCs w:val="21"/>
        </w:rPr>
        <w:t xml:space="preserve">European Union – Statistics and Facts. </w:t>
      </w:r>
      <w:r w:rsidRPr="00C212EA">
        <w:rPr>
          <w:sz w:val="21"/>
          <w:szCs w:val="21"/>
        </w:rPr>
        <w:t xml:space="preserve">Available at: </w:t>
      </w:r>
      <w:hyperlink r:id="rId23" w:anchor="topicHeader__wrapper" w:history="1">
        <w:r w:rsidRPr="00C212EA">
          <w:rPr>
            <w:rStyle w:val="Hyperlink"/>
            <w:sz w:val="21"/>
            <w:szCs w:val="21"/>
          </w:rPr>
          <w:t>https://www.statista.com/topics/921/european-union/#topicHeader__wrapper</w:t>
        </w:r>
      </w:hyperlink>
      <w:r w:rsidRPr="00C212EA">
        <w:rPr>
          <w:sz w:val="21"/>
          <w:szCs w:val="21"/>
        </w:rPr>
        <w:t xml:space="preserve"> (Accessed on: 19</w:t>
      </w:r>
      <w:r w:rsidRPr="00C212EA">
        <w:rPr>
          <w:sz w:val="21"/>
          <w:szCs w:val="21"/>
          <w:vertAlign w:val="superscript"/>
        </w:rPr>
        <w:t>th</w:t>
      </w:r>
      <w:r w:rsidRPr="00C212EA">
        <w:rPr>
          <w:sz w:val="21"/>
          <w:szCs w:val="21"/>
        </w:rPr>
        <w:t xml:space="preserve"> February 2022)</w:t>
      </w:r>
    </w:p>
    <w:p w14:paraId="19A0C4C9" w14:textId="77777777" w:rsidR="0011775A" w:rsidRPr="00C212EA" w:rsidRDefault="0011775A" w:rsidP="00C212EA">
      <w:pPr>
        <w:spacing w:line="360" w:lineRule="auto"/>
        <w:ind w:left="1080"/>
        <w:rPr>
          <w:sz w:val="21"/>
          <w:szCs w:val="21"/>
        </w:rPr>
      </w:pPr>
      <w:r w:rsidRPr="00C212EA">
        <w:rPr>
          <w:sz w:val="21"/>
          <w:szCs w:val="21"/>
        </w:rPr>
        <w:t xml:space="preserve">Parliament. House of Commons. (2004). </w:t>
      </w:r>
      <w:r w:rsidRPr="00C212EA">
        <w:rPr>
          <w:i/>
          <w:iCs/>
          <w:sz w:val="21"/>
          <w:szCs w:val="21"/>
        </w:rPr>
        <w:t xml:space="preserve">The European Union: a democratic institution? </w:t>
      </w:r>
      <w:r w:rsidRPr="00C212EA">
        <w:rPr>
          <w:sz w:val="21"/>
          <w:szCs w:val="21"/>
        </w:rPr>
        <w:t xml:space="preserve">(14/25) Available at: </w:t>
      </w:r>
      <w:hyperlink r:id="rId24" w:history="1">
        <w:r w:rsidRPr="00C212EA">
          <w:rPr>
            <w:rStyle w:val="Hyperlink"/>
            <w:sz w:val="21"/>
            <w:szCs w:val="21"/>
          </w:rPr>
          <w:t>https://researchbriefings.files.parliament.uk/documents/RP14-25/RP14-25.pdf</w:t>
        </w:r>
      </w:hyperlink>
      <w:r w:rsidRPr="00C212EA">
        <w:rPr>
          <w:sz w:val="21"/>
          <w:szCs w:val="21"/>
        </w:rPr>
        <w:t xml:space="preserve"> (Accessed on: 4</w:t>
      </w:r>
      <w:r w:rsidRPr="00C212EA">
        <w:rPr>
          <w:sz w:val="21"/>
          <w:szCs w:val="21"/>
          <w:vertAlign w:val="superscript"/>
        </w:rPr>
        <w:t>th</w:t>
      </w:r>
      <w:r w:rsidRPr="00C212EA">
        <w:rPr>
          <w:sz w:val="21"/>
          <w:szCs w:val="21"/>
        </w:rPr>
        <w:t xml:space="preserve"> February 2022).</w:t>
      </w:r>
    </w:p>
    <w:p w14:paraId="47AA1A5A" w14:textId="77777777" w:rsidR="0011775A" w:rsidRPr="00C212EA" w:rsidRDefault="0011775A" w:rsidP="00C212EA">
      <w:pPr>
        <w:spacing w:line="360" w:lineRule="auto"/>
        <w:ind w:left="1080"/>
        <w:rPr>
          <w:sz w:val="21"/>
          <w:szCs w:val="21"/>
        </w:rPr>
      </w:pPr>
      <w:proofErr w:type="spellStart"/>
      <w:r w:rsidRPr="00C212EA">
        <w:rPr>
          <w:sz w:val="21"/>
          <w:szCs w:val="21"/>
        </w:rPr>
        <w:t>Pavy</w:t>
      </w:r>
      <w:proofErr w:type="spellEnd"/>
      <w:r w:rsidRPr="00C212EA">
        <w:rPr>
          <w:sz w:val="21"/>
          <w:szCs w:val="21"/>
        </w:rPr>
        <w:t xml:space="preserve">, E. (2021) </w:t>
      </w:r>
      <w:r w:rsidRPr="00C212EA">
        <w:rPr>
          <w:i/>
          <w:iCs/>
          <w:sz w:val="21"/>
          <w:szCs w:val="21"/>
        </w:rPr>
        <w:t xml:space="preserve">The Treaty of Lisbon. </w:t>
      </w:r>
      <w:r w:rsidRPr="00C212EA">
        <w:rPr>
          <w:sz w:val="21"/>
          <w:szCs w:val="21"/>
        </w:rPr>
        <w:t xml:space="preserve">Available at: </w:t>
      </w:r>
      <w:hyperlink r:id="rId25" w:history="1">
        <w:r w:rsidRPr="00C212EA">
          <w:rPr>
            <w:rStyle w:val="Hyperlink"/>
            <w:sz w:val="21"/>
            <w:szCs w:val="21"/>
          </w:rPr>
          <w:t>https://www.europarl.europa.eu/factsheets/en/sheet/5/the-treaty-of-lisbon</w:t>
        </w:r>
      </w:hyperlink>
      <w:r w:rsidRPr="00C212EA">
        <w:rPr>
          <w:sz w:val="21"/>
          <w:szCs w:val="21"/>
        </w:rPr>
        <w:t xml:space="preserve"> (Accessed: 19</w:t>
      </w:r>
      <w:r w:rsidRPr="00C212EA">
        <w:rPr>
          <w:sz w:val="21"/>
          <w:szCs w:val="21"/>
          <w:vertAlign w:val="superscript"/>
        </w:rPr>
        <w:t>th</w:t>
      </w:r>
      <w:r w:rsidRPr="00C212EA">
        <w:rPr>
          <w:sz w:val="21"/>
          <w:szCs w:val="21"/>
        </w:rPr>
        <w:t xml:space="preserve"> February 2022).</w:t>
      </w:r>
    </w:p>
    <w:p w14:paraId="63C1C589" w14:textId="77777777" w:rsidR="0011775A" w:rsidRPr="00C212EA" w:rsidRDefault="0011775A" w:rsidP="00C212EA">
      <w:pPr>
        <w:spacing w:line="360" w:lineRule="auto"/>
        <w:ind w:left="1080"/>
        <w:rPr>
          <w:sz w:val="21"/>
          <w:szCs w:val="21"/>
        </w:rPr>
      </w:pPr>
      <w:proofErr w:type="spellStart"/>
      <w:r w:rsidRPr="00C212EA">
        <w:rPr>
          <w:sz w:val="21"/>
          <w:szCs w:val="21"/>
        </w:rPr>
        <w:t>Raustiala</w:t>
      </w:r>
      <w:proofErr w:type="spellEnd"/>
      <w:r w:rsidRPr="00C212EA">
        <w:rPr>
          <w:sz w:val="21"/>
          <w:szCs w:val="21"/>
        </w:rPr>
        <w:t xml:space="preserve">, K. (2003) ‘Rethinking </w:t>
      </w:r>
      <w:proofErr w:type="gramStart"/>
      <w:r w:rsidRPr="00C212EA">
        <w:rPr>
          <w:sz w:val="21"/>
          <w:szCs w:val="21"/>
        </w:rPr>
        <w:t>The</w:t>
      </w:r>
      <w:proofErr w:type="gramEnd"/>
      <w:r w:rsidRPr="00C212EA">
        <w:rPr>
          <w:sz w:val="21"/>
          <w:szCs w:val="21"/>
        </w:rPr>
        <w:t xml:space="preserve"> Sovereignty Debate In International Economic Law’. </w:t>
      </w:r>
      <w:r w:rsidRPr="00C212EA">
        <w:rPr>
          <w:i/>
          <w:iCs/>
          <w:sz w:val="21"/>
          <w:szCs w:val="21"/>
        </w:rPr>
        <w:t xml:space="preserve">Journal of International Economic Law. </w:t>
      </w:r>
      <w:r w:rsidRPr="00C212EA">
        <w:rPr>
          <w:sz w:val="21"/>
          <w:szCs w:val="21"/>
        </w:rPr>
        <w:t>Vol 6(4)</w:t>
      </w:r>
      <w:r w:rsidRPr="00C212EA">
        <w:rPr>
          <w:i/>
          <w:iCs/>
          <w:sz w:val="21"/>
          <w:szCs w:val="21"/>
        </w:rPr>
        <w:t xml:space="preserve"> </w:t>
      </w:r>
      <w:r w:rsidRPr="00C212EA">
        <w:rPr>
          <w:sz w:val="21"/>
          <w:szCs w:val="21"/>
        </w:rPr>
        <w:t>Page, 841 – 878. Available at: https://watermark.silverchair.com/jqg058.pdf?token=AQECAHi208BE49Ooan9kkhW_Ercy7Dm3ZL_9Cf3qfKAc485ysgAAAucwggLjBgkqhkiG9w0BBwagggLUMIIC0AIBADCCAskGCSqGSIb3DQEHATAeBglghkgBZQMEAS4wEQQMVENggRgpJ06POyx2AgEQgIICmpdidHmKrf2zvjlRhZFcsws3If_tdXZCUU1OY66lBalAfmZu20X41Uj0h5lC0o3uA4oXmamLRxJ5jSMVyVrpHyOueJU_3N6CeE_WaGtqCW0_lya7nh6qdAi9RaeGJJMcbbFUMVdHOVOe5INwggt52WsmmfqZV493550ORGkIve6OAUZ0SFpA1J9TSYm1_Zb_9eQ95u2aLY0LWcNdbykxZYLEj1Ul8RnkpPOdShHytg94LFUuNr2aX0mqldPOrzctWmWMpE5gikvQn5g5s7CA-EQcuJdBEc76eJqzic6rKyjaj7wz6FQlQ_cKhMcqTVdKfo6PVXi6PkdFiennUcwKOIgxuqb0vPxF3MbnWpKZYjAe2AW-LpbXfZ5mY0AdHGHDwDuUjMy_ActtA241IAvmbIh20nUxe6Jc32FSG7CCf3sa2k8ZHQDOIUceUaIWzQh-oAyinfp3-RYEkZx-4bCnReaf0IX6MKtW4uSPdDuQcImaSfSOZ3dKQ0uYeypZEKsiCkefGMgOGrPfv-4Jf3P7k9_hr-5AglyK-IBUsr6viCkbWQLAokqdU4BMOFUTjo8qF3no-VO4u1wY10vbHVKBzAccJ95ihEDgfs1NTPVBi7AQVhj6OTRIlH0pDzukNoYxXYXpP3rbF-9xlj96w6X-Jt40mihLQeJmS-7KkKe8sLNU-mIFpBCrc6wXiSsxijcR5KSSwiPunl9epOAvhI_Df6d-ZeR4IXo96xWqRtYL_Jo96SFrY3gAlu5N7pM5wjCI3kgwW4ObLo3eF3sWz92dZhX7bAs7fQvOfE-g03BZ0C3dsRG4jGuPvKT_0rAU9CHQhr80APFTGMblI97TI-8FKK4DzxQdXuz5SUUJl5ar4shVBYLwcYSQs3ZZ9w (Accessed on: 12</w:t>
      </w:r>
      <w:r w:rsidRPr="00C212EA">
        <w:rPr>
          <w:sz w:val="21"/>
          <w:szCs w:val="21"/>
          <w:vertAlign w:val="superscript"/>
        </w:rPr>
        <w:t>th</w:t>
      </w:r>
      <w:r w:rsidRPr="00C212EA">
        <w:rPr>
          <w:sz w:val="21"/>
          <w:szCs w:val="21"/>
        </w:rPr>
        <w:t xml:space="preserve"> February 2022)</w:t>
      </w:r>
    </w:p>
    <w:p w14:paraId="1BC4069E" w14:textId="77777777" w:rsidR="0011775A" w:rsidRPr="00C212EA" w:rsidRDefault="0011775A" w:rsidP="00C212EA">
      <w:pPr>
        <w:spacing w:line="360" w:lineRule="auto"/>
        <w:ind w:left="1080"/>
        <w:rPr>
          <w:sz w:val="21"/>
          <w:szCs w:val="21"/>
        </w:rPr>
      </w:pPr>
      <w:proofErr w:type="spellStart"/>
      <w:r w:rsidRPr="00C212EA">
        <w:rPr>
          <w:sz w:val="21"/>
          <w:szCs w:val="21"/>
        </w:rPr>
        <w:lastRenderedPageBreak/>
        <w:t>Scheutte</w:t>
      </w:r>
      <w:proofErr w:type="spellEnd"/>
      <w:r w:rsidRPr="00C212EA">
        <w:rPr>
          <w:sz w:val="21"/>
          <w:szCs w:val="21"/>
        </w:rPr>
        <w:t xml:space="preserve">, L. (2019) </w:t>
      </w:r>
      <w:r w:rsidRPr="00C212EA">
        <w:rPr>
          <w:i/>
          <w:iCs/>
          <w:sz w:val="21"/>
          <w:szCs w:val="21"/>
        </w:rPr>
        <w:t xml:space="preserve">Should the EU make foreign policy decisions by majority voting? </w:t>
      </w:r>
      <w:r w:rsidRPr="00C212EA">
        <w:rPr>
          <w:sz w:val="21"/>
          <w:szCs w:val="21"/>
        </w:rPr>
        <w:t xml:space="preserve">Available at: </w:t>
      </w:r>
      <w:hyperlink r:id="rId26" w:history="1">
        <w:r w:rsidRPr="00C212EA">
          <w:rPr>
            <w:rStyle w:val="Hyperlink"/>
            <w:sz w:val="21"/>
            <w:szCs w:val="21"/>
          </w:rPr>
          <w:t>https://www.cer.eu/sites/default/files/pbrief_qmv_15.5.19_1.pdf</w:t>
        </w:r>
      </w:hyperlink>
      <w:r w:rsidRPr="00C212EA">
        <w:rPr>
          <w:sz w:val="21"/>
          <w:szCs w:val="21"/>
        </w:rPr>
        <w:t xml:space="preserve"> (Accessed on: 19</w:t>
      </w:r>
      <w:r w:rsidRPr="00C212EA">
        <w:rPr>
          <w:sz w:val="21"/>
          <w:szCs w:val="21"/>
          <w:vertAlign w:val="superscript"/>
        </w:rPr>
        <w:t>th</w:t>
      </w:r>
      <w:r w:rsidRPr="00C212EA">
        <w:rPr>
          <w:sz w:val="21"/>
          <w:szCs w:val="21"/>
        </w:rPr>
        <w:t xml:space="preserve"> February 2022). </w:t>
      </w:r>
    </w:p>
    <w:p w14:paraId="4A3E99D0" w14:textId="77777777" w:rsidR="0011775A" w:rsidRPr="00C212EA" w:rsidRDefault="0011775A" w:rsidP="00C212EA">
      <w:pPr>
        <w:spacing w:line="360" w:lineRule="auto"/>
        <w:ind w:left="1080"/>
        <w:rPr>
          <w:sz w:val="21"/>
          <w:szCs w:val="21"/>
        </w:rPr>
      </w:pPr>
      <w:proofErr w:type="spellStart"/>
      <w:r w:rsidRPr="00C212EA">
        <w:rPr>
          <w:sz w:val="21"/>
          <w:szCs w:val="21"/>
        </w:rPr>
        <w:t>Schleicher</w:t>
      </w:r>
      <w:proofErr w:type="spellEnd"/>
      <w:r w:rsidRPr="00C212EA">
        <w:rPr>
          <w:sz w:val="21"/>
          <w:szCs w:val="21"/>
        </w:rPr>
        <w:t xml:space="preserve">, D. (2011). ‘What if Europe Held an Election and No One Cared?’. </w:t>
      </w:r>
      <w:r w:rsidRPr="00C212EA">
        <w:rPr>
          <w:i/>
          <w:iCs/>
          <w:sz w:val="21"/>
          <w:szCs w:val="21"/>
        </w:rPr>
        <w:t xml:space="preserve">Harvard International Law Journal. </w:t>
      </w:r>
      <w:r w:rsidRPr="00C212EA">
        <w:rPr>
          <w:sz w:val="21"/>
          <w:szCs w:val="21"/>
        </w:rPr>
        <w:t xml:space="preserve">Vol, 52. Number 1. Page 110 – 161. Available at: </w:t>
      </w:r>
      <w:hyperlink r:id="rId27" w:history="1">
        <w:r w:rsidRPr="00C212EA">
          <w:rPr>
            <w:rStyle w:val="Hyperlink"/>
            <w:sz w:val="21"/>
            <w:szCs w:val="21"/>
          </w:rPr>
          <w:t>https://harvardilj.org/wp-content/uploads/sites/15/2011/02/HILJ_52-1_Schleicher1.pdf</w:t>
        </w:r>
      </w:hyperlink>
      <w:r w:rsidRPr="00C212EA">
        <w:rPr>
          <w:sz w:val="21"/>
          <w:szCs w:val="21"/>
        </w:rPr>
        <w:t xml:space="preserve"> (Accessed on: 5</w:t>
      </w:r>
      <w:r w:rsidRPr="00C212EA">
        <w:rPr>
          <w:sz w:val="21"/>
          <w:szCs w:val="21"/>
          <w:vertAlign w:val="superscript"/>
        </w:rPr>
        <w:t>th</w:t>
      </w:r>
      <w:r w:rsidRPr="00C212EA">
        <w:rPr>
          <w:sz w:val="21"/>
          <w:szCs w:val="21"/>
        </w:rPr>
        <w:t xml:space="preserve"> February 2022).</w:t>
      </w:r>
    </w:p>
    <w:p w14:paraId="5E9FA62A" w14:textId="77777777" w:rsidR="0011775A" w:rsidRPr="00C212EA" w:rsidRDefault="0011775A" w:rsidP="00C212EA">
      <w:pPr>
        <w:autoSpaceDE w:val="0"/>
        <w:autoSpaceDN w:val="0"/>
        <w:adjustRightInd w:val="0"/>
        <w:spacing w:line="360" w:lineRule="auto"/>
        <w:ind w:left="1080"/>
        <w:rPr>
          <w:rFonts w:cs="AppleSystemUIFont"/>
          <w:sz w:val="21"/>
          <w:szCs w:val="21"/>
        </w:rPr>
      </w:pPr>
      <w:r w:rsidRPr="00C212EA">
        <w:rPr>
          <w:rFonts w:cs="AppleSystemUIFont"/>
          <w:sz w:val="21"/>
          <w:szCs w:val="21"/>
        </w:rPr>
        <w:t xml:space="preserve">The International </w:t>
      </w:r>
      <w:r w:rsidRPr="00C212EA">
        <w:rPr>
          <w:rFonts w:cs="AppleSystemUIFont"/>
          <w:sz w:val="21"/>
          <w:szCs w:val="21"/>
        </w:rPr>
        <w:t>Charlemagne Prize</w:t>
      </w:r>
      <w:r w:rsidRPr="00C212EA">
        <w:rPr>
          <w:rFonts w:cs="AppleSystemUIFont"/>
          <w:sz w:val="21"/>
          <w:szCs w:val="21"/>
        </w:rPr>
        <w:t xml:space="preserve"> of Aachen</w:t>
      </w:r>
      <w:r w:rsidRPr="00C212EA">
        <w:rPr>
          <w:rFonts w:cs="AppleSystemUIFont"/>
          <w:sz w:val="21"/>
          <w:szCs w:val="21"/>
        </w:rPr>
        <w:t xml:space="preserve">. (2015) </w:t>
      </w:r>
      <w:r w:rsidRPr="00C212EA">
        <w:rPr>
          <w:rFonts w:cs="AppleSystemUIFont"/>
          <w:sz w:val="21"/>
          <w:szCs w:val="21"/>
        </w:rPr>
        <w:t xml:space="preserve"> </w:t>
      </w:r>
      <w:r w:rsidRPr="00C212EA">
        <w:rPr>
          <w:rFonts w:cs="AppleSystemUIFont"/>
          <w:i/>
          <w:iCs/>
          <w:sz w:val="21"/>
          <w:szCs w:val="21"/>
        </w:rPr>
        <w:t xml:space="preserve">Charlemagne Prize Laureate 2015 Martin Schulz </w:t>
      </w:r>
      <w:r w:rsidRPr="00C212EA">
        <w:rPr>
          <w:rFonts w:cs="AppleSystemUIFont"/>
          <w:sz w:val="21"/>
          <w:szCs w:val="21"/>
        </w:rPr>
        <w:t xml:space="preserve">Available at: </w:t>
      </w:r>
      <w:hyperlink r:id="rId28" w:history="1">
        <w:r w:rsidRPr="00C212EA">
          <w:rPr>
            <w:rFonts w:cs="AppleSystemUIFont"/>
            <w:color w:val="DCA10D"/>
            <w:sz w:val="21"/>
            <w:szCs w:val="21"/>
            <w:u w:val="single" w:color="DCA10D"/>
          </w:rPr>
          <w:t>https://www.aachen.de/de/stadt_</w:t>
        </w:r>
        <w:r w:rsidRPr="00C212EA">
          <w:rPr>
            <w:rFonts w:cs="AppleSystemUIFont"/>
            <w:color w:val="DCA10D"/>
            <w:sz w:val="21"/>
            <w:szCs w:val="21"/>
            <w:u w:val="single" w:color="DCA10D"/>
          </w:rPr>
          <w:t>b</w:t>
        </w:r>
        <w:r w:rsidRPr="00C212EA">
          <w:rPr>
            <w:rFonts w:cs="AppleSystemUIFont"/>
            <w:color w:val="DCA10D"/>
            <w:sz w:val="21"/>
            <w:szCs w:val="21"/>
            <w:u w:val="single" w:color="DCA10D"/>
          </w:rPr>
          <w:t>uerger/aachen_profil/preise_auszeichnungen/karlspreis/08_preistraeger/karlspreis2015/KPBrosch_2015_Web__GB_.pdf</w:t>
        </w:r>
      </w:hyperlink>
      <w:r w:rsidRPr="00C212EA">
        <w:rPr>
          <w:rFonts w:cs="AppleSystemUIFont"/>
          <w:sz w:val="21"/>
          <w:szCs w:val="21"/>
        </w:rPr>
        <w:t xml:space="preserve"> (Accessed on: 19</w:t>
      </w:r>
      <w:r w:rsidRPr="00C212EA">
        <w:rPr>
          <w:rFonts w:cs="AppleSystemUIFont"/>
          <w:sz w:val="21"/>
          <w:szCs w:val="21"/>
          <w:vertAlign w:val="superscript"/>
        </w:rPr>
        <w:t>th</w:t>
      </w:r>
      <w:r w:rsidRPr="00C212EA">
        <w:rPr>
          <w:rFonts w:cs="AppleSystemUIFont"/>
          <w:sz w:val="21"/>
          <w:szCs w:val="21"/>
        </w:rPr>
        <w:t xml:space="preserve"> February 2022)</w:t>
      </w:r>
    </w:p>
    <w:p w14:paraId="2DB67EC9" w14:textId="77777777" w:rsidR="0011775A" w:rsidRPr="00C212EA" w:rsidRDefault="0011775A" w:rsidP="00C212EA">
      <w:pPr>
        <w:spacing w:line="360" w:lineRule="auto"/>
        <w:ind w:left="1080"/>
        <w:rPr>
          <w:sz w:val="21"/>
          <w:szCs w:val="21"/>
        </w:rPr>
      </w:pPr>
      <w:proofErr w:type="spellStart"/>
      <w:r w:rsidRPr="00C212EA">
        <w:rPr>
          <w:sz w:val="21"/>
          <w:szCs w:val="21"/>
        </w:rPr>
        <w:t>Tullock</w:t>
      </w:r>
      <w:proofErr w:type="spellEnd"/>
      <w:r w:rsidRPr="00C212EA">
        <w:rPr>
          <w:sz w:val="21"/>
          <w:szCs w:val="21"/>
        </w:rPr>
        <w:t xml:space="preserve">, G. (1959). ‘Problems with Majority Voting’. </w:t>
      </w:r>
      <w:r w:rsidRPr="00C212EA">
        <w:rPr>
          <w:i/>
          <w:iCs/>
          <w:sz w:val="21"/>
          <w:szCs w:val="21"/>
        </w:rPr>
        <w:t xml:space="preserve">The University of Chicago Press Journals. </w:t>
      </w:r>
      <w:r w:rsidRPr="00C212EA">
        <w:rPr>
          <w:sz w:val="21"/>
          <w:szCs w:val="21"/>
        </w:rPr>
        <w:t xml:space="preserve">Vol 67. 6. Pp. 571 – 579. Available at: </w:t>
      </w:r>
      <w:hyperlink r:id="rId29" w:history="1">
        <w:r w:rsidRPr="00C212EA">
          <w:rPr>
            <w:rStyle w:val="Hyperlink"/>
            <w:sz w:val="21"/>
            <w:szCs w:val="21"/>
          </w:rPr>
          <w:t>https://www-jstor-org.ezproxy.uwtsd.ac.uk/stable/pdf/1827311.pdf?refreqid=excelsior%3A0863e00bed848924cf94f1a3c7abacf9&amp;ab_segments=&amp;origin=</w:t>
        </w:r>
      </w:hyperlink>
      <w:r w:rsidRPr="00C212EA">
        <w:rPr>
          <w:sz w:val="21"/>
          <w:szCs w:val="21"/>
        </w:rPr>
        <w:t xml:space="preserve"> (Accessed on: 19</w:t>
      </w:r>
      <w:r w:rsidRPr="00C212EA">
        <w:rPr>
          <w:sz w:val="21"/>
          <w:szCs w:val="21"/>
          <w:vertAlign w:val="superscript"/>
        </w:rPr>
        <w:t>th</w:t>
      </w:r>
      <w:r w:rsidRPr="00C212EA">
        <w:rPr>
          <w:sz w:val="21"/>
          <w:szCs w:val="21"/>
        </w:rPr>
        <w:t xml:space="preserve"> February 2022) </w:t>
      </w:r>
    </w:p>
    <w:p w14:paraId="4D2AC394" w14:textId="77777777" w:rsidR="0011775A" w:rsidRDefault="0011775A" w:rsidP="00C212EA">
      <w:pPr>
        <w:spacing w:line="360" w:lineRule="auto"/>
        <w:ind w:left="1080"/>
        <w:rPr>
          <w:sz w:val="21"/>
          <w:szCs w:val="21"/>
        </w:rPr>
      </w:pPr>
      <w:proofErr w:type="spellStart"/>
      <w:r w:rsidRPr="00C212EA">
        <w:rPr>
          <w:sz w:val="21"/>
          <w:szCs w:val="21"/>
        </w:rPr>
        <w:t>Vesnic-Alujevic</w:t>
      </w:r>
      <w:proofErr w:type="spellEnd"/>
      <w:r w:rsidRPr="00C212EA">
        <w:rPr>
          <w:sz w:val="21"/>
          <w:szCs w:val="21"/>
        </w:rPr>
        <w:t xml:space="preserve">, L and </w:t>
      </w:r>
      <w:proofErr w:type="spellStart"/>
      <w:r w:rsidRPr="00C212EA">
        <w:rPr>
          <w:sz w:val="21"/>
          <w:szCs w:val="21"/>
        </w:rPr>
        <w:t>Nacarino</w:t>
      </w:r>
      <w:proofErr w:type="spellEnd"/>
      <w:r w:rsidRPr="00C212EA">
        <w:rPr>
          <w:sz w:val="21"/>
          <w:szCs w:val="21"/>
        </w:rPr>
        <w:t xml:space="preserve">, R (2012). ‘The EU and Its Democratic Deficit: Problems and (Possible) Solutions’ </w:t>
      </w:r>
      <w:r w:rsidRPr="00C212EA">
        <w:rPr>
          <w:i/>
          <w:iCs/>
          <w:sz w:val="21"/>
          <w:szCs w:val="21"/>
        </w:rPr>
        <w:t>Sage Journals</w:t>
      </w:r>
      <w:r w:rsidRPr="00C212EA">
        <w:rPr>
          <w:sz w:val="21"/>
          <w:szCs w:val="21"/>
        </w:rPr>
        <w:t xml:space="preserve">. Vol 11 (1). P 63-70. Available at: </w:t>
      </w:r>
      <w:hyperlink r:id="rId30" w:history="1">
        <w:r w:rsidRPr="00C212EA">
          <w:rPr>
            <w:rStyle w:val="Hyperlink"/>
            <w:sz w:val="21"/>
            <w:szCs w:val="21"/>
          </w:rPr>
          <w:t>https://journals.sagepub.com/doi/full/10.1007/S12290-012-0213-7</w:t>
        </w:r>
      </w:hyperlink>
      <w:r w:rsidRPr="00C212EA">
        <w:rPr>
          <w:sz w:val="21"/>
          <w:szCs w:val="21"/>
        </w:rPr>
        <w:t xml:space="preserve"> (Accessed on: 22</w:t>
      </w:r>
      <w:r w:rsidRPr="00C212EA">
        <w:rPr>
          <w:sz w:val="21"/>
          <w:szCs w:val="21"/>
          <w:vertAlign w:val="superscript"/>
        </w:rPr>
        <w:t>nd</w:t>
      </w:r>
      <w:r w:rsidRPr="00C212EA">
        <w:rPr>
          <w:sz w:val="21"/>
          <w:szCs w:val="21"/>
        </w:rPr>
        <w:t xml:space="preserve"> February 2022)</w:t>
      </w:r>
    </w:p>
    <w:p w14:paraId="38400087" w14:textId="4A5EE05F" w:rsidR="00E02DB2" w:rsidRPr="00C212EA" w:rsidRDefault="00E02DB2" w:rsidP="00C212EA">
      <w:pPr>
        <w:spacing w:line="360" w:lineRule="auto"/>
        <w:rPr>
          <w:sz w:val="21"/>
          <w:szCs w:val="21"/>
        </w:rPr>
      </w:pPr>
    </w:p>
    <w:p w14:paraId="641F5729" w14:textId="77777777" w:rsidR="0011775A" w:rsidRPr="00C212EA" w:rsidRDefault="0011775A" w:rsidP="00C212EA">
      <w:pPr>
        <w:autoSpaceDE w:val="0"/>
        <w:autoSpaceDN w:val="0"/>
        <w:adjustRightInd w:val="0"/>
        <w:spacing w:line="360" w:lineRule="auto"/>
        <w:rPr>
          <w:rFonts w:cs="AppleSystemUIFont"/>
          <w:sz w:val="21"/>
          <w:szCs w:val="21"/>
        </w:rPr>
      </w:pPr>
    </w:p>
    <w:p w14:paraId="215F9CCF" w14:textId="77777777" w:rsidR="0011775A" w:rsidRPr="00C212EA" w:rsidRDefault="0011775A" w:rsidP="00C212EA">
      <w:pPr>
        <w:autoSpaceDE w:val="0"/>
        <w:autoSpaceDN w:val="0"/>
        <w:adjustRightInd w:val="0"/>
        <w:spacing w:line="360" w:lineRule="auto"/>
        <w:rPr>
          <w:rFonts w:cs="AppleSystemUIFont"/>
          <w:sz w:val="21"/>
          <w:szCs w:val="21"/>
        </w:rPr>
      </w:pPr>
    </w:p>
    <w:p w14:paraId="6C0F6DAA" w14:textId="77777777" w:rsidR="0011775A" w:rsidRPr="00C15EC3" w:rsidRDefault="0011775A" w:rsidP="00971278">
      <w:pPr>
        <w:rPr>
          <w:sz w:val="22"/>
          <w:szCs w:val="22"/>
        </w:rPr>
      </w:pPr>
    </w:p>
    <w:p w14:paraId="26EF0301" w14:textId="77777777" w:rsidR="0011775A" w:rsidRPr="00C212EA" w:rsidRDefault="0011775A" w:rsidP="00C212EA">
      <w:pPr>
        <w:autoSpaceDE w:val="0"/>
        <w:autoSpaceDN w:val="0"/>
        <w:adjustRightInd w:val="0"/>
        <w:spacing w:line="360" w:lineRule="auto"/>
        <w:ind w:left="720"/>
        <w:rPr>
          <w:rFonts w:cs="AppleSystemUIFont"/>
          <w:sz w:val="21"/>
          <w:szCs w:val="21"/>
        </w:rPr>
      </w:pPr>
      <w:r w:rsidRPr="00C212EA">
        <w:rPr>
          <w:rFonts w:cs="AppleSystemUIFont"/>
          <w:i/>
          <w:iCs/>
          <w:sz w:val="21"/>
          <w:szCs w:val="21"/>
        </w:rPr>
        <w:t>Consolidated Version of The Treaty of the European Union.</w:t>
      </w:r>
      <w:r w:rsidRPr="00C212EA">
        <w:rPr>
          <w:rFonts w:cs="AppleSystemUIFont"/>
          <w:sz w:val="21"/>
          <w:szCs w:val="21"/>
        </w:rPr>
        <w:t xml:space="preserve"> (2016) </w:t>
      </w:r>
      <w:r w:rsidRPr="00C212EA">
        <w:rPr>
          <w:rFonts w:cs="AppleSystemUIFontItalic"/>
          <w:i/>
          <w:iCs/>
          <w:sz w:val="21"/>
          <w:szCs w:val="21"/>
        </w:rPr>
        <w:t xml:space="preserve">Official Journal. </w:t>
      </w:r>
      <w:r w:rsidRPr="00C212EA">
        <w:rPr>
          <w:rFonts w:cs="AppleSystemUIFont"/>
          <w:sz w:val="21"/>
          <w:szCs w:val="21"/>
        </w:rPr>
        <w:t>C 220/24. 7</w:t>
      </w:r>
      <w:r w:rsidRPr="00C212EA">
        <w:rPr>
          <w:rFonts w:cs="AppleSystemUIFont"/>
          <w:sz w:val="21"/>
          <w:szCs w:val="21"/>
          <w:vertAlign w:val="superscript"/>
        </w:rPr>
        <w:t>th</w:t>
      </w:r>
      <w:r w:rsidRPr="00C212EA">
        <w:rPr>
          <w:rFonts w:cs="AppleSystemUIFont"/>
          <w:sz w:val="21"/>
          <w:szCs w:val="21"/>
        </w:rPr>
        <w:t xml:space="preserve"> June. Available at: </w:t>
      </w:r>
      <w:hyperlink r:id="rId31" w:history="1">
        <w:r w:rsidRPr="00C212EA">
          <w:rPr>
            <w:rFonts w:cs="AppleSystemUIFont"/>
            <w:color w:val="DCA10D"/>
            <w:sz w:val="21"/>
            <w:szCs w:val="21"/>
            <w:u w:val="single" w:color="DCA10D"/>
          </w:rPr>
          <w:t>https://eur-lex.europa.eu/legal-content/EN/TXT/?uri=CELEX%3A12016M016</w:t>
        </w:r>
      </w:hyperlink>
      <w:r w:rsidRPr="00C212EA">
        <w:rPr>
          <w:rFonts w:cs="AppleSystemUIFont"/>
          <w:sz w:val="21"/>
          <w:szCs w:val="21"/>
        </w:rPr>
        <w:t xml:space="preserve"> (Accessed on 19</w:t>
      </w:r>
      <w:r w:rsidRPr="00C212EA">
        <w:rPr>
          <w:rFonts w:cs="AppleSystemUIFont"/>
          <w:sz w:val="21"/>
          <w:szCs w:val="21"/>
          <w:vertAlign w:val="superscript"/>
        </w:rPr>
        <w:t>th</w:t>
      </w:r>
      <w:r w:rsidRPr="00C212EA">
        <w:rPr>
          <w:rFonts w:cs="AppleSystemUIFont"/>
          <w:sz w:val="21"/>
          <w:szCs w:val="21"/>
        </w:rPr>
        <w:t xml:space="preserve"> February 2022)</w:t>
      </w:r>
    </w:p>
    <w:p w14:paraId="3A52F4BC" w14:textId="77777777" w:rsidR="0011775A" w:rsidRPr="00C212EA" w:rsidRDefault="0011775A" w:rsidP="00C212EA">
      <w:pPr>
        <w:autoSpaceDE w:val="0"/>
        <w:autoSpaceDN w:val="0"/>
        <w:adjustRightInd w:val="0"/>
        <w:spacing w:line="360" w:lineRule="auto"/>
        <w:ind w:left="720"/>
        <w:rPr>
          <w:rFonts w:cs="AppleSystemUIFont"/>
          <w:sz w:val="21"/>
          <w:szCs w:val="21"/>
        </w:rPr>
      </w:pPr>
      <w:r w:rsidRPr="00C212EA">
        <w:rPr>
          <w:rFonts w:cs="AppleSystemUIFont"/>
          <w:i/>
          <w:iCs/>
          <w:sz w:val="21"/>
          <w:szCs w:val="21"/>
        </w:rPr>
        <w:t>Consolidated Version of The Treaty of the European Union.</w:t>
      </w:r>
      <w:r w:rsidRPr="00C212EA">
        <w:rPr>
          <w:rFonts w:cs="AppleSystemUIFont"/>
          <w:sz w:val="21"/>
          <w:szCs w:val="21"/>
        </w:rPr>
        <w:t xml:space="preserve"> (2016) </w:t>
      </w:r>
      <w:r w:rsidRPr="00C212EA">
        <w:rPr>
          <w:rFonts w:cs="AppleSystemUIFontItalic"/>
          <w:i/>
          <w:iCs/>
          <w:sz w:val="21"/>
          <w:szCs w:val="21"/>
        </w:rPr>
        <w:t xml:space="preserve">Official Journal. </w:t>
      </w:r>
      <w:r w:rsidRPr="00C212EA">
        <w:rPr>
          <w:rFonts w:cs="AppleSystemUIFontItalic"/>
          <w:sz w:val="21"/>
          <w:szCs w:val="21"/>
        </w:rPr>
        <w:t>C202/158. 7</w:t>
      </w:r>
      <w:r w:rsidRPr="00C212EA">
        <w:rPr>
          <w:rFonts w:cs="AppleSystemUIFontItalic"/>
          <w:sz w:val="21"/>
          <w:szCs w:val="21"/>
          <w:vertAlign w:val="superscript"/>
        </w:rPr>
        <w:t>th</w:t>
      </w:r>
      <w:r w:rsidRPr="00C212EA">
        <w:rPr>
          <w:rFonts w:cs="AppleSystemUIFontItalic"/>
          <w:sz w:val="21"/>
          <w:szCs w:val="21"/>
        </w:rPr>
        <w:t xml:space="preserve"> June. Available at: </w:t>
      </w:r>
      <w:hyperlink r:id="rId32" w:history="1">
        <w:r w:rsidRPr="00C212EA">
          <w:rPr>
            <w:rStyle w:val="Hyperlink"/>
            <w:rFonts w:cs="AppleSystemUIFontItalic"/>
            <w:sz w:val="21"/>
            <w:szCs w:val="21"/>
          </w:rPr>
          <w:t>https://eur-lex.europa.eu/legal-content/EN/TXT/?uri=CELEX%3A12016E253</w:t>
        </w:r>
      </w:hyperlink>
      <w:r w:rsidRPr="00C212EA">
        <w:rPr>
          <w:rFonts w:cs="AppleSystemUIFontItalic"/>
          <w:sz w:val="21"/>
          <w:szCs w:val="21"/>
        </w:rPr>
        <w:t xml:space="preserve"> (Accessed on: 19</w:t>
      </w:r>
      <w:r w:rsidRPr="00C212EA">
        <w:rPr>
          <w:rFonts w:cs="AppleSystemUIFontItalic"/>
          <w:sz w:val="21"/>
          <w:szCs w:val="21"/>
          <w:vertAlign w:val="superscript"/>
        </w:rPr>
        <w:t>th</w:t>
      </w:r>
      <w:r w:rsidRPr="00C212EA">
        <w:rPr>
          <w:rFonts w:cs="AppleSystemUIFontItalic"/>
          <w:sz w:val="21"/>
          <w:szCs w:val="21"/>
        </w:rPr>
        <w:t xml:space="preserve"> February 2022)</w:t>
      </w:r>
    </w:p>
    <w:p w14:paraId="1B83B30E" w14:textId="77777777" w:rsidR="0011775A" w:rsidRPr="00C212EA" w:rsidRDefault="0011775A" w:rsidP="00C212EA">
      <w:pPr>
        <w:autoSpaceDE w:val="0"/>
        <w:autoSpaceDN w:val="0"/>
        <w:adjustRightInd w:val="0"/>
        <w:spacing w:line="360" w:lineRule="auto"/>
        <w:ind w:left="720"/>
        <w:rPr>
          <w:rFonts w:cs="AppleSystemUIFont"/>
          <w:sz w:val="21"/>
          <w:szCs w:val="21"/>
        </w:rPr>
      </w:pPr>
      <w:r w:rsidRPr="00C212EA">
        <w:rPr>
          <w:rFonts w:cs="AppleSystemUIFont"/>
          <w:i/>
          <w:iCs/>
          <w:sz w:val="21"/>
          <w:szCs w:val="21"/>
        </w:rPr>
        <w:t>Consolidated Version of the Treaty on European Union</w:t>
      </w:r>
      <w:r w:rsidRPr="00C212EA">
        <w:rPr>
          <w:rFonts w:cs="AppleSystemUIFont"/>
          <w:i/>
          <w:iCs/>
          <w:sz w:val="21"/>
          <w:szCs w:val="21"/>
        </w:rPr>
        <w:t xml:space="preserve"> (1992)</w:t>
      </w:r>
      <w:r w:rsidRPr="00C212EA">
        <w:rPr>
          <w:rFonts w:cs="AppleSystemUIFont"/>
          <w:sz w:val="21"/>
          <w:szCs w:val="21"/>
        </w:rPr>
        <w:t xml:space="preserve">. Article 11. (3). Available at: </w:t>
      </w:r>
      <w:hyperlink r:id="rId33" w:history="1">
        <w:r w:rsidRPr="00C212EA">
          <w:rPr>
            <w:rFonts w:cs="AppleSystemUIFont"/>
            <w:color w:val="DCA10D"/>
            <w:sz w:val="21"/>
            <w:szCs w:val="21"/>
            <w:u w:val="single" w:color="DCA10D"/>
          </w:rPr>
          <w:t>https://www.legislation.gov.uk/eut/teu</w:t>
        </w:r>
        <w:r w:rsidRPr="00C212EA">
          <w:rPr>
            <w:rFonts w:cs="AppleSystemUIFont"/>
            <w:color w:val="DCA10D"/>
            <w:sz w:val="21"/>
            <w:szCs w:val="21"/>
            <w:u w:val="single" w:color="DCA10D"/>
          </w:rPr>
          <w:t>/</w:t>
        </w:r>
        <w:r w:rsidRPr="00C212EA">
          <w:rPr>
            <w:rFonts w:cs="AppleSystemUIFont"/>
            <w:color w:val="DCA10D"/>
            <w:sz w:val="21"/>
            <w:szCs w:val="21"/>
            <w:u w:val="single" w:color="DCA10D"/>
          </w:rPr>
          <w:t>title/II</w:t>
        </w:r>
      </w:hyperlink>
      <w:r w:rsidRPr="00C212EA">
        <w:rPr>
          <w:rFonts w:cs="AppleSystemUIFont"/>
          <w:sz w:val="21"/>
          <w:szCs w:val="21"/>
        </w:rPr>
        <w:t xml:space="preserve"> (Accessed on: 5</w:t>
      </w:r>
      <w:r w:rsidRPr="00C212EA">
        <w:rPr>
          <w:rFonts w:cs="AppleSystemUIFont"/>
          <w:sz w:val="21"/>
          <w:szCs w:val="21"/>
          <w:vertAlign w:val="superscript"/>
        </w:rPr>
        <w:t>th</w:t>
      </w:r>
      <w:r w:rsidRPr="00C212EA">
        <w:rPr>
          <w:rFonts w:cs="AppleSystemUIFont"/>
          <w:sz w:val="21"/>
          <w:szCs w:val="21"/>
        </w:rPr>
        <w:t xml:space="preserve"> February 2022).</w:t>
      </w:r>
    </w:p>
    <w:p w14:paraId="2678E300" w14:textId="77777777" w:rsidR="0011775A" w:rsidRPr="00C212EA" w:rsidRDefault="0011775A" w:rsidP="00C212EA">
      <w:pPr>
        <w:autoSpaceDE w:val="0"/>
        <w:autoSpaceDN w:val="0"/>
        <w:adjustRightInd w:val="0"/>
        <w:spacing w:line="360" w:lineRule="auto"/>
        <w:ind w:left="720"/>
        <w:rPr>
          <w:rFonts w:cs="AppleSystemUIFont"/>
          <w:sz w:val="21"/>
          <w:szCs w:val="21"/>
        </w:rPr>
      </w:pPr>
      <w:r w:rsidRPr="00C212EA">
        <w:rPr>
          <w:rFonts w:cs="AppleSystemUIFont"/>
          <w:i/>
          <w:iCs/>
          <w:sz w:val="21"/>
          <w:szCs w:val="21"/>
        </w:rPr>
        <w:t>Consolidated Version of the Treaty on European Union. (1992)</w:t>
      </w:r>
      <w:r w:rsidRPr="00C212EA">
        <w:rPr>
          <w:rFonts w:cs="AppleSystemUIFont"/>
          <w:sz w:val="21"/>
          <w:szCs w:val="21"/>
        </w:rPr>
        <w:t xml:space="preserve"> Article 263. Available at: </w:t>
      </w:r>
      <w:hyperlink r:id="rId34" w:history="1">
        <w:r w:rsidRPr="00C212EA">
          <w:rPr>
            <w:rFonts w:cs="AppleSystemUIFont"/>
            <w:color w:val="DCA10D"/>
            <w:sz w:val="21"/>
            <w:szCs w:val="21"/>
            <w:u w:val="single" w:color="DCA10D"/>
          </w:rPr>
          <w:t>https://www.legislation.gov.uk/eut/teec/article/263</w:t>
        </w:r>
      </w:hyperlink>
      <w:r w:rsidRPr="00C212EA">
        <w:rPr>
          <w:rFonts w:cs="AppleSystemUIFont"/>
          <w:sz w:val="21"/>
          <w:szCs w:val="21"/>
        </w:rPr>
        <w:t xml:space="preserve"> (Accessed on: 14</w:t>
      </w:r>
      <w:r w:rsidRPr="00C212EA">
        <w:rPr>
          <w:rFonts w:cs="AppleSystemUIFont"/>
          <w:sz w:val="21"/>
          <w:szCs w:val="21"/>
          <w:vertAlign w:val="superscript"/>
        </w:rPr>
        <w:t>th</w:t>
      </w:r>
      <w:r w:rsidRPr="00C212EA">
        <w:rPr>
          <w:rFonts w:cs="AppleSystemUIFont"/>
          <w:sz w:val="21"/>
          <w:szCs w:val="21"/>
        </w:rPr>
        <w:t xml:space="preserve"> February 2022).</w:t>
      </w:r>
    </w:p>
    <w:p w14:paraId="06A93259" w14:textId="77777777" w:rsidR="0011775A" w:rsidRPr="00C212EA" w:rsidRDefault="0011775A" w:rsidP="00C212EA">
      <w:pPr>
        <w:autoSpaceDE w:val="0"/>
        <w:autoSpaceDN w:val="0"/>
        <w:adjustRightInd w:val="0"/>
        <w:spacing w:line="360" w:lineRule="auto"/>
        <w:ind w:left="720"/>
        <w:rPr>
          <w:rFonts w:cs="AppleSystemUIFont"/>
          <w:sz w:val="21"/>
          <w:szCs w:val="21"/>
        </w:rPr>
      </w:pPr>
      <w:r w:rsidRPr="00C212EA">
        <w:rPr>
          <w:rFonts w:cs="AppleSystemUIFont"/>
          <w:i/>
          <w:iCs/>
          <w:sz w:val="21"/>
          <w:szCs w:val="21"/>
        </w:rPr>
        <w:t>Consolidated Version of the Treaty on European Union</w:t>
      </w:r>
      <w:r w:rsidRPr="00C212EA">
        <w:rPr>
          <w:rFonts w:cs="AppleSystemUIFont"/>
          <w:sz w:val="21"/>
          <w:szCs w:val="21"/>
        </w:rPr>
        <w:t xml:space="preserve">. (1992) Article 11. (2). Available at: </w:t>
      </w:r>
      <w:hyperlink r:id="rId35" w:history="1">
        <w:r w:rsidRPr="00C212EA">
          <w:rPr>
            <w:rFonts w:cs="AppleSystemUIFont"/>
            <w:color w:val="DCA10D"/>
            <w:sz w:val="21"/>
            <w:szCs w:val="21"/>
            <w:u w:val="single" w:color="DCA10D"/>
          </w:rPr>
          <w:t>https://www.legislation.g</w:t>
        </w:r>
        <w:r w:rsidRPr="00C212EA">
          <w:rPr>
            <w:rFonts w:cs="AppleSystemUIFont"/>
            <w:color w:val="DCA10D"/>
            <w:sz w:val="21"/>
            <w:szCs w:val="21"/>
            <w:u w:val="single" w:color="DCA10D"/>
          </w:rPr>
          <w:t>o</w:t>
        </w:r>
        <w:r w:rsidRPr="00C212EA">
          <w:rPr>
            <w:rFonts w:cs="AppleSystemUIFont"/>
            <w:color w:val="DCA10D"/>
            <w:sz w:val="21"/>
            <w:szCs w:val="21"/>
            <w:u w:val="single" w:color="DCA10D"/>
          </w:rPr>
          <w:t>v.uk/eut/teu/title/II</w:t>
        </w:r>
      </w:hyperlink>
      <w:r w:rsidRPr="00C212EA">
        <w:rPr>
          <w:rFonts w:cs="AppleSystemUIFont"/>
          <w:sz w:val="21"/>
          <w:szCs w:val="21"/>
        </w:rPr>
        <w:t xml:space="preserve"> (Accessed on: 5</w:t>
      </w:r>
      <w:r w:rsidRPr="00C212EA">
        <w:rPr>
          <w:rFonts w:cs="AppleSystemUIFont"/>
          <w:sz w:val="21"/>
          <w:szCs w:val="21"/>
          <w:vertAlign w:val="superscript"/>
        </w:rPr>
        <w:t>th</w:t>
      </w:r>
      <w:r w:rsidRPr="00C212EA">
        <w:rPr>
          <w:rFonts w:cs="AppleSystemUIFont"/>
          <w:sz w:val="21"/>
          <w:szCs w:val="21"/>
        </w:rPr>
        <w:t xml:space="preserve"> February 2022).</w:t>
      </w:r>
    </w:p>
    <w:p w14:paraId="23FD2E6A" w14:textId="77777777" w:rsidR="0011775A" w:rsidRPr="00C212EA" w:rsidRDefault="0011775A" w:rsidP="00C212EA">
      <w:pPr>
        <w:autoSpaceDE w:val="0"/>
        <w:autoSpaceDN w:val="0"/>
        <w:adjustRightInd w:val="0"/>
        <w:spacing w:line="360" w:lineRule="auto"/>
        <w:ind w:left="720"/>
        <w:rPr>
          <w:rFonts w:cs="AppleSystemUIFont"/>
          <w:sz w:val="21"/>
          <w:szCs w:val="21"/>
        </w:rPr>
      </w:pPr>
      <w:r w:rsidRPr="00C212EA">
        <w:rPr>
          <w:rFonts w:cs="AppleSystemUIFont"/>
          <w:i/>
          <w:iCs/>
          <w:sz w:val="21"/>
          <w:szCs w:val="21"/>
        </w:rPr>
        <w:lastRenderedPageBreak/>
        <w:t xml:space="preserve">Consolidated Version of Treaty on European </w:t>
      </w:r>
      <w:proofErr w:type="gramStart"/>
      <w:r w:rsidRPr="00C212EA">
        <w:rPr>
          <w:rFonts w:cs="AppleSystemUIFont"/>
          <w:i/>
          <w:iCs/>
          <w:sz w:val="21"/>
          <w:szCs w:val="21"/>
        </w:rPr>
        <w:t>Union</w:t>
      </w:r>
      <w:r w:rsidRPr="00C212EA">
        <w:rPr>
          <w:rFonts w:cs="AppleSystemUIFont"/>
          <w:sz w:val="21"/>
          <w:szCs w:val="21"/>
        </w:rPr>
        <w:t>.(</w:t>
      </w:r>
      <w:proofErr w:type="gramEnd"/>
      <w:r w:rsidRPr="00C212EA">
        <w:rPr>
          <w:rFonts w:cs="AppleSystemUIFont"/>
          <w:sz w:val="21"/>
          <w:szCs w:val="21"/>
        </w:rPr>
        <w:t xml:space="preserve">1992)  Article 10. (1-4). Available at: </w:t>
      </w:r>
      <w:hyperlink r:id="rId36" w:history="1">
        <w:r w:rsidRPr="00C212EA">
          <w:rPr>
            <w:rFonts w:cs="AppleSystemUIFont"/>
            <w:color w:val="DCA10D"/>
            <w:sz w:val="21"/>
            <w:szCs w:val="21"/>
            <w:u w:val="single" w:color="DCA10D"/>
          </w:rPr>
          <w:t>https://www.legislation.gov.uk/e</w:t>
        </w:r>
        <w:r w:rsidRPr="00C212EA">
          <w:rPr>
            <w:rFonts w:cs="AppleSystemUIFont"/>
            <w:color w:val="DCA10D"/>
            <w:sz w:val="21"/>
            <w:szCs w:val="21"/>
            <w:u w:val="single" w:color="DCA10D"/>
          </w:rPr>
          <w:t>u</w:t>
        </w:r>
        <w:r w:rsidRPr="00C212EA">
          <w:rPr>
            <w:rFonts w:cs="AppleSystemUIFont"/>
            <w:color w:val="DCA10D"/>
            <w:sz w:val="21"/>
            <w:szCs w:val="21"/>
            <w:u w:val="single" w:color="DCA10D"/>
          </w:rPr>
          <w:t>t/teu/title/II</w:t>
        </w:r>
      </w:hyperlink>
      <w:r w:rsidRPr="00C212EA">
        <w:rPr>
          <w:rFonts w:cs="AppleSystemUIFont"/>
          <w:sz w:val="21"/>
          <w:szCs w:val="21"/>
        </w:rPr>
        <w:t xml:space="preserve"> (Accessed on: 5</w:t>
      </w:r>
      <w:r w:rsidRPr="00C212EA">
        <w:rPr>
          <w:rFonts w:cs="AppleSystemUIFont"/>
          <w:sz w:val="21"/>
          <w:szCs w:val="21"/>
          <w:vertAlign w:val="superscript"/>
        </w:rPr>
        <w:t>th</w:t>
      </w:r>
      <w:r w:rsidRPr="00C212EA">
        <w:rPr>
          <w:rFonts w:cs="AppleSystemUIFont"/>
          <w:sz w:val="21"/>
          <w:szCs w:val="21"/>
        </w:rPr>
        <w:t xml:space="preserve"> February 2022).</w:t>
      </w:r>
    </w:p>
    <w:p w14:paraId="42EA672F" w14:textId="77777777" w:rsidR="0011775A" w:rsidRPr="00C212EA" w:rsidRDefault="0011775A" w:rsidP="00C212EA">
      <w:pPr>
        <w:autoSpaceDE w:val="0"/>
        <w:autoSpaceDN w:val="0"/>
        <w:adjustRightInd w:val="0"/>
        <w:spacing w:line="360" w:lineRule="auto"/>
        <w:ind w:left="720"/>
        <w:rPr>
          <w:rFonts w:cs="AppleSystemUIFont"/>
          <w:sz w:val="21"/>
          <w:szCs w:val="21"/>
        </w:rPr>
      </w:pPr>
      <w:r w:rsidRPr="00C212EA">
        <w:rPr>
          <w:rFonts w:cs="AppleSystemUIFont"/>
          <w:sz w:val="21"/>
          <w:szCs w:val="21"/>
        </w:rPr>
        <w:t xml:space="preserve">Consolidation of the Treaty of The European Union (2012) </w:t>
      </w:r>
      <w:r w:rsidRPr="00C212EA">
        <w:rPr>
          <w:rFonts w:cs="AppleSystemUIFontItalic"/>
          <w:i/>
          <w:iCs/>
          <w:sz w:val="21"/>
          <w:szCs w:val="21"/>
        </w:rPr>
        <w:t xml:space="preserve">Official Journal of the European Union. </w:t>
      </w:r>
      <w:r w:rsidRPr="00C212EA">
        <w:rPr>
          <w:rFonts w:cs="AppleSystemUIFont"/>
          <w:sz w:val="21"/>
          <w:szCs w:val="21"/>
        </w:rPr>
        <w:t>C326/13. 16</w:t>
      </w:r>
      <w:r w:rsidRPr="00C212EA">
        <w:rPr>
          <w:rFonts w:cs="AppleSystemUIFont"/>
          <w:sz w:val="21"/>
          <w:szCs w:val="21"/>
          <w:vertAlign w:val="superscript"/>
        </w:rPr>
        <w:t>th</w:t>
      </w:r>
      <w:r w:rsidRPr="00C212EA">
        <w:rPr>
          <w:rFonts w:cs="AppleSystemUIFont"/>
          <w:sz w:val="21"/>
          <w:szCs w:val="21"/>
        </w:rPr>
        <w:t xml:space="preserve"> October. Available at: </w:t>
      </w:r>
      <w:hyperlink r:id="rId37" w:history="1">
        <w:r w:rsidRPr="00C212EA">
          <w:rPr>
            <w:rFonts w:cs="AppleSystemUIFont"/>
            <w:color w:val="DCA10D"/>
            <w:sz w:val="21"/>
            <w:szCs w:val="21"/>
            <w:u w:val="single" w:color="DCA10D"/>
          </w:rPr>
          <w:t>https://eur-lex.europa.eu/resource.html?uri=cellar:2bf140bf-a3f8-4ab2-b506-fd71826e6da6.0023.02/DOC_1&amp;format=PDF</w:t>
        </w:r>
      </w:hyperlink>
      <w:r w:rsidRPr="00C212EA">
        <w:rPr>
          <w:rFonts w:cs="AppleSystemUIFont"/>
          <w:sz w:val="21"/>
          <w:szCs w:val="21"/>
        </w:rPr>
        <w:t xml:space="preserve"> (Accessed on: 18</w:t>
      </w:r>
      <w:r w:rsidRPr="00C212EA">
        <w:rPr>
          <w:rFonts w:cs="AppleSystemUIFont"/>
          <w:sz w:val="21"/>
          <w:szCs w:val="21"/>
          <w:vertAlign w:val="superscript"/>
        </w:rPr>
        <w:t>th</w:t>
      </w:r>
      <w:r w:rsidRPr="00C212EA">
        <w:rPr>
          <w:rFonts w:cs="AppleSystemUIFont"/>
          <w:sz w:val="21"/>
          <w:szCs w:val="21"/>
        </w:rPr>
        <w:t xml:space="preserve"> February 2022) </w:t>
      </w:r>
    </w:p>
    <w:p w14:paraId="35854546" w14:textId="77777777" w:rsidR="0011775A" w:rsidRPr="00C212EA" w:rsidRDefault="0011775A" w:rsidP="00C212EA">
      <w:pPr>
        <w:autoSpaceDE w:val="0"/>
        <w:autoSpaceDN w:val="0"/>
        <w:adjustRightInd w:val="0"/>
        <w:spacing w:line="360" w:lineRule="auto"/>
        <w:ind w:left="720"/>
        <w:rPr>
          <w:rFonts w:cs="AppleSystemUIFont"/>
          <w:sz w:val="21"/>
          <w:szCs w:val="21"/>
        </w:rPr>
      </w:pPr>
      <w:r w:rsidRPr="00C212EA">
        <w:rPr>
          <w:rFonts w:cs="AppleSystemUIFont"/>
          <w:i/>
          <w:iCs/>
          <w:sz w:val="21"/>
          <w:szCs w:val="21"/>
        </w:rPr>
        <w:t>Consolidation of the Treaty of the Functioning of the European Union</w:t>
      </w:r>
      <w:r w:rsidRPr="00C212EA">
        <w:rPr>
          <w:rFonts w:cs="AppleSystemUIFont"/>
          <w:sz w:val="21"/>
          <w:szCs w:val="21"/>
        </w:rPr>
        <w:t xml:space="preserve"> (1957) </w:t>
      </w:r>
      <w:r w:rsidRPr="00C212EA">
        <w:rPr>
          <w:rFonts w:cs="AppleSystemUIFontItalic"/>
          <w:i/>
          <w:iCs/>
          <w:sz w:val="21"/>
          <w:szCs w:val="21"/>
        </w:rPr>
        <w:t>Official Journal</w:t>
      </w:r>
      <w:r w:rsidRPr="00C212EA">
        <w:rPr>
          <w:rFonts w:cs="AppleSystemUIFont"/>
          <w:sz w:val="21"/>
          <w:szCs w:val="21"/>
        </w:rPr>
        <w:t xml:space="preserve">. 115. P025 -026.  Available at: </w:t>
      </w:r>
      <w:proofErr w:type="gramStart"/>
      <w:r w:rsidRPr="00C212EA">
        <w:rPr>
          <w:rFonts w:cs="AppleSystemUIFont"/>
          <w:sz w:val="21"/>
          <w:szCs w:val="21"/>
        </w:rPr>
        <w:t>https://eur-lex.europa.eu/legal-content/en/TXT/?uri=CELEX%3A12008M017  (</w:t>
      </w:r>
      <w:proofErr w:type="gramEnd"/>
      <w:r w:rsidRPr="00C212EA">
        <w:rPr>
          <w:rFonts w:cs="AppleSystemUIFont"/>
          <w:sz w:val="21"/>
          <w:szCs w:val="21"/>
        </w:rPr>
        <w:t>Accessed on: 19</w:t>
      </w:r>
      <w:r w:rsidRPr="00C212EA">
        <w:rPr>
          <w:rFonts w:cs="AppleSystemUIFont"/>
          <w:sz w:val="21"/>
          <w:szCs w:val="21"/>
          <w:vertAlign w:val="superscript"/>
        </w:rPr>
        <w:t>th</w:t>
      </w:r>
      <w:r w:rsidRPr="00C212EA">
        <w:rPr>
          <w:rFonts w:cs="AppleSystemUIFont"/>
          <w:sz w:val="21"/>
          <w:szCs w:val="21"/>
        </w:rPr>
        <w:t xml:space="preserve"> February 2022)</w:t>
      </w:r>
    </w:p>
    <w:p w14:paraId="54BF680B" w14:textId="77777777" w:rsidR="0011775A" w:rsidRPr="00C212EA" w:rsidRDefault="0011775A" w:rsidP="00C212EA">
      <w:pPr>
        <w:autoSpaceDE w:val="0"/>
        <w:autoSpaceDN w:val="0"/>
        <w:adjustRightInd w:val="0"/>
        <w:spacing w:line="360" w:lineRule="auto"/>
        <w:ind w:left="720"/>
        <w:rPr>
          <w:rFonts w:cs="AppleSystemUIFont"/>
          <w:sz w:val="21"/>
          <w:szCs w:val="21"/>
        </w:rPr>
      </w:pPr>
      <w:r w:rsidRPr="00C212EA">
        <w:rPr>
          <w:rFonts w:cs="AppleSystemUIFont"/>
          <w:i/>
          <w:iCs/>
          <w:sz w:val="21"/>
          <w:szCs w:val="21"/>
        </w:rPr>
        <w:t>Consolidation of the Treaty of the Functioning of the European Union</w:t>
      </w:r>
      <w:r w:rsidRPr="00C212EA">
        <w:rPr>
          <w:rFonts w:cs="AppleSystemUIFont"/>
          <w:sz w:val="21"/>
          <w:szCs w:val="21"/>
        </w:rPr>
        <w:t xml:space="preserve"> (1957) </w:t>
      </w:r>
      <w:r w:rsidRPr="00C212EA">
        <w:rPr>
          <w:rFonts w:cs="AppleSystemUIFontItalic"/>
          <w:i/>
          <w:iCs/>
          <w:sz w:val="21"/>
          <w:szCs w:val="21"/>
        </w:rPr>
        <w:t>Official Journal</w:t>
      </w:r>
      <w:r w:rsidRPr="00C212EA">
        <w:rPr>
          <w:rFonts w:cs="AppleSystemUIFont"/>
          <w:sz w:val="21"/>
          <w:szCs w:val="21"/>
        </w:rPr>
        <w:t xml:space="preserve">. 115. P0160.  Available at: </w:t>
      </w:r>
      <w:hyperlink r:id="rId38" w:history="1">
        <w:r w:rsidRPr="00C212EA">
          <w:rPr>
            <w:rFonts w:cs="AppleSystemUIFont"/>
            <w:color w:val="DCA10D"/>
            <w:sz w:val="21"/>
            <w:szCs w:val="21"/>
            <w:u w:val="single" w:color="DCA10D"/>
          </w:rPr>
          <w:t>https://eur-lex.europa.eu/legal-content/EN/TXT/HTML/?uri=CELEX:12008E258&amp;from=EN</w:t>
        </w:r>
      </w:hyperlink>
      <w:r w:rsidRPr="00C212EA">
        <w:rPr>
          <w:rFonts w:cs="AppleSystemUIFont"/>
          <w:sz w:val="21"/>
          <w:szCs w:val="21"/>
        </w:rPr>
        <w:t xml:space="preserve"> (Accessed </w:t>
      </w:r>
      <w:proofErr w:type="gramStart"/>
      <w:r w:rsidRPr="00C212EA">
        <w:rPr>
          <w:rFonts w:cs="AppleSystemUIFont"/>
          <w:sz w:val="21"/>
          <w:szCs w:val="21"/>
        </w:rPr>
        <w:t>on :</w:t>
      </w:r>
      <w:proofErr w:type="gramEnd"/>
      <w:r w:rsidRPr="00C212EA">
        <w:rPr>
          <w:rFonts w:cs="AppleSystemUIFont"/>
          <w:sz w:val="21"/>
          <w:szCs w:val="21"/>
        </w:rPr>
        <w:t xml:space="preserve"> 19</w:t>
      </w:r>
      <w:r w:rsidRPr="00C212EA">
        <w:rPr>
          <w:rFonts w:cs="AppleSystemUIFont"/>
          <w:sz w:val="21"/>
          <w:szCs w:val="21"/>
          <w:vertAlign w:val="superscript"/>
        </w:rPr>
        <w:t>th</w:t>
      </w:r>
      <w:r w:rsidRPr="00C212EA">
        <w:rPr>
          <w:rFonts w:cs="AppleSystemUIFont"/>
          <w:sz w:val="21"/>
          <w:szCs w:val="21"/>
        </w:rPr>
        <w:t xml:space="preserve"> February 2022)</w:t>
      </w:r>
    </w:p>
    <w:p w14:paraId="4E075120" w14:textId="77777777" w:rsidR="0011775A" w:rsidRPr="00C212EA" w:rsidRDefault="0011775A" w:rsidP="00C212EA">
      <w:pPr>
        <w:autoSpaceDE w:val="0"/>
        <w:autoSpaceDN w:val="0"/>
        <w:adjustRightInd w:val="0"/>
        <w:spacing w:line="360" w:lineRule="auto"/>
        <w:ind w:left="720"/>
        <w:rPr>
          <w:rFonts w:cs="AppleSystemUIFont"/>
          <w:sz w:val="21"/>
          <w:szCs w:val="21"/>
        </w:rPr>
      </w:pPr>
      <w:r w:rsidRPr="00C212EA">
        <w:rPr>
          <w:rFonts w:cs="AppleSystemUIFontItalic"/>
          <w:i/>
          <w:iCs/>
          <w:sz w:val="21"/>
          <w:szCs w:val="21"/>
        </w:rPr>
        <w:t>Treaty of The Functioning of the European Union</w:t>
      </w:r>
      <w:r w:rsidRPr="00C212EA">
        <w:rPr>
          <w:rFonts w:cs="AppleSystemUIFontItalic"/>
          <w:sz w:val="21"/>
          <w:szCs w:val="21"/>
        </w:rPr>
        <w:t xml:space="preserve"> (2012) Article 286 (4) Available at: </w:t>
      </w:r>
      <w:hyperlink r:id="rId39" w:history="1">
        <w:r w:rsidRPr="00C212EA">
          <w:rPr>
            <w:rStyle w:val="Hyperlink"/>
            <w:rFonts w:cs="AppleSystemUIFontItalic"/>
            <w:sz w:val="21"/>
            <w:szCs w:val="21"/>
          </w:rPr>
          <w:t>https://lexparency.org/eu/TFEU/ART_286/</w:t>
        </w:r>
      </w:hyperlink>
      <w:r w:rsidRPr="00C212EA">
        <w:rPr>
          <w:rFonts w:cs="AppleSystemUIFontItalic"/>
          <w:sz w:val="21"/>
          <w:szCs w:val="21"/>
        </w:rPr>
        <w:t xml:space="preserve"> (Accessed on: 19</w:t>
      </w:r>
      <w:r w:rsidRPr="00C212EA">
        <w:rPr>
          <w:rFonts w:cs="AppleSystemUIFontItalic"/>
          <w:sz w:val="21"/>
          <w:szCs w:val="21"/>
          <w:vertAlign w:val="superscript"/>
        </w:rPr>
        <w:t>th</w:t>
      </w:r>
      <w:r w:rsidRPr="00C212EA">
        <w:rPr>
          <w:rFonts w:cs="AppleSystemUIFontItalic"/>
          <w:sz w:val="21"/>
          <w:szCs w:val="21"/>
        </w:rPr>
        <w:t xml:space="preserve"> February 2022).</w:t>
      </w:r>
    </w:p>
    <w:p w14:paraId="09C01E62" w14:textId="77777777" w:rsidR="0011775A" w:rsidRPr="00C212EA" w:rsidRDefault="0011775A" w:rsidP="00C212EA">
      <w:pPr>
        <w:autoSpaceDE w:val="0"/>
        <w:autoSpaceDN w:val="0"/>
        <w:adjustRightInd w:val="0"/>
        <w:spacing w:line="360" w:lineRule="auto"/>
        <w:ind w:left="720"/>
        <w:rPr>
          <w:rFonts w:cs="AppleSystemUIFont"/>
          <w:sz w:val="21"/>
          <w:szCs w:val="21"/>
        </w:rPr>
      </w:pPr>
      <w:r w:rsidRPr="00C212EA">
        <w:rPr>
          <w:rFonts w:cs="AppleSystemUIFontItalic"/>
          <w:i/>
          <w:iCs/>
          <w:sz w:val="21"/>
          <w:szCs w:val="21"/>
        </w:rPr>
        <w:t>Treaty of The Functioning of the European Union</w:t>
      </w:r>
      <w:r w:rsidRPr="00C212EA">
        <w:rPr>
          <w:rFonts w:cs="AppleSystemUIFontItalic"/>
          <w:sz w:val="21"/>
          <w:szCs w:val="21"/>
        </w:rPr>
        <w:t xml:space="preserve"> (2012) Article 285.  Available at: </w:t>
      </w:r>
      <w:hyperlink r:id="rId40" w:history="1">
        <w:r w:rsidRPr="00C212EA">
          <w:rPr>
            <w:rStyle w:val="Hyperlink"/>
            <w:rFonts w:cs="AppleSystemUIFontItalic"/>
            <w:sz w:val="21"/>
            <w:szCs w:val="21"/>
          </w:rPr>
          <w:t>https://lexparency.org/eu/TFEU/ART_285/</w:t>
        </w:r>
      </w:hyperlink>
      <w:r w:rsidRPr="00C212EA">
        <w:rPr>
          <w:rFonts w:cs="AppleSystemUIFontItalic"/>
          <w:sz w:val="21"/>
          <w:szCs w:val="21"/>
        </w:rPr>
        <w:t xml:space="preserve"> (Accessed on: 19</w:t>
      </w:r>
      <w:r w:rsidRPr="00C212EA">
        <w:rPr>
          <w:rFonts w:cs="AppleSystemUIFontItalic"/>
          <w:sz w:val="21"/>
          <w:szCs w:val="21"/>
          <w:vertAlign w:val="superscript"/>
        </w:rPr>
        <w:t>th</w:t>
      </w:r>
      <w:r w:rsidRPr="00C212EA">
        <w:rPr>
          <w:rFonts w:cs="AppleSystemUIFontItalic"/>
          <w:sz w:val="21"/>
          <w:szCs w:val="21"/>
        </w:rPr>
        <w:t xml:space="preserve"> February 2022).</w:t>
      </w:r>
    </w:p>
    <w:sectPr w:rsidR="0011775A" w:rsidRPr="00C212E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AppleSystemUIFont">
    <w:altName w:val="Calibri"/>
    <w:panose1 w:val="020B0604020202020204"/>
    <w:charset w:val="00"/>
    <w:family w:val="auto"/>
    <w:notTrueType/>
    <w:pitch w:val="default"/>
    <w:sig w:usb0="00000003" w:usb1="00000000" w:usb2="00000000" w:usb3="00000000" w:csb0="00000001" w:csb1="00000000"/>
  </w:font>
  <w:font w:name="AppleSystemUIFontItalic">
    <w:altName w:val="Calibri"/>
    <w:panose1 w:val="020B0604020202020204"/>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BE1582"/>
    <w:multiLevelType w:val="hybridMultilevel"/>
    <w:tmpl w:val="81D8C6F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981304"/>
    <w:multiLevelType w:val="hybridMultilevel"/>
    <w:tmpl w:val="EEBAE6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4686033"/>
    <w:multiLevelType w:val="hybridMultilevel"/>
    <w:tmpl w:val="B35438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2EA46D1"/>
    <w:multiLevelType w:val="hybridMultilevel"/>
    <w:tmpl w:val="66F05E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784E14"/>
    <w:multiLevelType w:val="hybridMultilevel"/>
    <w:tmpl w:val="13087B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944CEF"/>
    <w:multiLevelType w:val="hybridMultilevel"/>
    <w:tmpl w:val="7DBC249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8EC225D"/>
    <w:multiLevelType w:val="hybridMultilevel"/>
    <w:tmpl w:val="7D62A34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BE4241"/>
    <w:multiLevelType w:val="hybridMultilevel"/>
    <w:tmpl w:val="01A2F76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A97661F"/>
    <w:multiLevelType w:val="hybridMultilevel"/>
    <w:tmpl w:val="E92024E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4553737"/>
    <w:multiLevelType w:val="hybridMultilevel"/>
    <w:tmpl w:val="5C9C68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690360C"/>
    <w:multiLevelType w:val="hybridMultilevel"/>
    <w:tmpl w:val="4148D4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6"/>
  </w:num>
  <w:num w:numId="2">
    <w:abstractNumId w:val="8"/>
  </w:num>
  <w:num w:numId="3">
    <w:abstractNumId w:val="0"/>
  </w:num>
  <w:num w:numId="4">
    <w:abstractNumId w:val="1"/>
  </w:num>
  <w:num w:numId="5">
    <w:abstractNumId w:val="3"/>
  </w:num>
  <w:num w:numId="6">
    <w:abstractNumId w:val="4"/>
  </w:num>
  <w:num w:numId="7">
    <w:abstractNumId w:val="11"/>
  </w:num>
  <w:num w:numId="8">
    <w:abstractNumId w:val="5"/>
  </w:num>
  <w:num w:numId="9">
    <w:abstractNumId w:val="12"/>
  </w:num>
  <w:num w:numId="10">
    <w:abstractNumId w:val="9"/>
  </w:num>
  <w:num w:numId="11">
    <w:abstractNumId w:val="7"/>
  </w:num>
  <w:num w:numId="12">
    <w:abstractNumId w:val="10"/>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31CA"/>
    <w:rsid w:val="00000108"/>
    <w:rsid w:val="000057E2"/>
    <w:rsid w:val="000236F6"/>
    <w:rsid w:val="00057EC2"/>
    <w:rsid w:val="000650DA"/>
    <w:rsid w:val="00080321"/>
    <w:rsid w:val="00083DDD"/>
    <w:rsid w:val="000C5942"/>
    <w:rsid w:val="0011775A"/>
    <w:rsid w:val="00150820"/>
    <w:rsid w:val="00150FEE"/>
    <w:rsid w:val="001A3144"/>
    <w:rsid w:val="001E5353"/>
    <w:rsid w:val="00215BF1"/>
    <w:rsid w:val="00271039"/>
    <w:rsid w:val="00276FF0"/>
    <w:rsid w:val="002A2980"/>
    <w:rsid w:val="002A68B3"/>
    <w:rsid w:val="002A76A5"/>
    <w:rsid w:val="002E5A2F"/>
    <w:rsid w:val="003159AD"/>
    <w:rsid w:val="003A1E44"/>
    <w:rsid w:val="003E3AE5"/>
    <w:rsid w:val="004010D9"/>
    <w:rsid w:val="00404E86"/>
    <w:rsid w:val="00412277"/>
    <w:rsid w:val="00422F8B"/>
    <w:rsid w:val="00480285"/>
    <w:rsid w:val="004830AE"/>
    <w:rsid w:val="004A0312"/>
    <w:rsid w:val="004A0831"/>
    <w:rsid w:val="004A20BB"/>
    <w:rsid w:val="004B021B"/>
    <w:rsid w:val="005539B2"/>
    <w:rsid w:val="00577DBD"/>
    <w:rsid w:val="005F3A82"/>
    <w:rsid w:val="006B0123"/>
    <w:rsid w:val="006C6A39"/>
    <w:rsid w:val="006D1409"/>
    <w:rsid w:val="00750847"/>
    <w:rsid w:val="007733F3"/>
    <w:rsid w:val="007831CA"/>
    <w:rsid w:val="00787D0A"/>
    <w:rsid w:val="007E22A5"/>
    <w:rsid w:val="00800F08"/>
    <w:rsid w:val="00812493"/>
    <w:rsid w:val="0085086F"/>
    <w:rsid w:val="00852D9F"/>
    <w:rsid w:val="00892D50"/>
    <w:rsid w:val="008C2723"/>
    <w:rsid w:val="008C5956"/>
    <w:rsid w:val="009145B9"/>
    <w:rsid w:val="00932659"/>
    <w:rsid w:val="00971278"/>
    <w:rsid w:val="009A6827"/>
    <w:rsid w:val="009B50BE"/>
    <w:rsid w:val="009E46AD"/>
    <w:rsid w:val="00A12BF7"/>
    <w:rsid w:val="00A53F78"/>
    <w:rsid w:val="00A6338B"/>
    <w:rsid w:val="00AA4C25"/>
    <w:rsid w:val="00AB0BA9"/>
    <w:rsid w:val="00AE7423"/>
    <w:rsid w:val="00B15AE0"/>
    <w:rsid w:val="00B23F1A"/>
    <w:rsid w:val="00B37B3C"/>
    <w:rsid w:val="00C1511B"/>
    <w:rsid w:val="00C15EC3"/>
    <w:rsid w:val="00C212EA"/>
    <w:rsid w:val="00C76837"/>
    <w:rsid w:val="00C95EEC"/>
    <w:rsid w:val="00CA31C6"/>
    <w:rsid w:val="00D2201E"/>
    <w:rsid w:val="00D42DD6"/>
    <w:rsid w:val="00D60A12"/>
    <w:rsid w:val="00DA1E0E"/>
    <w:rsid w:val="00DE2405"/>
    <w:rsid w:val="00E02DB2"/>
    <w:rsid w:val="00E04109"/>
    <w:rsid w:val="00E34BBE"/>
    <w:rsid w:val="00E53A12"/>
    <w:rsid w:val="00E70058"/>
    <w:rsid w:val="00E73ACC"/>
    <w:rsid w:val="00EB2A9F"/>
    <w:rsid w:val="00EC333D"/>
    <w:rsid w:val="00EC6CD0"/>
    <w:rsid w:val="00F13BEC"/>
    <w:rsid w:val="00F31B56"/>
    <w:rsid w:val="00F374EF"/>
    <w:rsid w:val="00F53C3B"/>
    <w:rsid w:val="00F56E44"/>
    <w:rsid w:val="00F830F3"/>
    <w:rsid w:val="00FE78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1254EB9"/>
  <w15:chartTrackingRefBased/>
  <w15:docId w15:val="{05A30763-69F5-FD43-82DD-420185F0B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A1E0E"/>
    <w:rPr>
      <w:color w:val="0563C1" w:themeColor="hyperlink"/>
      <w:u w:val="single"/>
    </w:rPr>
  </w:style>
  <w:style w:type="character" w:styleId="UnresolvedMention">
    <w:name w:val="Unresolved Mention"/>
    <w:basedOn w:val="DefaultParagraphFont"/>
    <w:uiPriority w:val="99"/>
    <w:semiHidden/>
    <w:unhideWhenUsed/>
    <w:rsid w:val="00DA1E0E"/>
    <w:rPr>
      <w:color w:val="605E5C"/>
      <w:shd w:val="clear" w:color="auto" w:fill="E1DFDD"/>
    </w:rPr>
  </w:style>
  <w:style w:type="paragraph" w:styleId="ListParagraph">
    <w:name w:val="List Paragraph"/>
    <w:basedOn w:val="Normal"/>
    <w:uiPriority w:val="34"/>
    <w:qFormat/>
    <w:rsid w:val="005F3A82"/>
    <w:pPr>
      <w:ind w:left="720"/>
      <w:contextualSpacing/>
    </w:pPr>
  </w:style>
  <w:style w:type="paragraph" w:styleId="NormalWeb">
    <w:name w:val="Normal (Web)"/>
    <w:basedOn w:val="Normal"/>
    <w:uiPriority w:val="99"/>
    <w:unhideWhenUsed/>
    <w:rsid w:val="002A68B3"/>
    <w:pPr>
      <w:spacing w:before="100" w:beforeAutospacing="1" w:after="100" w:afterAutospacing="1"/>
    </w:pPr>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B23F1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4656132">
      <w:bodyDiv w:val="1"/>
      <w:marLeft w:val="0"/>
      <w:marRight w:val="0"/>
      <w:marTop w:val="0"/>
      <w:marBottom w:val="0"/>
      <w:divBdr>
        <w:top w:val="none" w:sz="0" w:space="0" w:color="auto"/>
        <w:left w:val="none" w:sz="0" w:space="0" w:color="auto"/>
        <w:bottom w:val="none" w:sz="0" w:space="0" w:color="auto"/>
        <w:right w:val="none" w:sz="0" w:space="0" w:color="auto"/>
      </w:divBdr>
      <w:divsChild>
        <w:div w:id="554660982">
          <w:marLeft w:val="0"/>
          <w:marRight w:val="0"/>
          <w:marTop w:val="0"/>
          <w:marBottom w:val="0"/>
          <w:divBdr>
            <w:top w:val="none" w:sz="0" w:space="0" w:color="auto"/>
            <w:left w:val="none" w:sz="0" w:space="0" w:color="auto"/>
            <w:bottom w:val="none" w:sz="0" w:space="0" w:color="auto"/>
            <w:right w:val="none" w:sz="0" w:space="0" w:color="auto"/>
          </w:divBdr>
          <w:divsChild>
            <w:div w:id="1949269178">
              <w:marLeft w:val="0"/>
              <w:marRight w:val="0"/>
              <w:marTop w:val="0"/>
              <w:marBottom w:val="0"/>
              <w:divBdr>
                <w:top w:val="none" w:sz="0" w:space="0" w:color="auto"/>
                <w:left w:val="none" w:sz="0" w:space="0" w:color="auto"/>
                <w:bottom w:val="none" w:sz="0" w:space="0" w:color="auto"/>
                <w:right w:val="none" w:sz="0" w:space="0" w:color="auto"/>
              </w:divBdr>
              <w:divsChild>
                <w:div w:id="778063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5450114">
      <w:bodyDiv w:val="1"/>
      <w:marLeft w:val="0"/>
      <w:marRight w:val="0"/>
      <w:marTop w:val="0"/>
      <w:marBottom w:val="0"/>
      <w:divBdr>
        <w:top w:val="none" w:sz="0" w:space="0" w:color="auto"/>
        <w:left w:val="none" w:sz="0" w:space="0" w:color="auto"/>
        <w:bottom w:val="none" w:sz="0" w:space="0" w:color="auto"/>
        <w:right w:val="none" w:sz="0" w:space="0" w:color="auto"/>
      </w:divBdr>
      <w:divsChild>
        <w:div w:id="942802889">
          <w:marLeft w:val="0"/>
          <w:marRight w:val="0"/>
          <w:marTop w:val="0"/>
          <w:marBottom w:val="0"/>
          <w:divBdr>
            <w:top w:val="none" w:sz="0" w:space="0" w:color="auto"/>
            <w:left w:val="none" w:sz="0" w:space="0" w:color="auto"/>
            <w:bottom w:val="none" w:sz="0" w:space="0" w:color="auto"/>
            <w:right w:val="none" w:sz="0" w:space="0" w:color="auto"/>
          </w:divBdr>
          <w:divsChild>
            <w:div w:id="741215898">
              <w:marLeft w:val="0"/>
              <w:marRight w:val="0"/>
              <w:marTop w:val="0"/>
              <w:marBottom w:val="0"/>
              <w:divBdr>
                <w:top w:val="none" w:sz="0" w:space="0" w:color="auto"/>
                <w:left w:val="none" w:sz="0" w:space="0" w:color="auto"/>
                <w:bottom w:val="none" w:sz="0" w:space="0" w:color="auto"/>
                <w:right w:val="none" w:sz="0" w:space="0" w:color="auto"/>
              </w:divBdr>
              <w:divsChild>
                <w:div w:id="27682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258848">
      <w:bodyDiv w:val="1"/>
      <w:marLeft w:val="0"/>
      <w:marRight w:val="0"/>
      <w:marTop w:val="0"/>
      <w:marBottom w:val="0"/>
      <w:divBdr>
        <w:top w:val="none" w:sz="0" w:space="0" w:color="auto"/>
        <w:left w:val="none" w:sz="0" w:space="0" w:color="auto"/>
        <w:bottom w:val="none" w:sz="0" w:space="0" w:color="auto"/>
        <w:right w:val="none" w:sz="0" w:space="0" w:color="auto"/>
      </w:divBdr>
      <w:divsChild>
        <w:div w:id="919872226">
          <w:marLeft w:val="0"/>
          <w:marRight w:val="0"/>
          <w:marTop w:val="0"/>
          <w:marBottom w:val="0"/>
          <w:divBdr>
            <w:top w:val="none" w:sz="0" w:space="0" w:color="auto"/>
            <w:left w:val="none" w:sz="0" w:space="0" w:color="auto"/>
            <w:bottom w:val="none" w:sz="0" w:space="0" w:color="auto"/>
            <w:right w:val="none" w:sz="0" w:space="0" w:color="auto"/>
          </w:divBdr>
          <w:divsChild>
            <w:div w:id="99230760">
              <w:marLeft w:val="0"/>
              <w:marRight w:val="0"/>
              <w:marTop w:val="0"/>
              <w:marBottom w:val="0"/>
              <w:divBdr>
                <w:top w:val="none" w:sz="0" w:space="0" w:color="auto"/>
                <w:left w:val="none" w:sz="0" w:space="0" w:color="auto"/>
                <w:bottom w:val="none" w:sz="0" w:space="0" w:color="auto"/>
                <w:right w:val="none" w:sz="0" w:space="0" w:color="auto"/>
              </w:divBdr>
              <w:divsChild>
                <w:div w:id="279992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2382370">
      <w:bodyDiv w:val="1"/>
      <w:marLeft w:val="0"/>
      <w:marRight w:val="0"/>
      <w:marTop w:val="0"/>
      <w:marBottom w:val="0"/>
      <w:divBdr>
        <w:top w:val="none" w:sz="0" w:space="0" w:color="auto"/>
        <w:left w:val="none" w:sz="0" w:space="0" w:color="auto"/>
        <w:bottom w:val="none" w:sz="0" w:space="0" w:color="auto"/>
        <w:right w:val="none" w:sz="0" w:space="0" w:color="auto"/>
      </w:divBdr>
      <w:divsChild>
        <w:div w:id="1875002902">
          <w:marLeft w:val="0"/>
          <w:marRight w:val="0"/>
          <w:marTop w:val="0"/>
          <w:marBottom w:val="0"/>
          <w:divBdr>
            <w:top w:val="none" w:sz="0" w:space="0" w:color="auto"/>
            <w:left w:val="none" w:sz="0" w:space="0" w:color="auto"/>
            <w:bottom w:val="none" w:sz="0" w:space="0" w:color="auto"/>
            <w:right w:val="none" w:sz="0" w:space="0" w:color="auto"/>
          </w:divBdr>
          <w:divsChild>
            <w:div w:id="2112235772">
              <w:marLeft w:val="0"/>
              <w:marRight w:val="0"/>
              <w:marTop w:val="0"/>
              <w:marBottom w:val="0"/>
              <w:divBdr>
                <w:top w:val="none" w:sz="0" w:space="0" w:color="auto"/>
                <w:left w:val="none" w:sz="0" w:space="0" w:color="auto"/>
                <w:bottom w:val="none" w:sz="0" w:space="0" w:color="auto"/>
                <w:right w:val="none" w:sz="0" w:space="0" w:color="auto"/>
              </w:divBdr>
              <w:divsChild>
                <w:div w:id="1715888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7645734">
      <w:bodyDiv w:val="1"/>
      <w:marLeft w:val="0"/>
      <w:marRight w:val="0"/>
      <w:marTop w:val="0"/>
      <w:marBottom w:val="0"/>
      <w:divBdr>
        <w:top w:val="none" w:sz="0" w:space="0" w:color="auto"/>
        <w:left w:val="none" w:sz="0" w:space="0" w:color="auto"/>
        <w:bottom w:val="none" w:sz="0" w:space="0" w:color="auto"/>
        <w:right w:val="none" w:sz="0" w:space="0" w:color="auto"/>
      </w:divBdr>
      <w:divsChild>
        <w:div w:id="1552495185">
          <w:marLeft w:val="0"/>
          <w:marRight w:val="0"/>
          <w:marTop w:val="0"/>
          <w:marBottom w:val="0"/>
          <w:divBdr>
            <w:top w:val="none" w:sz="0" w:space="0" w:color="auto"/>
            <w:left w:val="none" w:sz="0" w:space="0" w:color="auto"/>
            <w:bottom w:val="none" w:sz="0" w:space="0" w:color="auto"/>
            <w:right w:val="none" w:sz="0" w:space="0" w:color="auto"/>
          </w:divBdr>
          <w:divsChild>
            <w:div w:id="1369528525">
              <w:marLeft w:val="0"/>
              <w:marRight w:val="0"/>
              <w:marTop w:val="0"/>
              <w:marBottom w:val="0"/>
              <w:divBdr>
                <w:top w:val="none" w:sz="0" w:space="0" w:color="auto"/>
                <w:left w:val="none" w:sz="0" w:space="0" w:color="auto"/>
                <w:bottom w:val="none" w:sz="0" w:space="0" w:color="auto"/>
                <w:right w:val="none" w:sz="0" w:space="0" w:color="auto"/>
              </w:divBdr>
              <w:divsChild>
                <w:div w:id="881016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uroparl.europa.eu/factsheets/en/sheet/5/the-treaty-of-lisbon" TargetMode="External"/><Relationship Id="rId18" Type="http://schemas.openxmlformats.org/officeDocument/2006/relationships/hyperlink" Target="https://ec.europa.eu/info/about-european-commission/organisational-structure/how-commission-organised/political-leadership_en" TargetMode="External"/><Relationship Id="rId26" Type="http://schemas.openxmlformats.org/officeDocument/2006/relationships/hyperlink" Target="https://www.cer.eu/sites/default/files/pbrief_qmv_15.5.19_1.pdf" TargetMode="External"/><Relationship Id="rId39" Type="http://schemas.openxmlformats.org/officeDocument/2006/relationships/hyperlink" Target="https://lexparency.org/eu/TFEU/ART_286/" TargetMode="External"/><Relationship Id="rId21" Type="http://schemas.openxmlformats.org/officeDocument/2006/relationships/hyperlink" Target="https://www-jstor-org.ezproxy.uwtsd.ac.uk/stable/pdf/43301563.pdf?refreqid=excelsior%3Ab7a98bab57f195471e47da675ee6e75a&amp;ab_segments=&amp;origin=" TargetMode="External"/><Relationship Id="rId34" Type="http://schemas.openxmlformats.org/officeDocument/2006/relationships/hyperlink" Target="https://www.legislation.gov.uk/eut/teec/article/263" TargetMode="External"/><Relationship Id="rId42" Type="http://schemas.openxmlformats.org/officeDocument/2006/relationships/theme" Target="theme/theme1.xml"/><Relationship Id="rId7" Type="http://schemas.openxmlformats.org/officeDocument/2006/relationships/hyperlink" Target="https://moodle.uwtsd.ac.uk/pluginfile.php/564456/mod_resource/content/0/Crombez%20%282003%29.pdf" TargetMode="External"/><Relationship Id="rId2" Type="http://schemas.openxmlformats.org/officeDocument/2006/relationships/styles" Target="styles.xml"/><Relationship Id="rId16" Type="http://schemas.openxmlformats.org/officeDocument/2006/relationships/hyperlink" Target="https://european-union.europa.eu/institutions-law-budget/institutions-and-bodies/institutions-and-bodies-profiles/european-commission_en" TargetMode="External"/><Relationship Id="rId20" Type="http://schemas.openxmlformats.org/officeDocument/2006/relationships/hyperlink" Target="https://journals.sagepub.com/doi/pdf/10.1177/2053168020925975" TargetMode="External"/><Relationship Id="rId29" Type="http://schemas.openxmlformats.org/officeDocument/2006/relationships/hyperlink" Target="https://www-jstor-org.ezproxy.uwtsd.ac.uk/stable/pdf/1827311.pdf?refreqid=excelsior%3A0863e00bed848924cf94f1a3c7abacf9&amp;ab_segments=&amp;origin="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consilium.europa.eu/media/20950/68827.pdf" TargetMode="External"/><Relationship Id="rId11" Type="http://schemas.openxmlformats.org/officeDocument/2006/relationships/hyperlink" Target="https://www.europarl.europa.eu/election-results-2019/en/turnout/" TargetMode="External"/><Relationship Id="rId24" Type="http://schemas.openxmlformats.org/officeDocument/2006/relationships/hyperlink" Target="https://researchbriefings.files.parliament.uk/documents/RP14-25/RP14-25.pdf" TargetMode="External"/><Relationship Id="rId32" Type="http://schemas.openxmlformats.org/officeDocument/2006/relationships/hyperlink" Target="https://eur-lex.europa.eu/legal-content/EN/TXT/?uri=CELEX%3A12016E253" TargetMode="External"/><Relationship Id="rId37" Type="http://schemas.openxmlformats.org/officeDocument/2006/relationships/hyperlink" Target="%22" TargetMode="External"/><Relationship Id="rId40" Type="http://schemas.openxmlformats.org/officeDocument/2006/relationships/hyperlink" Target="https://lexparency.org/eu/TFEU/ART_285/" TargetMode="External"/><Relationship Id="rId5" Type="http://schemas.openxmlformats.org/officeDocument/2006/relationships/hyperlink" Target="https://researchbriefings.files.parliament.uk/documents/SN06865/SN06865.pdf" TargetMode="External"/><Relationship Id="rId15" Type="http://schemas.openxmlformats.org/officeDocument/2006/relationships/hyperlink" Target="https://european-union.europa.eu/institutions-law-budget/institutions-and-bodies/institutions-and-bodies-profiles/court-justice-european-union-cjeu_en" TargetMode="External"/><Relationship Id="rId23" Type="http://schemas.openxmlformats.org/officeDocument/2006/relationships/hyperlink" Target="https://www.statista.com/topics/921/european-union/" TargetMode="External"/><Relationship Id="rId28" Type="http://schemas.openxmlformats.org/officeDocument/2006/relationships/hyperlink" Target="https://www.aachen.de/de/stadt_buerger/aachen_profil/preise_auszeichnungen/karlspreis/08_preistraeger/karlspreis2015/KPBrosch_2015_Web__GB_.pdf" TargetMode="External"/><Relationship Id="rId36" Type="http://schemas.openxmlformats.org/officeDocument/2006/relationships/hyperlink" Target="https://www.legislation.gov.uk/eut/teu/title/II" TargetMode="External"/><Relationship Id="rId10" Type="http://schemas.openxmlformats.org/officeDocument/2006/relationships/hyperlink" Target="https://ec.europa.eu/info/strategy/priorities-2019-2024/new-push-european-democracy_en" TargetMode="External"/><Relationship Id="rId19" Type="http://schemas.openxmlformats.org/officeDocument/2006/relationships/hyperlink" Target="https://european-union.europa.eu/institutions-law-budget/institutions-and-bodies/institutions-and-bodies-profiles/ecb_en" TargetMode="External"/><Relationship Id="rId31" Type="http://schemas.openxmlformats.org/officeDocument/2006/relationships/hyperlink" Target="%22" TargetMode="External"/><Relationship Id="rId4" Type="http://schemas.openxmlformats.org/officeDocument/2006/relationships/webSettings" Target="webSettings.xml"/><Relationship Id="rId9" Type="http://schemas.openxmlformats.org/officeDocument/2006/relationships/hyperlink" Target="https://www.consilium.europa.eu/en/european-council/" TargetMode="External"/><Relationship Id="rId14" Type="http://schemas.openxmlformats.org/officeDocument/2006/relationships/hyperlink" Target="https://www.europarl.europa.eu/RegData/etudes/BRIE/2018/630264/EPRS_BRI(2018)630264_EN.pdf" TargetMode="External"/><Relationship Id="rId22" Type="http://schemas.openxmlformats.org/officeDocument/2006/relationships/hyperlink" Target="http://aei.pitt.edu/9136/1/Moravcsik92.pdf" TargetMode="External"/><Relationship Id="rId27" Type="http://schemas.openxmlformats.org/officeDocument/2006/relationships/hyperlink" Target="https://harvardilj.org/wp-content/uploads/sites/15/2011/02/HILJ_52-1_Schleicher1.pdf" TargetMode="External"/><Relationship Id="rId30" Type="http://schemas.openxmlformats.org/officeDocument/2006/relationships/hyperlink" Target="https://journals.sagepub.com/doi/full/10.1007/S12290-012-0213-7" TargetMode="External"/><Relationship Id="rId35" Type="http://schemas.openxmlformats.org/officeDocument/2006/relationships/hyperlink" Target="https://www.legislation.gov.uk/eut/teu/title/II" TargetMode="External"/><Relationship Id="rId8" Type="http://schemas.openxmlformats.org/officeDocument/2006/relationships/hyperlink" Target="https://web-p-ebscohost-com.ezproxy.uwtsd.ac.uk/ehost/pdfviewer/pdfviewer?vid=1&amp;sid=dc2d96bd-b75c-46ea-89a4-ecd7d5556c1c%40redis" TargetMode="External"/><Relationship Id="rId3" Type="http://schemas.openxmlformats.org/officeDocument/2006/relationships/settings" Target="settings.xml"/><Relationship Id="rId12" Type="http://schemas.openxmlformats.org/officeDocument/2006/relationships/hyperlink" Target="https://www.europarl.europa.eu/about-parliament/en/powers-and-procedures/the-lisbon-treaty" TargetMode="External"/><Relationship Id="rId17" Type="http://schemas.openxmlformats.org/officeDocument/2006/relationships/hyperlink" Target="https://www.europarl.europa.eu/doceo/document/RULES-9-2021-09-13-RULE-179_EN.html" TargetMode="External"/><Relationship Id="rId25" Type="http://schemas.openxmlformats.org/officeDocument/2006/relationships/hyperlink" Target="https://www.europarl.europa.eu/factsheets/en/sheet/5/the-treaty-of-lisbon" TargetMode="External"/><Relationship Id="rId33" Type="http://schemas.openxmlformats.org/officeDocument/2006/relationships/hyperlink" Target="https://www.legislation.gov.uk/eut/teu/title/II" TargetMode="External"/><Relationship Id="rId38" Type="http://schemas.openxmlformats.org/officeDocument/2006/relationships/hyperlink" Target="%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449</TotalTime>
  <Pages>9</Pages>
  <Words>2967</Words>
  <Characters>22164</Characters>
  <Application>Microsoft Office Word</Application>
  <DocSecurity>0</DocSecurity>
  <Lines>434</Lines>
  <Paragraphs>121</Paragraphs>
  <ScaleCrop>false</ScaleCrop>
  <Company/>
  <LinksUpToDate>false</LinksUpToDate>
  <CharactersWithSpaces>25010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Morgan (2018298)</dc:creator>
  <cp:keywords/>
  <dc:description/>
  <cp:lastModifiedBy>Marie Morgan (2018298)</cp:lastModifiedBy>
  <cp:revision>93</cp:revision>
  <dcterms:created xsi:type="dcterms:W3CDTF">2022-02-04T18:29:00Z</dcterms:created>
  <dcterms:modified xsi:type="dcterms:W3CDTF">2022-02-23T16:41:00Z</dcterms:modified>
</cp:coreProperties>
</file>