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B38737" w14:textId="343F371E" w:rsidR="00A620DE" w:rsidRPr="007B2A62" w:rsidRDefault="005E21FA" w:rsidP="000A0CAC">
      <w:pPr>
        <w:pStyle w:val="Heading1"/>
        <w:rPr>
          <w:noProof/>
        </w:rPr>
      </w:pPr>
      <w:r w:rsidRPr="007B2A62">
        <w:rPr>
          <w:noProof/>
        </w:rPr>
        <w:drawing>
          <wp:anchor distT="0" distB="0" distL="114300" distR="114300" simplePos="0" relativeHeight="251658240" behindDoc="0" locked="0" layoutInCell="1" allowOverlap="1" wp14:anchorId="554D0664" wp14:editId="3FC1406C">
            <wp:simplePos x="0" y="0"/>
            <wp:positionH relativeFrom="margin">
              <wp:posOffset>1873250</wp:posOffset>
            </wp:positionH>
            <wp:positionV relativeFrom="margin">
              <wp:posOffset>-267335</wp:posOffset>
            </wp:positionV>
            <wp:extent cx="1680210" cy="1142365"/>
            <wp:effectExtent l="152400" t="152400" r="358140" b="362585"/>
            <wp:wrapTopAndBottom/>
            <wp:docPr id="13485869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586930" name="Picture 1348586930"/>
                    <pic:cNvPicPr/>
                  </pic:nvPicPr>
                  <pic:blipFill>
                    <a:blip r:embed="rId8" cstate="print">
                      <a:extLst>
                        <a:ext uri="{28A0092B-C50C-407E-A947-70E740481C1C}">
                          <a14:useLocalDpi xmlns:a14="http://schemas.microsoft.com/office/drawing/2010/main" val="0"/>
                        </a:ext>
                      </a:extLst>
                    </a:blip>
                    <a:stretch>
                      <a:fillRect/>
                    </a:stretch>
                  </pic:blipFill>
                  <pic:spPr>
                    <a:xfrm>
                      <a:off x="0" y="0"/>
                      <a:ext cx="1680210" cy="114236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CC6788" w:rsidRPr="007B2A62">
        <w:rPr>
          <w:noProof/>
        </w:rPr>
        <w:t xml:space="preserve">                       Assignment Title: Budgeting Principles and </w:t>
      </w:r>
      <w:r w:rsidR="007B2A62" w:rsidRPr="007B2A62">
        <w:rPr>
          <w:noProof/>
        </w:rPr>
        <w:t xml:space="preserve">  </w:t>
      </w:r>
      <w:r w:rsidR="000A0CAC">
        <w:rPr>
          <w:noProof/>
        </w:rPr>
        <w:t xml:space="preserve">       </w:t>
      </w:r>
      <w:r w:rsidR="00CC6788" w:rsidRPr="007B2A62">
        <w:rPr>
          <w:noProof/>
        </w:rPr>
        <w:t xml:space="preserve">Approaches </w:t>
      </w:r>
    </w:p>
    <w:p w14:paraId="144F28B7" w14:textId="77777777" w:rsidR="00CC6788" w:rsidRPr="007B2A62" w:rsidRDefault="00CC6788" w:rsidP="000A0CAC">
      <w:pPr>
        <w:pStyle w:val="Heading1"/>
      </w:pPr>
      <w:r w:rsidRPr="007B2A62">
        <w:t xml:space="preserve">                       Module Code:  BMSW5012</w:t>
      </w:r>
    </w:p>
    <w:p w14:paraId="2ACD4510" w14:textId="69C000FE" w:rsidR="00CC6788" w:rsidRPr="007B2A62" w:rsidRDefault="00CC6788" w:rsidP="000A0CAC">
      <w:pPr>
        <w:pStyle w:val="Heading1"/>
      </w:pPr>
      <w:r w:rsidRPr="007B2A62">
        <w:t xml:space="preserve">                        Lecturer Name: Christine Joy</w:t>
      </w:r>
    </w:p>
    <w:p w14:paraId="0EF11D6E" w14:textId="75EDEC86" w:rsidR="00CC6788" w:rsidRPr="007B2A62" w:rsidRDefault="00CC6788" w:rsidP="000A0CAC">
      <w:pPr>
        <w:pStyle w:val="Heading1"/>
      </w:pPr>
      <w:r w:rsidRPr="007B2A62">
        <w:t xml:space="preserve">                        Student Name: Sanda-Ionela Vica (2410012)</w:t>
      </w:r>
    </w:p>
    <w:p w14:paraId="32B3BA29" w14:textId="2F9778B4" w:rsidR="00CC6788" w:rsidRPr="007B2A62" w:rsidRDefault="00CC6788" w:rsidP="000A0CAC">
      <w:pPr>
        <w:pStyle w:val="Heading1"/>
      </w:pPr>
      <w:r w:rsidRPr="007B2A62">
        <w:t xml:space="preserve">                        Submission Deadline: 20</w:t>
      </w:r>
      <w:r w:rsidRPr="007B2A62">
        <w:rPr>
          <w:vertAlign w:val="superscript"/>
        </w:rPr>
        <w:t>th</w:t>
      </w:r>
      <w:r w:rsidRPr="007B2A62">
        <w:t xml:space="preserve"> March 2026</w:t>
      </w:r>
    </w:p>
    <w:p w14:paraId="02A97970" w14:textId="77777777" w:rsidR="00FE4803" w:rsidRPr="007B2A62" w:rsidRDefault="00810472" w:rsidP="000A0CAC">
      <w:pPr>
        <w:pStyle w:val="Heading1"/>
      </w:pPr>
      <w:r w:rsidRPr="007B2A62">
        <w:t xml:space="preserve">                        Word Count: </w:t>
      </w:r>
      <w:r w:rsidR="00864FCE" w:rsidRPr="007B2A62">
        <w:t>4</w:t>
      </w:r>
      <w:r w:rsidR="00117718" w:rsidRPr="007B2A62">
        <w:t>395</w:t>
      </w:r>
    </w:p>
    <w:p w14:paraId="53313770" w14:textId="7C72A749" w:rsidR="00FE4803" w:rsidRDefault="00FE4803" w:rsidP="000A0CAC">
      <w:pPr>
        <w:pStyle w:val="Heading1"/>
      </w:pPr>
    </w:p>
    <w:p w14:paraId="1B396A0C" w14:textId="088C1FB8" w:rsidR="00810472" w:rsidRPr="007B2A62" w:rsidRDefault="00810472" w:rsidP="000A0CAC">
      <w:pPr>
        <w:pStyle w:val="Heading1"/>
      </w:pPr>
    </w:p>
    <w:p w14:paraId="08FBE874" w14:textId="77777777" w:rsidR="00BB2EC7" w:rsidRDefault="00BB2EC7" w:rsidP="000A0CAC">
      <w:pPr>
        <w:pStyle w:val="Heading1"/>
      </w:pPr>
    </w:p>
    <w:p w14:paraId="6DF8BD98" w14:textId="77777777" w:rsidR="00051597" w:rsidRDefault="00051597" w:rsidP="00FE4803"/>
    <w:p w14:paraId="4FD8CB63" w14:textId="77777777" w:rsidR="00B5207B" w:rsidRDefault="00B5207B" w:rsidP="00FE4803"/>
    <w:p w14:paraId="4090A9A0" w14:textId="77777777" w:rsidR="00051597" w:rsidRDefault="00051597" w:rsidP="00FE4803"/>
    <w:p w14:paraId="0585DEAA" w14:textId="77777777" w:rsidR="00051597" w:rsidRDefault="00051597" w:rsidP="00FE4803"/>
    <w:sdt>
      <w:sdtPr>
        <w:id w:val="-1500197149"/>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2F616313" w14:textId="56F0BD5F" w:rsidR="00692782" w:rsidRPr="00AB517A" w:rsidRDefault="00692782">
          <w:pPr>
            <w:pStyle w:val="TOCHeading"/>
            <w:rPr>
              <w:rFonts w:ascii="Arial" w:hAnsi="Arial" w:cs="Arial"/>
              <w:sz w:val="28"/>
              <w:szCs w:val="28"/>
            </w:rPr>
          </w:pPr>
          <w:r w:rsidRPr="00AB517A">
            <w:rPr>
              <w:rFonts w:ascii="Arial" w:hAnsi="Arial" w:cs="Arial"/>
              <w:sz w:val="28"/>
              <w:szCs w:val="28"/>
            </w:rPr>
            <w:t>Table of Contents</w:t>
          </w:r>
          <w:r w:rsidR="006D1D00" w:rsidRPr="00AB517A">
            <w:rPr>
              <w:rFonts w:ascii="Arial" w:hAnsi="Arial" w:cs="Arial"/>
              <w:sz w:val="28"/>
              <w:szCs w:val="28"/>
            </w:rPr>
            <w:t xml:space="preserve">   </w:t>
          </w:r>
        </w:p>
        <w:p w14:paraId="7E1B4AD3" w14:textId="77777777" w:rsidR="006D1D00" w:rsidRPr="00AB517A" w:rsidRDefault="006D1D00" w:rsidP="006D1D00">
          <w:pPr>
            <w:rPr>
              <w:rFonts w:ascii="Arial" w:hAnsi="Arial" w:cs="Arial"/>
              <w:sz w:val="28"/>
              <w:szCs w:val="28"/>
              <w:lang w:eastAsia="en-GB"/>
            </w:rPr>
          </w:pPr>
        </w:p>
        <w:p w14:paraId="78C3A4DB" w14:textId="77777777" w:rsidR="006D1D00" w:rsidRPr="00AB517A" w:rsidRDefault="006D1D00" w:rsidP="006D1D00">
          <w:pPr>
            <w:rPr>
              <w:rFonts w:ascii="Arial" w:hAnsi="Arial" w:cs="Arial"/>
              <w:sz w:val="28"/>
              <w:szCs w:val="28"/>
              <w:lang w:eastAsia="en-GB"/>
            </w:rPr>
          </w:pPr>
        </w:p>
        <w:p w14:paraId="4C5597AB" w14:textId="5EABA264" w:rsidR="006D1D00" w:rsidRPr="00AB517A" w:rsidRDefault="00692782" w:rsidP="000A0CAC">
          <w:pPr>
            <w:pStyle w:val="TOC1"/>
            <w:rPr>
              <w:rFonts w:eastAsiaTheme="minorEastAsia"/>
              <w:sz w:val="28"/>
              <w:szCs w:val="28"/>
              <w:lang w:eastAsia="en-GB"/>
            </w:rPr>
          </w:pPr>
          <w:r w:rsidRPr="00AB517A">
            <w:rPr>
              <w:sz w:val="28"/>
              <w:szCs w:val="28"/>
            </w:rPr>
            <w:fldChar w:fldCharType="begin"/>
          </w:r>
          <w:r w:rsidRPr="00AB517A">
            <w:rPr>
              <w:sz w:val="28"/>
              <w:szCs w:val="28"/>
            </w:rPr>
            <w:instrText xml:space="preserve"> TOC \o "1-3" \h \z \u </w:instrText>
          </w:r>
          <w:r w:rsidRPr="00AB517A">
            <w:rPr>
              <w:sz w:val="28"/>
              <w:szCs w:val="28"/>
            </w:rPr>
            <w:fldChar w:fldCharType="separate"/>
          </w:r>
          <w:hyperlink w:anchor="_Toc224808070" w:history="1">
            <w:r w:rsidR="006D1D00" w:rsidRPr="00AB517A">
              <w:rPr>
                <w:rStyle w:val="Hyperlink"/>
                <w:sz w:val="28"/>
                <w:szCs w:val="28"/>
              </w:rPr>
              <w:t xml:space="preserve">Executive </w:t>
            </w:r>
            <w:r w:rsidR="006D1D00" w:rsidRPr="00B5207B">
              <w:rPr>
                <w:rStyle w:val="Hyperlink"/>
              </w:rPr>
              <w:t>summary</w:t>
            </w:r>
            <w:r w:rsidR="006D1D00" w:rsidRPr="00AB517A">
              <w:rPr>
                <w:webHidden/>
                <w:sz w:val="28"/>
                <w:szCs w:val="28"/>
              </w:rPr>
              <w:tab/>
            </w:r>
            <w:r w:rsidR="006D1D00" w:rsidRPr="00AB517A">
              <w:rPr>
                <w:webHidden/>
                <w:sz w:val="28"/>
                <w:szCs w:val="28"/>
              </w:rPr>
              <w:fldChar w:fldCharType="begin"/>
            </w:r>
            <w:r w:rsidR="006D1D00" w:rsidRPr="00AB517A">
              <w:rPr>
                <w:webHidden/>
                <w:sz w:val="28"/>
                <w:szCs w:val="28"/>
              </w:rPr>
              <w:instrText xml:space="preserve"> PAGEREF _Toc224808070 \h </w:instrText>
            </w:r>
            <w:r w:rsidR="006D1D00" w:rsidRPr="00AB517A">
              <w:rPr>
                <w:webHidden/>
                <w:sz w:val="28"/>
                <w:szCs w:val="28"/>
              </w:rPr>
            </w:r>
            <w:r w:rsidR="006D1D00" w:rsidRPr="00AB517A">
              <w:rPr>
                <w:webHidden/>
                <w:sz w:val="28"/>
                <w:szCs w:val="28"/>
              </w:rPr>
              <w:fldChar w:fldCharType="separate"/>
            </w:r>
            <w:r w:rsidR="006D1D00" w:rsidRPr="00AB517A">
              <w:rPr>
                <w:webHidden/>
                <w:sz w:val="28"/>
                <w:szCs w:val="28"/>
              </w:rPr>
              <w:t>3</w:t>
            </w:r>
            <w:r w:rsidR="006D1D00" w:rsidRPr="00AB517A">
              <w:rPr>
                <w:webHidden/>
                <w:sz w:val="28"/>
                <w:szCs w:val="28"/>
              </w:rPr>
              <w:fldChar w:fldCharType="end"/>
            </w:r>
          </w:hyperlink>
        </w:p>
        <w:p w14:paraId="0AA8503E" w14:textId="023E718B" w:rsidR="006D1D00" w:rsidRPr="00AB517A" w:rsidRDefault="006D1D00" w:rsidP="000A0CAC">
          <w:pPr>
            <w:pStyle w:val="TOC1"/>
            <w:rPr>
              <w:rFonts w:eastAsiaTheme="minorEastAsia"/>
              <w:sz w:val="28"/>
              <w:szCs w:val="28"/>
              <w:lang w:eastAsia="en-GB"/>
            </w:rPr>
          </w:pPr>
          <w:hyperlink w:anchor="_Toc224808071" w:history="1">
            <w:r w:rsidRPr="00AB517A">
              <w:rPr>
                <w:rStyle w:val="Hyperlink"/>
                <w:sz w:val="28"/>
                <w:szCs w:val="28"/>
              </w:rPr>
              <w:t>Introduction</w:t>
            </w:r>
            <w:r w:rsidRPr="00AB517A">
              <w:rPr>
                <w:webHidden/>
                <w:sz w:val="28"/>
                <w:szCs w:val="28"/>
              </w:rPr>
              <w:tab/>
            </w:r>
            <w:r w:rsidRPr="00AB517A">
              <w:rPr>
                <w:webHidden/>
                <w:sz w:val="28"/>
                <w:szCs w:val="28"/>
              </w:rPr>
              <w:fldChar w:fldCharType="begin"/>
            </w:r>
            <w:r w:rsidRPr="00AB517A">
              <w:rPr>
                <w:webHidden/>
                <w:sz w:val="28"/>
                <w:szCs w:val="28"/>
              </w:rPr>
              <w:instrText xml:space="preserve"> PAGEREF _Toc224808071 \h </w:instrText>
            </w:r>
            <w:r w:rsidRPr="00AB517A">
              <w:rPr>
                <w:webHidden/>
                <w:sz w:val="28"/>
                <w:szCs w:val="28"/>
              </w:rPr>
            </w:r>
            <w:r w:rsidRPr="00AB517A">
              <w:rPr>
                <w:webHidden/>
                <w:sz w:val="28"/>
                <w:szCs w:val="28"/>
              </w:rPr>
              <w:fldChar w:fldCharType="separate"/>
            </w:r>
            <w:r w:rsidRPr="00AB517A">
              <w:rPr>
                <w:webHidden/>
                <w:sz w:val="28"/>
                <w:szCs w:val="28"/>
              </w:rPr>
              <w:t>4</w:t>
            </w:r>
            <w:r w:rsidRPr="00AB517A">
              <w:rPr>
                <w:webHidden/>
                <w:sz w:val="28"/>
                <w:szCs w:val="28"/>
              </w:rPr>
              <w:fldChar w:fldCharType="end"/>
            </w:r>
          </w:hyperlink>
        </w:p>
        <w:p w14:paraId="761B1B2F" w14:textId="1B98E93D" w:rsidR="006D1D00" w:rsidRPr="00AB517A" w:rsidRDefault="006D1D00" w:rsidP="000A0CAC">
          <w:pPr>
            <w:pStyle w:val="TOC1"/>
            <w:rPr>
              <w:rFonts w:eastAsiaTheme="minorEastAsia"/>
              <w:sz w:val="28"/>
              <w:szCs w:val="28"/>
              <w:lang w:eastAsia="en-GB"/>
            </w:rPr>
          </w:pPr>
          <w:hyperlink w:anchor="_Toc224808072" w:history="1">
            <w:r w:rsidRPr="00AB517A">
              <w:rPr>
                <w:rStyle w:val="Hyperlink"/>
                <w:sz w:val="28"/>
                <w:szCs w:val="28"/>
              </w:rPr>
              <w:t>Section A – Financial Analysis</w:t>
            </w:r>
            <w:r w:rsidRPr="00AB517A">
              <w:rPr>
                <w:webHidden/>
                <w:sz w:val="28"/>
                <w:szCs w:val="28"/>
              </w:rPr>
              <w:tab/>
            </w:r>
            <w:r w:rsidRPr="00AB517A">
              <w:rPr>
                <w:webHidden/>
                <w:sz w:val="28"/>
                <w:szCs w:val="28"/>
              </w:rPr>
              <w:fldChar w:fldCharType="begin"/>
            </w:r>
            <w:r w:rsidRPr="00AB517A">
              <w:rPr>
                <w:webHidden/>
                <w:sz w:val="28"/>
                <w:szCs w:val="28"/>
              </w:rPr>
              <w:instrText xml:space="preserve"> PAGEREF _Toc224808072 \h </w:instrText>
            </w:r>
            <w:r w:rsidRPr="00AB517A">
              <w:rPr>
                <w:webHidden/>
                <w:sz w:val="28"/>
                <w:szCs w:val="28"/>
              </w:rPr>
            </w:r>
            <w:r w:rsidRPr="00AB517A">
              <w:rPr>
                <w:webHidden/>
                <w:sz w:val="28"/>
                <w:szCs w:val="28"/>
              </w:rPr>
              <w:fldChar w:fldCharType="separate"/>
            </w:r>
            <w:r w:rsidRPr="00AB517A">
              <w:rPr>
                <w:webHidden/>
                <w:sz w:val="28"/>
                <w:szCs w:val="28"/>
              </w:rPr>
              <w:t>6</w:t>
            </w:r>
            <w:r w:rsidRPr="00AB517A">
              <w:rPr>
                <w:webHidden/>
                <w:sz w:val="28"/>
                <w:szCs w:val="28"/>
              </w:rPr>
              <w:fldChar w:fldCharType="end"/>
            </w:r>
          </w:hyperlink>
        </w:p>
        <w:p w14:paraId="08EED0EA" w14:textId="17069FE6" w:rsidR="006D1D00" w:rsidRPr="00AB517A" w:rsidRDefault="006D1D00">
          <w:pPr>
            <w:pStyle w:val="TOC2"/>
            <w:tabs>
              <w:tab w:val="right" w:leader="dot" w:pos="9016"/>
            </w:tabs>
            <w:rPr>
              <w:rFonts w:ascii="Arial" w:eastAsiaTheme="minorEastAsia" w:hAnsi="Arial" w:cs="Arial"/>
              <w:noProof/>
              <w:sz w:val="28"/>
              <w:szCs w:val="28"/>
              <w:lang w:eastAsia="en-GB"/>
            </w:rPr>
          </w:pPr>
          <w:hyperlink w:anchor="_Toc224808073" w:history="1">
            <w:r w:rsidRPr="00AB517A">
              <w:rPr>
                <w:rStyle w:val="Hyperlink"/>
                <w:rFonts w:ascii="Arial" w:hAnsi="Arial" w:cs="Arial"/>
                <w:noProof/>
                <w:sz w:val="28"/>
                <w:szCs w:val="28"/>
              </w:rPr>
              <w:t>3.1 Stock Budget Analysis.</w:t>
            </w:r>
            <w:r w:rsidRPr="00AB517A">
              <w:rPr>
                <w:rFonts w:ascii="Arial" w:hAnsi="Arial" w:cs="Arial"/>
                <w:noProof/>
                <w:webHidden/>
                <w:sz w:val="28"/>
                <w:szCs w:val="28"/>
              </w:rPr>
              <w:tab/>
            </w:r>
            <w:r w:rsidRPr="00AB517A">
              <w:rPr>
                <w:rFonts w:ascii="Arial" w:hAnsi="Arial" w:cs="Arial"/>
                <w:noProof/>
                <w:webHidden/>
                <w:sz w:val="28"/>
                <w:szCs w:val="28"/>
              </w:rPr>
              <w:fldChar w:fldCharType="begin"/>
            </w:r>
            <w:r w:rsidRPr="00AB517A">
              <w:rPr>
                <w:rFonts w:ascii="Arial" w:hAnsi="Arial" w:cs="Arial"/>
                <w:noProof/>
                <w:webHidden/>
                <w:sz w:val="28"/>
                <w:szCs w:val="28"/>
              </w:rPr>
              <w:instrText xml:space="preserve"> PAGEREF _Toc224808073 \h </w:instrText>
            </w:r>
            <w:r w:rsidRPr="00AB517A">
              <w:rPr>
                <w:rFonts w:ascii="Arial" w:hAnsi="Arial" w:cs="Arial"/>
                <w:noProof/>
                <w:webHidden/>
                <w:sz w:val="28"/>
                <w:szCs w:val="28"/>
              </w:rPr>
            </w:r>
            <w:r w:rsidRPr="00AB517A">
              <w:rPr>
                <w:rFonts w:ascii="Arial" w:hAnsi="Arial" w:cs="Arial"/>
                <w:noProof/>
                <w:webHidden/>
                <w:sz w:val="28"/>
                <w:szCs w:val="28"/>
              </w:rPr>
              <w:fldChar w:fldCharType="separate"/>
            </w:r>
            <w:r w:rsidRPr="00AB517A">
              <w:rPr>
                <w:rFonts w:ascii="Arial" w:hAnsi="Arial" w:cs="Arial"/>
                <w:noProof/>
                <w:webHidden/>
                <w:sz w:val="28"/>
                <w:szCs w:val="28"/>
              </w:rPr>
              <w:t>6</w:t>
            </w:r>
            <w:r w:rsidRPr="00AB517A">
              <w:rPr>
                <w:rFonts w:ascii="Arial" w:hAnsi="Arial" w:cs="Arial"/>
                <w:noProof/>
                <w:webHidden/>
                <w:sz w:val="28"/>
                <w:szCs w:val="28"/>
              </w:rPr>
              <w:fldChar w:fldCharType="end"/>
            </w:r>
          </w:hyperlink>
        </w:p>
        <w:p w14:paraId="4CD157C8" w14:textId="1356A406" w:rsidR="006D1D00" w:rsidRPr="00AB517A" w:rsidRDefault="006D1D00">
          <w:pPr>
            <w:pStyle w:val="TOC2"/>
            <w:tabs>
              <w:tab w:val="right" w:leader="dot" w:pos="9016"/>
            </w:tabs>
            <w:rPr>
              <w:rFonts w:ascii="Arial" w:eastAsiaTheme="minorEastAsia" w:hAnsi="Arial" w:cs="Arial"/>
              <w:noProof/>
              <w:sz w:val="28"/>
              <w:szCs w:val="28"/>
              <w:lang w:eastAsia="en-GB"/>
            </w:rPr>
          </w:pPr>
          <w:hyperlink w:anchor="_Toc224808074" w:history="1">
            <w:r w:rsidRPr="00AB517A">
              <w:rPr>
                <w:rStyle w:val="Hyperlink"/>
                <w:rFonts w:ascii="Arial" w:hAnsi="Arial" w:cs="Arial"/>
                <w:noProof/>
                <w:sz w:val="28"/>
                <w:szCs w:val="28"/>
              </w:rPr>
              <w:t>3.2 Cash Budget Analysis</w:t>
            </w:r>
            <w:r w:rsidRPr="00AB517A">
              <w:rPr>
                <w:rFonts w:ascii="Arial" w:hAnsi="Arial" w:cs="Arial"/>
                <w:noProof/>
                <w:webHidden/>
                <w:sz w:val="28"/>
                <w:szCs w:val="28"/>
              </w:rPr>
              <w:tab/>
            </w:r>
            <w:r w:rsidRPr="00AB517A">
              <w:rPr>
                <w:rFonts w:ascii="Arial" w:hAnsi="Arial" w:cs="Arial"/>
                <w:noProof/>
                <w:webHidden/>
                <w:sz w:val="28"/>
                <w:szCs w:val="28"/>
              </w:rPr>
              <w:fldChar w:fldCharType="begin"/>
            </w:r>
            <w:r w:rsidRPr="00AB517A">
              <w:rPr>
                <w:rFonts w:ascii="Arial" w:hAnsi="Arial" w:cs="Arial"/>
                <w:noProof/>
                <w:webHidden/>
                <w:sz w:val="28"/>
                <w:szCs w:val="28"/>
              </w:rPr>
              <w:instrText xml:space="preserve"> PAGEREF _Toc224808074 \h </w:instrText>
            </w:r>
            <w:r w:rsidRPr="00AB517A">
              <w:rPr>
                <w:rFonts w:ascii="Arial" w:hAnsi="Arial" w:cs="Arial"/>
                <w:noProof/>
                <w:webHidden/>
                <w:sz w:val="28"/>
                <w:szCs w:val="28"/>
              </w:rPr>
            </w:r>
            <w:r w:rsidRPr="00AB517A">
              <w:rPr>
                <w:rFonts w:ascii="Arial" w:hAnsi="Arial" w:cs="Arial"/>
                <w:noProof/>
                <w:webHidden/>
                <w:sz w:val="28"/>
                <w:szCs w:val="28"/>
              </w:rPr>
              <w:fldChar w:fldCharType="separate"/>
            </w:r>
            <w:r w:rsidRPr="00AB517A">
              <w:rPr>
                <w:rFonts w:ascii="Arial" w:hAnsi="Arial" w:cs="Arial"/>
                <w:noProof/>
                <w:webHidden/>
                <w:sz w:val="28"/>
                <w:szCs w:val="28"/>
              </w:rPr>
              <w:t>9</w:t>
            </w:r>
            <w:r w:rsidRPr="00AB517A">
              <w:rPr>
                <w:rFonts w:ascii="Arial" w:hAnsi="Arial" w:cs="Arial"/>
                <w:noProof/>
                <w:webHidden/>
                <w:sz w:val="28"/>
                <w:szCs w:val="28"/>
              </w:rPr>
              <w:fldChar w:fldCharType="end"/>
            </w:r>
          </w:hyperlink>
        </w:p>
        <w:p w14:paraId="16216508" w14:textId="74F022D2" w:rsidR="006D1D00" w:rsidRPr="00AB517A" w:rsidRDefault="006D1D00">
          <w:pPr>
            <w:pStyle w:val="TOC2"/>
            <w:tabs>
              <w:tab w:val="right" w:leader="dot" w:pos="9016"/>
            </w:tabs>
            <w:rPr>
              <w:rFonts w:ascii="Arial" w:eastAsiaTheme="minorEastAsia" w:hAnsi="Arial" w:cs="Arial"/>
              <w:noProof/>
              <w:sz w:val="28"/>
              <w:szCs w:val="28"/>
              <w:lang w:eastAsia="en-GB"/>
            </w:rPr>
          </w:pPr>
          <w:hyperlink w:anchor="_Toc224808075" w:history="1">
            <w:r w:rsidRPr="00AB517A">
              <w:rPr>
                <w:rStyle w:val="Hyperlink"/>
                <w:rFonts w:ascii="Arial" w:hAnsi="Arial" w:cs="Arial"/>
                <w:noProof/>
                <w:sz w:val="28"/>
                <w:szCs w:val="28"/>
              </w:rPr>
              <w:t>3.3 Budgeted Profit and Loss Analysis</w:t>
            </w:r>
            <w:r w:rsidRPr="00AB517A">
              <w:rPr>
                <w:rFonts w:ascii="Arial" w:hAnsi="Arial" w:cs="Arial"/>
                <w:noProof/>
                <w:webHidden/>
                <w:sz w:val="28"/>
                <w:szCs w:val="28"/>
              </w:rPr>
              <w:tab/>
            </w:r>
            <w:r w:rsidRPr="00AB517A">
              <w:rPr>
                <w:rFonts w:ascii="Arial" w:hAnsi="Arial" w:cs="Arial"/>
                <w:noProof/>
                <w:webHidden/>
                <w:sz w:val="28"/>
                <w:szCs w:val="28"/>
              </w:rPr>
              <w:fldChar w:fldCharType="begin"/>
            </w:r>
            <w:r w:rsidRPr="00AB517A">
              <w:rPr>
                <w:rFonts w:ascii="Arial" w:hAnsi="Arial" w:cs="Arial"/>
                <w:noProof/>
                <w:webHidden/>
                <w:sz w:val="28"/>
                <w:szCs w:val="28"/>
              </w:rPr>
              <w:instrText xml:space="preserve"> PAGEREF _Toc224808075 \h </w:instrText>
            </w:r>
            <w:r w:rsidRPr="00AB517A">
              <w:rPr>
                <w:rFonts w:ascii="Arial" w:hAnsi="Arial" w:cs="Arial"/>
                <w:noProof/>
                <w:webHidden/>
                <w:sz w:val="28"/>
                <w:szCs w:val="28"/>
              </w:rPr>
            </w:r>
            <w:r w:rsidRPr="00AB517A">
              <w:rPr>
                <w:rFonts w:ascii="Arial" w:hAnsi="Arial" w:cs="Arial"/>
                <w:noProof/>
                <w:webHidden/>
                <w:sz w:val="28"/>
                <w:szCs w:val="28"/>
              </w:rPr>
              <w:fldChar w:fldCharType="separate"/>
            </w:r>
            <w:r w:rsidRPr="00AB517A">
              <w:rPr>
                <w:rFonts w:ascii="Arial" w:hAnsi="Arial" w:cs="Arial"/>
                <w:noProof/>
                <w:webHidden/>
                <w:sz w:val="28"/>
                <w:szCs w:val="28"/>
              </w:rPr>
              <w:t>10</w:t>
            </w:r>
            <w:r w:rsidRPr="00AB517A">
              <w:rPr>
                <w:rFonts w:ascii="Arial" w:hAnsi="Arial" w:cs="Arial"/>
                <w:noProof/>
                <w:webHidden/>
                <w:sz w:val="28"/>
                <w:szCs w:val="28"/>
              </w:rPr>
              <w:fldChar w:fldCharType="end"/>
            </w:r>
          </w:hyperlink>
        </w:p>
        <w:p w14:paraId="1A2DA16D" w14:textId="0D096E86" w:rsidR="006D1D00" w:rsidRPr="00AB517A" w:rsidRDefault="006D1D00" w:rsidP="000A0CAC">
          <w:pPr>
            <w:pStyle w:val="TOC1"/>
            <w:rPr>
              <w:rFonts w:eastAsiaTheme="minorEastAsia"/>
              <w:sz w:val="28"/>
              <w:szCs w:val="28"/>
              <w:lang w:eastAsia="en-GB"/>
            </w:rPr>
          </w:pPr>
          <w:hyperlink w:anchor="_Toc224808076" w:history="1">
            <w:r w:rsidRPr="00AB517A">
              <w:rPr>
                <w:rStyle w:val="Hyperlink"/>
                <w:sz w:val="28"/>
                <w:szCs w:val="28"/>
              </w:rPr>
              <w:t>Section B – Analysis &amp; Management Response</w:t>
            </w:r>
            <w:r w:rsidRPr="00AB517A">
              <w:rPr>
                <w:webHidden/>
                <w:sz w:val="28"/>
                <w:szCs w:val="28"/>
              </w:rPr>
              <w:tab/>
            </w:r>
            <w:r w:rsidRPr="00AB517A">
              <w:rPr>
                <w:webHidden/>
                <w:sz w:val="28"/>
                <w:szCs w:val="28"/>
              </w:rPr>
              <w:fldChar w:fldCharType="begin"/>
            </w:r>
            <w:r w:rsidRPr="00AB517A">
              <w:rPr>
                <w:webHidden/>
                <w:sz w:val="28"/>
                <w:szCs w:val="28"/>
              </w:rPr>
              <w:instrText xml:space="preserve"> PAGEREF _Toc224808076 \h </w:instrText>
            </w:r>
            <w:r w:rsidRPr="00AB517A">
              <w:rPr>
                <w:webHidden/>
                <w:sz w:val="28"/>
                <w:szCs w:val="28"/>
              </w:rPr>
            </w:r>
            <w:r w:rsidRPr="00AB517A">
              <w:rPr>
                <w:webHidden/>
                <w:sz w:val="28"/>
                <w:szCs w:val="28"/>
              </w:rPr>
              <w:fldChar w:fldCharType="separate"/>
            </w:r>
            <w:r w:rsidRPr="00AB517A">
              <w:rPr>
                <w:webHidden/>
                <w:sz w:val="28"/>
                <w:szCs w:val="28"/>
              </w:rPr>
              <w:t>12</w:t>
            </w:r>
            <w:r w:rsidRPr="00AB517A">
              <w:rPr>
                <w:webHidden/>
                <w:sz w:val="28"/>
                <w:szCs w:val="28"/>
              </w:rPr>
              <w:fldChar w:fldCharType="end"/>
            </w:r>
          </w:hyperlink>
        </w:p>
        <w:p w14:paraId="63968AF1" w14:textId="169C897A" w:rsidR="006D1D00" w:rsidRPr="00AB517A" w:rsidRDefault="006D1D00">
          <w:pPr>
            <w:pStyle w:val="TOC2"/>
            <w:tabs>
              <w:tab w:val="right" w:leader="dot" w:pos="9016"/>
            </w:tabs>
            <w:rPr>
              <w:rFonts w:ascii="Arial" w:eastAsiaTheme="minorEastAsia" w:hAnsi="Arial" w:cs="Arial"/>
              <w:noProof/>
              <w:sz w:val="28"/>
              <w:szCs w:val="28"/>
              <w:lang w:eastAsia="en-GB"/>
            </w:rPr>
          </w:pPr>
          <w:hyperlink w:anchor="_Toc224808077" w:history="1">
            <w:r w:rsidRPr="00AB517A">
              <w:rPr>
                <w:rStyle w:val="Hyperlink"/>
                <w:rFonts w:ascii="Arial" w:hAnsi="Arial" w:cs="Arial"/>
                <w:noProof/>
                <w:sz w:val="28"/>
                <w:szCs w:val="28"/>
              </w:rPr>
              <w:t>4. Financial Problems and Management Actions</w:t>
            </w:r>
            <w:r w:rsidRPr="00AB517A">
              <w:rPr>
                <w:rFonts w:ascii="Arial" w:hAnsi="Arial" w:cs="Arial"/>
                <w:noProof/>
                <w:webHidden/>
                <w:sz w:val="28"/>
                <w:szCs w:val="28"/>
              </w:rPr>
              <w:tab/>
            </w:r>
            <w:r w:rsidRPr="00AB517A">
              <w:rPr>
                <w:rFonts w:ascii="Arial" w:hAnsi="Arial" w:cs="Arial"/>
                <w:noProof/>
                <w:webHidden/>
                <w:sz w:val="28"/>
                <w:szCs w:val="28"/>
              </w:rPr>
              <w:fldChar w:fldCharType="begin"/>
            </w:r>
            <w:r w:rsidRPr="00AB517A">
              <w:rPr>
                <w:rFonts w:ascii="Arial" w:hAnsi="Arial" w:cs="Arial"/>
                <w:noProof/>
                <w:webHidden/>
                <w:sz w:val="28"/>
                <w:szCs w:val="28"/>
              </w:rPr>
              <w:instrText xml:space="preserve"> PAGEREF _Toc224808077 \h </w:instrText>
            </w:r>
            <w:r w:rsidRPr="00AB517A">
              <w:rPr>
                <w:rFonts w:ascii="Arial" w:hAnsi="Arial" w:cs="Arial"/>
                <w:noProof/>
                <w:webHidden/>
                <w:sz w:val="28"/>
                <w:szCs w:val="28"/>
              </w:rPr>
            </w:r>
            <w:r w:rsidRPr="00AB517A">
              <w:rPr>
                <w:rFonts w:ascii="Arial" w:hAnsi="Arial" w:cs="Arial"/>
                <w:noProof/>
                <w:webHidden/>
                <w:sz w:val="28"/>
                <w:szCs w:val="28"/>
              </w:rPr>
              <w:fldChar w:fldCharType="separate"/>
            </w:r>
            <w:r w:rsidRPr="00AB517A">
              <w:rPr>
                <w:rFonts w:ascii="Arial" w:hAnsi="Arial" w:cs="Arial"/>
                <w:noProof/>
                <w:webHidden/>
                <w:sz w:val="28"/>
                <w:szCs w:val="28"/>
              </w:rPr>
              <w:t>12</w:t>
            </w:r>
            <w:r w:rsidRPr="00AB517A">
              <w:rPr>
                <w:rFonts w:ascii="Arial" w:hAnsi="Arial" w:cs="Arial"/>
                <w:noProof/>
                <w:webHidden/>
                <w:sz w:val="28"/>
                <w:szCs w:val="28"/>
              </w:rPr>
              <w:fldChar w:fldCharType="end"/>
            </w:r>
          </w:hyperlink>
        </w:p>
        <w:p w14:paraId="215D302C" w14:textId="17B2842C" w:rsidR="006D1D00" w:rsidRPr="00AB517A" w:rsidRDefault="006D1D00">
          <w:pPr>
            <w:pStyle w:val="TOC2"/>
            <w:tabs>
              <w:tab w:val="right" w:leader="dot" w:pos="9016"/>
            </w:tabs>
            <w:rPr>
              <w:rFonts w:ascii="Arial" w:eastAsiaTheme="minorEastAsia" w:hAnsi="Arial" w:cs="Arial"/>
              <w:noProof/>
              <w:sz w:val="28"/>
              <w:szCs w:val="28"/>
              <w:lang w:eastAsia="en-GB"/>
            </w:rPr>
          </w:pPr>
          <w:hyperlink w:anchor="_Toc224808078" w:history="1">
            <w:r w:rsidRPr="00AB517A">
              <w:rPr>
                <w:rStyle w:val="Hyperlink"/>
                <w:rFonts w:ascii="Arial" w:hAnsi="Arial" w:cs="Arial"/>
                <w:noProof/>
                <w:sz w:val="28"/>
                <w:szCs w:val="28"/>
              </w:rPr>
              <w:t>5. Conditions for Successful Budgeting</w:t>
            </w:r>
            <w:r w:rsidRPr="00AB517A">
              <w:rPr>
                <w:rFonts w:ascii="Arial" w:hAnsi="Arial" w:cs="Arial"/>
                <w:noProof/>
                <w:webHidden/>
                <w:sz w:val="28"/>
                <w:szCs w:val="28"/>
              </w:rPr>
              <w:tab/>
            </w:r>
            <w:r w:rsidRPr="00AB517A">
              <w:rPr>
                <w:rFonts w:ascii="Arial" w:hAnsi="Arial" w:cs="Arial"/>
                <w:noProof/>
                <w:webHidden/>
                <w:sz w:val="28"/>
                <w:szCs w:val="28"/>
              </w:rPr>
              <w:fldChar w:fldCharType="begin"/>
            </w:r>
            <w:r w:rsidRPr="00AB517A">
              <w:rPr>
                <w:rFonts w:ascii="Arial" w:hAnsi="Arial" w:cs="Arial"/>
                <w:noProof/>
                <w:webHidden/>
                <w:sz w:val="28"/>
                <w:szCs w:val="28"/>
              </w:rPr>
              <w:instrText xml:space="preserve"> PAGEREF _Toc224808078 \h </w:instrText>
            </w:r>
            <w:r w:rsidRPr="00AB517A">
              <w:rPr>
                <w:rFonts w:ascii="Arial" w:hAnsi="Arial" w:cs="Arial"/>
                <w:noProof/>
                <w:webHidden/>
                <w:sz w:val="28"/>
                <w:szCs w:val="28"/>
              </w:rPr>
            </w:r>
            <w:r w:rsidRPr="00AB517A">
              <w:rPr>
                <w:rFonts w:ascii="Arial" w:hAnsi="Arial" w:cs="Arial"/>
                <w:noProof/>
                <w:webHidden/>
                <w:sz w:val="28"/>
                <w:szCs w:val="28"/>
              </w:rPr>
              <w:fldChar w:fldCharType="separate"/>
            </w:r>
            <w:r w:rsidRPr="00AB517A">
              <w:rPr>
                <w:rFonts w:ascii="Arial" w:hAnsi="Arial" w:cs="Arial"/>
                <w:noProof/>
                <w:webHidden/>
                <w:sz w:val="28"/>
                <w:szCs w:val="28"/>
              </w:rPr>
              <w:t>17</w:t>
            </w:r>
            <w:r w:rsidRPr="00AB517A">
              <w:rPr>
                <w:rFonts w:ascii="Arial" w:hAnsi="Arial" w:cs="Arial"/>
                <w:noProof/>
                <w:webHidden/>
                <w:sz w:val="28"/>
                <w:szCs w:val="28"/>
              </w:rPr>
              <w:fldChar w:fldCharType="end"/>
            </w:r>
          </w:hyperlink>
        </w:p>
        <w:p w14:paraId="0F0DBBB0" w14:textId="32A96EFA" w:rsidR="006D1D00" w:rsidRPr="00AB517A" w:rsidRDefault="006D1D00">
          <w:pPr>
            <w:pStyle w:val="TOC2"/>
            <w:tabs>
              <w:tab w:val="right" w:leader="dot" w:pos="9016"/>
            </w:tabs>
            <w:rPr>
              <w:rFonts w:ascii="Arial" w:eastAsiaTheme="minorEastAsia" w:hAnsi="Arial" w:cs="Arial"/>
              <w:noProof/>
              <w:sz w:val="28"/>
              <w:szCs w:val="28"/>
              <w:lang w:eastAsia="en-GB"/>
            </w:rPr>
          </w:pPr>
          <w:hyperlink w:anchor="_Toc224808079" w:history="1">
            <w:r w:rsidRPr="00AB517A">
              <w:rPr>
                <w:rStyle w:val="Hyperlink"/>
                <w:rFonts w:ascii="Arial" w:hAnsi="Arial" w:cs="Arial"/>
                <w:noProof/>
                <w:sz w:val="28"/>
                <w:szCs w:val="28"/>
              </w:rPr>
              <w:t>6. Behavioural Issues in Budgetary Control</w:t>
            </w:r>
            <w:r w:rsidRPr="00AB517A">
              <w:rPr>
                <w:rFonts w:ascii="Arial" w:hAnsi="Arial" w:cs="Arial"/>
                <w:noProof/>
                <w:webHidden/>
                <w:sz w:val="28"/>
                <w:szCs w:val="28"/>
              </w:rPr>
              <w:tab/>
            </w:r>
            <w:r w:rsidRPr="00AB517A">
              <w:rPr>
                <w:rFonts w:ascii="Arial" w:hAnsi="Arial" w:cs="Arial"/>
                <w:noProof/>
                <w:webHidden/>
                <w:sz w:val="28"/>
                <w:szCs w:val="28"/>
              </w:rPr>
              <w:fldChar w:fldCharType="begin"/>
            </w:r>
            <w:r w:rsidRPr="00AB517A">
              <w:rPr>
                <w:rFonts w:ascii="Arial" w:hAnsi="Arial" w:cs="Arial"/>
                <w:noProof/>
                <w:webHidden/>
                <w:sz w:val="28"/>
                <w:szCs w:val="28"/>
              </w:rPr>
              <w:instrText xml:space="preserve"> PAGEREF _Toc224808079 \h </w:instrText>
            </w:r>
            <w:r w:rsidRPr="00AB517A">
              <w:rPr>
                <w:rFonts w:ascii="Arial" w:hAnsi="Arial" w:cs="Arial"/>
                <w:noProof/>
                <w:webHidden/>
                <w:sz w:val="28"/>
                <w:szCs w:val="28"/>
              </w:rPr>
            </w:r>
            <w:r w:rsidRPr="00AB517A">
              <w:rPr>
                <w:rFonts w:ascii="Arial" w:hAnsi="Arial" w:cs="Arial"/>
                <w:noProof/>
                <w:webHidden/>
                <w:sz w:val="28"/>
                <w:szCs w:val="28"/>
              </w:rPr>
              <w:fldChar w:fldCharType="separate"/>
            </w:r>
            <w:r w:rsidRPr="00AB517A">
              <w:rPr>
                <w:rFonts w:ascii="Arial" w:hAnsi="Arial" w:cs="Arial"/>
                <w:noProof/>
                <w:webHidden/>
                <w:sz w:val="28"/>
                <w:szCs w:val="28"/>
              </w:rPr>
              <w:t>19</w:t>
            </w:r>
            <w:r w:rsidRPr="00AB517A">
              <w:rPr>
                <w:rFonts w:ascii="Arial" w:hAnsi="Arial" w:cs="Arial"/>
                <w:noProof/>
                <w:webHidden/>
                <w:sz w:val="28"/>
                <w:szCs w:val="28"/>
              </w:rPr>
              <w:fldChar w:fldCharType="end"/>
            </w:r>
          </w:hyperlink>
        </w:p>
        <w:p w14:paraId="1CE60F27" w14:textId="63037925" w:rsidR="006D1D00" w:rsidRPr="00AB517A" w:rsidRDefault="006D1D00">
          <w:pPr>
            <w:pStyle w:val="TOC2"/>
            <w:tabs>
              <w:tab w:val="right" w:leader="dot" w:pos="9016"/>
            </w:tabs>
            <w:rPr>
              <w:rFonts w:ascii="Arial" w:eastAsiaTheme="minorEastAsia" w:hAnsi="Arial" w:cs="Arial"/>
              <w:noProof/>
              <w:sz w:val="28"/>
              <w:szCs w:val="28"/>
              <w:lang w:eastAsia="en-GB"/>
            </w:rPr>
          </w:pPr>
          <w:hyperlink w:anchor="_Toc224808080" w:history="1">
            <w:r w:rsidRPr="00AB517A">
              <w:rPr>
                <w:rStyle w:val="Hyperlink"/>
                <w:rFonts w:ascii="Arial" w:hAnsi="Arial" w:cs="Arial"/>
                <w:noProof/>
                <w:sz w:val="28"/>
                <w:szCs w:val="28"/>
              </w:rPr>
              <w:t>7. Critical Evaluation of Traditional Budgeting</w:t>
            </w:r>
            <w:r w:rsidRPr="00AB517A">
              <w:rPr>
                <w:rFonts w:ascii="Arial" w:hAnsi="Arial" w:cs="Arial"/>
                <w:noProof/>
                <w:webHidden/>
                <w:sz w:val="28"/>
                <w:szCs w:val="28"/>
              </w:rPr>
              <w:tab/>
            </w:r>
            <w:r w:rsidRPr="00AB517A">
              <w:rPr>
                <w:rFonts w:ascii="Arial" w:hAnsi="Arial" w:cs="Arial"/>
                <w:noProof/>
                <w:webHidden/>
                <w:sz w:val="28"/>
                <w:szCs w:val="28"/>
              </w:rPr>
              <w:fldChar w:fldCharType="begin"/>
            </w:r>
            <w:r w:rsidRPr="00AB517A">
              <w:rPr>
                <w:rFonts w:ascii="Arial" w:hAnsi="Arial" w:cs="Arial"/>
                <w:noProof/>
                <w:webHidden/>
                <w:sz w:val="28"/>
                <w:szCs w:val="28"/>
              </w:rPr>
              <w:instrText xml:space="preserve"> PAGEREF _Toc224808080 \h </w:instrText>
            </w:r>
            <w:r w:rsidRPr="00AB517A">
              <w:rPr>
                <w:rFonts w:ascii="Arial" w:hAnsi="Arial" w:cs="Arial"/>
                <w:noProof/>
                <w:webHidden/>
                <w:sz w:val="28"/>
                <w:szCs w:val="28"/>
              </w:rPr>
            </w:r>
            <w:r w:rsidRPr="00AB517A">
              <w:rPr>
                <w:rFonts w:ascii="Arial" w:hAnsi="Arial" w:cs="Arial"/>
                <w:noProof/>
                <w:webHidden/>
                <w:sz w:val="28"/>
                <w:szCs w:val="28"/>
              </w:rPr>
              <w:fldChar w:fldCharType="separate"/>
            </w:r>
            <w:r w:rsidRPr="00AB517A">
              <w:rPr>
                <w:rFonts w:ascii="Arial" w:hAnsi="Arial" w:cs="Arial"/>
                <w:noProof/>
                <w:webHidden/>
                <w:sz w:val="28"/>
                <w:szCs w:val="28"/>
              </w:rPr>
              <w:t>20</w:t>
            </w:r>
            <w:r w:rsidRPr="00AB517A">
              <w:rPr>
                <w:rFonts w:ascii="Arial" w:hAnsi="Arial" w:cs="Arial"/>
                <w:noProof/>
                <w:webHidden/>
                <w:sz w:val="28"/>
                <w:szCs w:val="28"/>
              </w:rPr>
              <w:fldChar w:fldCharType="end"/>
            </w:r>
          </w:hyperlink>
        </w:p>
        <w:p w14:paraId="40E01832" w14:textId="4109EB5F" w:rsidR="006D1D00" w:rsidRPr="00AB517A" w:rsidRDefault="006D1D00" w:rsidP="000A0CAC">
          <w:pPr>
            <w:pStyle w:val="TOC1"/>
            <w:rPr>
              <w:rFonts w:eastAsiaTheme="minorEastAsia"/>
              <w:sz w:val="28"/>
              <w:szCs w:val="28"/>
              <w:lang w:eastAsia="en-GB"/>
            </w:rPr>
          </w:pPr>
          <w:hyperlink w:anchor="_Toc224808081" w:history="1">
            <w:r w:rsidRPr="00AB517A">
              <w:rPr>
                <w:rStyle w:val="Hyperlink"/>
                <w:sz w:val="28"/>
                <w:szCs w:val="28"/>
              </w:rPr>
              <w:t>Conclusion</w:t>
            </w:r>
            <w:r w:rsidRPr="00AB517A">
              <w:rPr>
                <w:webHidden/>
                <w:sz w:val="28"/>
                <w:szCs w:val="28"/>
              </w:rPr>
              <w:tab/>
            </w:r>
            <w:r w:rsidRPr="00AB517A">
              <w:rPr>
                <w:webHidden/>
                <w:sz w:val="28"/>
                <w:szCs w:val="28"/>
              </w:rPr>
              <w:fldChar w:fldCharType="begin"/>
            </w:r>
            <w:r w:rsidRPr="00AB517A">
              <w:rPr>
                <w:webHidden/>
                <w:sz w:val="28"/>
                <w:szCs w:val="28"/>
              </w:rPr>
              <w:instrText xml:space="preserve"> PAGEREF _Toc224808081 \h </w:instrText>
            </w:r>
            <w:r w:rsidRPr="00AB517A">
              <w:rPr>
                <w:webHidden/>
                <w:sz w:val="28"/>
                <w:szCs w:val="28"/>
              </w:rPr>
            </w:r>
            <w:r w:rsidRPr="00AB517A">
              <w:rPr>
                <w:webHidden/>
                <w:sz w:val="28"/>
                <w:szCs w:val="28"/>
              </w:rPr>
              <w:fldChar w:fldCharType="separate"/>
            </w:r>
            <w:r w:rsidRPr="00AB517A">
              <w:rPr>
                <w:webHidden/>
                <w:sz w:val="28"/>
                <w:szCs w:val="28"/>
              </w:rPr>
              <w:t>23</w:t>
            </w:r>
            <w:r w:rsidRPr="00AB517A">
              <w:rPr>
                <w:webHidden/>
                <w:sz w:val="28"/>
                <w:szCs w:val="28"/>
              </w:rPr>
              <w:fldChar w:fldCharType="end"/>
            </w:r>
          </w:hyperlink>
        </w:p>
        <w:p w14:paraId="700D0583" w14:textId="313032DC" w:rsidR="006D1D00" w:rsidRPr="00AB517A" w:rsidRDefault="006D1D00" w:rsidP="000A0CAC">
          <w:pPr>
            <w:pStyle w:val="TOC1"/>
            <w:rPr>
              <w:rFonts w:eastAsiaTheme="minorEastAsia"/>
              <w:sz w:val="28"/>
              <w:szCs w:val="28"/>
              <w:lang w:eastAsia="en-GB"/>
            </w:rPr>
          </w:pPr>
          <w:hyperlink w:anchor="_Toc224808082" w:history="1">
            <w:r w:rsidRPr="00AB517A">
              <w:rPr>
                <w:rStyle w:val="Hyperlink"/>
                <w:sz w:val="28"/>
                <w:szCs w:val="28"/>
              </w:rPr>
              <w:t>References</w:t>
            </w:r>
            <w:r w:rsidRPr="00AB517A">
              <w:rPr>
                <w:webHidden/>
                <w:sz w:val="28"/>
                <w:szCs w:val="28"/>
              </w:rPr>
              <w:tab/>
            </w:r>
            <w:r w:rsidRPr="00AB517A">
              <w:rPr>
                <w:webHidden/>
                <w:sz w:val="28"/>
                <w:szCs w:val="28"/>
              </w:rPr>
              <w:fldChar w:fldCharType="begin"/>
            </w:r>
            <w:r w:rsidRPr="00AB517A">
              <w:rPr>
                <w:webHidden/>
                <w:sz w:val="28"/>
                <w:szCs w:val="28"/>
              </w:rPr>
              <w:instrText xml:space="preserve"> PAGEREF _Toc224808082 \h </w:instrText>
            </w:r>
            <w:r w:rsidRPr="00AB517A">
              <w:rPr>
                <w:webHidden/>
                <w:sz w:val="28"/>
                <w:szCs w:val="28"/>
              </w:rPr>
            </w:r>
            <w:r w:rsidRPr="00AB517A">
              <w:rPr>
                <w:webHidden/>
                <w:sz w:val="28"/>
                <w:szCs w:val="28"/>
              </w:rPr>
              <w:fldChar w:fldCharType="separate"/>
            </w:r>
            <w:r w:rsidRPr="00AB517A">
              <w:rPr>
                <w:webHidden/>
                <w:sz w:val="28"/>
                <w:szCs w:val="28"/>
              </w:rPr>
              <w:t>25</w:t>
            </w:r>
            <w:r w:rsidRPr="00AB517A">
              <w:rPr>
                <w:webHidden/>
                <w:sz w:val="28"/>
                <w:szCs w:val="28"/>
              </w:rPr>
              <w:fldChar w:fldCharType="end"/>
            </w:r>
          </w:hyperlink>
        </w:p>
        <w:p w14:paraId="20F76C19" w14:textId="0E421FB0" w:rsidR="009E737D" w:rsidRDefault="00692782" w:rsidP="00002B22">
          <w:r w:rsidRPr="00AB517A">
            <w:rPr>
              <w:rFonts w:ascii="Arial" w:hAnsi="Arial" w:cs="Arial"/>
              <w:b/>
              <w:bCs/>
              <w:sz w:val="28"/>
              <w:szCs w:val="28"/>
            </w:rPr>
            <w:fldChar w:fldCharType="end"/>
          </w:r>
        </w:p>
      </w:sdtContent>
    </w:sdt>
    <w:bookmarkStart w:id="0" w:name="_Toc224743678" w:displacedByCustomXml="prev"/>
    <w:p w14:paraId="34C9D35D" w14:textId="77777777" w:rsidR="005A2837" w:rsidRDefault="005A2837" w:rsidP="00E1613B">
      <w:pPr>
        <w:pStyle w:val="Heading1"/>
      </w:pPr>
      <w:bookmarkStart w:id="1" w:name="_Toc224808070"/>
    </w:p>
    <w:p w14:paraId="3E3A0DAF" w14:textId="77777777" w:rsidR="005A2837" w:rsidRPr="005A2837" w:rsidRDefault="005A2837" w:rsidP="005A2837"/>
    <w:p w14:paraId="4C9AA252" w14:textId="77777777" w:rsidR="005A2837" w:rsidRDefault="005A2837" w:rsidP="00E1613B">
      <w:pPr>
        <w:pStyle w:val="Heading1"/>
      </w:pPr>
    </w:p>
    <w:p w14:paraId="08921036" w14:textId="77777777" w:rsidR="001E43FA" w:rsidRDefault="001E43FA" w:rsidP="00E1613B">
      <w:pPr>
        <w:pStyle w:val="Heading1"/>
      </w:pPr>
    </w:p>
    <w:p w14:paraId="463CC0AC" w14:textId="77777777" w:rsidR="001E43FA" w:rsidRDefault="001E43FA" w:rsidP="001E43FA"/>
    <w:p w14:paraId="74A75290" w14:textId="77777777" w:rsidR="001E43FA" w:rsidRPr="001E43FA" w:rsidRDefault="001E43FA" w:rsidP="001E43FA"/>
    <w:p w14:paraId="1A09F9C9" w14:textId="76A73B12" w:rsidR="003B5ABA" w:rsidRDefault="003B5ABA" w:rsidP="00E1613B">
      <w:pPr>
        <w:pStyle w:val="Heading1"/>
      </w:pPr>
      <w:r>
        <w:lastRenderedPageBreak/>
        <w:t>Executive summary</w:t>
      </w:r>
      <w:bookmarkEnd w:id="0"/>
      <w:bookmarkEnd w:id="1"/>
    </w:p>
    <w:p w14:paraId="39983ACC" w14:textId="77777777" w:rsidR="00CA0AFF" w:rsidRPr="00CA0AFF" w:rsidRDefault="00CA0AFF" w:rsidP="00CA0AFF"/>
    <w:p w14:paraId="6F380E9E" w14:textId="77777777" w:rsidR="003B5ABA" w:rsidRDefault="003B5ABA" w:rsidP="004F131E">
      <w:pPr>
        <w:spacing w:line="360" w:lineRule="auto"/>
        <w:rPr>
          <w:rFonts w:ascii="Arial" w:hAnsi="Arial" w:cs="Arial"/>
        </w:rPr>
      </w:pPr>
    </w:p>
    <w:p w14:paraId="4FA54DAD" w14:textId="0720F89F" w:rsidR="00B931A7" w:rsidRPr="003B5ABA" w:rsidRDefault="00B931A7" w:rsidP="004F131E">
      <w:pPr>
        <w:spacing w:line="360" w:lineRule="auto"/>
        <w:rPr>
          <w:rFonts w:ascii="Arial" w:hAnsi="Arial" w:cs="Arial"/>
        </w:rPr>
      </w:pPr>
      <w:r w:rsidRPr="003B5ABA">
        <w:rPr>
          <w:rFonts w:ascii="Arial" w:hAnsi="Arial" w:cs="Arial"/>
        </w:rPr>
        <w:t xml:space="preserve">This report analyses the financial forecasts prepared for Silver Stitch Ltd, a clothing retailer operating twelve stores. The aim is to prepare and interpret key financial budgets </w:t>
      </w:r>
      <w:r w:rsidR="00B45490" w:rsidRPr="003B5ABA">
        <w:rPr>
          <w:rFonts w:ascii="Arial" w:hAnsi="Arial" w:cs="Arial"/>
        </w:rPr>
        <w:t>to</w:t>
      </w:r>
      <w:r w:rsidRPr="003B5ABA">
        <w:rPr>
          <w:rFonts w:ascii="Arial" w:hAnsi="Arial" w:cs="Arial"/>
        </w:rPr>
        <w:t xml:space="preserve"> evaluate the company’s expected performance and identify potential financial risks. The analysis focuses on the stock budget, cash budget and the budgeted profit and loss statement, which were developed using financial calculations based on forecast sales, costs and cash flows.</w:t>
      </w:r>
    </w:p>
    <w:p w14:paraId="3F9CB09A" w14:textId="52E7A427" w:rsidR="00B931A7" w:rsidRPr="003B5ABA" w:rsidRDefault="00B931A7" w:rsidP="004F131E">
      <w:pPr>
        <w:spacing w:line="360" w:lineRule="auto"/>
        <w:rPr>
          <w:rFonts w:ascii="Arial" w:hAnsi="Arial" w:cs="Arial"/>
        </w:rPr>
      </w:pPr>
      <w:r w:rsidRPr="003B5ABA">
        <w:rPr>
          <w:rFonts w:ascii="Arial" w:hAnsi="Arial" w:cs="Arial"/>
        </w:rPr>
        <w:t>The results show that the business is expected to generate total sales revenue of £1,470,000 over the six-month period, with a projected profit of approximately £368,140. This suggests that the company is profitable, supported by a gross profit margin of around 40%, indicating a relatively strong pricing strategy and cost structure.</w:t>
      </w:r>
    </w:p>
    <w:p w14:paraId="3A653053" w14:textId="277EDD89" w:rsidR="00B931A7" w:rsidRPr="003B5ABA" w:rsidRDefault="00B931A7" w:rsidP="004F131E">
      <w:pPr>
        <w:spacing w:line="360" w:lineRule="auto"/>
        <w:rPr>
          <w:rFonts w:ascii="Arial" w:hAnsi="Arial" w:cs="Arial"/>
        </w:rPr>
      </w:pPr>
      <w:r w:rsidRPr="003B5ABA">
        <w:rPr>
          <w:rFonts w:ascii="Arial" w:hAnsi="Arial" w:cs="Arial"/>
        </w:rPr>
        <w:t>However, the analysis also highlights several financial concerns. The stock budget shows a continuous increase in inventory levels, suggesting that purchasing decisions may not be fully aligned with actual demand. This may lead to excess stock, tying up financial resources and reducing efficiency, particularly in a fast-changing fashion retail environment.</w:t>
      </w:r>
    </w:p>
    <w:p w14:paraId="10E4A4EA" w14:textId="10C9D424" w:rsidR="00B931A7" w:rsidRPr="003B5ABA" w:rsidRDefault="00B931A7" w:rsidP="004F131E">
      <w:pPr>
        <w:spacing w:line="360" w:lineRule="auto"/>
        <w:rPr>
          <w:rFonts w:ascii="Arial" w:hAnsi="Arial" w:cs="Arial"/>
        </w:rPr>
      </w:pPr>
      <w:r w:rsidRPr="003B5ABA">
        <w:rPr>
          <w:rFonts w:ascii="Arial" w:hAnsi="Arial" w:cs="Arial"/>
        </w:rPr>
        <w:t>The cash budget identifies potential liquidity pressure. Although cash balances remain positive, significant cash outflows related to inventory purchases and operating expenses may reduce financial flexibility. This highlights that profitability does not always guarantee strong cash flow, showing that profit alone is not sufficient to assess financial performance.</w:t>
      </w:r>
    </w:p>
    <w:p w14:paraId="286DEA53" w14:textId="6BEEA38D" w:rsidR="00F81C8A" w:rsidRPr="00CA0AFF" w:rsidRDefault="00B931A7" w:rsidP="00CA0AFF">
      <w:pPr>
        <w:spacing w:line="360" w:lineRule="auto"/>
        <w:rPr>
          <w:rFonts w:ascii="Arial" w:hAnsi="Arial" w:cs="Arial"/>
        </w:rPr>
      </w:pPr>
      <w:r w:rsidRPr="003B5ABA">
        <w:rPr>
          <w:rFonts w:ascii="Arial" w:hAnsi="Arial" w:cs="Arial"/>
        </w:rPr>
        <w:t>Overall, the key issue for Silver Stitch Ltd is balancing profitability with effective cash flow and inventory management. To address this, the report recommends improving demand forecasting, strengthening inventory control, reviewing the timing of investment decisions and enhancing coordination between departments. These actions are expected to support better financial decision-making and improve overall financial stability.</w:t>
      </w:r>
    </w:p>
    <w:p w14:paraId="25348E9C" w14:textId="6BEEA38D" w:rsidR="00C865F5" w:rsidRDefault="00C865F5" w:rsidP="00E1613B">
      <w:pPr>
        <w:pStyle w:val="Heading1"/>
      </w:pPr>
      <w:bookmarkStart w:id="2" w:name="_Toc224743679"/>
      <w:bookmarkStart w:id="3" w:name="_Toc224808071"/>
      <w:r w:rsidRPr="00C865F5">
        <w:lastRenderedPageBreak/>
        <w:t>Introduction</w:t>
      </w:r>
      <w:bookmarkEnd w:id="2"/>
      <w:bookmarkEnd w:id="3"/>
      <w:r w:rsidRPr="00C865F5">
        <w:t xml:space="preserve"> </w:t>
      </w:r>
    </w:p>
    <w:p w14:paraId="6D4A5A98" w14:textId="77777777" w:rsidR="00D331D7" w:rsidRDefault="00D331D7" w:rsidP="000874F1">
      <w:pPr>
        <w:pStyle w:val="Heading2"/>
      </w:pPr>
    </w:p>
    <w:p w14:paraId="4885CA67" w14:textId="05FC1C46" w:rsidR="005F0D21" w:rsidRPr="00461502" w:rsidRDefault="005F0D21" w:rsidP="00160649">
      <w:pPr>
        <w:spacing w:line="360" w:lineRule="auto"/>
        <w:rPr>
          <w:rFonts w:ascii="Arial" w:hAnsi="Arial" w:cs="Arial"/>
        </w:rPr>
      </w:pPr>
      <w:r w:rsidRPr="00461502">
        <w:rPr>
          <w:rFonts w:ascii="Arial" w:hAnsi="Arial" w:cs="Arial"/>
        </w:rPr>
        <w:t>Budgeting is an essential tool within management accounting because it enables organisations to plan financial activities, allocate resources and monitor organisational performance. Through the preparation of budgets, managers translate strategic objectives into financial plans that guide operational decision-making. Budgets provide a structured framework for forecasting revenues, estimating costs and evaluating the financial consequences of business activities.</w:t>
      </w:r>
    </w:p>
    <w:p w14:paraId="17353410" w14:textId="4DD3BDC6" w:rsidR="005F0D21" w:rsidRPr="00461502" w:rsidRDefault="005F0D21" w:rsidP="00160649">
      <w:pPr>
        <w:spacing w:line="360" w:lineRule="auto"/>
        <w:rPr>
          <w:rFonts w:ascii="Arial" w:hAnsi="Arial" w:cs="Arial"/>
        </w:rPr>
      </w:pPr>
      <w:r w:rsidRPr="00461502">
        <w:rPr>
          <w:rFonts w:ascii="Arial" w:hAnsi="Arial" w:cs="Arial"/>
        </w:rPr>
        <w:t>An important aspect of budgeting is budgetary control, which involves comparing actual financial performance with planned targets to identify deviations and take corrective action where necessary. By monitoring differences between expected and actual results, managers can identify potential financial problems early and adjust operational decisions accordingly.</w:t>
      </w:r>
    </w:p>
    <w:p w14:paraId="78FB16FC" w14:textId="1C4F7D88" w:rsidR="005F0D21" w:rsidRPr="00461502" w:rsidRDefault="005F0D21" w:rsidP="00160649">
      <w:pPr>
        <w:spacing w:line="360" w:lineRule="auto"/>
        <w:rPr>
          <w:rFonts w:ascii="Arial" w:hAnsi="Arial" w:cs="Arial"/>
        </w:rPr>
      </w:pPr>
      <w:r w:rsidRPr="00461502">
        <w:rPr>
          <w:rFonts w:ascii="Arial" w:hAnsi="Arial" w:cs="Arial"/>
        </w:rPr>
        <w:t>Budgeting also supports the coordination of organisational activities. Departments such as purchasing, sales and operations must align their decisions to ensure business objectives are achieved efficiently. For example, sales forecasts influence production or purchasing decisions, while these decisions affect cash flow and overall financial performance. As a result, budgeting allows managers to integrate financial planning with operational activities.</w:t>
      </w:r>
    </w:p>
    <w:p w14:paraId="490ED59B" w14:textId="2E01523B" w:rsidR="005F0D21" w:rsidRPr="00160649" w:rsidRDefault="005F0D21" w:rsidP="00160649">
      <w:pPr>
        <w:spacing w:line="360" w:lineRule="auto"/>
        <w:rPr>
          <w:rFonts w:ascii="Arial" w:hAnsi="Arial" w:cs="Arial"/>
        </w:rPr>
      </w:pPr>
      <w:r w:rsidRPr="00160649">
        <w:rPr>
          <w:rFonts w:ascii="Arial" w:hAnsi="Arial" w:cs="Arial"/>
        </w:rPr>
        <w:t>However, budgeting also has limitations. In rapidly changing business environments, budgets based on fixed forecasts may not always reflect current market conditions. Organisations therefore need to interpret budget information carefully and remain flexible when making managerial decisions.</w:t>
      </w:r>
    </w:p>
    <w:p w14:paraId="0B263A56" w14:textId="557D433F" w:rsidR="005F0D21" w:rsidRPr="00160649" w:rsidRDefault="005F0D21" w:rsidP="00160649">
      <w:pPr>
        <w:spacing w:line="360" w:lineRule="auto"/>
        <w:rPr>
          <w:rFonts w:ascii="Arial" w:hAnsi="Arial" w:cs="Arial"/>
        </w:rPr>
      </w:pPr>
      <w:r w:rsidRPr="00160649">
        <w:rPr>
          <w:rFonts w:ascii="Arial" w:hAnsi="Arial" w:cs="Arial"/>
        </w:rPr>
        <w:t xml:space="preserve">This report examines the role of budgeting within the context of Silver Stitch Ltd, a clothing retailer operating twelve stores. The report analyses the company’s financial forecasts over a six-month period by preparing and interpreting a stock budget, cash budget and budgeted profit and loss statement </w:t>
      </w:r>
      <w:r w:rsidR="004B22E8" w:rsidRPr="00160649">
        <w:rPr>
          <w:rFonts w:ascii="Arial" w:hAnsi="Arial" w:cs="Arial"/>
        </w:rPr>
        <w:t>to</w:t>
      </w:r>
      <w:r w:rsidRPr="00160649">
        <w:rPr>
          <w:rFonts w:ascii="Arial" w:hAnsi="Arial" w:cs="Arial"/>
        </w:rPr>
        <w:t xml:space="preserve"> evaluate the organisation’s expected financial position.</w:t>
      </w:r>
    </w:p>
    <w:p w14:paraId="0E1D2ABA" w14:textId="56DC465E" w:rsidR="007F4639" w:rsidRDefault="005F0D21" w:rsidP="00160649">
      <w:pPr>
        <w:spacing w:line="360" w:lineRule="auto"/>
        <w:rPr>
          <w:rFonts w:ascii="Arial" w:hAnsi="Arial" w:cs="Arial"/>
        </w:rPr>
      </w:pPr>
      <w:r w:rsidRPr="00160649">
        <w:rPr>
          <w:rFonts w:ascii="Arial" w:hAnsi="Arial" w:cs="Arial"/>
        </w:rPr>
        <w:t xml:space="preserve">The report first analyses the financial budgets, then identifies potential financial problems and discusses possible management actions. Finally, it critically evaluates </w:t>
      </w:r>
      <w:r w:rsidRPr="00160649">
        <w:rPr>
          <w:rFonts w:ascii="Arial" w:hAnsi="Arial" w:cs="Arial"/>
        </w:rPr>
        <w:lastRenderedPageBreak/>
        <w:t>the effectiveness of budgeting systems and their role in supporting managerial decision-making.</w:t>
      </w:r>
    </w:p>
    <w:p w14:paraId="55707061" w14:textId="77777777" w:rsidR="006139AA" w:rsidRDefault="006139AA" w:rsidP="00640368">
      <w:pPr>
        <w:pStyle w:val="Heading1"/>
      </w:pPr>
    </w:p>
    <w:p w14:paraId="2B5F46F1" w14:textId="77777777" w:rsidR="006139AA" w:rsidRDefault="006139AA" w:rsidP="00640368">
      <w:pPr>
        <w:pStyle w:val="Heading1"/>
      </w:pPr>
    </w:p>
    <w:p w14:paraId="5BE0E378" w14:textId="77777777" w:rsidR="006139AA" w:rsidRDefault="006139AA" w:rsidP="00640368">
      <w:pPr>
        <w:pStyle w:val="Heading1"/>
      </w:pPr>
    </w:p>
    <w:p w14:paraId="12B608D7" w14:textId="77777777" w:rsidR="006139AA" w:rsidRDefault="006139AA" w:rsidP="00640368">
      <w:pPr>
        <w:pStyle w:val="Heading1"/>
      </w:pPr>
    </w:p>
    <w:p w14:paraId="33F3D83D" w14:textId="77777777" w:rsidR="006139AA" w:rsidRDefault="006139AA" w:rsidP="00640368">
      <w:pPr>
        <w:pStyle w:val="Heading1"/>
      </w:pPr>
    </w:p>
    <w:p w14:paraId="2E26759F" w14:textId="77777777" w:rsidR="006139AA" w:rsidRDefault="006139AA" w:rsidP="00640368">
      <w:pPr>
        <w:pStyle w:val="Heading1"/>
      </w:pPr>
    </w:p>
    <w:p w14:paraId="23302D4F" w14:textId="77777777" w:rsidR="006139AA" w:rsidRDefault="006139AA" w:rsidP="00640368">
      <w:pPr>
        <w:pStyle w:val="Heading1"/>
      </w:pPr>
    </w:p>
    <w:p w14:paraId="0A2EF0AD" w14:textId="77777777" w:rsidR="006139AA" w:rsidRPr="006139AA" w:rsidRDefault="006139AA" w:rsidP="006139AA"/>
    <w:p w14:paraId="61E9C8F1" w14:textId="77777777" w:rsidR="006139AA" w:rsidRDefault="006139AA" w:rsidP="00640368">
      <w:pPr>
        <w:pStyle w:val="Heading1"/>
      </w:pPr>
    </w:p>
    <w:p w14:paraId="743834CE" w14:textId="77777777" w:rsidR="006139AA" w:rsidRDefault="006139AA" w:rsidP="00640368">
      <w:pPr>
        <w:pStyle w:val="Heading1"/>
      </w:pPr>
    </w:p>
    <w:p w14:paraId="0524C4D6" w14:textId="77777777" w:rsidR="006139AA" w:rsidRDefault="006139AA" w:rsidP="00640368">
      <w:pPr>
        <w:pStyle w:val="Heading1"/>
      </w:pPr>
    </w:p>
    <w:p w14:paraId="36101516" w14:textId="77777777" w:rsidR="006139AA" w:rsidRDefault="006139AA" w:rsidP="00640368">
      <w:pPr>
        <w:pStyle w:val="Heading1"/>
      </w:pPr>
    </w:p>
    <w:p w14:paraId="75E6F7F3" w14:textId="77777777" w:rsidR="006139AA" w:rsidRDefault="006139AA" w:rsidP="006139AA"/>
    <w:p w14:paraId="2DE13B21" w14:textId="77777777" w:rsidR="006139AA" w:rsidRPr="006139AA" w:rsidRDefault="006139AA" w:rsidP="006139AA"/>
    <w:p w14:paraId="483F0BD9" w14:textId="5ECB68BA" w:rsidR="00D353EF" w:rsidRPr="00D353EF" w:rsidRDefault="00640368" w:rsidP="00D353EF">
      <w:pPr>
        <w:pStyle w:val="Heading1"/>
      </w:pPr>
      <w:bookmarkStart w:id="4" w:name="_Toc224808072"/>
      <w:r>
        <w:lastRenderedPageBreak/>
        <w:t>Section A</w:t>
      </w:r>
      <w:r w:rsidR="008C5148">
        <w:t xml:space="preserve"> – Financial Analysis</w:t>
      </w:r>
      <w:bookmarkEnd w:id="4"/>
      <w:r w:rsidR="008C5148">
        <w:t xml:space="preserve"> </w:t>
      </w:r>
      <w:r w:rsidR="00D353EF">
        <w:t xml:space="preserve">  </w:t>
      </w:r>
    </w:p>
    <w:p w14:paraId="07D06DB9" w14:textId="77777777" w:rsidR="00D353EF" w:rsidRDefault="00D353EF" w:rsidP="009512C5">
      <w:pPr>
        <w:pStyle w:val="Heading2"/>
      </w:pPr>
      <w:bookmarkStart w:id="5" w:name="_Toc224743680"/>
    </w:p>
    <w:p w14:paraId="50F9A55B" w14:textId="77777777" w:rsidR="00D353EF" w:rsidRDefault="00D353EF" w:rsidP="009512C5">
      <w:pPr>
        <w:pStyle w:val="Heading2"/>
      </w:pPr>
    </w:p>
    <w:p w14:paraId="17690518" w14:textId="620E12F1" w:rsidR="0094756A" w:rsidRPr="00160649" w:rsidRDefault="00292D40" w:rsidP="009512C5">
      <w:pPr>
        <w:pStyle w:val="Heading2"/>
      </w:pPr>
      <w:bookmarkStart w:id="6" w:name="_Toc224808073"/>
      <w:r w:rsidRPr="00160649">
        <w:t xml:space="preserve">3.1 </w:t>
      </w:r>
      <w:r w:rsidR="00C865F5" w:rsidRPr="00160649">
        <w:t>Stock Budget Analysi</w:t>
      </w:r>
      <w:r w:rsidR="0094756A" w:rsidRPr="00160649">
        <w:t>s</w:t>
      </w:r>
      <w:r w:rsidR="00342E0D" w:rsidRPr="00160649">
        <w:t>.</w:t>
      </w:r>
      <w:bookmarkEnd w:id="5"/>
      <w:bookmarkEnd w:id="6"/>
    </w:p>
    <w:p w14:paraId="6B8B1E9E" w14:textId="77777777" w:rsidR="007D09A9" w:rsidRDefault="007D09A9" w:rsidP="00D64C3F">
      <w:pPr>
        <w:spacing w:line="360" w:lineRule="auto"/>
        <w:rPr>
          <w:rFonts w:ascii="Arial" w:hAnsi="Arial" w:cs="Arial"/>
          <w:noProof/>
        </w:rPr>
      </w:pPr>
    </w:p>
    <w:p w14:paraId="13B23BB0" w14:textId="17A827E9" w:rsidR="00AD2133" w:rsidRDefault="000952EE" w:rsidP="00D64C3F">
      <w:pPr>
        <w:spacing w:line="360" w:lineRule="auto"/>
        <w:rPr>
          <w:rFonts w:ascii="Arial" w:hAnsi="Arial" w:cs="Arial"/>
        </w:rPr>
      </w:pPr>
      <w:r>
        <w:rPr>
          <w:rFonts w:ascii="Arial" w:hAnsi="Arial" w:cs="Arial"/>
          <w:noProof/>
        </w:rPr>
        <w:drawing>
          <wp:inline distT="0" distB="0" distL="0" distR="0" wp14:anchorId="3C896A61" wp14:editId="0218FC97">
            <wp:extent cx="5684520" cy="1689735"/>
            <wp:effectExtent l="0" t="0" r="0" b="5715"/>
            <wp:docPr id="7897198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71986" name="Picture 78971986"/>
                    <pic:cNvPicPr/>
                  </pic:nvPicPr>
                  <pic:blipFill rotWithShape="1">
                    <a:blip r:embed="rId9" cstate="print">
                      <a:extLst>
                        <a:ext uri="{28A0092B-C50C-407E-A947-70E740481C1C}">
                          <a14:useLocalDpi xmlns:a14="http://schemas.microsoft.com/office/drawing/2010/main" val="0"/>
                        </a:ext>
                      </a:extLst>
                    </a:blip>
                    <a:srcRect l="2497" t="8079" r="3363" b="69222"/>
                    <a:stretch>
                      <a:fillRect/>
                    </a:stretch>
                  </pic:blipFill>
                  <pic:spPr bwMode="auto">
                    <a:xfrm>
                      <a:off x="0" y="0"/>
                      <a:ext cx="5713313" cy="1698294"/>
                    </a:xfrm>
                    <a:prstGeom prst="rect">
                      <a:avLst/>
                    </a:prstGeom>
                    <a:ln>
                      <a:noFill/>
                    </a:ln>
                    <a:extLst>
                      <a:ext uri="{53640926-AAD7-44D8-BBD7-CCE9431645EC}">
                        <a14:shadowObscured xmlns:a14="http://schemas.microsoft.com/office/drawing/2010/main"/>
                      </a:ext>
                    </a:extLst>
                  </pic:spPr>
                </pic:pic>
              </a:graphicData>
            </a:graphic>
          </wp:inline>
        </w:drawing>
      </w:r>
    </w:p>
    <w:p w14:paraId="211EEC65" w14:textId="45CEB8F1" w:rsidR="00CD099C" w:rsidRPr="002C2481" w:rsidRDefault="00250708" w:rsidP="00D64C3F">
      <w:pPr>
        <w:spacing w:line="360" w:lineRule="auto"/>
        <w:rPr>
          <w:rFonts w:ascii="Arial" w:hAnsi="Arial" w:cs="Arial"/>
          <w:sz w:val="20"/>
          <w:szCs w:val="20"/>
        </w:rPr>
      </w:pPr>
      <w:r w:rsidRPr="002C2481">
        <w:rPr>
          <w:rFonts w:ascii="Arial" w:hAnsi="Arial" w:cs="Arial"/>
          <w:sz w:val="20"/>
          <w:szCs w:val="20"/>
        </w:rPr>
        <w:t>Figure 1</w:t>
      </w:r>
      <w:r w:rsidR="00342E0D" w:rsidRPr="002C2481">
        <w:rPr>
          <w:rFonts w:ascii="Arial" w:hAnsi="Arial" w:cs="Arial"/>
          <w:sz w:val="20"/>
          <w:szCs w:val="20"/>
        </w:rPr>
        <w:t xml:space="preserve">: Stock Budget </w:t>
      </w:r>
      <w:r w:rsidR="002306DD" w:rsidRPr="002C2481">
        <w:rPr>
          <w:rFonts w:ascii="Arial" w:hAnsi="Arial" w:cs="Arial"/>
          <w:sz w:val="20"/>
          <w:szCs w:val="20"/>
        </w:rPr>
        <w:t xml:space="preserve">calculations </w:t>
      </w:r>
      <w:r w:rsidR="00751C70" w:rsidRPr="002C2481">
        <w:rPr>
          <w:rFonts w:ascii="Arial" w:hAnsi="Arial" w:cs="Arial"/>
          <w:sz w:val="20"/>
          <w:szCs w:val="20"/>
        </w:rPr>
        <w:t>for Silver Stitch Ltd</w:t>
      </w:r>
    </w:p>
    <w:p w14:paraId="6E28ECC9" w14:textId="7BE19534" w:rsidR="00D60A58" w:rsidRDefault="00D60A58" w:rsidP="00D64C3F">
      <w:pPr>
        <w:spacing w:line="360" w:lineRule="auto"/>
        <w:rPr>
          <w:rFonts w:ascii="Arial" w:hAnsi="Arial" w:cs="Arial"/>
        </w:rPr>
      </w:pPr>
    </w:p>
    <w:p w14:paraId="6ADCCACF" w14:textId="38367CE8" w:rsidR="00CD099C" w:rsidRDefault="00CD099C" w:rsidP="00D64C3F">
      <w:pPr>
        <w:spacing w:line="360" w:lineRule="auto"/>
        <w:rPr>
          <w:rFonts w:ascii="Arial" w:hAnsi="Arial" w:cs="Arial"/>
        </w:rPr>
      </w:pPr>
    </w:p>
    <w:p w14:paraId="4BD51C79" w14:textId="77777777" w:rsidR="0066538A" w:rsidRDefault="00295C44" w:rsidP="00D64C3F">
      <w:pPr>
        <w:spacing w:line="360" w:lineRule="auto"/>
        <w:rPr>
          <w:rFonts w:ascii="Arial" w:hAnsi="Arial" w:cs="Arial"/>
        </w:rPr>
      </w:pPr>
      <w:r>
        <w:rPr>
          <w:rFonts w:ascii="Arial" w:hAnsi="Arial" w:cs="Arial"/>
          <w:noProof/>
        </w:rPr>
        <w:drawing>
          <wp:inline distT="0" distB="0" distL="0" distR="0" wp14:anchorId="2CF87D55" wp14:editId="56933EBC">
            <wp:extent cx="5905500" cy="3182373"/>
            <wp:effectExtent l="0" t="0" r="0" b="0"/>
            <wp:docPr id="15241575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157589" name="Picture 1524157589"/>
                    <pic:cNvPicPr/>
                  </pic:nvPicPr>
                  <pic:blipFill rotWithShape="1">
                    <a:blip r:embed="rId10" cstate="print">
                      <a:extLst>
                        <a:ext uri="{28A0092B-C50C-407E-A947-70E740481C1C}">
                          <a14:useLocalDpi xmlns:a14="http://schemas.microsoft.com/office/drawing/2010/main" val="0"/>
                        </a:ext>
                      </a:extLst>
                    </a:blip>
                    <a:srcRect l="2681" t="42000" r="3408" b="11391"/>
                    <a:stretch>
                      <a:fillRect/>
                    </a:stretch>
                  </pic:blipFill>
                  <pic:spPr bwMode="auto">
                    <a:xfrm>
                      <a:off x="0" y="0"/>
                      <a:ext cx="6000830" cy="3233745"/>
                    </a:xfrm>
                    <a:prstGeom prst="rect">
                      <a:avLst/>
                    </a:prstGeom>
                    <a:ln>
                      <a:noFill/>
                    </a:ln>
                    <a:extLst>
                      <a:ext uri="{53640926-AAD7-44D8-BBD7-CCE9431645EC}">
                        <a14:shadowObscured xmlns:a14="http://schemas.microsoft.com/office/drawing/2010/main"/>
                      </a:ext>
                    </a:extLst>
                  </pic:spPr>
                </pic:pic>
              </a:graphicData>
            </a:graphic>
          </wp:inline>
        </w:drawing>
      </w:r>
    </w:p>
    <w:p w14:paraId="560BE7FC" w14:textId="5F781DE8" w:rsidR="0066538A" w:rsidRPr="002C2481" w:rsidRDefault="00370F2B" w:rsidP="00D64C3F">
      <w:pPr>
        <w:spacing w:line="360" w:lineRule="auto"/>
        <w:rPr>
          <w:rFonts w:ascii="Arial" w:hAnsi="Arial" w:cs="Arial"/>
          <w:sz w:val="20"/>
          <w:szCs w:val="20"/>
        </w:rPr>
      </w:pPr>
      <w:r w:rsidRPr="002C2481">
        <w:rPr>
          <w:rFonts w:ascii="Arial" w:hAnsi="Arial" w:cs="Arial"/>
          <w:sz w:val="20"/>
          <w:szCs w:val="20"/>
        </w:rPr>
        <w:t xml:space="preserve">Figure 2: Cash Budget Calculations for </w:t>
      </w:r>
      <w:r w:rsidR="00D85936" w:rsidRPr="002C2481">
        <w:rPr>
          <w:rFonts w:ascii="Arial" w:hAnsi="Arial" w:cs="Arial"/>
          <w:sz w:val="20"/>
          <w:szCs w:val="20"/>
        </w:rPr>
        <w:t xml:space="preserve">Silver Stitch Ltd </w:t>
      </w:r>
    </w:p>
    <w:p w14:paraId="0BDD95CB" w14:textId="7AB3B8E1" w:rsidR="001C354D" w:rsidRPr="002C2481" w:rsidRDefault="001C354D" w:rsidP="00D64C3F">
      <w:pPr>
        <w:spacing w:line="360" w:lineRule="auto"/>
        <w:rPr>
          <w:rFonts w:ascii="Arial" w:hAnsi="Arial" w:cs="Arial"/>
          <w:sz w:val="20"/>
          <w:szCs w:val="20"/>
        </w:rPr>
      </w:pPr>
    </w:p>
    <w:p w14:paraId="30515F6A" w14:textId="1EF31D5D" w:rsidR="0066538A" w:rsidRDefault="0052262A" w:rsidP="00D64C3F">
      <w:pPr>
        <w:spacing w:line="360" w:lineRule="auto"/>
        <w:rPr>
          <w:rFonts w:ascii="Arial" w:hAnsi="Arial" w:cs="Arial"/>
        </w:rPr>
      </w:pPr>
      <w:r>
        <w:rPr>
          <w:rFonts w:ascii="Arial" w:hAnsi="Arial" w:cs="Arial"/>
          <w:noProof/>
        </w:rPr>
        <w:lastRenderedPageBreak/>
        <w:drawing>
          <wp:inline distT="0" distB="0" distL="0" distR="0" wp14:anchorId="51ACFD2A" wp14:editId="2BD374B3">
            <wp:extent cx="5654040" cy="2244725"/>
            <wp:effectExtent l="0" t="0" r="3810" b="3175"/>
            <wp:docPr id="19123761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37618" name="Picture 191237618"/>
                    <pic:cNvPicPr/>
                  </pic:nvPicPr>
                  <pic:blipFill rotWithShape="1">
                    <a:blip r:embed="rId11" cstate="print">
                      <a:extLst>
                        <a:ext uri="{28A0092B-C50C-407E-A947-70E740481C1C}">
                          <a14:useLocalDpi xmlns:a14="http://schemas.microsoft.com/office/drawing/2010/main" val="0"/>
                        </a:ext>
                      </a:extLst>
                    </a:blip>
                    <a:srcRect l="266" t="22481" r="782" b="521"/>
                    <a:stretch>
                      <a:fillRect/>
                    </a:stretch>
                  </pic:blipFill>
                  <pic:spPr bwMode="auto">
                    <a:xfrm>
                      <a:off x="0" y="0"/>
                      <a:ext cx="5655244" cy="2245203"/>
                    </a:xfrm>
                    <a:prstGeom prst="rect">
                      <a:avLst/>
                    </a:prstGeom>
                    <a:ln>
                      <a:noFill/>
                    </a:ln>
                    <a:extLst>
                      <a:ext uri="{53640926-AAD7-44D8-BBD7-CCE9431645EC}">
                        <a14:shadowObscured xmlns:a14="http://schemas.microsoft.com/office/drawing/2010/main"/>
                      </a:ext>
                    </a:extLst>
                  </pic:spPr>
                </pic:pic>
              </a:graphicData>
            </a:graphic>
          </wp:inline>
        </w:drawing>
      </w:r>
    </w:p>
    <w:p w14:paraId="6D3F1DCC" w14:textId="77777777" w:rsidR="002C2481" w:rsidRPr="002C2481" w:rsidRDefault="005B123F" w:rsidP="00DB1EBA">
      <w:pPr>
        <w:pStyle w:val="NormalWeb"/>
        <w:shd w:val="clear" w:color="auto" w:fill="FFFFFF"/>
        <w:rPr>
          <w:rFonts w:ascii="Arial" w:hAnsi="Arial" w:cs="Arial"/>
          <w:color w:val="222222"/>
          <w:sz w:val="20"/>
          <w:szCs w:val="20"/>
        </w:rPr>
      </w:pPr>
      <w:r w:rsidRPr="002C2481">
        <w:rPr>
          <w:rFonts w:ascii="Arial" w:hAnsi="Arial" w:cs="Arial"/>
          <w:sz w:val="20"/>
          <w:szCs w:val="20"/>
        </w:rPr>
        <w:t xml:space="preserve">Figure </w:t>
      </w:r>
      <w:r w:rsidR="0066538A" w:rsidRPr="002C2481">
        <w:rPr>
          <w:rFonts w:ascii="Arial" w:hAnsi="Arial" w:cs="Arial"/>
          <w:sz w:val="20"/>
          <w:szCs w:val="20"/>
        </w:rPr>
        <w:t>3</w:t>
      </w:r>
      <w:r w:rsidR="00D45AA2" w:rsidRPr="002C2481">
        <w:rPr>
          <w:rFonts w:ascii="Arial" w:hAnsi="Arial" w:cs="Arial"/>
          <w:sz w:val="20"/>
          <w:szCs w:val="20"/>
        </w:rPr>
        <w:t xml:space="preserve">: </w:t>
      </w:r>
      <w:r w:rsidR="009B45D1" w:rsidRPr="002C2481">
        <w:rPr>
          <w:rFonts w:ascii="Arial" w:hAnsi="Arial" w:cs="Arial"/>
          <w:sz w:val="20"/>
          <w:szCs w:val="20"/>
        </w:rPr>
        <w:t xml:space="preserve">Budget </w:t>
      </w:r>
      <w:r w:rsidR="00D45AA2" w:rsidRPr="002C2481">
        <w:rPr>
          <w:rFonts w:ascii="Arial" w:hAnsi="Arial" w:cs="Arial"/>
          <w:sz w:val="20"/>
          <w:szCs w:val="20"/>
        </w:rPr>
        <w:t xml:space="preserve">Profit and Loss </w:t>
      </w:r>
      <w:r w:rsidR="006914A0" w:rsidRPr="002C2481">
        <w:rPr>
          <w:rFonts w:ascii="Arial" w:hAnsi="Arial" w:cs="Arial"/>
          <w:sz w:val="20"/>
          <w:szCs w:val="20"/>
        </w:rPr>
        <w:t>c</w:t>
      </w:r>
      <w:r w:rsidR="00D45AA2" w:rsidRPr="002C2481">
        <w:rPr>
          <w:rFonts w:ascii="Arial" w:hAnsi="Arial" w:cs="Arial"/>
          <w:sz w:val="20"/>
          <w:szCs w:val="20"/>
        </w:rPr>
        <w:t xml:space="preserve">alculations </w:t>
      </w:r>
      <w:r w:rsidR="00EE1FC1" w:rsidRPr="002C2481">
        <w:rPr>
          <w:rFonts w:ascii="Arial" w:hAnsi="Arial" w:cs="Arial"/>
          <w:sz w:val="20"/>
          <w:szCs w:val="20"/>
        </w:rPr>
        <w:t>for</w:t>
      </w:r>
      <w:r w:rsidR="00D90A78" w:rsidRPr="002C2481">
        <w:rPr>
          <w:rFonts w:ascii="Arial" w:hAnsi="Arial" w:cs="Arial"/>
          <w:sz w:val="20"/>
          <w:szCs w:val="20"/>
        </w:rPr>
        <w:t xml:space="preserve"> Silver Stitch </w:t>
      </w:r>
      <w:r w:rsidR="00397311" w:rsidRPr="002C2481">
        <w:rPr>
          <w:rFonts w:ascii="Arial" w:hAnsi="Arial" w:cs="Arial"/>
          <w:sz w:val="20"/>
          <w:szCs w:val="20"/>
        </w:rPr>
        <w:t>Ltd</w:t>
      </w:r>
      <w:r w:rsidR="007E27D3" w:rsidRPr="002C2481">
        <w:rPr>
          <w:rFonts w:ascii="Arial" w:hAnsi="Arial" w:cs="Arial"/>
          <w:sz w:val="20"/>
          <w:szCs w:val="20"/>
        </w:rPr>
        <w:t>.</w:t>
      </w:r>
      <w:r w:rsidR="00DB1EBA" w:rsidRPr="002C2481">
        <w:rPr>
          <w:rFonts w:ascii="Arial" w:hAnsi="Arial" w:cs="Arial"/>
          <w:color w:val="222222"/>
          <w:sz w:val="20"/>
          <w:szCs w:val="20"/>
        </w:rPr>
        <w:t xml:space="preserve"> </w:t>
      </w:r>
    </w:p>
    <w:p w14:paraId="6F0931DA" w14:textId="77777777" w:rsidR="002C2481" w:rsidRDefault="002C2481" w:rsidP="00DB1EBA">
      <w:pPr>
        <w:pStyle w:val="NormalWeb"/>
        <w:shd w:val="clear" w:color="auto" w:fill="FFFFFF"/>
        <w:rPr>
          <w:rFonts w:ascii="Arial" w:hAnsi="Arial" w:cs="Arial"/>
          <w:color w:val="222222"/>
        </w:rPr>
      </w:pPr>
    </w:p>
    <w:p w14:paraId="44550299" w14:textId="77777777" w:rsidR="002C2481" w:rsidRDefault="002C2481" w:rsidP="00DB1EBA">
      <w:pPr>
        <w:pStyle w:val="NormalWeb"/>
        <w:shd w:val="clear" w:color="auto" w:fill="FFFFFF"/>
        <w:rPr>
          <w:rFonts w:ascii="Arial" w:hAnsi="Arial" w:cs="Arial"/>
          <w:color w:val="222222"/>
        </w:rPr>
      </w:pPr>
    </w:p>
    <w:p w14:paraId="719F1120" w14:textId="6AC94E9B" w:rsidR="006739FC" w:rsidRPr="00160649" w:rsidRDefault="006739FC" w:rsidP="00160649">
      <w:pPr>
        <w:pStyle w:val="NormalWeb"/>
        <w:shd w:val="clear" w:color="auto" w:fill="FFFFFF"/>
        <w:spacing w:line="360" w:lineRule="auto"/>
        <w:rPr>
          <w:rFonts w:ascii="Arial" w:hAnsi="Arial" w:cs="Arial"/>
          <w:color w:val="222222"/>
        </w:rPr>
      </w:pPr>
      <w:r w:rsidRPr="00160649">
        <w:rPr>
          <w:rFonts w:ascii="Arial" w:hAnsi="Arial" w:cs="Arial"/>
          <w:color w:val="222222"/>
        </w:rPr>
        <w:t>Figure 1 presents the stock budget calculations, which estimate the level of inventory required to support expected sales. The calculation begins with the opening stock balance, adds the monthly stock purchases and then deducts the cost of stock sold. This allows the closing stock balance for each month to be determined and carried forward into the following month. Dyson and Franklin (2020) explain that budgeting techniques such as stock planning help organisations estimate future resource requirements and ensure that inventory levels are aligned with expected demand.</w:t>
      </w:r>
    </w:p>
    <w:p w14:paraId="66E3A975" w14:textId="0C5AE547" w:rsidR="006739FC" w:rsidRPr="00160649" w:rsidRDefault="006739FC" w:rsidP="00160649">
      <w:pPr>
        <w:pStyle w:val="NormalWeb"/>
        <w:shd w:val="clear" w:color="auto" w:fill="FFFFFF"/>
        <w:spacing w:line="360" w:lineRule="auto"/>
        <w:rPr>
          <w:rFonts w:ascii="Arial" w:hAnsi="Arial" w:cs="Arial"/>
          <w:color w:val="222222"/>
        </w:rPr>
      </w:pPr>
      <w:r w:rsidRPr="00160649">
        <w:rPr>
          <w:rFonts w:ascii="Arial" w:hAnsi="Arial" w:cs="Arial"/>
          <w:color w:val="222222"/>
        </w:rPr>
        <w:t>Figure 2 shows the cash budget calculations. These calculations forecast the company’s expected cash inflows and outflows by combining receipts from sales with planned cash payments such as operating expenses, inventory purchases, loan repayments and other financial commitments. The difference between total receipts and total payments determines the projected monthly cash position and highlights whether the business is likely to experience cash pressure during the period. Brealey, Myers and Allen (2020) note that cash budgeting is an essential financial planning tool that enables organisations to forecast liquidity and ensure that sufficient funds are available to meet short-term obligations.</w:t>
      </w:r>
    </w:p>
    <w:p w14:paraId="5050C195" w14:textId="4FD04FD4" w:rsidR="00502674" w:rsidRPr="00160649" w:rsidRDefault="006739FC" w:rsidP="00160649">
      <w:pPr>
        <w:pStyle w:val="NormalWeb"/>
        <w:shd w:val="clear" w:color="auto" w:fill="FFFFFF"/>
        <w:spacing w:line="360" w:lineRule="auto"/>
        <w:rPr>
          <w:rFonts w:ascii="Arial" w:hAnsi="Arial" w:cs="Arial"/>
          <w:color w:val="222222"/>
        </w:rPr>
      </w:pPr>
      <w:r w:rsidRPr="00160649">
        <w:rPr>
          <w:rFonts w:ascii="Arial" w:hAnsi="Arial" w:cs="Arial"/>
          <w:color w:val="222222"/>
        </w:rPr>
        <w:t xml:space="preserve">Figure 3 presents the budgeted profit and loss calculations used to estimate the projected profitability of the business. Total sales are aggregated to calculate revenue, while the cost of goods sold is deducted to determine gross profit. </w:t>
      </w:r>
      <w:r w:rsidRPr="00160649">
        <w:rPr>
          <w:rFonts w:ascii="Arial" w:hAnsi="Arial" w:cs="Arial"/>
          <w:color w:val="222222"/>
        </w:rPr>
        <w:lastRenderedPageBreak/>
        <w:t xml:space="preserve">Operating expenses, credit card charges and interest are then subtracted to calculate the final projected profit. Together, these figures provide a clear picture of expected profitability, stock movement and liquidity. Weygandt, Kimmel and </w:t>
      </w:r>
      <w:proofErr w:type="spellStart"/>
      <w:r w:rsidRPr="00160649">
        <w:rPr>
          <w:rFonts w:ascii="Arial" w:hAnsi="Arial" w:cs="Arial"/>
          <w:color w:val="222222"/>
        </w:rPr>
        <w:t>Kieso</w:t>
      </w:r>
      <w:proofErr w:type="spellEnd"/>
      <w:r w:rsidRPr="00160649">
        <w:rPr>
          <w:rFonts w:ascii="Arial" w:hAnsi="Arial" w:cs="Arial"/>
          <w:color w:val="222222"/>
        </w:rPr>
        <w:t xml:space="preserve"> (2020) explain that budgeted income statements allow managers to evaluate expected financial performance by forecasting revenues, costs and operating expenses before the accounting period begins.</w:t>
      </w:r>
    </w:p>
    <w:p w14:paraId="66B8FA9C" w14:textId="2D74DA68" w:rsidR="00D64C3F" w:rsidRPr="00160649" w:rsidRDefault="00C865F5" w:rsidP="00160649">
      <w:pPr>
        <w:spacing w:line="360" w:lineRule="auto"/>
        <w:rPr>
          <w:rFonts w:ascii="Arial" w:hAnsi="Arial" w:cs="Arial"/>
        </w:rPr>
      </w:pPr>
      <w:r w:rsidRPr="00160649">
        <w:rPr>
          <w:rFonts w:ascii="Arial" w:hAnsi="Arial" w:cs="Arial"/>
        </w:rPr>
        <w:t xml:space="preserve">The stock budget estimates the inventory levels required to support expected sales across Silver Stitch </w:t>
      </w:r>
      <w:proofErr w:type="spellStart"/>
      <w:r w:rsidRPr="00160649">
        <w:rPr>
          <w:rFonts w:ascii="Arial" w:hAnsi="Arial" w:cs="Arial"/>
        </w:rPr>
        <w:t>Ltd’s</w:t>
      </w:r>
      <w:proofErr w:type="spellEnd"/>
      <w:r w:rsidRPr="00160649">
        <w:rPr>
          <w:rFonts w:ascii="Arial" w:hAnsi="Arial" w:cs="Arial"/>
        </w:rPr>
        <w:t xml:space="preserve"> twelve retail stores. Within management accounting systems, inventory planning plays a crucial role because stock represents a major component of working capital and directly affects both liquidity and operational performance. Drury and </w:t>
      </w:r>
      <w:proofErr w:type="spellStart"/>
      <w:r w:rsidRPr="00160649">
        <w:rPr>
          <w:rFonts w:ascii="Arial" w:hAnsi="Arial" w:cs="Arial"/>
        </w:rPr>
        <w:t>Tayles</w:t>
      </w:r>
      <w:proofErr w:type="spellEnd"/>
      <w:r w:rsidRPr="00160649">
        <w:rPr>
          <w:rFonts w:ascii="Arial" w:hAnsi="Arial" w:cs="Arial"/>
        </w:rPr>
        <w:t xml:space="preserve"> (2021) explain that stock budgets form part of the wider master budget, linking purchasing decisions with forecast sales and enabling managers to evaluate the financial implications of inventory policies.</w:t>
      </w:r>
    </w:p>
    <w:p w14:paraId="704F96F9" w14:textId="043BFD83" w:rsidR="00C865F5" w:rsidRPr="00160649" w:rsidRDefault="00C865F5" w:rsidP="00160649">
      <w:pPr>
        <w:spacing w:line="360" w:lineRule="auto"/>
        <w:rPr>
          <w:rFonts w:ascii="Arial" w:hAnsi="Arial" w:cs="Arial"/>
        </w:rPr>
      </w:pPr>
      <w:r w:rsidRPr="00160649">
        <w:rPr>
          <w:rFonts w:ascii="Arial" w:hAnsi="Arial" w:cs="Arial"/>
        </w:rPr>
        <w:t xml:space="preserve">The forecasts indicate that inventory levels increase steadily throughout the six-month planning period. While maintaining adequate stock is necessary to avoid lost sales opportunities, the continuous rise in inventory may indicate that purchasing decisions are not fully aligned with realistic sales expectations. </w:t>
      </w:r>
      <w:proofErr w:type="spellStart"/>
      <w:r w:rsidRPr="00160649">
        <w:rPr>
          <w:rFonts w:ascii="Arial" w:hAnsi="Arial" w:cs="Arial"/>
        </w:rPr>
        <w:t>Atrill</w:t>
      </w:r>
      <w:proofErr w:type="spellEnd"/>
      <w:r w:rsidRPr="00160649">
        <w:rPr>
          <w:rFonts w:ascii="Arial" w:hAnsi="Arial" w:cs="Arial"/>
        </w:rPr>
        <w:t xml:space="preserve"> and McLaney (2021) argue that excessive inventory holdings can reduce financial flexibility because significant financial resources become tied up in unsold goods.</w:t>
      </w:r>
    </w:p>
    <w:p w14:paraId="4B4C2063" w14:textId="762B1B81" w:rsidR="00C865F5" w:rsidRPr="00160649" w:rsidRDefault="00C865F5" w:rsidP="00160649">
      <w:pPr>
        <w:spacing w:line="360" w:lineRule="auto"/>
        <w:rPr>
          <w:rFonts w:ascii="Arial" w:hAnsi="Arial" w:cs="Arial"/>
        </w:rPr>
      </w:pPr>
      <w:r w:rsidRPr="00160649">
        <w:rPr>
          <w:rFonts w:ascii="Arial" w:hAnsi="Arial" w:cs="Arial"/>
        </w:rPr>
        <w:t xml:space="preserve">In the Silver Stitch case, the increase in stock levels may suggest that purchasing decisions were based primarily on optimistic sales forecasts rather than detailed demand analysis. Christopher (2016) highlights that inaccurate demand forecasting is one of the main causes of inventory imbalance within retail supply chains. If stock purchases exceed actual customer demand, companies may later be forced to reduce </w:t>
      </w:r>
      <w:r w:rsidR="007F4639" w:rsidRPr="00160649">
        <w:rPr>
          <w:rFonts w:ascii="Arial" w:hAnsi="Arial" w:cs="Arial"/>
        </w:rPr>
        <w:t>prices to</w:t>
      </w:r>
      <w:r w:rsidRPr="00160649">
        <w:rPr>
          <w:rFonts w:ascii="Arial" w:hAnsi="Arial" w:cs="Arial"/>
        </w:rPr>
        <w:t xml:space="preserve"> clear excess inventory.</w:t>
      </w:r>
    </w:p>
    <w:p w14:paraId="43377C65" w14:textId="39A1B2F2" w:rsidR="00C865F5" w:rsidRPr="00160649" w:rsidRDefault="00C865F5" w:rsidP="00160649">
      <w:pPr>
        <w:spacing w:line="360" w:lineRule="auto"/>
        <w:rPr>
          <w:rFonts w:ascii="Arial" w:hAnsi="Arial" w:cs="Arial"/>
        </w:rPr>
      </w:pPr>
      <w:r w:rsidRPr="00160649">
        <w:rPr>
          <w:rFonts w:ascii="Arial" w:hAnsi="Arial" w:cs="Arial"/>
        </w:rPr>
        <w:t>This issue is particularly significant in the clothing retail sector where product life cycles are relatively short, and fashion trends change quickly. Slack and Brandon-Jones (2019) emphasise that effective operations management requires close coordination between demand forecasting and supply decisions to prevent inventory accumulation.</w:t>
      </w:r>
    </w:p>
    <w:p w14:paraId="3B92D1C9" w14:textId="25FB8FFE" w:rsidR="00E10345" w:rsidRPr="00160649" w:rsidRDefault="00C865F5" w:rsidP="00160649">
      <w:pPr>
        <w:spacing w:line="360" w:lineRule="auto"/>
        <w:rPr>
          <w:rFonts w:ascii="Arial" w:hAnsi="Arial" w:cs="Arial"/>
        </w:rPr>
      </w:pPr>
      <w:r w:rsidRPr="00160649">
        <w:rPr>
          <w:rFonts w:ascii="Arial" w:hAnsi="Arial" w:cs="Arial"/>
        </w:rPr>
        <w:lastRenderedPageBreak/>
        <w:t>From a management accounting perspective, the increasing stock levels observed in the Silver Stitch forecasts therefore suggest a potential risk related to working capital efficiency. Horngren</w:t>
      </w:r>
      <w:r w:rsidR="00D64C3F" w:rsidRPr="00160649">
        <w:rPr>
          <w:rFonts w:ascii="Arial" w:hAnsi="Arial" w:cs="Arial"/>
        </w:rPr>
        <w:t xml:space="preserve"> et al. </w:t>
      </w:r>
      <w:r w:rsidRPr="00160649">
        <w:rPr>
          <w:rFonts w:ascii="Arial" w:hAnsi="Arial" w:cs="Arial"/>
        </w:rPr>
        <w:t xml:space="preserve">(2018) note that organisations must balance product availability with efficient inventory management </w:t>
      </w:r>
      <w:r w:rsidR="007F4639" w:rsidRPr="00160649">
        <w:rPr>
          <w:rFonts w:ascii="Arial" w:hAnsi="Arial" w:cs="Arial"/>
        </w:rPr>
        <w:t>to</w:t>
      </w:r>
      <w:r w:rsidRPr="00160649">
        <w:rPr>
          <w:rFonts w:ascii="Arial" w:hAnsi="Arial" w:cs="Arial"/>
        </w:rPr>
        <w:t xml:space="preserve"> avoid unnecess</w:t>
      </w:r>
      <w:r w:rsidR="00164F5F">
        <w:rPr>
          <w:rFonts w:ascii="Arial" w:hAnsi="Arial" w:cs="Arial"/>
        </w:rPr>
        <w:t>ary financial pressure.</w:t>
      </w:r>
      <w:r w:rsidRPr="00160649">
        <w:rPr>
          <w:rFonts w:ascii="Arial" w:hAnsi="Arial" w:cs="Arial"/>
        </w:rPr>
        <w:t xml:space="preserve"> If inventory continues to increase faster than sales, Silver Stitch Ltd may face growing working capital constraints and reduced financial flexibility.</w:t>
      </w:r>
    </w:p>
    <w:p w14:paraId="67646433" w14:textId="77777777" w:rsidR="00292D40" w:rsidRPr="00160649" w:rsidRDefault="00292D40" w:rsidP="00160649">
      <w:pPr>
        <w:spacing w:line="360" w:lineRule="auto"/>
        <w:rPr>
          <w:rFonts w:ascii="Arial" w:hAnsi="Arial" w:cs="Arial"/>
        </w:rPr>
      </w:pPr>
    </w:p>
    <w:p w14:paraId="59B47213" w14:textId="43AB0A9C" w:rsidR="00C865F5" w:rsidRDefault="00292D40" w:rsidP="009C0F0D">
      <w:pPr>
        <w:pStyle w:val="Heading2"/>
      </w:pPr>
      <w:bookmarkStart w:id="7" w:name="_Toc224743681"/>
      <w:bookmarkStart w:id="8" w:name="_Toc224808074"/>
      <w:r w:rsidRPr="00160649">
        <w:t xml:space="preserve">3.2 </w:t>
      </w:r>
      <w:r w:rsidR="00C865F5" w:rsidRPr="00160649">
        <w:t>Cash Budget Analysi</w:t>
      </w:r>
      <w:r w:rsidR="00B2498D" w:rsidRPr="00160649">
        <w:t>s</w:t>
      </w:r>
      <w:bookmarkEnd w:id="7"/>
      <w:bookmarkEnd w:id="8"/>
    </w:p>
    <w:p w14:paraId="5A054837" w14:textId="77777777" w:rsidR="009C0F0D" w:rsidRPr="009C0F0D" w:rsidRDefault="009C0F0D" w:rsidP="009C0F0D"/>
    <w:p w14:paraId="7A346A47" w14:textId="7B96C182" w:rsidR="00C865F5" w:rsidRPr="00160649" w:rsidRDefault="00C865F5" w:rsidP="00160649">
      <w:pPr>
        <w:spacing w:line="360" w:lineRule="auto"/>
        <w:rPr>
          <w:rFonts w:ascii="Arial" w:hAnsi="Arial" w:cs="Arial"/>
        </w:rPr>
      </w:pPr>
      <w:r w:rsidRPr="00160649">
        <w:rPr>
          <w:rFonts w:ascii="Arial" w:hAnsi="Arial" w:cs="Arial"/>
        </w:rPr>
        <w:t>The cash budget provides a forecast of expected cash inflows and outflows and allows managers to evaluate whether the organisation will maintain sufficient liquidity to meet its financial obligations. Cash budgeting is considered a fundamental management accounting tool because profitable organisations may still experience financial difficulties if cash flows are poorly managed (Seal et al., 2019).</w:t>
      </w:r>
    </w:p>
    <w:p w14:paraId="2E8D0E98" w14:textId="5D6D1C51" w:rsidR="00C865F5" w:rsidRPr="00C865F5" w:rsidRDefault="00C865F5" w:rsidP="00D64C3F">
      <w:pPr>
        <w:spacing w:line="360" w:lineRule="auto"/>
        <w:rPr>
          <w:rFonts w:ascii="Arial" w:hAnsi="Arial" w:cs="Arial"/>
        </w:rPr>
      </w:pPr>
      <w:r w:rsidRPr="00C865F5">
        <w:rPr>
          <w:rFonts w:ascii="Arial" w:hAnsi="Arial" w:cs="Arial"/>
        </w:rPr>
        <w:t>The forecasts indicate that Silver Stitch Ltd is expected to maintain positive cash balances throughout the planning period. However, a more detailed examination of the cash flows reveals several factors that could place pressure on liquidity if operational performance does not develop as expected.</w:t>
      </w:r>
    </w:p>
    <w:p w14:paraId="61C33A37" w14:textId="1EA98C52" w:rsidR="00C865F5" w:rsidRPr="00C865F5" w:rsidRDefault="00C865F5" w:rsidP="00D64C3F">
      <w:pPr>
        <w:spacing w:line="360" w:lineRule="auto"/>
        <w:rPr>
          <w:rFonts w:ascii="Arial" w:hAnsi="Arial" w:cs="Arial"/>
        </w:rPr>
      </w:pPr>
      <w:r w:rsidRPr="00C865F5">
        <w:rPr>
          <w:rFonts w:ascii="Arial" w:hAnsi="Arial" w:cs="Arial"/>
        </w:rPr>
        <w:t xml:space="preserve">One of the largest cash outflows relates to inventory purchases required to support the company’s retail operations. As discussed in the stock budget analysis, inventory levels increase substantially during the period. </w:t>
      </w:r>
      <w:proofErr w:type="spellStart"/>
      <w:r w:rsidRPr="00C865F5">
        <w:rPr>
          <w:rFonts w:ascii="Arial" w:hAnsi="Arial" w:cs="Arial"/>
        </w:rPr>
        <w:t>Atrill</w:t>
      </w:r>
      <w:proofErr w:type="spellEnd"/>
      <w:r w:rsidRPr="00C865F5">
        <w:rPr>
          <w:rFonts w:ascii="Arial" w:hAnsi="Arial" w:cs="Arial"/>
        </w:rPr>
        <w:t xml:space="preserve"> and McLaney (2021) explain that excessive inventory investment can reduce organisational liquidity because funds committed to stock are not immediately available to meet other financial obligations.</w:t>
      </w:r>
    </w:p>
    <w:p w14:paraId="22DB1C71" w14:textId="77777777" w:rsidR="008F6D89" w:rsidRDefault="00C865F5" w:rsidP="00D64C3F">
      <w:pPr>
        <w:spacing w:line="360" w:lineRule="auto"/>
        <w:rPr>
          <w:rFonts w:ascii="Arial" w:hAnsi="Arial" w:cs="Arial"/>
        </w:rPr>
      </w:pPr>
      <w:r w:rsidRPr="00C865F5">
        <w:rPr>
          <w:rFonts w:ascii="Arial" w:hAnsi="Arial" w:cs="Arial"/>
        </w:rPr>
        <w:t>The planned refurbishment of retail stores represents another important cash outflow. Although store refurbishment may enhance customer experience and support future revenue growth, it requires significant financial investment. Arnold (2013) argues that capital expenditure decisions must be carefully evaluated to ensure that they do not compromise an organisation’s short-term financial stability.</w:t>
      </w:r>
    </w:p>
    <w:p w14:paraId="0BB9454C" w14:textId="0238299C" w:rsidR="00C865F5" w:rsidRPr="00C865F5" w:rsidRDefault="00C865F5" w:rsidP="00D64C3F">
      <w:pPr>
        <w:spacing w:line="360" w:lineRule="auto"/>
        <w:rPr>
          <w:rFonts w:ascii="Arial" w:hAnsi="Arial" w:cs="Arial"/>
        </w:rPr>
      </w:pPr>
      <w:r w:rsidRPr="00C865F5">
        <w:rPr>
          <w:rFonts w:ascii="Arial" w:hAnsi="Arial" w:cs="Arial"/>
        </w:rPr>
        <w:t xml:space="preserve">Loan repayments and interest payments further reduce the company’s financial flexibility. These financial commitments represent fixed obligations that must be paid regardless of the organisation’s short-term performance. Brigham and Ehrhardt </w:t>
      </w:r>
      <w:r w:rsidRPr="00C865F5">
        <w:rPr>
          <w:rFonts w:ascii="Arial" w:hAnsi="Arial" w:cs="Arial"/>
        </w:rPr>
        <w:lastRenderedPageBreak/>
        <w:t>(2017) highlight that companies must maintain sufficient cash reserves to absorb financial shocks and ensure that essential payments can be met even when revenues fluctuate.</w:t>
      </w:r>
    </w:p>
    <w:p w14:paraId="7C5534AA" w14:textId="0F377148" w:rsidR="00C865F5" w:rsidRPr="00C865F5" w:rsidRDefault="00C865F5" w:rsidP="00D64C3F">
      <w:pPr>
        <w:spacing w:line="360" w:lineRule="auto"/>
        <w:rPr>
          <w:rFonts w:ascii="Arial" w:hAnsi="Arial" w:cs="Arial"/>
        </w:rPr>
      </w:pPr>
      <w:r w:rsidRPr="00C865F5">
        <w:rPr>
          <w:rFonts w:ascii="Arial" w:hAnsi="Arial" w:cs="Arial"/>
        </w:rPr>
        <w:t>The Silver Stitch case therefore illustrates an important management accounting insight: profitability does not necessarily guarantee liquidity. Even when a company generates accounting profits, large investments in inventory and capital expenditure may create short-term cash constraints.</w:t>
      </w:r>
    </w:p>
    <w:p w14:paraId="403994CC" w14:textId="0794CCA6" w:rsidR="009004F7" w:rsidRDefault="00C865F5" w:rsidP="00D64C3F">
      <w:pPr>
        <w:spacing w:line="360" w:lineRule="auto"/>
        <w:rPr>
          <w:rFonts w:ascii="Arial" w:hAnsi="Arial" w:cs="Arial"/>
        </w:rPr>
      </w:pPr>
      <w:r w:rsidRPr="00C865F5">
        <w:rPr>
          <w:rFonts w:ascii="Arial" w:hAnsi="Arial" w:cs="Arial"/>
        </w:rPr>
        <w:t>Consequently, the cash budget analysis suggests that management should carefully monitor the relationship between operational decisions and cash flow availability. If inventory purchases continue to increase while investment spending remains high, the organisation may experience liquidity pressure despite reporting positive profits.</w:t>
      </w:r>
    </w:p>
    <w:p w14:paraId="4424D38C" w14:textId="77777777" w:rsidR="009004F7" w:rsidRDefault="009004F7" w:rsidP="00D64C3F">
      <w:pPr>
        <w:spacing w:line="360" w:lineRule="auto"/>
        <w:rPr>
          <w:rFonts w:ascii="Arial" w:hAnsi="Arial" w:cs="Arial"/>
        </w:rPr>
      </w:pPr>
    </w:p>
    <w:p w14:paraId="7F222F92" w14:textId="77777777" w:rsidR="00117718" w:rsidRDefault="00117718" w:rsidP="00D64C3F">
      <w:pPr>
        <w:spacing w:line="360" w:lineRule="auto"/>
        <w:rPr>
          <w:rFonts w:ascii="Arial" w:hAnsi="Arial" w:cs="Arial"/>
        </w:rPr>
      </w:pPr>
    </w:p>
    <w:p w14:paraId="36DF7798" w14:textId="5B84579E" w:rsidR="00C865F5" w:rsidRDefault="00292D40" w:rsidP="009C0F0D">
      <w:pPr>
        <w:pStyle w:val="Heading2"/>
      </w:pPr>
      <w:bookmarkStart w:id="9" w:name="_Toc224743682"/>
      <w:bookmarkStart w:id="10" w:name="_Toc224808075"/>
      <w:r>
        <w:t>3</w:t>
      </w:r>
      <w:r w:rsidRPr="00B723A7">
        <w:t>.</w:t>
      </w:r>
      <w:r w:rsidR="009004F7">
        <w:t>3</w:t>
      </w:r>
      <w:r w:rsidRPr="00B723A7">
        <w:t xml:space="preserve"> </w:t>
      </w:r>
      <w:r w:rsidR="00C865F5" w:rsidRPr="00B723A7">
        <w:t>Budgeted Profit and Loss Analysis</w:t>
      </w:r>
      <w:bookmarkEnd w:id="9"/>
      <w:bookmarkEnd w:id="10"/>
    </w:p>
    <w:p w14:paraId="381DF423" w14:textId="77777777" w:rsidR="009C0F0D" w:rsidRPr="009C0F0D" w:rsidRDefault="009C0F0D" w:rsidP="009C0F0D"/>
    <w:p w14:paraId="19082AB4" w14:textId="1A92FEAF" w:rsidR="00C865F5" w:rsidRPr="00C865F5" w:rsidRDefault="00C865F5" w:rsidP="00D64C3F">
      <w:pPr>
        <w:spacing w:line="360" w:lineRule="auto"/>
        <w:rPr>
          <w:rFonts w:ascii="Arial" w:hAnsi="Arial" w:cs="Arial"/>
        </w:rPr>
      </w:pPr>
      <w:r w:rsidRPr="00C865F5">
        <w:rPr>
          <w:rFonts w:ascii="Arial" w:hAnsi="Arial" w:cs="Arial"/>
        </w:rPr>
        <w:t>The budgeted profit and loss statement summarises the expected financial performance of Silver Stitch Ltd during the six-month planning period. By forecasting revenue, cost of sales and operating expenses, the statement allows managers to evaluate whether the organisation’s activities generate sufficient profitability to sustain its operations. Dyson and Franklin (2020) note that income statements provide valuable information about the relationship between sales performance, cost structures and profitability</w:t>
      </w:r>
      <w:r w:rsidR="001472D5">
        <w:rPr>
          <w:rFonts w:ascii="Arial" w:hAnsi="Arial" w:cs="Arial"/>
        </w:rPr>
        <w:t>.</w:t>
      </w:r>
    </w:p>
    <w:p w14:paraId="62145A9A" w14:textId="501CF282" w:rsidR="00C865F5" w:rsidRPr="00C865F5" w:rsidRDefault="00C865F5" w:rsidP="00D64C3F">
      <w:pPr>
        <w:spacing w:line="360" w:lineRule="auto"/>
        <w:rPr>
          <w:rFonts w:ascii="Arial" w:hAnsi="Arial" w:cs="Arial"/>
        </w:rPr>
      </w:pPr>
      <w:r w:rsidRPr="00C865F5">
        <w:rPr>
          <w:rFonts w:ascii="Arial" w:hAnsi="Arial" w:cs="Arial"/>
        </w:rPr>
        <w:t>The forecasts indicate that Silver Stitch Ltd expects total sales revenue of £1,470,000 during the period. After deducting the cost of goods sold, estimated at £882,000, the company is expected to achieve a gross profit of £588,000, representing a gross profit margin of approximately 40%. This margin suggests that the organisation’s pricing strategy allows it to generate a substantial contribution from each sale.</w:t>
      </w:r>
    </w:p>
    <w:p w14:paraId="7C6241B6" w14:textId="0A00F949" w:rsidR="00C865F5" w:rsidRPr="00C865F5" w:rsidRDefault="00C865F5" w:rsidP="00D64C3F">
      <w:pPr>
        <w:spacing w:line="360" w:lineRule="auto"/>
        <w:rPr>
          <w:rFonts w:ascii="Arial" w:hAnsi="Arial" w:cs="Arial"/>
        </w:rPr>
      </w:pPr>
      <w:r w:rsidRPr="00C865F5">
        <w:rPr>
          <w:rFonts w:ascii="Arial" w:hAnsi="Arial" w:cs="Arial"/>
        </w:rPr>
        <w:t xml:space="preserve">However, operating expenses such as administrative costs, selling expenses and credit card processing fees significantly reduce overall profitability. </w:t>
      </w:r>
      <w:r w:rsidR="009F286E">
        <w:rPr>
          <w:rFonts w:ascii="Arial" w:hAnsi="Arial" w:cs="Arial"/>
        </w:rPr>
        <w:t xml:space="preserve"> </w:t>
      </w:r>
      <w:r w:rsidR="00606B2D">
        <w:rPr>
          <w:rFonts w:ascii="Arial" w:hAnsi="Arial" w:cs="Arial"/>
        </w:rPr>
        <w:t xml:space="preserve">In </w:t>
      </w:r>
      <w:r w:rsidR="00455DD4">
        <w:rPr>
          <w:rFonts w:ascii="Arial" w:hAnsi="Arial" w:cs="Arial"/>
        </w:rPr>
        <w:t>addition,</w:t>
      </w:r>
      <w:r w:rsidR="00606B2D">
        <w:rPr>
          <w:rFonts w:ascii="Arial" w:hAnsi="Arial" w:cs="Arial"/>
        </w:rPr>
        <w:t xml:space="preserve"> </w:t>
      </w:r>
      <w:r w:rsidR="00BB5935">
        <w:rPr>
          <w:rFonts w:ascii="Arial" w:hAnsi="Arial" w:cs="Arial"/>
        </w:rPr>
        <w:lastRenderedPageBreak/>
        <w:t>depreciation</w:t>
      </w:r>
      <w:r w:rsidR="00525E39">
        <w:rPr>
          <w:rFonts w:ascii="Arial" w:hAnsi="Arial" w:cs="Arial"/>
        </w:rPr>
        <w:t xml:space="preserve"> </w:t>
      </w:r>
      <w:r w:rsidR="00606B2D">
        <w:rPr>
          <w:rFonts w:ascii="Arial" w:hAnsi="Arial" w:cs="Arial"/>
        </w:rPr>
        <w:t xml:space="preserve">may also affect </w:t>
      </w:r>
      <w:r w:rsidR="00455DD4">
        <w:rPr>
          <w:rFonts w:ascii="Arial" w:hAnsi="Arial" w:cs="Arial"/>
        </w:rPr>
        <w:t xml:space="preserve">reported profitability. </w:t>
      </w:r>
      <w:r w:rsidR="00573746">
        <w:rPr>
          <w:rFonts w:ascii="Arial" w:hAnsi="Arial" w:cs="Arial"/>
        </w:rPr>
        <w:t xml:space="preserve">Depreciation </w:t>
      </w:r>
      <w:r w:rsidR="008222FC">
        <w:rPr>
          <w:rFonts w:ascii="Arial" w:hAnsi="Arial" w:cs="Arial"/>
        </w:rPr>
        <w:t>allocat</w:t>
      </w:r>
      <w:r w:rsidR="00CE668E">
        <w:rPr>
          <w:rFonts w:ascii="Arial" w:hAnsi="Arial" w:cs="Arial"/>
        </w:rPr>
        <w:t>es</w:t>
      </w:r>
      <w:r w:rsidR="008222FC">
        <w:rPr>
          <w:rFonts w:ascii="Arial" w:hAnsi="Arial" w:cs="Arial"/>
        </w:rPr>
        <w:t xml:space="preserve"> the cost of fixed assets</w:t>
      </w:r>
      <w:r w:rsidR="00C87BD8">
        <w:rPr>
          <w:rFonts w:ascii="Arial" w:hAnsi="Arial" w:cs="Arial"/>
        </w:rPr>
        <w:t>, such as store equipment or fittings, over their useful life</w:t>
      </w:r>
      <w:r w:rsidR="00F510E2">
        <w:rPr>
          <w:rFonts w:ascii="Arial" w:hAnsi="Arial" w:cs="Arial"/>
        </w:rPr>
        <w:t>. Although it reduces accounting profit</w:t>
      </w:r>
      <w:r w:rsidR="00754AA5">
        <w:rPr>
          <w:rFonts w:ascii="Arial" w:hAnsi="Arial" w:cs="Arial"/>
        </w:rPr>
        <w:t xml:space="preserve">, it is a non-cash expense and therefore does not directly </w:t>
      </w:r>
      <w:r w:rsidR="00140146">
        <w:rPr>
          <w:rFonts w:ascii="Arial" w:hAnsi="Arial" w:cs="Arial"/>
        </w:rPr>
        <w:t xml:space="preserve">affect the cash balance presented in the cash budget. </w:t>
      </w:r>
      <w:r w:rsidR="00573746">
        <w:rPr>
          <w:rFonts w:ascii="Arial" w:hAnsi="Arial" w:cs="Arial"/>
        </w:rPr>
        <w:t xml:space="preserve"> </w:t>
      </w:r>
      <w:r w:rsidRPr="00C865F5">
        <w:rPr>
          <w:rFonts w:ascii="Arial" w:hAnsi="Arial" w:cs="Arial"/>
        </w:rPr>
        <w:t>After these costs are deducted, operating profit is forecast to reach approximately £374,140. Once interest expenses are accounted for, the final profit for the period is expected to be £368,140.</w:t>
      </w:r>
    </w:p>
    <w:p w14:paraId="2593EEB6" w14:textId="2DF6B249" w:rsidR="00C865F5" w:rsidRDefault="00C865F5" w:rsidP="00D64C3F">
      <w:pPr>
        <w:spacing w:line="360" w:lineRule="auto"/>
        <w:rPr>
          <w:rFonts w:ascii="Arial" w:hAnsi="Arial" w:cs="Arial"/>
        </w:rPr>
      </w:pPr>
      <w:r w:rsidRPr="00C865F5">
        <w:rPr>
          <w:rFonts w:ascii="Arial" w:hAnsi="Arial" w:cs="Arial"/>
        </w:rPr>
        <w:t xml:space="preserve">Although these figures indicate that the company is profitable, profitability alone does not provide a complete picture of financial performance. Walsh (2008) emphasises that financial ratios and profitability measures must be analysed alongside working capital indicators </w:t>
      </w:r>
      <w:r w:rsidR="007F4639" w:rsidRPr="00C865F5">
        <w:rPr>
          <w:rFonts w:ascii="Arial" w:hAnsi="Arial" w:cs="Arial"/>
        </w:rPr>
        <w:t>to</w:t>
      </w:r>
      <w:r w:rsidRPr="00C865F5">
        <w:rPr>
          <w:rFonts w:ascii="Arial" w:hAnsi="Arial" w:cs="Arial"/>
        </w:rPr>
        <w:t xml:space="preserve"> understand the organisation’s financial health.</w:t>
      </w:r>
    </w:p>
    <w:p w14:paraId="39547EEE" w14:textId="7CD7D370" w:rsidR="00614D89" w:rsidRPr="00C865F5" w:rsidRDefault="002B457C" w:rsidP="00D64C3F">
      <w:pPr>
        <w:spacing w:line="360" w:lineRule="auto"/>
        <w:rPr>
          <w:rFonts w:ascii="Arial" w:hAnsi="Arial" w:cs="Arial"/>
        </w:rPr>
      </w:pPr>
      <w:r>
        <w:rPr>
          <w:rFonts w:ascii="Arial" w:hAnsi="Arial" w:cs="Arial"/>
        </w:rPr>
        <w:t xml:space="preserve">This highlights a key principle of management accounting: profitability </w:t>
      </w:r>
      <w:r w:rsidR="00105CF8">
        <w:rPr>
          <w:rFonts w:ascii="Arial" w:hAnsi="Arial" w:cs="Arial"/>
        </w:rPr>
        <w:t xml:space="preserve">does </w:t>
      </w:r>
      <w:r w:rsidR="003D03D3">
        <w:rPr>
          <w:rFonts w:ascii="Arial" w:hAnsi="Arial" w:cs="Arial"/>
        </w:rPr>
        <w:t>not guarantee</w:t>
      </w:r>
      <w:r w:rsidR="00105CF8">
        <w:rPr>
          <w:rFonts w:ascii="Arial" w:hAnsi="Arial" w:cs="Arial"/>
        </w:rPr>
        <w:t xml:space="preserve"> liquidity, as cash flow timing</w:t>
      </w:r>
      <w:r w:rsidR="006E31FD">
        <w:rPr>
          <w:rFonts w:ascii="Arial" w:hAnsi="Arial" w:cs="Arial"/>
        </w:rPr>
        <w:t>, inventory investment and capital expenditure decisions can create short</w:t>
      </w:r>
      <w:r w:rsidR="00EF348A">
        <w:rPr>
          <w:rFonts w:ascii="Arial" w:hAnsi="Arial" w:cs="Arial"/>
        </w:rPr>
        <w:t xml:space="preserve">-term financial pressure even when </w:t>
      </w:r>
      <w:r w:rsidR="009F7205">
        <w:rPr>
          <w:rFonts w:ascii="Arial" w:hAnsi="Arial" w:cs="Arial"/>
        </w:rPr>
        <w:t>profits appear strong</w:t>
      </w:r>
      <w:r w:rsidR="00826FF2">
        <w:rPr>
          <w:rFonts w:ascii="Arial" w:hAnsi="Arial" w:cs="Arial"/>
        </w:rPr>
        <w:t>.</w:t>
      </w:r>
    </w:p>
    <w:p w14:paraId="258A7AF7" w14:textId="752AC967" w:rsidR="00D64C3F" w:rsidRDefault="00C865F5" w:rsidP="00E10345">
      <w:pPr>
        <w:spacing w:line="360" w:lineRule="auto"/>
        <w:rPr>
          <w:rFonts w:ascii="Arial" w:hAnsi="Arial" w:cs="Arial"/>
        </w:rPr>
      </w:pPr>
      <w:r w:rsidRPr="00C865F5">
        <w:rPr>
          <w:rFonts w:ascii="Arial" w:hAnsi="Arial" w:cs="Arial"/>
        </w:rPr>
        <w:t>In the case of Silver Stitch Ltd, the combination of increasing inventory levels and significant operational expenditures suggests that large financial resources are required to sustain the company’s activities. This demonstrates that accounting profit does not necessarily translate into strong liquidity, highlighting the importance of analysing profitability together with cash flow and inventory management.</w:t>
      </w:r>
    </w:p>
    <w:p w14:paraId="72CF34CF" w14:textId="77777777" w:rsidR="008271D3" w:rsidRDefault="008271D3" w:rsidP="00E10345">
      <w:pPr>
        <w:spacing w:line="360" w:lineRule="auto"/>
        <w:rPr>
          <w:rFonts w:ascii="Arial" w:hAnsi="Arial" w:cs="Arial"/>
        </w:rPr>
      </w:pPr>
    </w:p>
    <w:p w14:paraId="2C7E1126" w14:textId="77777777" w:rsidR="00F004DA" w:rsidRDefault="00F004DA" w:rsidP="00F004DA">
      <w:pPr>
        <w:pStyle w:val="Heading1"/>
      </w:pPr>
    </w:p>
    <w:p w14:paraId="5D29FBDE" w14:textId="77777777" w:rsidR="00F004DA" w:rsidRDefault="00F004DA" w:rsidP="00F004DA">
      <w:pPr>
        <w:pStyle w:val="Heading1"/>
      </w:pPr>
    </w:p>
    <w:p w14:paraId="40BB567E" w14:textId="77777777" w:rsidR="00F004DA" w:rsidRDefault="00F004DA" w:rsidP="00F004DA">
      <w:pPr>
        <w:pStyle w:val="Heading1"/>
      </w:pPr>
    </w:p>
    <w:p w14:paraId="0A71AB60" w14:textId="77777777" w:rsidR="00F004DA" w:rsidRDefault="00F004DA" w:rsidP="00F004DA">
      <w:pPr>
        <w:pStyle w:val="Heading1"/>
      </w:pPr>
    </w:p>
    <w:p w14:paraId="01EC2909" w14:textId="77777777" w:rsidR="00F004DA" w:rsidRDefault="00F004DA" w:rsidP="00F004DA"/>
    <w:p w14:paraId="785E2253" w14:textId="77777777" w:rsidR="00F004DA" w:rsidRPr="00F004DA" w:rsidRDefault="00F004DA" w:rsidP="00F004DA"/>
    <w:p w14:paraId="60E9A07E" w14:textId="3F5089E5" w:rsidR="005B7A92" w:rsidRDefault="00F004DA" w:rsidP="00F004DA">
      <w:pPr>
        <w:pStyle w:val="Heading1"/>
      </w:pPr>
      <w:bookmarkStart w:id="11" w:name="_Toc224808076"/>
      <w:r>
        <w:lastRenderedPageBreak/>
        <w:t>Section B</w:t>
      </w:r>
      <w:r w:rsidR="008915E6">
        <w:t xml:space="preserve"> – Analysis </w:t>
      </w:r>
      <w:r w:rsidR="007B09BE">
        <w:t>&amp;</w:t>
      </w:r>
      <w:r w:rsidR="008915E6">
        <w:t xml:space="preserve"> Management Response</w:t>
      </w:r>
      <w:bookmarkEnd w:id="11"/>
      <w:r w:rsidR="008915E6">
        <w:t xml:space="preserve"> </w:t>
      </w:r>
    </w:p>
    <w:p w14:paraId="19BE4E04" w14:textId="77777777" w:rsidR="00F004DA" w:rsidRPr="00F004DA" w:rsidRDefault="00F004DA" w:rsidP="00F004DA"/>
    <w:p w14:paraId="26033435" w14:textId="444E3694" w:rsidR="00C865F5" w:rsidRPr="004C0A7D" w:rsidRDefault="001B532A" w:rsidP="00E50BDE">
      <w:pPr>
        <w:rPr>
          <w:rStyle w:val="Heading2Char"/>
        </w:rPr>
      </w:pPr>
      <w:bookmarkStart w:id="12" w:name="_Toc224808077"/>
      <w:r w:rsidRPr="00BE7AFD">
        <w:rPr>
          <w:rStyle w:val="Heading2Char"/>
        </w:rPr>
        <w:t>4</w:t>
      </w:r>
      <w:r w:rsidR="003D15D6" w:rsidRPr="00BE7AFD">
        <w:rPr>
          <w:rStyle w:val="Heading2Char"/>
        </w:rPr>
        <w:t xml:space="preserve">. </w:t>
      </w:r>
      <w:r w:rsidR="00C865F5" w:rsidRPr="00BE7AFD">
        <w:rPr>
          <w:rStyle w:val="Heading2Char"/>
        </w:rPr>
        <w:t>Financial</w:t>
      </w:r>
      <w:r w:rsidR="00C865F5" w:rsidRPr="004C0A7D">
        <w:rPr>
          <w:rStyle w:val="Heading2Char"/>
        </w:rPr>
        <w:t xml:space="preserve"> Problems and Management Actions</w:t>
      </w:r>
      <w:bookmarkEnd w:id="12"/>
    </w:p>
    <w:p w14:paraId="09E56E04" w14:textId="77777777" w:rsidR="00A91E4B" w:rsidRPr="00E50BDE" w:rsidRDefault="00A91E4B" w:rsidP="00E50BDE">
      <w:pPr>
        <w:rPr>
          <w:rFonts w:ascii="Arial" w:hAnsi="Arial" w:cs="Arial"/>
        </w:rPr>
      </w:pPr>
    </w:p>
    <w:p w14:paraId="72AA5F3F" w14:textId="77777777" w:rsidR="00773025" w:rsidRPr="00117718" w:rsidRDefault="00773025" w:rsidP="00117718">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117718">
        <w:rPr>
          <w:rFonts w:ascii="Arial" w:eastAsia="Times New Roman" w:hAnsi="Arial" w:cs="Arial"/>
          <w:color w:val="222222"/>
          <w:kern w:val="0"/>
          <w:lang w:eastAsia="en-GB"/>
          <w14:ligatures w14:val="none"/>
        </w:rPr>
        <w:t>The financial forecasts for Silver Stitch Ltd suggest that profitability is not the main concern during the six-month planning period. Although the budgeted profit and loss statement indicates a projected profit of approximately £368,140, analysis of the stock and cash budgets highlights several operational and financial risks. These risks relate primarily to inventory accumulation, potential liquidity pressure, the timing of capital expenditure and the presence of fixed financial commitments. Budgeting systems are designed not only to forecast performance but also to identify such risks early so that managers can respond proactively.</w:t>
      </w:r>
    </w:p>
    <w:p w14:paraId="0D14D9F1" w14:textId="77777777" w:rsidR="00773025" w:rsidRPr="00117718" w:rsidRDefault="00773025" w:rsidP="00117718">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p>
    <w:p w14:paraId="5948BD75" w14:textId="63F0440B" w:rsidR="00017EC2" w:rsidRPr="002B723E" w:rsidRDefault="00773025" w:rsidP="002B723E">
      <w:pPr>
        <w:spacing w:line="360" w:lineRule="auto"/>
        <w:rPr>
          <w:rFonts w:ascii="Arial" w:hAnsi="Arial" w:cs="Arial"/>
          <w:lang w:eastAsia="en-GB"/>
        </w:rPr>
      </w:pPr>
      <w:r w:rsidRPr="00E50BDE">
        <w:rPr>
          <w:rFonts w:ascii="Arial" w:hAnsi="Arial" w:cs="Arial"/>
          <w:b/>
          <w:bCs/>
          <w:lang w:eastAsia="en-GB"/>
        </w:rPr>
        <w:t>I</w:t>
      </w:r>
      <w:r w:rsidRPr="00E50BDE">
        <w:rPr>
          <w:rFonts w:ascii="Arial" w:hAnsi="Arial" w:cs="Arial"/>
          <w:lang w:eastAsia="en-GB"/>
        </w:rPr>
        <w:t>nventory accumulation and working capital pressure</w:t>
      </w:r>
    </w:p>
    <w:p w14:paraId="705D9AD7" w14:textId="252B65D5" w:rsidR="00773025" w:rsidRPr="00773025" w:rsidRDefault="00773025" w:rsidP="00A615B7">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73025">
        <w:rPr>
          <w:rFonts w:ascii="Arial" w:eastAsia="Times New Roman" w:hAnsi="Arial" w:cs="Arial"/>
          <w:color w:val="222222"/>
          <w:kern w:val="0"/>
          <w:lang w:eastAsia="en-GB"/>
          <w14:ligatures w14:val="none"/>
        </w:rPr>
        <w:t xml:space="preserve">One of the most visible issues in the forecasts is the steady increase in inventory levels throughout the period. From a management accounting perspective, excessive inventory weakens working capital efficiency because financial resources become tied up in unsold goods. Drury and </w:t>
      </w:r>
      <w:proofErr w:type="spellStart"/>
      <w:r w:rsidRPr="00773025">
        <w:rPr>
          <w:rFonts w:ascii="Arial" w:eastAsia="Times New Roman" w:hAnsi="Arial" w:cs="Arial"/>
          <w:color w:val="222222"/>
          <w:kern w:val="0"/>
          <w:lang w:eastAsia="en-GB"/>
          <w14:ligatures w14:val="none"/>
        </w:rPr>
        <w:t>Tayles</w:t>
      </w:r>
      <w:proofErr w:type="spellEnd"/>
      <w:r w:rsidRPr="00773025">
        <w:rPr>
          <w:rFonts w:ascii="Arial" w:eastAsia="Times New Roman" w:hAnsi="Arial" w:cs="Arial"/>
          <w:color w:val="222222"/>
          <w:kern w:val="0"/>
          <w:lang w:eastAsia="en-GB"/>
          <w14:ligatures w14:val="none"/>
        </w:rPr>
        <w:t xml:space="preserve"> (2021) emphasise that inventory management plays a central role in working capital control because stock represents a significant investment that does not generate revenue until sold.</w:t>
      </w:r>
    </w:p>
    <w:p w14:paraId="693FBEE1" w14:textId="24F850F5" w:rsidR="00773025" w:rsidRPr="00773025" w:rsidRDefault="00773025" w:rsidP="00A615B7">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73025">
        <w:rPr>
          <w:rFonts w:ascii="Arial" w:eastAsia="Times New Roman" w:hAnsi="Arial" w:cs="Arial"/>
          <w:color w:val="222222"/>
          <w:kern w:val="0"/>
          <w:lang w:eastAsia="en-GB"/>
          <w14:ligatures w14:val="none"/>
        </w:rPr>
        <w:t xml:space="preserve">In the Silver Stitch case, the continuous rise in inventory suggests purchasing decisions may exceed realistic demand expectations. This issue is particularly significant in fashion retail markets where product life cycles are </w:t>
      </w:r>
      <w:r w:rsidR="00922D96" w:rsidRPr="00A615B7">
        <w:rPr>
          <w:rFonts w:ascii="Arial" w:eastAsia="Times New Roman" w:hAnsi="Arial" w:cs="Arial"/>
          <w:color w:val="222222"/>
          <w:kern w:val="0"/>
          <w:lang w:eastAsia="en-GB"/>
          <w14:ligatures w14:val="none"/>
        </w:rPr>
        <w:t>short,</w:t>
      </w:r>
      <w:r w:rsidRPr="00773025">
        <w:rPr>
          <w:rFonts w:ascii="Arial" w:eastAsia="Times New Roman" w:hAnsi="Arial" w:cs="Arial"/>
          <w:color w:val="222222"/>
          <w:kern w:val="0"/>
          <w:lang w:eastAsia="en-GB"/>
          <w14:ligatures w14:val="none"/>
        </w:rPr>
        <w:t xml:space="preserve"> and consumer preferences change rapidly. Christopher (2016) highlights that inaccurate demand forecasting frequently leads to inventory imbalances in retail supply chains, often forcing businesses to reduce prices to clear unsold stock.</w:t>
      </w:r>
    </w:p>
    <w:p w14:paraId="59B7B0FF" w14:textId="0FBB6A61" w:rsidR="00773025" w:rsidRPr="00773025" w:rsidRDefault="00773025" w:rsidP="00A615B7">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73025">
        <w:rPr>
          <w:rFonts w:ascii="Arial" w:eastAsia="Times New Roman" w:hAnsi="Arial" w:cs="Arial"/>
          <w:color w:val="222222"/>
          <w:kern w:val="0"/>
          <w:lang w:eastAsia="en-GB"/>
          <w14:ligatures w14:val="none"/>
        </w:rPr>
        <w:t xml:space="preserve">If such discounting becomes necessary, profit margins may decline. Garrison, Noreen and Brewer (2018) argue that excessive inventory often leads to markdown </w:t>
      </w:r>
      <w:r w:rsidRPr="00773025">
        <w:rPr>
          <w:rFonts w:ascii="Arial" w:eastAsia="Times New Roman" w:hAnsi="Arial" w:cs="Arial"/>
          <w:color w:val="222222"/>
          <w:kern w:val="0"/>
          <w:lang w:eastAsia="en-GB"/>
          <w14:ligatures w14:val="none"/>
        </w:rPr>
        <w:lastRenderedPageBreak/>
        <w:t>strategies that erode contribution margins and increase storage costs. Low inventory turnover may also indicate stock remains unsold longer than expected, reducing financial efficiency (Walsh, 2008).</w:t>
      </w:r>
    </w:p>
    <w:p w14:paraId="700CB04A" w14:textId="48602E04" w:rsidR="00773025" w:rsidRPr="00773025" w:rsidRDefault="00773025" w:rsidP="00A615B7">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73025">
        <w:rPr>
          <w:rFonts w:ascii="Arial" w:eastAsia="Times New Roman" w:hAnsi="Arial" w:cs="Arial"/>
          <w:color w:val="222222"/>
          <w:kern w:val="0"/>
          <w:lang w:eastAsia="en-GB"/>
          <w14:ligatures w14:val="none"/>
        </w:rPr>
        <w:t xml:space="preserve">However, excess inventory may also result from mismatches between purchased products and customer preferences or differences in sales performance across store locations. In a multi-store retail business such as Silver Stitch Ltd, demand conditions are unlikely to be identical across outlets. As a result, inventory accumulation may reflect forecasting </w:t>
      </w:r>
      <w:r w:rsidR="00862FD6">
        <w:rPr>
          <w:rFonts w:ascii="Arial" w:eastAsia="Times New Roman" w:hAnsi="Arial" w:cs="Arial"/>
          <w:color w:val="222222"/>
          <w:kern w:val="0"/>
          <w:lang w:eastAsia="en-GB"/>
          <w14:ligatures w14:val="none"/>
        </w:rPr>
        <w:t>errors or</w:t>
      </w:r>
      <w:r w:rsidRPr="00773025">
        <w:rPr>
          <w:rFonts w:ascii="Arial" w:eastAsia="Times New Roman" w:hAnsi="Arial" w:cs="Arial"/>
          <w:color w:val="222222"/>
          <w:kern w:val="0"/>
          <w:lang w:eastAsia="en-GB"/>
          <w14:ligatures w14:val="none"/>
        </w:rPr>
        <w:t xml:space="preserve"> weaknesses in product selection and store-level planning</w:t>
      </w:r>
      <w:r w:rsidR="00322FF9">
        <w:rPr>
          <w:rFonts w:ascii="Arial" w:eastAsia="Times New Roman" w:hAnsi="Arial" w:cs="Arial"/>
          <w:color w:val="222222"/>
          <w:kern w:val="0"/>
          <w:lang w:eastAsia="en-GB"/>
          <w14:ligatures w14:val="none"/>
        </w:rPr>
        <w:t>, increasing</w:t>
      </w:r>
      <w:r w:rsidRPr="00773025">
        <w:rPr>
          <w:rFonts w:ascii="Arial" w:eastAsia="Times New Roman" w:hAnsi="Arial" w:cs="Arial"/>
          <w:color w:val="222222"/>
          <w:kern w:val="0"/>
          <w:lang w:eastAsia="en-GB"/>
          <w14:ligatures w14:val="none"/>
        </w:rPr>
        <w:t xml:space="preserve"> working capital pressure because financial resources remain tied up in </w:t>
      </w:r>
      <w:r w:rsidR="00807535">
        <w:rPr>
          <w:rFonts w:ascii="Arial" w:eastAsia="Times New Roman" w:hAnsi="Arial" w:cs="Arial"/>
          <w:color w:val="222222"/>
          <w:kern w:val="0"/>
          <w:lang w:eastAsia="en-GB"/>
          <w14:ligatures w14:val="none"/>
        </w:rPr>
        <w:t>unsold stocks.</w:t>
      </w:r>
    </w:p>
    <w:p w14:paraId="31D4048A" w14:textId="77777777" w:rsidR="00773025" w:rsidRPr="00773025" w:rsidRDefault="00773025" w:rsidP="00A615B7">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73025">
        <w:rPr>
          <w:rFonts w:ascii="Arial" w:eastAsia="Times New Roman" w:hAnsi="Arial" w:cs="Arial"/>
          <w:color w:val="222222"/>
          <w:kern w:val="0"/>
          <w:lang w:eastAsia="en-GB"/>
          <w14:ligatures w14:val="none"/>
        </w:rPr>
        <w:t>A potential management response is improving demand forecasting and strengthening coordination between sales and purchasing decisions. Slack and Brandon-Jones (2019) emphasise that effective operations management requires inventory planning to align closely with demand information. By adopting more responsive purchasing practices and monitoring inventory turnover more closely, Silver Stitch Ltd could reduce stock accumulation and improve working capital efficiency.</w:t>
      </w:r>
    </w:p>
    <w:p w14:paraId="2DBEED23" w14:textId="77777777" w:rsidR="00773025" w:rsidRPr="00773025" w:rsidRDefault="00773025" w:rsidP="00A615B7">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p>
    <w:p w14:paraId="2FF116CA" w14:textId="17BAD07F" w:rsidR="00017EC2" w:rsidRPr="00017EC2" w:rsidRDefault="00773025" w:rsidP="00E6524A">
      <w:pPr>
        <w:spacing w:line="360" w:lineRule="auto"/>
        <w:rPr>
          <w:rFonts w:ascii="Arial" w:hAnsi="Arial" w:cs="Arial"/>
          <w:lang w:eastAsia="en-GB"/>
        </w:rPr>
      </w:pPr>
      <w:r w:rsidRPr="00017EC2">
        <w:rPr>
          <w:rFonts w:ascii="Arial" w:hAnsi="Arial" w:cs="Arial"/>
          <w:lang w:eastAsia="en-GB"/>
        </w:rPr>
        <w:t>Liquidity pressure despite profitability</w:t>
      </w:r>
    </w:p>
    <w:p w14:paraId="03DAA0ED" w14:textId="1542A943" w:rsidR="00773025" w:rsidRPr="00773025" w:rsidRDefault="00773025" w:rsidP="00A615B7">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73025">
        <w:rPr>
          <w:rFonts w:ascii="Arial" w:eastAsia="Times New Roman" w:hAnsi="Arial" w:cs="Arial"/>
          <w:color w:val="222222"/>
          <w:kern w:val="0"/>
          <w:lang w:eastAsia="en-GB"/>
          <w14:ligatures w14:val="none"/>
        </w:rPr>
        <w:t xml:space="preserve">A second concern relates to the relationship between profitability and liquidity. Although the forecast income statement suggests strong financial performance, the cash budget reveals substantial outflows associated with inventory purchases, operational expenses and investment activities. </w:t>
      </w:r>
      <w:proofErr w:type="spellStart"/>
      <w:r w:rsidRPr="00773025">
        <w:rPr>
          <w:rFonts w:ascii="Arial" w:eastAsia="Times New Roman" w:hAnsi="Arial" w:cs="Arial"/>
          <w:color w:val="222222"/>
          <w:kern w:val="0"/>
          <w:lang w:eastAsia="en-GB"/>
          <w14:ligatures w14:val="none"/>
        </w:rPr>
        <w:t>Atrill</w:t>
      </w:r>
      <w:proofErr w:type="spellEnd"/>
      <w:r w:rsidRPr="00773025">
        <w:rPr>
          <w:rFonts w:ascii="Arial" w:eastAsia="Times New Roman" w:hAnsi="Arial" w:cs="Arial"/>
          <w:color w:val="222222"/>
          <w:kern w:val="0"/>
          <w:lang w:eastAsia="en-GB"/>
          <w14:ligatures w14:val="none"/>
        </w:rPr>
        <w:t xml:space="preserve"> and McLaney (2021) note that accounting profit does not necessarily reflect the timing of cash flows, meaning profitable organisations may still experience liquidity constraints.</w:t>
      </w:r>
    </w:p>
    <w:p w14:paraId="728454FA" w14:textId="10422417" w:rsidR="00773025" w:rsidRPr="00773025" w:rsidRDefault="00773025" w:rsidP="00A615B7">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73025">
        <w:rPr>
          <w:rFonts w:ascii="Arial" w:eastAsia="Times New Roman" w:hAnsi="Arial" w:cs="Arial"/>
          <w:color w:val="222222"/>
          <w:kern w:val="0"/>
          <w:lang w:eastAsia="en-GB"/>
          <w14:ligatures w14:val="none"/>
        </w:rPr>
        <w:t xml:space="preserve">In the Silver Stitch case, large investments in inventory reduce the cash available to finance daily operations. If sales performance does not meet expectations, the company may face short-term financial pressure despite appearing profitable. Brigham and Ehrhardt (2017) emphasise that organisations must maintain adequate </w:t>
      </w:r>
      <w:r w:rsidRPr="00773025">
        <w:rPr>
          <w:rFonts w:ascii="Arial" w:eastAsia="Times New Roman" w:hAnsi="Arial" w:cs="Arial"/>
          <w:color w:val="222222"/>
          <w:kern w:val="0"/>
          <w:lang w:eastAsia="en-GB"/>
          <w14:ligatures w14:val="none"/>
        </w:rPr>
        <w:lastRenderedPageBreak/>
        <w:t>cash reserves to absorb unexpected revenue fluctuations. Similarly, Anthony, Hawkins and Merchant (2014) argue that budgeting systems should highlight the difference between accounting profitability and actual cash availability.</w:t>
      </w:r>
    </w:p>
    <w:p w14:paraId="59BCF121" w14:textId="77777777" w:rsidR="00773025" w:rsidRPr="00773025" w:rsidRDefault="00773025" w:rsidP="00A615B7">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73025">
        <w:rPr>
          <w:rFonts w:ascii="Arial" w:eastAsia="Times New Roman" w:hAnsi="Arial" w:cs="Arial"/>
          <w:color w:val="222222"/>
          <w:kern w:val="0"/>
          <w:lang w:eastAsia="en-GB"/>
          <w14:ligatures w14:val="none"/>
        </w:rPr>
        <w:t>Management could address this by strengthening working capital management practices. Monitoring stock turnover more closely, limiting unnecessary inventory purchases and reviewing supplier payment terms could improve cash flow flexibility without disrupting operations.</w:t>
      </w:r>
    </w:p>
    <w:p w14:paraId="7131585A" w14:textId="77777777" w:rsidR="00AA7400" w:rsidRDefault="00AA7400" w:rsidP="00A615B7">
      <w:pPr>
        <w:shd w:val="clear" w:color="auto" w:fill="FFFFFF"/>
        <w:spacing w:before="100" w:beforeAutospacing="1" w:after="100" w:afterAutospacing="1" w:line="360" w:lineRule="auto"/>
        <w:outlineLvl w:val="2"/>
        <w:rPr>
          <w:rFonts w:ascii="Arial" w:eastAsia="Times New Roman" w:hAnsi="Arial" w:cs="Arial"/>
          <w:b/>
          <w:bCs/>
          <w:color w:val="222222"/>
          <w:kern w:val="0"/>
          <w:lang w:eastAsia="en-GB"/>
          <w14:ligatures w14:val="none"/>
        </w:rPr>
      </w:pPr>
    </w:p>
    <w:p w14:paraId="1D83232E" w14:textId="613478CE" w:rsidR="00017EC2" w:rsidRPr="00017EC2" w:rsidRDefault="00773025" w:rsidP="00F81C8A">
      <w:pPr>
        <w:rPr>
          <w:rFonts w:ascii="Arial" w:hAnsi="Arial" w:cs="Arial"/>
          <w:lang w:eastAsia="en-GB"/>
        </w:rPr>
      </w:pPr>
      <w:r w:rsidRPr="00017EC2">
        <w:rPr>
          <w:rFonts w:ascii="Arial" w:hAnsi="Arial" w:cs="Arial"/>
          <w:lang w:eastAsia="en-GB"/>
        </w:rPr>
        <w:t>Capital expenditure and investment timin</w:t>
      </w:r>
      <w:r w:rsidR="002B723E">
        <w:rPr>
          <w:rFonts w:ascii="Arial" w:hAnsi="Arial" w:cs="Arial"/>
          <w:lang w:eastAsia="en-GB"/>
        </w:rPr>
        <w:t>g</w:t>
      </w:r>
    </w:p>
    <w:p w14:paraId="0D59B159" w14:textId="1DA2340F" w:rsidR="00C07955" w:rsidRPr="00773025" w:rsidRDefault="00773025" w:rsidP="00A615B7">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73025">
        <w:rPr>
          <w:rFonts w:ascii="Arial" w:eastAsia="Times New Roman" w:hAnsi="Arial" w:cs="Arial"/>
          <w:color w:val="222222"/>
          <w:kern w:val="0"/>
          <w:lang w:eastAsia="en-GB"/>
          <w14:ligatures w14:val="none"/>
        </w:rPr>
        <w:t>Another factor influencing the company’s financial position is the planned refurbishment of retail stores during the budgeting period. While refurbishment may enhance customer experience and support long-term sales growth, it also represents significant capital investment. Arnold (2013) argues that capital expenditure decisions require careful evaluation because benefits often appear in the long term while cash outflows occur immediately.</w:t>
      </w:r>
    </w:p>
    <w:p w14:paraId="47EA1513" w14:textId="32158805" w:rsidR="00773025" w:rsidRPr="00773025" w:rsidRDefault="00773025" w:rsidP="00A615B7">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73025">
        <w:rPr>
          <w:rFonts w:ascii="Arial" w:eastAsia="Times New Roman" w:hAnsi="Arial" w:cs="Arial"/>
          <w:color w:val="222222"/>
          <w:kern w:val="0"/>
          <w:lang w:eastAsia="en-GB"/>
          <w14:ligatures w14:val="none"/>
        </w:rPr>
        <w:t>In the Silver Stitch</w:t>
      </w:r>
      <w:r w:rsidR="00454D88">
        <w:rPr>
          <w:rFonts w:ascii="Arial" w:eastAsia="Times New Roman" w:hAnsi="Arial" w:cs="Arial"/>
          <w:color w:val="222222"/>
          <w:kern w:val="0"/>
          <w:lang w:eastAsia="en-GB"/>
          <w14:ligatures w14:val="none"/>
        </w:rPr>
        <w:t xml:space="preserve"> Ltd</w:t>
      </w:r>
      <w:r w:rsidRPr="00773025">
        <w:rPr>
          <w:rFonts w:ascii="Arial" w:eastAsia="Times New Roman" w:hAnsi="Arial" w:cs="Arial"/>
          <w:color w:val="222222"/>
          <w:kern w:val="0"/>
          <w:lang w:eastAsia="en-GB"/>
          <w14:ligatures w14:val="none"/>
        </w:rPr>
        <w:t xml:space="preserve"> case, </w:t>
      </w:r>
      <w:r w:rsidR="00454D88">
        <w:rPr>
          <w:rFonts w:ascii="Arial" w:eastAsia="Times New Roman" w:hAnsi="Arial" w:cs="Arial"/>
          <w:color w:val="222222"/>
          <w:kern w:val="0"/>
          <w:lang w:eastAsia="en-GB"/>
          <w14:ligatures w14:val="none"/>
        </w:rPr>
        <w:t xml:space="preserve">investments such as store refurbishment </w:t>
      </w:r>
      <w:r w:rsidR="00E30A76">
        <w:rPr>
          <w:rFonts w:ascii="Arial" w:eastAsia="Times New Roman" w:hAnsi="Arial" w:cs="Arial"/>
          <w:color w:val="222222"/>
          <w:kern w:val="0"/>
          <w:lang w:eastAsia="en-GB"/>
          <w14:ligatures w14:val="none"/>
        </w:rPr>
        <w:t>or increased inventory purchases should contribute to higher sales</w:t>
      </w:r>
      <w:r w:rsidR="00E37B1B">
        <w:rPr>
          <w:rFonts w:ascii="Arial" w:eastAsia="Times New Roman" w:hAnsi="Arial" w:cs="Arial"/>
          <w:color w:val="222222"/>
          <w:kern w:val="0"/>
          <w:lang w:eastAsia="en-GB"/>
          <w14:ligatures w14:val="none"/>
        </w:rPr>
        <w:t xml:space="preserve">. If they fail to generate adequate returns, they may increase pressure </w:t>
      </w:r>
      <w:r w:rsidR="00E44E64">
        <w:rPr>
          <w:rFonts w:ascii="Arial" w:eastAsia="Times New Roman" w:hAnsi="Arial" w:cs="Arial"/>
          <w:color w:val="222222"/>
          <w:kern w:val="0"/>
          <w:lang w:eastAsia="en-GB"/>
          <w14:ligatures w14:val="none"/>
        </w:rPr>
        <w:t xml:space="preserve">on liquidity and working capital.  </w:t>
      </w:r>
    </w:p>
    <w:p w14:paraId="7A374CD8" w14:textId="77777777" w:rsidR="00773025" w:rsidRPr="00773025" w:rsidRDefault="00773025" w:rsidP="00A615B7">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73025">
        <w:rPr>
          <w:rFonts w:ascii="Arial" w:eastAsia="Times New Roman" w:hAnsi="Arial" w:cs="Arial"/>
          <w:color w:val="222222"/>
          <w:kern w:val="0"/>
          <w:lang w:eastAsia="en-GB"/>
          <w14:ligatures w14:val="none"/>
        </w:rPr>
        <w:t>A potential management response is reviewing the timing of refurbishment projects to ensure investment decisions align with financial capacity. Implementing refurbishment gradually rather than simultaneously across multiple stores could reduce short-term financial pressure.</w:t>
      </w:r>
    </w:p>
    <w:p w14:paraId="3DCB36F9" w14:textId="77777777" w:rsidR="00F9785C" w:rsidRDefault="00F712FB" w:rsidP="00F712FB">
      <w:pPr>
        <w:shd w:val="clear" w:color="auto" w:fill="FFFFFF"/>
        <w:spacing w:before="100" w:beforeAutospacing="1" w:after="100" w:afterAutospacing="1" w:line="360" w:lineRule="auto"/>
        <w:jc w:val="both"/>
        <w:rPr>
          <w:rFonts w:ascii="Arial" w:eastAsia="Times New Roman" w:hAnsi="Arial" w:cs="Arial"/>
          <w:color w:val="222222"/>
          <w:kern w:val="0"/>
          <w:lang w:eastAsia="en-GB"/>
          <w14:ligatures w14:val="none"/>
        </w:rPr>
      </w:pPr>
      <w:r w:rsidRPr="00F712FB">
        <w:rPr>
          <w:rFonts w:ascii="Arial" w:eastAsia="Times New Roman" w:hAnsi="Arial" w:cs="Arial"/>
          <w:color w:val="222222"/>
          <w:kern w:val="0"/>
          <w:lang w:eastAsia="en-GB"/>
          <w14:ligatures w14:val="none"/>
        </w:rPr>
        <w:t xml:space="preserve">Investment decisions during the budgeting period should also be evaluated in terms of their expected return on investment (ROI). </w:t>
      </w:r>
    </w:p>
    <w:p w14:paraId="5FD5C6CD" w14:textId="5D430821" w:rsidR="007E0828" w:rsidRDefault="00F712FB" w:rsidP="00F712FB">
      <w:pPr>
        <w:shd w:val="clear" w:color="auto" w:fill="FFFFFF"/>
        <w:spacing w:before="100" w:beforeAutospacing="1" w:after="100" w:afterAutospacing="1" w:line="360" w:lineRule="auto"/>
        <w:jc w:val="both"/>
        <w:rPr>
          <w:rFonts w:ascii="Arial" w:eastAsia="Times New Roman" w:hAnsi="Arial" w:cs="Arial"/>
          <w:color w:val="222222"/>
          <w:kern w:val="0"/>
          <w:lang w:eastAsia="en-GB"/>
          <w14:ligatures w14:val="none"/>
        </w:rPr>
      </w:pPr>
      <w:r w:rsidRPr="00F712FB">
        <w:rPr>
          <w:rFonts w:ascii="Arial" w:eastAsia="Times New Roman" w:hAnsi="Arial" w:cs="Arial"/>
          <w:color w:val="222222"/>
          <w:kern w:val="0"/>
          <w:lang w:eastAsia="en-GB"/>
          <w14:ligatures w14:val="none"/>
        </w:rPr>
        <w:t>ROI allows management to assess whether capital expenditures generate sufficient financial benefits relative to their cost (A</w:t>
      </w:r>
      <w:r w:rsidR="00770AC2">
        <w:rPr>
          <w:rFonts w:ascii="Arial" w:eastAsia="Times New Roman" w:hAnsi="Arial" w:cs="Arial"/>
          <w:color w:val="222222"/>
          <w:kern w:val="0"/>
          <w:lang w:eastAsia="en-GB"/>
          <w14:ligatures w14:val="none"/>
        </w:rPr>
        <w:t>lexander and Nobes</w:t>
      </w:r>
      <w:r w:rsidRPr="00F712FB">
        <w:rPr>
          <w:rFonts w:ascii="Arial" w:eastAsia="Times New Roman" w:hAnsi="Arial" w:cs="Arial"/>
          <w:color w:val="222222"/>
          <w:kern w:val="0"/>
          <w:lang w:eastAsia="en-GB"/>
          <w14:ligatures w14:val="none"/>
        </w:rPr>
        <w:t>, 201</w:t>
      </w:r>
      <w:r w:rsidR="00770AC2">
        <w:rPr>
          <w:rFonts w:ascii="Arial" w:eastAsia="Times New Roman" w:hAnsi="Arial" w:cs="Arial"/>
          <w:color w:val="222222"/>
          <w:kern w:val="0"/>
          <w:lang w:eastAsia="en-GB"/>
          <w14:ligatures w14:val="none"/>
        </w:rPr>
        <w:t>7</w:t>
      </w:r>
      <w:r w:rsidRPr="00F712FB">
        <w:rPr>
          <w:rFonts w:ascii="Arial" w:eastAsia="Times New Roman" w:hAnsi="Arial" w:cs="Arial"/>
          <w:color w:val="222222"/>
          <w:kern w:val="0"/>
          <w:lang w:eastAsia="en-GB"/>
          <w14:ligatures w14:val="none"/>
        </w:rPr>
        <w:t xml:space="preserve">). </w:t>
      </w:r>
      <w:r w:rsidR="00BC4AD0">
        <w:rPr>
          <w:rFonts w:ascii="Arial" w:eastAsia="Times New Roman" w:hAnsi="Arial" w:cs="Arial"/>
          <w:color w:val="222222"/>
          <w:kern w:val="0"/>
          <w:lang w:eastAsia="en-GB"/>
          <w14:ligatures w14:val="none"/>
        </w:rPr>
        <w:t xml:space="preserve"> </w:t>
      </w:r>
    </w:p>
    <w:p w14:paraId="40039330" w14:textId="063E096A" w:rsidR="007E0828" w:rsidRDefault="00712715" w:rsidP="00F712FB">
      <w:pPr>
        <w:shd w:val="clear" w:color="auto" w:fill="FFFFFF"/>
        <w:spacing w:before="100" w:beforeAutospacing="1" w:after="100" w:afterAutospacing="1" w:line="360" w:lineRule="auto"/>
        <w:jc w:val="both"/>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lastRenderedPageBreak/>
        <w:t xml:space="preserve">Asset </w:t>
      </w:r>
      <w:r w:rsidR="00015DB9">
        <w:rPr>
          <w:rFonts w:ascii="Arial" w:eastAsia="Times New Roman" w:hAnsi="Arial" w:cs="Arial"/>
          <w:color w:val="222222"/>
          <w:kern w:val="0"/>
          <w:lang w:eastAsia="en-GB"/>
          <w14:ligatures w14:val="none"/>
        </w:rPr>
        <w:t xml:space="preserve">utilisation </w:t>
      </w:r>
      <w:r w:rsidR="00C707FA">
        <w:rPr>
          <w:rFonts w:ascii="Arial" w:eastAsia="Times New Roman" w:hAnsi="Arial" w:cs="Arial"/>
          <w:color w:val="222222"/>
          <w:kern w:val="0"/>
          <w:lang w:eastAsia="en-GB"/>
          <w14:ligatures w14:val="none"/>
        </w:rPr>
        <w:t xml:space="preserve">should also </w:t>
      </w:r>
      <w:r w:rsidR="00015DB9">
        <w:rPr>
          <w:rFonts w:ascii="Arial" w:eastAsia="Times New Roman" w:hAnsi="Arial" w:cs="Arial"/>
          <w:color w:val="222222"/>
          <w:kern w:val="0"/>
          <w:lang w:eastAsia="en-GB"/>
          <w14:ligatures w14:val="none"/>
        </w:rPr>
        <w:t xml:space="preserve">be </w:t>
      </w:r>
      <w:r w:rsidR="00C707FA">
        <w:rPr>
          <w:rFonts w:ascii="Arial" w:eastAsia="Times New Roman" w:hAnsi="Arial" w:cs="Arial"/>
          <w:color w:val="222222"/>
          <w:kern w:val="0"/>
          <w:lang w:eastAsia="en-GB"/>
          <w14:ligatures w14:val="none"/>
        </w:rPr>
        <w:t>consider</w:t>
      </w:r>
      <w:r w:rsidR="00F76C8D">
        <w:rPr>
          <w:rFonts w:ascii="Arial" w:eastAsia="Times New Roman" w:hAnsi="Arial" w:cs="Arial"/>
          <w:color w:val="222222"/>
          <w:kern w:val="0"/>
          <w:lang w:eastAsia="en-GB"/>
          <w14:ligatures w14:val="none"/>
        </w:rPr>
        <w:t>ed</w:t>
      </w:r>
      <w:r w:rsidR="00C707FA">
        <w:rPr>
          <w:rFonts w:ascii="Arial" w:eastAsia="Times New Roman" w:hAnsi="Arial" w:cs="Arial"/>
          <w:color w:val="222222"/>
          <w:kern w:val="0"/>
          <w:lang w:eastAsia="en-GB"/>
          <w14:ligatures w14:val="none"/>
        </w:rPr>
        <w:t xml:space="preserve"> </w:t>
      </w:r>
      <w:r w:rsidR="00015DB9">
        <w:rPr>
          <w:rFonts w:ascii="Arial" w:eastAsia="Times New Roman" w:hAnsi="Arial" w:cs="Arial"/>
          <w:color w:val="222222"/>
          <w:kern w:val="0"/>
          <w:lang w:eastAsia="en-GB"/>
          <w14:ligatures w14:val="none"/>
        </w:rPr>
        <w:t xml:space="preserve">when </w:t>
      </w:r>
      <w:r w:rsidR="00B816A1">
        <w:rPr>
          <w:rFonts w:ascii="Arial" w:eastAsia="Times New Roman" w:hAnsi="Arial" w:cs="Arial"/>
          <w:color w:val="222222"/>
          <w:kern w:val="0"/>
          <w:lang w:eastAsia="en-GB"/>
          <w14:ligatures w14:val="none"/>
        </w:rPr>
        <w:t>evaluating financial performance</w:t>
      </w:r>
      <w:r w:rsidR="007D097E">
        <w:rPr>
          <w:rFonts w:ascii="Arial" w:eastAsia="Times New Roman" w:hAnsi="Arial" w:cs="Arial"/>
          <w:color w:val="222222"/>
          <w:kern w:val="0"/>
          <w:lang w:eastAsia="en-GB"/>
          <w14:ligatures w14:val="none"/>
        </w:rPr>
        <w:t>,</w:t>
      </w:r>
      <w:r w:rsidR="00BD3551">
        <w:rPr>
          <w:rFonts w:ascii="Arial" w:eastAsia="Times New Roman" w:hAnsi="Arial" w:cs="Arial"/>
          <w:color w:val="222222"/>
          <w:kern w:val="0"/>
          <w:lang w:eastAsia="en-GB"/>
          <w14:ligatures w14:val="none"/>
        </w:rPr>
        <w:t xml:space="preserve"> as inefficient use of assets </w:t>
      </w:r>
      <w:r w:rsidR="001A30FA">
        <w:rPr>
          <w:rFonts w:ascii="Arial" w:eastAsia="Times New Roman" w:hAnsi="Arial" w:cs="Arial"/>
          <w:color w:val="222222"/>
          <w:kern w:val="0"/>
          <w:lang w:eastAsia="en-GB"/>
          <w14:ligatures w14:val="none"/>
        </w:rPr>
        <w:t xml:space="preserve">may reduce the overall return on investment and </w:t>
      </w:r>
      <w:r w:rsidR="00B8714D">
        <w:rPr>
          <w:rFonts w:ascii="Arial" w:eastAsia="Times New Roman" w:hAnsi="Arial" w:cs="Arial"/>
          <w:color w:val="222222"/>
          <w:kern w:val="0"/>
          <w:lang w:eastAsia="en-GB"/>
          <w14:ligatures w14:val="none"/>
        </w:rPr>
        <w:t>weaken financial performance (</w:t>
      </w:r>
      <w:proofErr w:type="spellStart"/>
      <w:r w:rsidR="00B8714D">
        <w:rPr>
          <w:rFonts w:ascii="Arial" w:eastAsia="Times New Roman" w:hAnsi="Arial" w:cs="Arial"/>
          <w:color w:val="222222"/>
          <w:kern w:val="0"/>
          <w:lang w:eastAsia="en-GB"/>
          <w14:ligatures w14:val="none"/>
        </w:rPr>
        <w:t>Atrill</w:t>
      </w:r>
      <w:proofErr w:type="spellEnd"/>
      <w:r w:rsidR="00B8714D">
        <w:rPr>
          <w:rFonts w:ascii="Arial" w:eastAsia="Times New Roman" w:hAnsi="Arial" w:cs="Arial"/>
          <w:color w:val="222222"/>
          <w:kern w:val="0"/>
          <w:lang w:eastAsia="en-GB"/>
          <w14:ligatures w14:val="none"/>
        </w:rPr>
        <w:t xml:space="preserve"> and </w:t>
      </w:r>
      <w:r w:rsidR="00D06FFF">
        <w:rPr>
          <w:rFonts w:ascii="Arial" w:eastAsia="Times New Roman" w:hAnsi="Arial" w:cs="Arial"/>
          <w:color w:val="222222"/>
          <w:kern w:val="0"/>
          <w:lang w:eastAsia="en-GB"/>
          <w14:ligatures w14:val="none"/>
        </w:rPr>
        <w:t xml:space="preserve">McLaney, 2021). </w:t>
      </w:r>
    </w:p>
    <w:p w14:paraId="368BFD98" w14:textId="09D23206" w:rsidR="00773025" w:rsidRDefault="00F712FB" w:rsidP="00F712FB">
      <w:pPr>
        <w:shd w:val="clear" w:color="auto" w:fill="FFFFFF"/>
        <w:spacing w:before="100" w:beforeAutospacing="1" w:after="100" w:afterAutospacing="1" w:line="360" w:lineRule="auto"/>
        <w:jc w:val="both"/>
        <w:rPr>
          <w:rFonts w:ascii="Arial" w:eastAsia="Times New Roman" w:hAnsi="Arial" w:cs="Arial"/>
          <w:color w:val="222222"/>
          <w:kern w:val="0"/>
          <w:lang w:eastAsia="en-GB"/>
          <w14:ligatures w14:val="none"/>
        </w:rPr>
      </w:pPr>
      <w:r w:rsidRPr="00F712FB">
        <w:rPr>
          <w:rFonts w:ascii="Arial" w:eastAsia="Times New Roman" w:hAnsi="Arial" w:cs="Arial"/>
          <w:color w:val="222222"/>
          <w:kern w:val="0"/>
          <w:lang w:eastAsia="en-GB"/>
          <w14:ligatures w14:val="none"/>
        </w:rPr>
        <w:t>In the case of Silver Stitch Ltd, investments such as store refurbishment or increased inventory purchases should ultimately contribute to higher sales and improved financial performance. If the</w:t>
      </w:r>
      <w:r w:rsidR="007870D1">
        <w:rPr>
          <w:rFonts w:ascii="Arial" w:eastAsia="Times New Roman" w:hAnsi="Arial" w:cs="Arial"/>
          <w:color w:val="222222"/>
          <w:kern w:val="0"/>
          <w:lang w:eastAsia="en-GB"/>
          <w14:ligatures w14:val="none"/>
        </w:rPr>
        <w:t>y</w:t>
      </w:r>
      <w:r w:rsidRPr="00F712FB">
        <w:rPr>
          <w:rFonts w:ascii="Arial" w:eastAsia="Times New Roman" w:hAnsi="Arial" w:cs="Arial"/>
          <w:color w:val="222222"/>
          <w:kern w:val="0"/>
          <w:lang w:eastAsia="en-GB"/>
          <w14:ligatures w14:val="none"/>
        </w:rPr>
        <w:t xml:space="preserve"> fail to generate adequate returns, they may reduce financial efficiency and increase pressure on liquidity and working capital.</w:t>
      </w:r>
    </w:p>
    <w:p w14:paraId="1F34A594" w14:textId="77777777" w:rsidR="00211BF7" w:rsidRPr="00F712FB" w:rsidRDefault="00211BF7" w:rsidP="00F712FB">
      <w:pPr>
        <w:shd w:val="clear" w:color="auto" w:fill="FFFFFF"/>
        <w:spacing w:before="100" w:beforeAutospacing="1" w:after="100" w:afterAutospacing="1" w:line="360" w:lineRule="auto"/>
        <w:jc w:val="both"/>
        <w:rPr>
          <w:rFonts w:ascii="Arial" w:eastAsia="Times New Roman" w:hAnsi="Arial" w:cs="Arial"/>
          <w:color w:val="222222"/>
          <w:kern w:val="0"/>
          <w:lang w:eastAsia="en-GB"/>
          <w14:ligatures w14:val="none"/>
        </w:rPr>
      </w:pPr>
    </w:p>
    <w:p w14:paraId="60DEA7A0" w14:textId="77777777" w:rsidR="002B723E" w:rsidRDefault="00773025" w:rsidP="002B723E">
      <w:pPr>
        <w:spacing w:line="360" w:lineRule="auto"/>
        <w:rPr>
          <w:rFonts w:ascii="Arial" w:hAnsi="Arial" w:cs="Arial"/>
          <w:lang w:eastAsia="en-GB"/>
        </w:rPr>
      </w:pPr>
      <w:r w:rsidRPr="007208BD">
        <w:rPr>
          <w:rFonts w:ascii="Arial" w:hAnsi="Arial" w:cs="Arial"/>
          <w:lang w:eastAsia="en-GB"/>
        </w:rPr>
        <w:t>Fixed financial commitments and cost behaviour</w:t>
      </w:r>
    </w:p>
    <w:p w14:paraId="4F1098EA" w14:textId="1ECAB06A" w:rsidR="00773025" w:rsidRPr="002B723E" w:rsidRDefault="00773025" w:rsidP="002B723E">
      <w:pPr>
        <w:spacing w:line="360" w:lineRule="auto"/>
        <w:rPr>
          <w:rFonts w:ascii="Arial" w:hAnsi="Arial" w:cs="Arial"/>
          <w:lang w:eastAsia="en-GB"/>
        </w:rPr>
      </w:pPr>
      <w:r w:rsidRPr="00773025">
        <w:rPr>
          <w:rFonts w:ascii="Arial" w:eastAsia="Times New Roman" w:hAnsi="Arial" w:cs="Arial"/>
          <w:color w:val="222222"/>
          <w:kern w:val="0"/>
          <w:lang w:eastAsia="en-GB"/>
          <w14:ligatures w14:val="none"/>
        </w:rPr>
        <w:t>The forecasts also indicate that the company must meet regular loan repayments and interest payments during the budgeting period. These obligations represent fixed financial commitments that must be paid regardless of sales performance. Hansen, Mowen and Heitger (2015) explain that fixed financial commitments increase organisational risk because they limit managerial flexibility in responding to changing market conditions.</w:t>
      </w:r>
    </w:p>
    <w:p w14:paraId="577C0EE1" w14:textId="0C6CD5D6" w:rsidR="00773025" w:rsidRPr="00773025" w:rsidRDefault="00773025" w:rsidP="00A615B7">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73025">
        <w:rPr>
          <w:rFonts w:ascii="Arial" w:eastAsia="Times New Roman" w:hAnsi="Arial" w:cs="Arial"/>
          <w:color w:val="222222"/>
          <w:kern w:val="0"/>
          <w:lang w:eastAsia="en-GB"/>
          <w14:ligatures w14:val="none"/>
        </w:rPr>
        <w:t>Understanding cost behaviour is essential when evaluating financial risk. Costs can be classified as fixed or variable depending on activity levels. Horngren, Sundem and Stratton (2014) note that businesses with high fixed costs are vulnerable to fluctuations in sales volume because these costs must be paid regardless of revenue levels.</w:t>
      </w:r>
    </w:p>
    <w:p w14:paraId="1DA6E68F" w14:textId="60B55901" w:rsidR="00773025" w:rsidRPr="00773025" w:rsidRDefault="00773025" w:rsidP="00A615B7">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73025">
        <w:rPr>
          <w:rFonts w:ascii="Arial" w:eastAsia="Times New Roman" w:hAnsi="Arial" w:cs="Arial"/>
          <w:color w:val="222222"/>
          <w:kern w:val="0"/>
          <w:lang w:eastAsia="en-GB"/>
          <w14:ligatures w14:val="none"/>
        </w:rPr>
        <w:t>In the Silver Stitch case, expenses such as store rent, administrative salaries and loan repayments represent fixed obligations that cannot easil</w:t>
      </w:r>
      <w:r w:rsidR="00007943">
        <w:rPr>
          <w:rFonts w:ascii="Arial" w:eastAsia="Times New Roman" w:hAnsi="Arial" w:cs="Arial"/>
          <w:color w:val="222222"/>
          <w:kern w:val="0"/>
          <w:lang w:eastAsia="en-GB"/>
          <w14:ligatures w14:val="none"/>
        </w:rPr>
        <w:t>y</w:t>
      </w:r>
      <w:r w:rsidRPr="00773025">
        <w:rPr>
          <w:rFonts w:ascii="Arial" w:eastAsia="Times New Roman" w:hAnsi="Arial" w:cs="Arial"/>
          <w:color w:val="222222"/>
          <w:kern w:val="0"/>
          <w:lang w:eastAsia="en-GB"/>
          <w14:ligatures w14:val="none"/>
        </w:rPr>
        <w:t xml:space="preserve"> be reduced. If sales decline or inventory remains unsold, these commitments may place significant pressure on financial resources.</w:t>
      </w:r>
    </w:p>
    <w:p w14:paraId="25A88793" w14:textId="2FEACBE4" w:rsidR="00773025" w:rsidRPr="00773025" w:rsidRDefault="00773025" w:rsidP="00A615B7">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73025">
        <w:rPr>
          <w:rFonts w:ascii="Arial" w:eastAsia="Times New Roman" w:hAnsi="Arial" w:cs="Arial"/>
          <w:color w:val="222222"/>
          <w:kern w:val="0"/>
          <w:lang w:eastAsia="en-GB"/>
          <w14:ligatures w14:val="none"/>
        </w:rPr>
        <w:t xml:space="preserve">In addition to controlling costs and limiting unnecessary inventory purchases, management may also need to focus on increasing monthly cash inflows to reduce short-term overdraft pressure. This could involve improving product selection, using targeted promotions or prioritising higher-margin items that generate faster cash </w:t>
      </w:r>
      <w:r w:rsidRPr="00773025">
        <w:rPr>
          <w:rFonts w:ascii="Arial" w:eastAsia="Times New Roman" w:hAnsi="Arial" w:cs="Arial"/>
          <w:color w:val="222222"/>
          <w:kern w:val="0"/>
          <w:lang w:eastAsia="en-GB"/>
          <w14:ligatures w14:val="none"/>
        </w:rPr>
        <w:lastRenderedPageBreak/>
        <w:t>recovery. Stronger sales performance would improve the company’s ability to meet financial obligations and reduce reliance on short-term borrowing.</w:t>
      </w:r>
    </w:p>
    <w:p w14:paraId="4D65E798" w14:textId="77777777" w:rsidR="00773025" w:rsidRPr="00773025" w:rsidRDefault="00773025" w:rsidP="00A615B7">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73025">
        <w:rPr>
          <w:rFonts w:ascii="Arial" w:eastAsia="Times New Roman" w:hAnsi="Arial" w:cs="Arial"/>
          <w:color w:val="222222"/>
          <w:kern w:val="0"/>
          <w:lang w:eastAsia="en-GB"/>
          <w14:ligatures w14:val="none"/>
        </w:rPr>
        <w:t>Overall, the analysis suggests that although Silver Stitch Ltd appears profitable, several operational decisions may increase financial risk. Improving demand forecasting, strengthening inventory management and carefully evaluating investment decisions will therefore be essential to maintain financial stability.</w:t>
      </w:r>
    </w:p>
    <w:p w14:paraId="1FF66205" w14:textId="77777777" w:rsidR="005608D2" w:rsidRDefault="005608D2" w:rsidP="00F81C8A">
      <w:pPr>
        <w:rPr>
          <w:rFonts w:ascii="Arial" w:hAnsi="Arial" w:cs="Arial"/>
          <w:sz w:val="28"/>
          <w:szCs w:val="28"/>
        </w:rPr>
      </w:pPr>
    </w:p>
    <w:p w14:paraId="0D328CE4" w14:textId="77777777" w:rsidR="005608D2" w:rsidRDefault="005608D2" w:rsidP="00F81C8A">
      <w:pPr>
        <w:rPr>
          <w:rFonts w:ascii="Arial" w:hAnsi="Arial" w:cs="Arial"/>
          <w:sz w:val="28"/>
          <w:szCs w:val="28"/>
        </w:rPr>
      </w:pPr>
    </w:p>
    <w:p w14:paraId="5B71DB11" w14:textId="77777777" w:rsidR="00BE7AFD" w:rsidRDefault="00BE7AFD" w:rsidP="00F81C8A">
      <w:pPr>
        <w:rPr>
          <w:rFonts w:ascii="Arial" w:hAnsi="Arial" w:cs="Arial"/>
          <w:sz w:val="28"/>
          <w:szCs w:val="28"/>
        </w:rPr>
      </w:pPr>
    </w:p>
    <w:p w14:paraId="7C4A24AD" w14:textId="77777777" w:rsidR="00BE7AFD" w:rsidRDefault="00BE7AFD" w:rsidP="00F81C8A">
      <w:pPr>
        <w:rPr>
          <w:rFonts w:ascii="Arial" w:hAnsi="Arial" w:cs="Arial"/>
          <w:sz w:val="28"/>
          <w:szCs w:val="28"/>
        </w:rPr>
      </w:pPr>
    </w:p>
    <w:p w14:paraId="6F75B2AB" w14:textId="77777777" w:rsidR="00BE7AFD" w:rsidRDefault="00BE7AFD" w:rsidP="00F81C8A">
      <w:pPr>
        <w:rPr>
          <w:rFonts w:ascii="Arial" w:hAnsi="Arial" w:cs="Arial"/>
          <w:sz w:val="28"/>
          <w:szCs w:val="28"/>
        </w:rPr>
      </w:pPr>
    </w:p>
    <w:p w14:paraId="69B1441A" w14:textId="77777777" w:rsidR="00BE7AFD" w:rsidRDefault="00BE7AFD" w:rsidP="00F81C8A">
      <w:pPr>
        <w:rPr>
          <w:rFonts w:ascii="Arial" w:hAnsi="Arial" w:cs="Arial"/>
          <w:sz w:val="28"/>
          <w:szCs w:val="28"/>
        </w:rPr>
      </w:pPr>
    </w:p>
    <w:p w14:paraId="068D0ACE" w14:textId="77777777" w:rsidR="00BE7AFD" w:rsidRDefault="00BE7AFD" w:rsidP="00F81C8A">
      <w:pPr>
        <w:rPr>
          <w:rFonts w:ascii="Arial" w:hAnsi="Arial" w:cs="Arial"/>
          <w:sz w:val="28"/>
          <w:szCs w:val="28"/>
        </w:rPr>
      </w:pPr>
    </w:p>
    <w:p w14:paraId="2B3F23AD" w14:textId="77777777" w:rsidR="00BE7AFD" w:rsidRDefault="00BE7AFD" w:rsidP="00F81C8A">
      <w:pPr>
        <w:rPr>
          <w:rFonts w:ascii="Arial" w:hAnsi="Arial" w:cs="Arial"/>
          <w:sz w:val="28"/>
          <w:szCs w:val="28"/>
        </w:rPr>
      </w:pPr>
    </w:p>
    <w:p w14:paraId="68669678" w14:textId="77777777" w:rsidR="00BE7AFD" w:rsidRDefault="00BE7AFD" w:rsidP="00F81C8A">
      <w:pPr>
        <w:rPr>
          <w:rFonts w:ascii="Arial" w:hAnsi="Arial" w:cs="Arial"/>
          <w:sz w:val="28"/>
          <w:szCs w:val="28"/>
        </w:rPr>
      </w:pPr>
    </w:p>
    <w:p w14:paraId="2B633687" w14:textId="77777777" w:rsidR="00BE7AFD" w:rsidRDefault="00BE7AFD" w:rsidP="00F81C8A">
      <w:pPr>
        <w:rPr>
          <w:rFonts w:ascii="Arial" w:hAnsi="Arial" w:cs="Arial"/>
          <w:sz w:val="28"/>
          <w:szCs w:val="28"/>
        </w:rPr>
      </w:pPr>
    </w:p>
    <w:p w14:paraId="772DEDF2" w14:textId="77777777" w:rsidR="00BE7AFD" w:rsidRDefault="00BE7AFD" w:rsidP="00F81C8A">
      <w:pPr>
        <w:rPr>
          <w:rFonts w:ascii="Arial" w:hAnsi="Arial" w:cs="Arial"/>
          <w:sz w:val="28"/>
          <w:szCs w:val="28"/>
        </w:rPr>
      </w:pPr>
    </w:p>
    <w:p w14:paraId="18A16A76" w14:textId="77777777" w:rsidR="00BE7AFD" w:rsidRDefault="00BE7AFD" w:rsidP="00F81C8A">
      <w:pPr>
        <w:rPr>
          <w:rFonts w:ascii="Arial" w:hAnsi="Arial" w:cs="Arial"/>
          <w:sz w:val="28"/>
          <w:szCs w:val="28"/>
        </w:rPr>
      </w:pPr>
    </w:p>
    <w:p w14:paraId="10742CB8" w14:textId="77777777" w:rsidR="00BE7AFD" w:rsidRDefault="00BE7AFD" w:rsidP="00F81C8A">
      <w:pPr>
        <w:rPr>
          <w:rFonts w:ascii="Arial" w:hAnsi="Arial" w:cs="Arial"/>
          <w:sz w:val="28"/>
          <w:szCs w:val="28"/>
        </w:rPr>
      </w:pPr>
    </w:p>
    <w:p w14:paraId="7A210F4E" w14:textId="77777777" w:rsidR="00BE7AFD" w:rsidRDefault="00BE7AFD" w:rsidP="00F81C8A">
      <w:pPr>
        <w:rPr>
          <w:rFonts w:ascii="Arial" w:hAnsi="Arial" w:cs="Arial"/>
          <w:sz w:val="28"/>
          <w:szCs w:val="28"/>
        </w:rPr>
      </w:pPr>
    </w:p>
    <w:p w14:paraId="1BF90305" w14:textId="77777777" w:rsidR="00BE7AFD" w:rsidRDefault="00BE7AFD" w:rsidP="00F81C8A">
      <w:pPr>
        <w:rPr>
          <w:rFonts w:ascii="Arial" w:hAnsi="Arial" w:cs="Arial"/>
          <w:sz w:val="28"/>
          <w:szCs w:val="28"/>
        </w:rPr>
      </w:pPr>
    </w:p>
    <w:p w14:paraId="7BF4AC51" w14:textId="77777777" w:rsidR="00BE7AFD" w:rsidRDefault="00BE7AFD" w:rsidP="00F81C8A">
      <w:pPr>
        <w:rPr>
          <w:rFonts w:ascii="Arial" w:hAnsi="Arial" w:cs="Arial"/>
          <w:sz w:val="28"/>
          <w:szCs w:val="28"/>
        </w:rPr>
      </w:pPr>
    </w:p>
    <w:p w14:paraId="76313072" w14:textId="77777777" w:rsidR="00BE7AFD" w:rsidRDefault="00BE7AFD" w:rsidP="00F81C8A">
      <w:pPr>
        <w:rPr>
          <w:rFonts w:ascii="Arial" w:hAnsi="Arial" w:cs="Arial"/>
          <w:sz w:val="28"/>
          <w:szCs w:val="28"/>
        </w:rPr>
      </w:pPr>
    </w:p>
    <w:p w14:paraId="5744E6E8" w14:textId="77777777" w:rsidR="00BE7AFD" w:rsidRDefault="00BE7AFD" w:rsidP="00F81C8A">
      <w:pPr>
        <w:rPr>
          <w:rFonts w:ascii="Arial" w:hAnsi="Arial" w:cs="Arial"/>
          <w:sz w:val="28"/>
          <w:szCs w:val="28"/>
        </w:rPr>
      </w:pPr>
    </w:p>
    <w:p w14:paraId="0A288DE5" w14:textId="77777777" w:rsidR="00BE7AFD" w:rsidRDefault="00BE7AFD" w:rsidP="00F81C8A">
      <w:pPr>
        <w:rPr>
          <w:rFonts w:ascii="Arial" w:hAnsi="Arial" w:cs="Arial"/>
          <w:sz w:val="28"/>
          <w:szCs w:val="28"/>
        </w:rPr>
      </w:pPr>
    </w:p>
    <w:p w14:paraId="3EDCE0FC" w14:textId="2541B27D" w:rsidR="005608D2" w:rsidRPr="007208BD" w:rsidRDefault="004C0A7D" w:rsidP="004C0A7D">
      <w:pPr>
        <w:pStyle w:val="Heading2"/>
      </w:pPr>
      <w:bookmarkStart w:id="13" w:name="_Toc224808078"/>
      <w:r>
        <w:lastRenderedPageBreak/>
        <w:t xml:space="preserve">5. </w:t>
      </w:r>
      <w:r w:rsidR="00C865F5" w:rsidRPr="007208BD">
        <w:t>Conditions for Successful Budgeting</w:t>
      </w:r>
      <w:bookmarkEnd w:id="13"/>
    </w:p>
    <w:p w14:paraId="475DABC0" w14:textId="77777777" w:rsidR="007208BD" w:rsidRPr="007208BD" w:rsidRDefault="007208BD" w:rsidP="00F81C8A">
      <w:pPr>
        <w:rPr>
          <w:rFonts w:ascii="Arial" w:hAnsi="Arial" w:cs="Arial"/>
          <w:kern w:val="0"/>
        </w:rPr>
      </w:pPr>
    </w:p>
    <w:p w14:paraId="670C6450" w14:textId="29FB6293" w:rsidR="00C865F5" w:rsidRPr="00A615B7" w:rsidRDefault="00C865F5" w:rsidP="00A615B7">
      <w:pPr>
        <w:spacing w:before="100" w:beforeAutospacing="1" w:after="100" w:afterAutospacing="1" w:line="360" w:lineRule="auto"/>
        <w:rPr>
          <w:rFonts w:ascii="Arial" w:hAnsi="Arial" w:cs="Arial"/>
          <w:kern w:val="0"/>
          <w14:ligatures w14:val="none"/>
        </w:rPr>
      </w:pPr>
      <w:r w:rsidRPr="00A615B7">
        <w:rPr>
          <w:rFonts w:ascii="Arial" w:hAnsi="Arial" w:cs="Arial"/>
          <w:kern w:val="0"/>
          <w14:ligatures w14:val="none"/>
        </w:rPr>
        <w:t>Although budgeting provides a structured framework for financial planning, its effectiveness depends heavily on organisational conditions and managerial behaviour. Merchant and Van der Stede (2017) argue that budgets should function as management control tools that support coordination and decision-making rather than merely producing financial forecasts.</w:t>
      </w:r>
    </w:p>
    <w:p w14:paraId="617143B3" w14:textId="77777777" w:rsidR="00C865F5" w:rsidRPr="00A615B7" w:rsidRDefault="00C865F5" w:rsidP="00A615B7">
      <w:pPr>
        <w:spacing w:before="100" w:beforeAutospacing="1" w:after="100" w:afterAutospacing="1" w:line="360" w:lineRule="auto"/>
        <w:rPr>
          <w:rFonts w:ascii="Arial" w:hAnsi="Arial" w:cs="Arial"/>
          <w:kern w:val="0"/>
          <w14:ligatures w14:val="none"/>
        </w:rPr>
      </w:pPr>
      <w:r w:rsidRPr="00A615B7">
        <w:rPr>
          <w:rFonts w:ascii="Arial" w:hAnsi="Arial" w:cs="Arial"/>
          <w:kern w:val="0"/>
          <w14:ligatures w14:val="none"/>
        </w:rPr>
        <w:t>One of the most important conditions for successful budgeting is accurate demand forecasting. In the Silver Stitch case, the stock budget suggests that purchasing decisions may not be fully aligned with realistic sales expectations. Hansen, Otley and Van der Stede (2003) highlight that traditional budgeting systems often rely heavily on forecast assumptions, and inaccurate forecasts can result in inefficient resource allocation.</w:t>
      </w:r>
    </w:p>
    <w:p w14:paraId="30FB9B1A" w14:textId="012E8D8E" w:rsidR="00361918" w:rsidRPr="00A615B7" w:rsidRDefault="00C865F5" w:rsidP="00A615B7">
      <w:pPr>
        <w:pStyle w:val="p1"/>
        <w:spacing w:line="360" w:lineRule="auto"/>
        <w:rPr>
          <w:rFonts w:ascii="Arial" w:hAnsi="Arial" w:cs="Arial"/>
        </w:rPr>
      </w:pPr>
      <w:r w:rsidRPr="00A615B7">
        <w:rPr>
          <w:rStyle w:val="s1"/>
          <w:rFonts w:ascii="Arial" w:hAnsi="Arial" w:cs="Arial"/>
        </w:rPr>
        <w:t>Budgeting systems may also face difficulties when organisations operate in uncertain market environments. Traditional budgets rely heavily on forecast stability, yet industries characterised by seasonal demand and rapidly changing consumer preferences may reduce the reliability of long-term projections. Hansen, Otley and Van der Stede (2003) argue that budgeting processes often struggle to respond effectively to environmental uncertainty because fixed financial plans may fail to reflect emerging operational realities. In the case of Silver Stitch Ltd, fluctuations in fashion trends or seasonal demand may quickly make inventory forecasts inaccurate, increasing the risk of stock accumulation and inefficient resource allocation.</w:t>
      </w:r>
    </w:p>
    <w:p w14:paraId="1ADFB2C4" w14:textId="17963CC2" w:rsidR="00C865F5" w:rsidRPr="00A615B7" w:rsidRDefault="00C865F5" w:rsidP="00A615B7">
      <w:pPr>
        <w:spacing w:before="100" w:beforeAutospacing="1" w:after="100" w:afterAutospacing="1" w:line="360" w:lineRule="auto"/>
        <w:rPr>
          <w:rFonts w:ascii="Arial" w:hAnsi="Arial" w:cs="Arial"/>
          <w:kern w:val="0"/>
          <w14:ligatures w14:val="none"/>
        </w:rPr>
      </w:pPr>
      <w:r w:rsidRPr="00A615B7">
        <w:rPr>
          <w:rFonts w:ascii="Arial" w:hAnsi="Arial" w:cs="Arial"/>
          <w:kern w:val="0"/>
          <w14:ligatures w14:val="none"/>
        </w:rPr>
        <w:t xml:space="preserve">Another critical condition is cross-departmental coordination. Budgeting decisions require collaboration between departments such as sales, purchasing and finance. Kaplan and Atkinson (2015) emphasise that management accounting systems must integrate financial data with operational information </w:t>
      </w:r>
      <w:r w:rsidR="00E67196" w:rsidRPr="00A615B7">
        <w:rPr>
          <w:rFonts w:ascii="Arial" w:hAnsi="Arial" w:cs="Arial"/>
          <w:kern w:val="0"/>
          <w14:ligatures w14:val="none"/>
        </w:rPr>
        <w:t>to</w:t>
      </w:r>
      <w:r w:rsidRPr="00A615B7">
        <w:rPr>
          <w:rFonts w:ascii="Arial" w:hAnsi="Arial" w:cs="Arial"/>
          <w:kern w:val="0"/>
          <w14:ligatures w14:val="none"/>
        </w:rPr>
        <w:t xml:space="preserve"> support effective decision-making. If departments operate independently, budgets may fail to reflect actual operational conditions.</w:t>
      </w:r>
    </w:p>
    <w:p w14:paraId="4786E11B" w14:textId="4FE76490" w:rsidR="00C865F5" w:rsidRPr="00A615B7" w:rsidRDefault="00C865F5" w:rsidP="00A615B7">
      <w:pPr>
        <w:spacing w:before="100" w:beforeAutospacing="1" w:after="100" w:afterAutospacing="1" w:line="360" w:lineRule="auto"/>
        <w:rPr>
          <w:rFonts w:ascii="Arial" w:hAnsi="Arial" w:cs="Arial"/>
          <w:kern w:val="0"/>
          <w14:ligatures w14:val="none"/>
        </w:rPr>
      </w:pPr>
      <w:r w:rsidRPr="00A615B7">
        <w:rPr>
          <w:rFonts w:ascii="Arial" w:hAnsi="Arial" w:cs="Arial"/>
          <w:kern w:val="0"/>
          <w14:ligatures w14:val="none"/>
        </w:rPr>
        <w:lastRenderedPageBreak/>
        <w:t>Managerial participation also plays an important role in the budgeting process. Brownell (1982) suggests that involving managers in budget preparation can improve information quality and increase commitment to financial targets. However, participation can also create behavioural risks. Young (1985) demonstrated that managers may intentionally adjust forecasts to make targets easier to achieve, a phenomenon known as budgetary slack.</w:t>
      </w:r>
    </w:p>
    <w:p w14:paraId="03925ED2" w14:textId="77777777" w:rsidR="00E14710" w:rsidRPr="00A615B7" w:rsidRDefault="00C865F5" w:rsidP="00A615B7">
      <w:pPr>
        <w:spacing w:before="100" w:beforeAutospacing="1" w:after="100" w:afterAutospacing="1" w:line="360" w:lineRule="auto"/>
        <w:rPr>
          <w:rFonts w:ascii="Arial" w:hAnsi="Arial" w:cs="Arial"/>
          <w:kern w:val="0"/>
          <w14:ligatures w14:val="none"/>
        </w:rPr>
      </w:pPr>
      <w:r w:rsidRPr="00A615B7">
        <w:rPr>
          <w:rFonts w:ascii="Arial" w:hAnsi="Arial" w:cs="Arial"/>
          <w:kern w:val="0"/>
          <w14:ligatures w14:val="none"/>
        </w:rPr>
        <w:t>Performance measurement systems also influence budgeting effectiveness. Kaplan and Norton (1996) argue that organisations should evaluate performance using both financial and non-financial indicators. Marr (2012) similarly emphasises that performance indicators can help managers identify operational problems before they appear in financial results.</w:t>
      </w:r>
    </w:p>
    <w:p w14:paraId="0467FDC6" w14:textId="7B4AE725" w:rsidR="00C865F5" w:rsidRPr="00A615B7" w:rsidRDefault="00C865F5" w:rsidP="00A615B7">
      <w:pPr>
        <w:spacing w:before="100" w:beforeAutospacing="1" w:after="100" w:afterAutospacing="1" w:line="360" w:lineRule="auto"/>
        <w:rPr>
          <w:rFonts w:ascii="Arial" w:hAnsi="Arial" w:cs="Arial"/>
          <w:kern w:val="0"/>
          <w14:ligatures w14:val="none"/>
        </w:rPr>
      </w:pPr>
      <w:r w:rsidRPr="00A615B7">
        <w:rPr>
          <w:rStyle w:val="s1"/>
          <w:rFonts w:ascii="Arial" w:hAnsi="Arial" w:cs="Arial"/>
        </w:rPr>
        <w:t>In addition, the effectiveness of budgeting systems depends on the quality of information available during the budgeting process. Kaplan and Atkinson (2015) emphasise that management accounting information should support managerial decision-making rather than simply report financial outcomes. If managers rely on incomplete or outdated information when preparing budgets, financial forecasts may fail to reflect operational realities accurately. For Silver Stitch Ltd, improved data regarding sales trends, customer demand and inventory turnover could significantly enhance forecasting accuracy and improve the effectiveness of the budgeting process.</w:t>
      </w:r>
    </w:p>
    <w:p w14:paraId="42AD6815" w14:textId="43CB8E82" w:rsidR="00C865F5" w:rsidRPr="00A615B7" w:rsidRDefault="00C865F5" w:rsidP="00A615B7">
      <w:pPr>
        <w:spacing w:before="100" w:beforeAutospacing="1" w:after="100" w:afterAutospacing="1" w:line="360" w:lineRule="auto"/>
        <w:rPr>
          <w:rFonts w:ascii="Arial" w:hAnsi="Arial" w:cs="Arial"/>
          <w:kern w:val="0"/>
          <w14:ligatures w14:val="none"/>
        </w:rPr>
      </w:pPr>
      <w:r w:rsidRPr="00A615B7">
        <w:rPr>
          <w:rFonts w:ascii="Arial" w:hAnsi="Arial" w:cs="Arial"/>
          <w:kern w:val="0"/>
          <w14:ligatures w14:val="none"/>
        </w:rPr>
        <w:t>Finally, successful budgeting requires flexibility in managerial decision-making. Neely, Bourne and Adams (2003) argue that rigid budgeting systems may reduce organisational adaptability because managers feel compelled to follow predetermined targets even when circumstances change. Otley and Berry (1980) therefore suggest that budgeting should be viewed as part of a broader organisational control system that supports continuous adjustment rather than rigid compliance.</w:t>
      </w:r>
    </w:p>
    <w:p w14:paraId="64D64E12" w14:textId="02A27CE0" w:rsidR="000B140D" w:rsidRPr="00A615B7" w:rsidRDefault="00C865F5" w:rsidP="00A615B7">
      <w:pPr>
        <w:spacing w:before="100" w:beforeAutospacing="1" w:after="100" w:afterAutospacing="1" w:line="360" w:lineRule="auto"/>
        <w:rPr>
          <w:rFonts w:ascii="Arial" w:hAnsi="Arial" w:cs="Arial"/>
          <w:kern w:val="0"/>
          <w14:ligatures w14:val="none"/>
        </w:rPr>
      </w:pPr>
      <w:r w:rsidRPr="00A615B7">
        <w:rPr>
          <w:rFonts w:ascii="Arial" w:hAnsi="Arial" w:cs="Arial"/>
          <w:kern w:val="0"/>
          <w14:ligatures w14:val="none"/>
        </w:rPr>
        <w:t>For Silver Stitch Ltd, strengthening demand forecasting, improving communication between departments and integrating financial and operational performance indicators would significantly improve the effectiveness of the budgeting process.</w:t>
      </w:r>
    </w:p>
    <w:p w14:paraId="395A0F39" w14:textId="74FFF74D" w:rsidR="003F7732" w:rsidRPr="00545D11" w:rsidRDefault="00662135" w:rsidP="00545D11">
      <w:pPr>
        <w:pStyle w:val="Heading2"/>
      </w:pPr>
      <w:bookmarkStart w:id="14" w:name="_Toc224808079"/>
      <w:r>
        <w:lastRenderedPageBreak/>
        <w:t xml:space="preserve">6. </w:t>
      </w:r>
      <w:r w:rsidR="00C865F5" w:rsidRPr="00545D11">
        <w:t xml:space="preserve">Behavioural Issues in Budgetary </w:t>
      </w:r>
      <w:r w:rsidR="009319A7" w:rsidRPr="00545D11">
        <w:t>Control</w:t>
      </w:r>
      <w:bookmarkEnd w:id="14"/>
      <w:r w:rsidR="009319A7" w:rsidRPr="00545D11">
        <w:t xml:space="preserve"> </w:t>
      </w:r>
    </w:p>
    <w:p w14:paraId="27288F15" w14:textId="77777777" w:rsidR="007208BD" w:rsidRPr="007208BD" w:rsidRDefault="007208BD" w:rsidP="00F81C8A">
      <w:pPr>
        <w:rPr>
          <w:rFonts w:ascii="Arial" w:hAnsi="Arial" w:cs="Arial"/>
        </w:rPr>
      </w:pPr>
    </w:p>
    <w:p w14:paraId="287CA82B" w14:textId="4ACA007C" w:rsidR="007F5048" w:rsidRPr="002606F3" w:rsidRDefault="007F5048" w:rsidP="002606F3">
      <w:pPr>
        <w:spacing w:before="100" w:beforeAutospacing="1" w:after="100" w:afterAutospacing="1" w:line="360" w:lineRule="auto"/>
        <w:rPr>
          <w:rFonts w:ascii="Arial" w:eastAsia="Times New Roman" w:hAnsi="Arial" w:cs="Arial"/>
          <w:kern w:val="36"/>
          <w14:ligatures w14:val="none"/>
        </w:rPr>
      </w:pPr>
      <w:r w:rsidRPr="002606F3">
        <w:rPr>
          <w:rFonts w:ascii="Arial" w:eastAsia="Times New Roman" w:hAnsi="Arial" w:cs="Arial"/>
          <w:kern w:val="36"/>
          <w14:ligatures w14:val="none"/>
        </w:rPr>
        <w:t>Budgeting systems do not only produce financial forecasts; they also influence managerial behaviour. Merchant and Van der Stede (2017) emphasise that budgeting should therefore be evaluated not only in financial terms but also in relation to its behavioural consequences.</w:t>
      </w:r>
    </w:p>
    <w:p w14:paraId="75CF02B2" w14:textId="0F0B538B" w:rsidR="007F5048" w:rsidRPr="002606F3" w:rsidRDefault="007F5048" w:rsidP="002606F3">
      <w:pPr>
        <w:spacing w:before="100" w:beforeAutospacing="1" w:after="100" w:afterAutospacing="1" w:line="360" w:lineRule="auto"/>
        <w:rPr>
          <w:rFonts w:ascii="Arial" w:eastAsia="Times New Roman" w:hAnsi="Arial" w:cs="Arial"/>
          <w:kern w:val="36"/>
          <w14:ligatures w14:val="none"/>
        </w:rPr>
      </w:pPr>
      <w:r w:rsidRPr="002606F3">
        <w:rPr>
          <w:rFonts w:ascii="Arial" w:eastAsia="Times New Roman" w:hAnsi="Arial" w:cs="Arial"/>
          <w:kern w:val="36"/>
          <w14:ligatures w14:val="none"/>
        </w:rPr>
        <w:t xml:space="preserve">Performance pressure is one key issue. Argyris (1952) demonstrated that strict budget targets may create tension between organisational goals and managerial behaviour. In the Silver Stitch case, pressure to achieve sales targets may encourage managers to increase inventory levels </w:t>
      </w:r>
      <w:r w:rsidR="0019734C" w:rsidRPr="002606F3">
        <w:rPr>
          <w:rFonts w:ascii="Arial" w:eastAsia="Times New Roman" w:hAnsi="Arial" w:cs="Arial"/>
          <w:kern w:val="36"/>
          <w14:ligatures w14:val="none"/>
        </w:rPr>
        <w:t>to</w:t>
      </w:r>
      <w:r w:rsidRPr="002606F3">
        <w:rPr>
          <w:rFonts w:ascii="Arial" w:eastAsia="Times New Roman" w:hAnsi="Arial" w:cs="Arial"/>
          <w:kern w:val="36"/>
          <w14:ligatures w14:val="none"/>
        </w:rPr>
        <w:t xml:space="preserve"> avoid stock shortages.</w:t>
      </w:r>
    </w:p>
    <w:p w14:paraId="2B874266" w14:textId="35BD9B70" w:rsidR="007F5048" w:rsidRPr="002606F3" w:rsidRDefault="007F5048" w:rsidP="002606F3">
      <w:pPr>
        <w:spacing w:before="100" w:beforeAutospacing="1" w:after="100" w:afterAutospacing="1" w:line="360" w:lineRule="auto"/>
        <w:rPr>
          <w:rFonts w:ascii="Arial" w:eastAsia="Times New Roman" w:hAnsi="Arial" w:cs="Arial"/>
          <w:kern w:val="36"/>
          <w14:ligatures w14:val="none"/>
        </w:rPr>
      </w:pPr>
      <w:r w:rsidRPr="002606F3">
        <w:rPr>
          <w:rFonts w:ascii="Arial" w:eastAsia="Times New Roman" w:hAnsi="Arial" w:cs="Arial"/>
          <w:kern w:val="36"/>
          <w14:ligatures w14:val="none"/>
        </w:rPr>
        <w:t>Budgetary slack is another challenge. Young (1985) found that managers may deliberately adjust forecasts to increase their chances of meeting performance targets. Shields and Shields (1998) argue that budgeting behaviour is influenced by how participation and target setting are managed.</w:t>
      </w:r>
    </w:p>
    <w:p w14:paraId="68E768C8" w14:textId="506090FD" w:rsidR="007F5048" w:rsidRPr="002606F3" w:rsidRDefault="007F5048" w:rsidP="002606F3">
      <w:pPr>
        <w:spacing w:before="100" w:beforeAutospacing="1" w:after="100" w:afterAutospacing="1" w:line="360" w:lineRule="auto"/>
        <w:rPr>
          <w:rFonts w:ascii="Arial" w:eastAsia="Times New Roman" w:hAnsi="Arial" w:cs="Arial"/>
          <w:kern w:val="36"/>
          <w14:ligatures w14:val="none"/>
        </w:rPr>
      </w:pPr>
      <w:r w:rsidRPr="002606F3">
        <w:rPr>
          <w:rFonts w:ascii="Arial" w:eastAsia="Times New Roman" w:hAnsi="Arial" w:cs="Arial"/>
          <w:kern w:val="36"/>
          <w14:ligatures w14:val="none"/>
        </w:rPr>
        <w:t>Budgeting may also encourage short-term decision-making. Otley (1999) explains that performance systems should balance short-term financial targets with long-term strategic objectives. If managers prioritise short-term results, decisions may appear beneficial initially but create long-term financial risks.</w:t>
      </w:r>
    </w:p>
    <w:p w14:paraId="27BC4D7A" w14:textId="4090ABA1" w:rsidR="007F5048" w:rsidRPr="002606F3" w:rsidRDefault="007F5048" w:rsidP="002606F3">
      <w:pPr>
        <w:spacing w:before="100" w:beforeAutospacing="1" w:after="100" w:afterAutospacing="1" w:line="360" w:lineRule="auto"/>
        <w:rPr>
          <w:rFonts w:ascii="Arial" w:eastAsia="Times New Roman" w:hAnsi="Arial" w:cs="Arial"/>
          <w:kern w:val="36"/>
          <w14:ligatures w14:val="none"/>
        </w:rPr>
      </w:pPr>
      <w:r w:rsidRPr="002606F3">
        <w:rPr>
          <w:rFonts w:ascii="Arial" w:eastAsia="Times New Roman" w:hAnsi="Arial" w:cs="Arial"/>
          <w:kern w:val="36"/>
          <w14:ligatures w14:val="none"/>
        </w:rPr>
        <w:t>Organisational conflict may also occur when departments compete for limited resources. Merchant and Van der Stede (2017) note that budgeting negotiations often involve competing interests between departments. In the Silver Stitch case, differences between purchasing and sales managers regarding inventory levels could influence budgeting decisions and create operational inefficiencies.</w:t>
      </w:r>
    </w:p>
    <w:p w14:paraId="3A9679D1" w14:textId="45E0B411" w:rsidR="007F5048" w:rsidRPr="002606F3" w:rsidRDefault="007F5048" w:rsidP="002606F3">
      <w:pPr>
        <w:spacing w:before="100" w:beforeAutospacing="1" w:after="100" w:afterAutospacing="1" w:line="360" w:lineRule="auto"/>
        <w:rPr>
          <w:rFonts w:ascii="Arial" w:eastAsia="Times New Roman" w:hAnsi="Arial" w:cs="Arial"/>
          <w:kern w:val="36"/>
          <w14:ligatures w14:val="none"/>
        </w:rPr>
      </w:pPr>
      <w:r w:rsidRPr="002606F3">
        <w:rPr>
          <w:rFonts w:ascii="Arial" w:eastAsia="Times New Roman" w:hAnsi="Arial" w:cs="Arial"/>
          <w:kern w:val="36"/>
          <w14:ligatures w14:val="none"/>
        </w:rPr>
        <w:t>Budgeting systems may also affect motivation and learning. While financial targets can promote accountability, overly rigid targets may discourage initiative and reduce flexibility. Simons (2000) emphasises that management control systems should balance monitoring with managerial empowerment.</w:t>
      </w:r>
    </w:p>
    <w:p w14:paraId="6390F939" w14:textId="11F29BD3" w:rsidR="007F5048" w:rsidRPr="002606F3" w:rsidRDefault="007F5048" w:rsidP="002606F3">
      <w:pPr>
        <w:spacing w:before="100" w:beforeAutospacing="1" w:after="100" w:afterAutospacing="1" w:line="360" w:lineRule="auto"/>
        <w:rPr>
          <w:rFonts w:ascii="Arial" w:eastAsia="Times New Roman" w:hAnsi="Arial" w:cs="Arial"/>
          <w:kern w:val="36"/>
          <w14:ligatures w14:val="none"/>
        </w:rPr>
      </w:pPr>
      <w:r w:rsidRPr="002606F3">
        <w:rPr>
          <w:rFonts w:ascii="Arial" w:eastAsia="Times New Roman" w:hAnsi="Arial" w:cs="Arial"/>
          <w:kern w:val="36"/>
          <w14:ligatures w14:val="none"/>
        </w:rPr>
        <w:lastRenderedPageBreak/>
        <w:t>Information asymmetry is another potential issue. Simons (1995) emphasises that effective control systems require open communication so that decision-makers have access to accurate information.</w:t>
      </w:r>
    </w:p>
    <w:p w14:paraId="02C0FB16" w14:textId="4BB5ECE1" w:rsidR="003F7732" w:rsidRDefault="007F5048" w:rsidP="002606F3">
      <w:pPr>
        <w:spacing w:before="100" w:beforeAutospacing="1" w:after="100" w:afterAutospacing="1" w:line="360" w:lineRule="auto"/>
        <w:rPr>
          <w:rFonts w:ascii="Arial" w:eastAsia="Times New Roman" w:hAnsi="Arial" w:cs="Arial"/>
          <w:kern w:val="36"/>
          <w14:ligatures w14:val="none"/>
        </w:rPr>
      </w:pPr>
      <w:r w:rsidRPr="002606F3">
        <w:rPr>
          <w:rFonts w:ascii="Arial" w:eastAsia="Times New Roman" w:hAnsi="Arial" w:cs="Arial"/>
          <w:kern w:val="36"/>
          <w14:ligatures w14:val="none"/>
        </w:rPr>
        <w:t>Finally, rigid budgeting systems may reduce organisational learning. Libby and Lindsay (2010) argue that strict adherence to targets may discourage managers from adapting decisions when circumstances change. Simons (2000) therefore suggests that control systems should support strategic learning rather than simply enforcing compliance.</w:t>
      </w:r>
    </w:p>
    <w:p w14:paraId="68E7D92E" w14:textId="77777777" w:rsidR="00A47211" w:rsidRPr="002606F3" w:rsidRDefault="00A47211" w:rsidP="002606F3">
      <w:pPr>
        <w:spacing w:before="100" w:beforeAutospacing="1" w:after="100" w:afterAutospacing="1" w:line="360" w:lineRule="auto"/>
        <w:rPr>
          <w:rFonts w:ascii="Arial" w:eastAsia="Times New Roman" w:hAnsi="Arial" w:cs="Arial"/>
          <w:kern w:val="36"/>
          <w14:ligatures w14:val="none"/>
        </w:rPr>
      </w:pPr>
    </w:p>
    <w:p w14:paraId="56920A99" w14:textId="32FED73A" w:rsidR="00C865F5" w:rsidRDefault="005E775D" w:rsidP="005E775D">
      <w:pPr>
        <w:pStyle w:val="Heading2"/>
      </w:pPr>
      <w:bookmarkStart w:id="15" w:name="_Toc224808080"/>
      <w:r>
        <w:t xml:space="preserve">7. </w:t>
      </w:r>
      <w:r w:rsidR="00C865F5" w:rsidRPr="007208BD">
        <w:t>Critical Evaluation of Traditional Budgeting</w:t>
      </w:r>
      <w:bookmarkEnd w:id="15"/>
    </w:p>
    <w:p w14:paraId="7F280DA3" w14:textId="77777777" w:rsidR="007208BD" w:rsidRPr="007208BD" w:rsidRDefault="007208BD" w:rsidP="00F81C8A">
      <w:pPr>
        <w:rPr>
          <w:rFonts w:ascii="Arial" w:hAnsi="Arial" w:cs="Arial"/>
          <w:kern w:val="0"/>
          <w:sz w:val="28"/>
          <w:szCs w:val="28"/>
        </w:rPr>
      </w:pPr>
    </w:p>
    <w:p w14:paraId="0672E8C1" w14:textId="160F8DC0" w:rsidR="00C865F5" w:rsidRPr="00C865F5" w:rsidRDefault="00C865F5" w:rsidP="00D64C3F">
      <w:pPr>
        <w:spacing w:before="100" w:beforeAutospacing="1" w:after="100" w:afterAutospacing="1" w:line="360" w:lineRule="auto"/>
        <w:rPr>
          <w:rFonts w:ascii="Arial" w:hAnsi="Arial" w:cs="Arial"/>
          <w:kern w:val="0"/>
          <w14:ligatures w14:val="none"/>
        </w:rPr>
      </w:pPr>
      <w:r w:rsidRPr="004208D1">
        <w:rPr>
          <w:rFonts w:ascii="Arial" w:hAnsi="Arial" w:cs="Arial"/>
          <w:kern w:val="0"/>
          <w14:ligatures w14:val="none"/>
        </w:rPr>
        <w:t>Traditional budgeting has long been regarded as a central component of management accounting because it enables organisations to translate strategic objectives into financial plans. However</w:t>
      </w:r>
      <w:r w:rsidRPr="00C865F5">
        <w:rPr>
          <w:rFonts w:ascii="Arial" w:hAnsi="Arial" w:cs="Arial"/>
          <w:kern w:val="0"/>
          <w14:ligatures w14:val="none"/>
        </w:rPr>
        <w:t>, many researchers argue that traditional budgeting systems may be less effective in dynamic business environments.</w:t>
      </w:r>
    </w:p>
    <w:p w14:paraId="2661C640" w14:textId="12ECBA70" w:rsidR="00C865F5" w:rsidRPr="00C865F5" w:rsidRDefault="00C865F5" w:rsidP="00D64C3F">
      <w:pPr>
        <w:spacing w:before="100" w:beforeAutospacing="1" w:after="100" w:afterAutospacing="1" w:line="360" w:lineRule="auto"/>
        <w:rPr>
          <w:rFonts w:ascii="Arial" w:hAnsi="Arial" w:cs="Arial"/>
          <w:kern w:val="0"/>
          <w14:ligatures w14:val="none"/>
        </w:rPr>
      </w:pPr>
      <w:r w:rsidRPr="00C865F5">
        <w:rPr>
          <w:rFonts w:ascii="Arial" w:hAnsi="Arial" w:cs="Arial"/>
          <w:kern w:val="0"/>
          <w14:ligatures w14:val="none"/>
        </w:rPr>
        <w:t>One limitation of traditional budgeting is its reliance on fixed financial forecasts. Anthony and Govindarajan (2007) argue that static financial plans may reduce targets. Hope and Fraser (2003) similarly suggest that rigid budgeting systems may discourage responsiveness to changing market conditions.</w:t>
      </w:r>
    </w:p>
    <w:p w14:paraId="4737EDEC" w14:textId="77777777" w:rsidR="00A50134" w:rsidRDefault="00C865F5" w:rsidP="00A50134">
      <w:pPr>
        <w:spacing w:before="100" w:beforeAutospacing="1" w:after="100" w:afterAutospacing="1" w:line="360" w:lineRule="auto"/>
        <w:rPr>
          <w:rFonts w:ascii="Arial" w:hAnsi="Arial" w:cs="Arial"/>
          <w:kern w:val="0"/>
          <w14:ligatures w14:val="none"/>
        </w:rPr>
      </w:pPr>
      <w:r w:rsidRPr="00C865F5">
        <w:rPr>
          <w:rFonts w:ascii="Arial" w:hAnsi="Arial" w:cs="Arial"/>
          <w:kern w:val="0"/>
          <w14:ligatures w14:val="none"/>
        </w:rPr>
        <w:t>Traditional budgeting has also been criticised for focusing primarily on financial outcomes rather than operational drivers of performance. Johnson and Kaplan (1987) argue that conventional accounting systems may provide limited insight into operational activities that influence long-term competitiveness. Eccles (1991) therefore recommends integrating financial and non-financial performance measures.</w:t>
      </w:r>
    </w:p>
    <w:p w14:paraId="715CA0EE" w14:textId="3141DFEA" w:rsidR="00361918" w:rsidRPr="00A50134" w:rsidRDefault="00C865F5" w:rsidP="00A50134">
      <w:pPr>
        <w:spacing w:before="100" w:beforeAutospacing="1" w:after="100" w:afterAutospacing="1" w:line="360" w:lineRule="auto"/>
        <w:rPr>
          <w:rFonts w:ascii="Arial" w:hAnsi="Arial" w:cs="Arial"/>
          <w:kern w:val="0"/>
          <w14:ligatures w14:val="none"/>
        </w:rPr>
      </w:pPr>
      <w:r w:rsidRPr="00C865F5">
        <w:rPr>
          <w:rFonts w:ascii="Arial" w:eastAsia="Times New Roman" w:hAnsi="Arial" w:cs="Arial"/>
          <w:color w:val="111111"/>
          <w:kern w:val="0"/>
          <w14:ligatures w14:val="none"/>
        </w:rPr>
        <w:t>Otley (1999) also highlights that budgeting forms a key element of organisational performance management systems because it links planning, control and performance evaluation.</w:t>
      </w:r>
    </w:p>
    <w:p w14:paraId="08B7B41E" w14:textId="3460BA86" w:rsidR="00C865F5" w:rsidRPr="00C865F5" w:rsidRDefault="00C865F5" w:rsidP="00361918">
      <w:pPr>
        <w:pStyle w:val="p1"/>
        <w:spacing w:line="360" w:lineRule="auto"/>
        <w:rPr>
          <w:rFonts w:ascii="Arial" w:hAnsi="Arial" w:cs="Arial"/>
        </w:rPr>
      </w:pPr>
      <w:r w:rsidRPr="00C865F5">
        <w:rPr>
          <w:rStyle w:val="s1"/>
          <w:rFonts w:ascii="Arial" w:hAnsi="Arial" w:cs="Arial"/>
        </w:rPr>
        <w:lastRenderedPageBreak/>
        <w:t>Strategic management research also emphasises the importance of aligning financial planning with competitive strategy. Porter (1985) argues that organisations must ensure that internal planning systems support long-term competitive positioning rather than focusing exclusively on short-term financial targets. If budgeting processes concentrate only on financial outcomes, managers may overlook operational decisions that are necessary to sustain long-term strategic performance.</w:t>
      </w:r>
    </w:p>
    <w:p w14:paraId="405CE444" w14:textId="7DE067A4" w:rsidR="00C865F5" w:rsidRPr="00C865F5" w:rsidRDefault="00C865F5" w:rsidP="00D64C3F">
      <w:pPr>
        <w:spacing w:before="100" w:beforeAutospacing="1" w:after="100" w:afterAutospacing="1" w:line="360" w:lineRule="auto"/>
        <w:rPr>
          <w:rFonts w:ascii="Arial" w:hAnsi="Arial" w:cs="Arial"/>
          <w:kern w:val="0"/>
          <w14:ligatures w14:val="none"/>
        </w:rPr>
      </w:pPr>
      <w:r w:rsidRPr="00C865F5">
        <w:rPr>
          <w:rFonts w:ascii="Arial" w:hAnsi="Arial" w:cs="Arial"/>
          <w:kern w:val="0"/>
          <w14:ligatures w14:val="none"/>
        </w:rPr>
        <w:t>Another criticism concerns the administrative burden of traditional budgeting. Wallander (1999) argues that organisations often devote substantial time to preparing budgets that quickly become outdated.</w:t>
      </w:r>
    </w:p>
    <w:p w14:paraId="12A462A0" w14:textId="4768438E" w:rsidR="00361918" w:rsidRPr="00361918" w:rsidRDefault="00C865F5" w:rsidP="00361918">
      <w:pPr>
        <w:spacing w:after="0" w:line="360" w:lineRule="auto"/>
        <w:rPr>
          <w:rFonts w:ascii="Arial" w:eastAsia="Times New Roman" w:hAnsi="Arial" w:cs="Arial"/>
          <w:color w:val="111111"/>
          <w:kern w:val="0"/>
          <w14:ligatures w14:val="none"/>
        </w:rPr>
      </w:pPr>
      <w:r w:rsidRPr="00C865F5">
        <w:rPr>
          <w:rFonts w:ascii="Arial" w:eastAsia="Times New Roman" w:hAnsi="Arial" w:cs="Arial"/>
          <w:color w:val="111111"/>
          <w:kern w:val="0"/>
          <w14:ligatures w14:val="none"/>
        </w:rPr>
        <w:t>Libby and Lindsay (2010) similarly found that many organisations consider traditional budgeting processes excessively time-consuming and increasingly unsuitable for rapidly changing business environments.</w:t>
      </w:r>
    </w:p>
    <w:p w14:paraId="0BFCDDB3" w14:textId="05F4779B" w:rsidR="00C865F5" w:rsidRPr="00C865F5" w:rsidRDefault="00C865F5" w:rsidP="00D64C3F">
      <w:pPr>
        <w:spacing w:before="100" w:beforeAutospacing="1" w:after="100" w:afterAutospacing="1" w:line="360" w:lineRule="auto"/>
        <w:rPr>
          <w:rFonts w:ascii="Arial" w:hAnsi="Arial" w:cs="Arial"/>
          <w:kern w:val="0"/>
          <w14:ligatures w14:val="none"/>
        </w:rPr>
      </w:pPr>
      <w:r w:rsidRPr="00C865F5">
        <w:rPr>
          <w:rFonts w:ascii="Arial" w:hAnsi="Arial" w:cs="Arial"/>
          <w:kern w:val="0"/>
          <w14:ligatures w14:val="none"/>
        </w:rPr>
        <w:t xml:space="preserve">Alternative approaches have therefore been proposed. </w:t>
      </w:r>
      <w:proofErr w:type="spellStart"/>
      <w:r w:rsidRPr="00C865F5">
        <w:rPr>
          <w:rFonts w:ascii="Arial" w:hAnsi="Arial" w:cs="Arial"/>
          <w:kern w:val="0"/>
          <w14:ligatures w14:val="none"/>
        </w:rPr>
        <w:t>Bogsnes</w:t>
      </w:r>
      <w:proofErr w:type="spellEnd"/>
      <w:r w:rsidRPr="00C865F5">
        <w:rPr>
          <w:rFonts w:ascii="Arial" w:hAnsi="Arial" w:cs="Arial"/>
          <w:kern w:val="0"/>
          <w14:ligatures w14:val="none"/>
        </w:rPr>
        <w:t xml:space="preserve"> (2009) advocates the concept of Beyond Budgeting, which emphasises decentralised decision-making and flexible performance management. Ekholm and Wallin (2000) highlight the benefits of rolling forecasts, which allow financial projections to be updated regularly. </w:t>
      </w:r>
      <w:proofErr w:type="spellStart"/>
      <w:r w:rsidRPr="00C865F5">
        <w:rPr>
          <w:rFonts w:ascii="Arial" w:hAnsi="Arial" w:cs="Arial"/>
          <w:kern w:val="0"/>
          <w14:ligatures w14:val="none"/>
        </w:rPr>
        <w:t>Pyhrr</w:t>
      </w:r>
      <w:proofErr w:type="spellEnd"/>
      <w:r w:rsidRPr="00C865F5">
        <w:rPr>
          <w:rFonts w:ascii="Arial" w:hAnsi="Arial" w:cs="Arial"/>
          <w:kern w:val="0"/>
          <w14:ligatures w14:val="none"/>
        </w:rPr>
        <w:t xml:space="preserve"> (1970) introduced zero-based budgeting, which requires managers to justify expenditures from the beginning of each budgeting cycle. Cooper and Kaplan (1998) also suggest that activity-focused planning can improve resource allocation by linking budgets more closely to operational cost drivers. Abernethy and Brownell (1999) further demonstrate that organisations facing strategic change benefit from control systems that encourage flexibility.</w:t>
      </w:r>
    </w:p>
    <w:p w14:paraId="35C01DB6" w14:textId="77777777" w:rsidR="008F3920" w:rsidRDefault="00C865F5" w:rsidP="008F3920">
      <w:pPr>
        <w:spacing w:before="100" w:beforeAutospacing="1" w:after="100" w:afterAutospacing="1" w:line="360" w:lineRule="auto"/>
        <w:rPr>
          <w:rFonts w:ascii="Arial" w:hAnsi="Arial" w:cs="Arial"/>
          <w:kern w:val="0"/>
          <w14:ligatures w14:val="none"/>
        </w:rPr>
      </w:pPr>
      <w:r w:rsidRPr="00C865F5">
        <w:rPr>
          <w:rFonts w:ascii="Arial" w:hAnsi="Arial" w:cs="Arial"/>
          <w:kern w:val="0"/>
          <w14:ligatures w14:val="none"/>
        </w:rPr>
        <w:t>Despite these criticisms, traditional budgeting continues to provide value because it supports financial control and organisational coordination. Hansen, Otley and Van der Stede (2003) argue that the challenge is not to abandon budgeting but to adapt it so that it remains relevant in dynamic environments</w:t>
      </w:r>
      <w:r w:rsidR="00361918">
        <w:rPr>
          <w:rFonts w:ascii="Arial" w:hAnsi="Arial" w:cs="Arial"/>
          <w:kern w:val="0"/>
          <w14:ligatures w14:val="none"/>
        </w:rPr>
        <w:t>.</w:t>
      </w:r>
    </w:p>
    <w:p w14:paraId="35502E85" w14:textId="2357142B" w:rsidR="00A0492C" w:rsidRDefault="00C865F5" w:rsidP="00A0492C">
      <w:pPr>
        <w:spacing w:before="100" w:beforeAutospacing="1" w:after="100" w:afterAutospacing="1" w:line="360" w:lineRule="auto"/>
        <w:rPr>
          <w:rFonts w:ascii="Arial" w:eastAsia="Times New Roman" w:hAnsi="Arial" w:cs="Arial"/>
          <w:color w:val="111111"/>
          <w:kern w:val="0"/>
          <w14:ligatures w14:val="none"/>
        </w:rPr>
      </w:pPr>
      <w:r w:rsidRPr="00C865F5">
        <w:rPr>
          <w:rFonts w:ascii="Arial" w:eastAsia="Times New Roman" w:hAnsi="Arial" w:cs="Arial"/>
          <w:color w:val="111111"/>
          <w:kern w:val="0"/>
          <w14:ligatures w14:val="none"/>
        </w:rPr>
        <w:t xml:space="preserve">For Silver Stitch Ltd, combining traditional budgeting with more flexible planning tools such as rolling forecasts could improve financial decision-making and reduce the operational risks identified earlier in the report. This approach would allow management to update sales forecasts more frequently and adjust purchasing </w:t>
      </w:r>
      <w:r w:rsidR="00361918" w:rsidRPr="00C865F5">
        <w:rPr>
          <w:rFonts w:ascii="Arial" w:eastAsia="Times New Roman" w:hAnsi="Arial" w:cs="Arial"/>
          <w:color w:val="111111"/>
          <w:kern w:val="0"/>
          <w14:ligatures w14:val="none"/>
        </w:rPr>
        <w:lastRenderedPageBreak/>
        <w:t>decisions,</w:t>
      </w:r>
      <w:r w:rsidRPr="00C865F5">
        <w:rPr>
          <w:rFonts w:ascii="Arial" w:eastAsia="Times New Roman" w:hAnsi="Arial" w:cs="Arial"/>
          <w:color w:val="111111"/>
          <w:kern w:val="0"/>
          <w14:ligatures w14:val="none"/>
        </w:rPr>
        <w:t xml:space="preserve"> accordingly, reducing the risk of excessive inventory accumulation and improving working capital efficiency</w:t>
      </w:r>
      <w:r w:rsidR="003F3B6E">
        <w:rPr>
          <w:rFonts w:ascii="Arial" w:eastAsia="Times New Roman" w:hAnsi="Arial" w:cs="Arial"/>
          <w:color w:val="111111"/>
          <w:kern w:val="0"/>
          <w14:ligatures w14:val="none"/>
        </w:rPr>
        <w:t>.</w:t>
      </w:r>
    </w:p>
    <w:p w14:paraId="41182E0D" w14:textId="77777777" w:rsidR="00A0492C" w:rsidRDefault="00A0492C" w:rsidP="00A0492C">
      <w:pPr>
        <w:spacing w:before="100" w:beforeAutospacing="1" w:after="100" w:afterAutospacing="1" w:line="360" w:lineRule="auto"/>
        <w:rPr>
          <w:rFonts w:ascii="Arial" w:eastAsia="Times New Roman" w:hAnsi="Arial" w:cs="Arial"/>
          <w:color w:val="111111"/>
          <w:kern w:val="0"/>
          <w14:ligatures w14:val="none"/>
        </w:rPr>
      </w:pPr>
    </w:p>
    <w:p w14:paraId="5D7FC7A4" w14:textId="77777777" w:rsidR="00A0492C" w:rsidRDefault="00A0492C" w:rsidP="00A0492C">
      <w:pPr>
        <w:pStyle w:val="Heading2"/>
      </w:pPr>
    </w:p>
    <w:p w14:paraId="7CB97D60" w14:textId="77777777" w:rsidR="00F41573" w:rsidRDefault="00F41573" w:rsidP="00F41573"/>
    <w:p w14:paraId="25537C04" w14:textId="77777777" w:rsidR="00F41573" w:rsidRPr="00F41573" w:rsidRDefault="00F41573" w:rsidP="00F41573"/>
    <w:p w14:paraId="3D6C9AB1" w14:textId="77777777" w:rsidR="00A0492C" w:rsidRDefault="00A0492C" w:rsidP="00A0492C">
      <w:pPr>
        <w:pStyle w:val="Heading2"/>
      </w:pPr>
    </w:p>
    <w:p w14:paraId="1D2FB0EB" w14:textId="77777777" w:rsidR="00A0492C" w:rsidRDefault="00A0492C" w:rsidP="00A0492C">
      <w:pPr>
        <w:pStyle w:val="Heading2"/>
      </w:pPr>
    </w:p>
    <w:p w14:paraId="0A16CCF6" w14:textId="77777777" w:rsidR="00A0492C" w:rsidRDefault="00A0492C" w:rsidP="00A0492C">
      <w:pPr>
        <w:pStyle w:val="Heading2"/>
      </w:pPr>
    </w:p>
    <w:p w14:paraId="0455E935" w14:textId="77777777" w:rsidR="00F41573" w:rsidRDefault="00F41573" w:rsidP="00E1613B">
      <w:pPr>
        <w:pStyle w:val="Heading1"/>
      </w:pPr>
      <w:bookmarkStart w:id="16" w:name="_Toc224743683"/>
    </w:p>
    <w:p w14:paraId="47C285D5" w14:textId="77777777" w:rsidR="00F41573" w:rsidRDefault="00F41573" w:rsidP="00F41573"/>
    <w:p w14:paraId="4D03E537" w14:textId="77777777" w:rsidR="00F41573" w:rsidRDefault="00F41573" w:rsidP="00F41573"/>
    <w:p w14:paraId="47F4BFBA" w14:textId="77777777" w:rsidR="00F41573" w:rsidRDefault="00F41573" w:rsidP="00F41573"/>
    <w:p w14:paraId="34A1E44B" w14:textId="77777777" w:rsidR="00F41573" w:rsidRDefault="00F41573" w:rsidP="00F41573"/>
    <w:p w14:paraId="78E17139" w14:textId="77777777" w:rsidR="00F41573" w:rsidRPr="00F41573" w:rsidRDefault="00F41573" w:rsidP="00F41573"/>
    <w:p w14:paraId="07FE2D8F" w14:textId="77777777" w:rsidR="00382ECE" w:rsidRDefault="00382ECE" w:rsidP="00E1613B">
      <w:pPr>
        <w:pStyle w:val="Heading1"/>
      </w:pPr>
    </w:p>
    <w:p w14:paraId="07CBFDEE" w14:textId="77777777" w:rsidR="00382ECE" w:rsidRDefault="00382ECE" w:rsidP="00E1613B">
      <w:pPr>
        <w:pStyle w:val="Heading1"/>
      </w:pPr>
    </w:p>
    <w:p w14:paraId="7097EF48" w14:textId="77777777" w:rsidR="00382ECE" w:rsidRDefault="00382ECE" w:rsidP="00E1613B">
      <w:pPr>
        <w:pStyle w:val="Heading1"/>
      </w:pPr>
    </w:p>
    <w:p w14:paraId="5B2B8A30" w14:textId="77777777" w:rsidR="00382ECE" w:rsidRDefault="00382ECE" w:rsidP="00E1613B">
      <w:pPr>
        <w:pStyle w:val="Heading1"/>
      </w:pPr>
    </w:p>
    <w:p w14:paraId="7C3A9525" w14:textId="77777777" w:rsidR="00382ECE" w:rsidRDefault="00382ECE" w:rsidP="00382ECE">
      <w:pPr>
        <w:pStyle w:val="Heading1"/>
      </w:pPr>
    </w:p>
    <w:p w14:paraId="1ACA9882" w14:textId="77777777" w:rsidR="00051597" w:rsidRPr="00051597" w:rsidRDefault="00051597" w:rsidP="00051597"/>
    <w:p w14:paraId="45409532" w14:textId="36191B56" w:rsidR="00382ECE" w:rsidRPr="00382ECE" w:rsidRDefault="00864FCE" w:rsidP="00382ECE">
      <w:pPr>
        <w:pStyle w:val="Heading1"/>
      </w:pPr>
      <w:bookmarkStart w:id="17" w:name="_Toc224808081"/>
      <w:r>
        <w:lastRenderedPageBreak/>
        <w:t>Conclusion</w:t>
      </w:r>
      <w:bookmarkEnd w:id="16"/>
      <w:bookmarkEnd w:id="17"/>
      <w:r>
        <w:t xml:space="preserve"> </w:t>
      </w:r>
    </w:p>
    <w:p w14:paraId="7558E1E5" w14:textId="77777777" w:rsidR="00864FCE" w:rsidRDefault="00864FCE" w:rsidP="00C12A98">
      <w:pPr>
        <w:spacing w:line="360" w:lineRule="auto"/>
      </w:pPr>
    </w:p>
    <w:p w14:paraId="55FEC595" w14:textId="77777777" w:rsidR="00382ECE" w:rsidRDefault="00382ECE" w:rsidP="00C12A98">
      <w:pPr>
        <w:spacing w:line="360" w:lineRule="auto"/>
        <w:rPr>
          <w:rFonts w:ascii="Arial" w:hAnsi="Arial" w:cs="Arial"/>
        </w:rPr>
      </w:pPr>
    </w:p>
    <w:p w14:paraId="35C9289D" w14:textId="17ADD622" w:rsidR="008B5242" w:rsidRPr="00C12A98" w:rsidRDefault="008B5242" w:rsidP="00C12A98">
      <w:pPr>
        <w:spacing w:line="360" w:lineRule="auto"/>
        <w:rPr>
          <w:rFonts w:ascii="Arial" w:hAnsi="Arial" w:cs="Arial"/>
        </w:rPr>
      </w:pPr>
      <w:r w:rsidRPr="00C12A98">
        <w:rPr>
          <w:rFonts w:ascii="Arial" w:hAnsi="Arial" w:cs="Arial"/>
        </w:rPr>
        <w:t>This report evaluated the financial forecasts for Silver Stitch Ltd by analysing the stock budget, cash budget and budgeted profit and loss statement for the six-month planning period. The analysis shows that budgeting remains an important management accounting tool because it helps organisations translate operational plans into financial forecasts. It allows managers to anticipate financial challenges, allocate resources and monitor expected performance.</w:t>
      </w:r>
    </w:p>
    <w:p w14:paraId="7293B140" w14:textId="4CE32D25" w:rsidR="008B5242" w:rsidRPr="00C12A98" w:rsidRDefault="008B5242" w:rsidP="00C12A98">
      <w:pPr>
        <w:spacing w:line="360" w:lineRule="auto"/>
        <w:rPr>
          <w:rFonts w:ascii="Arial" w:hAnsi="Arial" w:cs="Arial"/>
        </w:rPr>
      </w:pPr>
      <w:r w:rsidRPr="00C12A98">
        <w:rPr>
          <w:rFonts w:ascii="Arial" w:hAnsi="Arial" w:cs="Arial"/>
        </w:rPr>
        <w:t xml:space="preserve">The forecasts indicate that Silver Stitch Ltd is expected to achieve a positive level of profitability. The projected gross profit margin suggests that the company’s pricing strategy and cost structure can generate favourable returns. However, analysis </w:t>
      </w:r>
      <w:r w:rsidR="005267E9">
        <w:rPr>
          <w:rFonts w:ascii="Arial" w:hAnsi="Arial" w:cs="Arial"/>
        </w:rPr>
        <w:t xml:space="preserve">of the budget </w:t>
      </w:r>
      <w:r w:rsidRPr="00C12A98">
        <w:rPr>
          <w:rFonts w:ascii="Arial" w:hAnsi="Arial" w:cs="Arial"/>
        </w:rPr>
        <w:t>identifies several operational and financial risks that could affe</w:t>
      </w:r>
      <w:r w:rsidR="00791D9D">
        <w:rPr>
          <w:rFonts w:ascii="Arial" w:hAnsi="Arial" w:cs="Arial"/>
        </w:rPr>
        <w:t xml:space="preserve">ct </w:t>
      </w:r>
      <w:r w:rsidRPr="00C12A98">
        <w:rPr>
          <w:rFonts w:ascii="Arial" w:hAnsi="Arial" w:cs="Arial"/>
        </w:rPr>
        <w:t xml:space="preserve">stability if not </w:t>
      </w:r>
      <w:r w:rsidR="0035058B">
        <w:rPr>
          <w:rFonts w:ascii="Arial" w:hAnsi="Arial" w:cs="Arial"/>
        </w:rPr>
        <w:t>addressed</w:t>
      </w:r>
      <w:r w:rsidRPr="00C12A98">
        <w:rPr>
          <w:rFonts w:ascii="Arial" w:hAnsi="Arial" w:cs="Arial"/>
        </w:rPr>
        <w:t>.</w:t>
      </w:r>
    </w:p>
    <w:p w14:paraId="5C34C9DB" w14:textId="0474C460" w:rsidR="008B5242" w:rsidRPr="00C12A98" w:rsidRDefault="008B5242" w:rsidP="00C12A98">
      <w:pPr>
        <w:spacing w:line="360" w:lineRule="auto"/>
        <w:rPr>
          <w:rFonts w:ascii="Arial" w:hAnsi="Arial" w:cs="Arial"/>
        </w:rPr>
      </w:pPr>
      <w:r w:rsidRPr="00C12A98">
        <w:rPr>
          <w:rFonts w:ascii="Arial" w:hAnsi="Arial" w:cs="Arial"/>
        </w:rPr>
        <w:t>The stock budget shows a continuous increase in inventory levels, suggesting that purchasing decisions may not fully match realistic demand. In fashion retail, where product life cycles are short, excess inventory can create financial pressure if goods remain unsold and require price reductions to clear stock. At the same time, the cash budget shows significant outflows related to inventory purchases, operating costs and store refurbishment. This may place pressure on liquidity despite forecast profitability.</w:t>
      </w:r>
    </w:p>
    <w:p w14:paraId="18089DED" w14:textId="42CD4F41" w:rsidR="008B5242" w:rsidRPr="00C12A98" w:rsidRDefault="008B5242" w:rsidP="00C12A98">
      <w:pPr>
        <w:spacing w:line="360" w:lineRule="auto"/>
        <w:rPr>
          <w:rFonts w:ascii="Arial" w:hAnsi="Arial" w:cs="Arial"/>
        </w:rPr>
      </w:pPr>
      <w:r w:rsidRPr="00C12A98">
        <w:rPr>
          <w:rFonts w:ascii="Arial" w:hAnsi="Arial" w:cs="Arial"/>
        </w:rPr>
        <w:t>The analysis also shows that budgeting results are influenced not only by financial calculations but also by managerial behaviour and organisational processes. Issues such as performance pressure, budgetary slack and short-term decision-making may weaken the effectiveness of budgeting systems.</w:t>
      </w:r>
    </w:p>
    <w:p w14:paraId="0388418A" w14:textId="1D560111" w:rsidR="008B5242" w:rsidRPr="00C12A98" w:rsidRDefault="008B5242" w:rsidP="00C12A98">
      <w:pPr>
        <w:spacing w:line="360" w:lineRule="auto"/>
        <w:rPr>
          <w:rFonts w:ascii="Arial" w:hAnsi="Arial" w:cs="Arial"/>
        </w:rPr>
      </w:pPr>
      <w:r w:rsidRPr="00C12A98">
        <w:rPr>
          <w:rFonts w:ascii="Arial" w:hAnsi="Arial" w:cs="Arial"/>
        </w:rPr>
        <w:t>Traditional budgeting systems may also struggle to respond to rapidly changing market conditions. In fashion retail, where customer preferences change quickly, organisations may benefit from combining traditional budgeting with more flexible planning approaches.</w:t>
      </w:r>
    </w:p>
    <w:p w14:paraId="4A265B60" w14:textId="090F9219" w:rsidR="008B5242" w:rsidRPr="00C12A98" w:rsidRDefault="008B5242" w:rsidP="00C12A98">
      <w:pPr>
        <w:spacing w:line="360" w:lineRule="auto"/>
        <w:rPr>
          <w:rFonts w:ascii="Arial" w:hAnsi="Arial" w:cs="Arial"/>
        </w:rPr>
      </w:pPr>
      <w:r w:rsidRPr="00C12A98">
        <w:rPr>
          <w:rFonts w:ascii="Arial" w:hAnsi="Arial" w:cs="Arial"/>
        </w:rPr>
        <w:lastRenderedPageBreak/>
        <w:t>Overall, budgeting remains a valuable management accounting tool for Silver Stitch Ltd. However, its effectiveness depends on realistic forecasting, coordination between departments and managers’ ability to adapt financial plans when conditions change.</w:t>
      </w:r>
    </w:p>
    <w:p w14:paraId="3C8C91C4" w14:textId="77777777" w:rsidR="00D736A9" w:rsidRDefault="008B5242" w:rsidP="00C12A98">
      <w:pPr>
        <w:spacing w:line="360" w:lineRule="auto"/>
        <w:rPr>
          <w:rFonts w:ascii="Arial" w:hAnsi="Arial" w:cs="Arial"/>
        </w:rPr>
      </w:pPr>
      <w:r w:rsidRPr="00C12A98">
        <w:rPr>
          <w:rFonts w:ascii="Arial" w:hAnsi="Arial" w:cs="Arial"/>
        </w:rPr>
        <w:t>Based on the analysis, management should improve demand forecasting, strengthen inventory control, enhance coordination between sales and purchasing and monitor liquidity more closely.</w:t>
      </w:r>
    </w:p>
    <w:p w14:paraId="567C7207" w14:textId="23778DED" w:rsidR="00A04EB2" w:rsidRDefault="008B5242" w:rsidP="00C12A98">
      <w:pPr>
        <w:spacing w:line="360" w:lineRule="auto"/>
        <w:rPr>
          <w:rFonts w:ascii="Arial" w:hAnsi="Arial" w:cs="Arial"/>
        </w:rPr>
      </w:pPr>
      <w:r w:rsidRPr="00C12A98">
        <w:rPr>
          <w:rFonts w:ascii="Arial" w:hAnsi="Arial" w:cs="Arial"/>
        </w:rPr>
        <w:t>Rather than abandoning traditional budgeting, a hybrid approach combining structured financial planning with tools such as rolling forecasts may provide a more effective solution. This would allow management to update demand forecasts more frequently, adjust purchasing decisions and reduce inventory accumulation while improving working capital efficiency.</w:t>
      </w:r>
    </w:p>
    <w:p w14:paraId="0138FB00" w14:textId="77777777" w:rsidR="00CF4F31" w:rsidRDefault="00CF4F31" w:rsidP="00C12A98">
      <w:pPr>
        <w:spacing w:line="360" w:lineRule="auto"/>
        <w:rPr>
          <w:rFonts w:ascii="Arial" w:hAnsi="Arial" w:cs="Arial"/>
        </w:rPr>
      </w:pPr>
    </w:p>
    <w:p w14:paraId="1FC71810" w14:textId="77777777" w:rsidR="00CF4F31" w:rsidRDefault="00CF4F31" w:rsidP="00C12A98">
      <w:pPr>
        <w:spacing w:line="360" w:lineRule="auto"/>
        <w:rPr>
          <w:rFonts w:ascii="Arial" w:hAnsi="Arial" w:cs="Arial"/>
        </w:rPr>
      </w:pPr>
    </w:p>
    <w:p w14:paraId="05D0C8EE" w14:textId="77777777" w:rsidR="00CF4F31" w:rsidRDefault="00CF4F31" w:rsidP="00C12A98">
      <w:pPr>
        <w:spacing w:line="360" w:lineRule="auto"/>
        <w:rPr>
          <w:rFonts w:ascii="Arial" w:hAnsi="Arial" w:cs="Arial"/>
        </w:rPr>
      </w:pPr>
    </w:p>
    <w:p w14:paraId="1053C7B7" w14:textId="77777777" w:rsidR="003D6970" w:rsidRDefault="003D6970" w:rsidP="00CF4F31">
      <w:pPr>
        <w:pStyle w:val="Heading2"/>
      </w:pPr>
    </w:p>
    <w:p w14:paraId="1671C66F" w14:textId="5F5091E9" w:rsidR="00CF4F31" w:rsidRDefault="00CF4F31" w:rsidP="00CF4F31">
      <w:pPr>
        <w:pStyle w:val="Heading2"/>
      </w:pPr>
    </w:p>
    <w:p w14:paraId="30EDF752" w14:textId="77777777" w:rsidR="00F93E14" w:rsidRDefault="00F93E14" w:rsidP="00F93E14"/>
    <w:p w14:paraId="0D076D93" w14:textId="77777777" w:rsidR="00F93E14" w:rsidRDefault="00F93E14" w:rsidP="00F93E14"/>
    <w:p w14:paraId="29BDF901" w14:textId="77777777" w:rsidR="00F93E14" w:rsidRDefault="00F93E14" w:rsidP="00F93E14"/>
    <w:p w14:paraId="28303B91" w14:textId="77777777" w:rsidR="00F93E14" w:rsidRDefault="00F93E14" w:rsidP="00F93E14"/>
    <w:p w14:paraId="46973651" w14:textId="77777777" w:rsidR="00F93E14" w:rsidRDefault="00F93E14" w:rsidP="00F93E14"/>
    <w:p w14:paraId="00ACA443" w14:textId="77777777" w:rsidR="00F93E14" w:rsidRDefault="00F93E14" w:rsidP="00F93E14"/>
    <w:p w14:paraId="293AA654" w14:textId="77777777" w:rsidR="00F93E14" w:rsidRDefault="00F93E14" w:rsidP="00F93E14"/>
    <w:p w14:paraId="3BC126B4" w14:textId="77777777" w:rsidR="00F93E14" w:rsidRDefault="00F93E14" w:rsidP="00F93E14"/>
    <w:p w14:paraId="3CC58670" w14:textId="77777777" w:rsidR="00F93E14" w:rsidRPr="00F93E14" w:rsidRDefault="00F93E14" w:rsidP="00F93E14"/>
    <w:p w14:paraId="5170D4B1" w14:textId="77777777" w:rsidR="003D6970" w:rsidRDefault="003D6970" w:rsidP="003D6970"/>
    <w:p w14:paraId="3DD1333E" w14:textId="6160C877" w:rsidR="00492047" w:rsidRDefault="00492047" w:rsidP="00E1613B">
      <w:pPr>
        <w:pStyle w:val="Heading1"/>
      </w:pPr>
      <w:bookmarkStart w:id="18" w:name="_Toc224743684"/>
      <w:bookmarkStart w:id="19" w:name="_Toc224808082"/>
      <w:r>
        <w:lastRenderedPageBreak/>
        <w:t>References</w:t>
      </w:r>
      <w:bookmarkEnd w:id="18"/>
      <w:bookmarkEnd w:id="19"/>
      <w:r>
        <w:t xml:space="preserve"> </w:t>
      </w:r>
    </w:p>
    <w:p w14:paraId="652D8F2B" w14:textId="77777777" w:rsidR="00304A75" w:rsidRPr="00304A75" w:rsidRDefault="00304A75" w:rsidP="00304A75"/>
    <w:p w14:paraId="756A3383" w14:textId="77777777" w:rsidR="00492047" w:rsidRDefault="00492047" w:rsidP="001744F8"/>
    <w:p w14:paraId="0F52A627" w14:textId="7C22252F" w:rsidR="001744F8" w:rsidRPr="00883B4C" w:rsidRDefault="00A55D2D" w:rsidP="00883B4C">
      <w:pPr>
        <w:pStyle w:val="ListParagraph"/>
        <w:numPr>
          <w:ilvl w:val="0"/>
          <w:numId w:val="13"/>
        </w:numPr>
        <w:spacing w:line="360" w:lineRule="auto"/>
        <w:rPr>
          <w:rFonts w:ascii="Arial" w:hAnsi="Arial" w:cs="Arial"/>
        </w:rPr>
      </w:pPr>
      <w:r>
        <w:t xml:space="preserve">      </w:t>
      </w:r>
      <w:r w:rsidR="00883B4C">
        <w:t xml:space="preserve"> </w:t>
      </w:r>
      <w:r w:rsidR="001744F8" w:rsidRPr="00883B4C">
        <w:rPr>
          <w:rFonts w:ascii="Arial" w:hAnsi="Arial" w:cs="Arial"/>
        </w:rPr>
        <w:t xml:space="preserve">Abernethy, M.A. and Brownell, P. (1999) </w:t>
      </w:r>
      <w:r w:rsidR="007C5441" w:rsidRPr="00883B4C">
        <w:rPr>
          <w:rFonts w:ascii="Arial" w:hAnsi="Arial" w:cs="Arial"/>
        </w:rPr>
        <w:t>“</w:t>
      </w:r>
      <w:r w:rsidR="001744F8" w:rsidRPr="00883B4C">
        <w:rPr>
          <w:rFonts w:ascii="Arial" w:hAnsi="Arial" w:cs="Arial"/>
        </w:rPr>
        <w:t>The role of budgets in organisations facing strategic change</w:t>
      </w:r>
      <w:r w:rsidR="007811B6" w:rsidRPr="00883B4C">
        <w:rPr>
          <w:rFonts w:ascii="Arial" w:hAnsi="Arial" w:cs="Arial"/>
        </w:rPr>
        <w:t>”, Accounting</w:t>
      </w:r>
      <w:r w:rsidR="001744F8" w:rsidRPr="00883B4C">
        <w:rPr>
          <w:rFonts w:ascii="Arial" w:hAnsi="Arial" w:cs="Arial"/>
          <w:i/>
          <w:iCs/>
        </w:rPr>
        <w:t>, Organi</w:t>
      </w:r>
      <w:r w:rsidR="00C61F95" w:rsidRPr="00883B4C">
        <w:rPr>
          <w:rFonts w:ascii="Arial" w:hAnsi="Arial" w:cs="Arial"/>
          <w:i/>
          <w:iCs/>
        </w:rPr>
        <w:t>sat</w:t>
      </w:r>
      <w:r w:rsidR="001744F8" w:rsidRPr="00883B4C">
        <w:rPr>
          <w:rFonts w:ascii="Arial" w:hAnsi="Arial" w:cs="Arial"/>
          <w:i/>
          <w:iCs/>
        </w:rPr>
        <w:t>ions and Society</w:t>
      </w:r>
      <w:r w:rsidR="001744F8" w:rsidRPr="00883B4C">
        <w:rPr>
          <w:rFonts w:ascii="Arial" w:hAnsi="Arial" w:cs="Arial"/>
        </w:rPr>
        <w:t xml:space="preserve">, 24(3), pp.189–204. </w:t>
      </w:r>
    </w:p>
    <w:p w14:paraId="610539FF" w14:textId="2955CE16" w:rsidR="00306527" w:rsidRPr="00883B4C" w:rsidRDefault="004F1AC5" w:rsidP="00883B4C">
      <w:pPr>
        <w:spacing w:line="360" w:lineRule="auto"/>
        <w:jc w:val="both"/>
        <w:rPr>
          <w:rFonts w:ascii="Arial" w:hAnsi="Arial" w:cs="Arial"/>
        </w:rPr>
      </w:pPr>
      <w:r w:rsidRPr="00883B4C">
        <w:rPr>
          <w:rFonts w:ascii="Arial" w:hAnsi="Arial" w:cs="Arial"/>
        </w:rPr>
        <w:t xml:space="preserve">                   </w:t>
      </w:r>
      <w:hyperlink r:id="rId12" w:history="1">
        <w:r w:rsidRPr="00883B4C">
          <w:rPr>
            <w:rStyle w:val="Hyperlink"/>
            <w:rFonts w:ascii="Arial" w:hAnsi="Arial" w:cs="Arial"/>
          </w:rPr>
          <w:t>https://doi.org./10.1016/S0361-3682(98)00046-7</w:t>
        </w:r>
      </w:hyperlink>
    </w:p>
    <w:p w14:paraId="6F09B453" w14:textId="77777777" w:rsidR="004C0AA4" w:rsidRPr="00883B4C" w:rsidRDefault="004C0AA4" w:rsidP="00883B4C">
      <w:pPr>
        <w:pStyle w:val="ListParagraph"/>
        <w:spacing w:line="360" w:lineRule="auto"/>
        <w:ind w:left="1080"/>
        <w:rPr>
          <w:rFonts w:ascii="Arial" w:hAnsi="Arial" w:cs="Arial"/>
        </w:rPr>
      </w:pPr>
    </w:p>
    <w:p w14:paraId="70BCE94D" w14:textId="77777777" w:rsidR="001744F8" w:rsidRPr="00883B4C" w:rsidRDefault="001744F8" w:rsidP="00883B4C">
      <w:pPr>
        <w:spacing w:line="360" w:lineRule="auto"/>
        <w:rPr>
          <w:rFonts w:ascii="Arial" w:hAnsi="Arial" w:cs="Arial"/>
        </w:rPr>
      </w:pPr>
      <w:r w:rsidRPr="00883B4C">
        <w:rPr>
          <w:rFonts w:ascii="Arial" w:hAnsi="Arial" w:cs="Arial"/>
        </w:rPr>
        <w:t>2.</w:t>
      </w:r>
      <w:r w:rsidRPr="00883B4C">
        <w:rPr>
          <w:rFonts w:ascii="Arial" w:hAnsi="Arial" w:cs="Arial"/>
        </w:rPr>
        <w:tab/>
        <w:t xml:space="preserve">Anthony, R.N. and Govindarajan, V. (2007) </w:t>
      </w:r>
      <w:r w:rsidRPr="00883B4C">
        <w:rPr>
          <w:rFonts w:ascii="Arial" w:hAnsi="Arial" w:cs="Arial"/>
          <w:i/>
          <w:iCs/>
        </w:rPr>
        <w:t>Management Control Systems</w:t>
      </w:r>
      <w:r w:rsidRPr="00883B4C">
        <w:rPr>
          <w:rFonts w:ascii="Arial" w:hAnsi="Arial" w:cs="Arial"/>
        </w:rPr>
        <w:t>. 12th ed. Boston: McGraw-Hill.</w:t>
      </w:r>
    </w:p>
    <w:p w14:paraId="1A4F2596" w14:textId="77777777" w:rsidR="001744F8" w:rsidRPr="00883B4C" w:rsidRDefault="001744F8" w:rsidP="00883B4C">
      <w:pPr>
        <w:spacing w:line="360" w:lineRule="auto"/>
        <w:rPr>
          <w:rFonts w:ascii="Arial" w:hAnsi="Arial" w:cs="Arial"/>
          <w:i/>
          <w:iCs/>
        </w:rPr>
      </w:pPr>
      <w:r w:rsidRPr="00883B4C">
        <w:rPr>
          <w:rFonts w:ascii="Arial" w:hAnsi="Arial" w:cs="Arial"/>
        </w:rPr>
        <w:t>3.</w:t>
      </w:r>
      <w:r w:rsidRPr="00883B4C">
        <w:rPr>
          <w:rFonts w:ascii="Arial" w:hAnsi="Arial" w:cs="Arial"/>
        </w:rPr>
        <w:tab/>
        <w:t xml:space="preserve">Anthony, R.N., Hawkins, D.F. and Merchant, K.A. (2014) </w:t>
      </w:r>
      <w:r w:rsidRPr="00883B4C">
        <w:rPr>
          <w:rFonts w:ascii="Arial" w:hAnsi="Arial" w:cs="Arial"/>
          <w:i/>
          <w:iCs/>
        </w:rPr>
        <w:t xml:space="preserve">Accounting: Text and Cases. </w:t>
      </w:r>
      <w:r w:rsidRPr="00883B4C">
        <w:rPr>
          <w:rFonts w:ascii="Arial" w:hAnsi="Arial" w:cs="Arial"/>
        </w:rPr>
        <w:t>13th ed. New York: McGraw-Hill Education</w:t>
      </w:r>
      <w:r w:rsidRPr="00883B4C">
        <w:rPr>
          <w:rFonts w:ascii="Arial" w:hAnsi="Arial" w:cs="Arial"/>
          <w:i/>
          <w:iCs/>
        </w:rPr>
        <w:t>.</w:t>
      </w:r>
    </w:p>
    <w:p w14:paraId="6961B3A5" w14:textId="77777777" w:rsidR="001744F8" w:rsidRPr="00883B4C" w:rsidRDefault="001744F8" w:rsidP="00883B4C">
      <w:pPr>
        <w:spacing w:line="360" w:lineRule="auto"/>
        <w:rPr>
          <w:rFonts w:ascii="Arial" w:hAnsi="Arial" w:cs="Arial"/>
        </w:rPr>
      </w:pPr>
      <w:r w:rsidRPr="00883B4C">
        <w:rPr>
          <w:rFonts w:ascii="Arial" w:hAnsi="Arial" w:cs="Arial"/>
        </w:rPr>
        <w:t>4.</w:t>
      </w:r>
      <w:r w:rsidRPr="00883B4C">
        <w:rPr>
          <w:rFonts w:ascii="Arial" w:hAnsi="Arial" w:cs="Arial"/>
        </w:rPr>
        <w:tab/>
        <w:t xml:space="preserve">Argyris, C. (1952) </w:t>
      </w:r>
      <w:r w:rsidRPr="00883B4C">
        <w:rPr>
          <w:rFonts w:ascii="Arial" w:hAnsi="Arial" w:cs="Arial"/>
          <w:i/>
          <w:iCs/>
        </w:rPr>
        <w:t>The Impact of Budgets on People</w:t>
      </w:r>
      <w:r w:rsidRPr="00883B4C">
        <w:rPr>
          <w:rFonts w:ascii="Arial" w:hAnsi="Arial" w:cs="Arial"/>
        </w:rPr>
        <w:t>. New York: Controllership Foundation.</w:t>
      </w:r>
    </w:p>
    <w:p w14:paraId="6435BE12" w14:textId="77777777" w:rsidR="001744F8" w:rsidRPr="00883B4C" w:rsidRDefault="001744F8" w:rsidP="00883B4C">
      <w:pPr>
        <w:spacing w:line="360" w:lineRule="auto"/>
        <w:rPr>
          <w:rFonts w:ascii="Arial" w:hAnsi="Arial" w:cs="Arial"/>
        </w:rPr>
      </w:pPr>
      <w:r w:rsidRPr="00883B4C">
        <w:rPr>
          <w:rFonts w:ascii="Arial" w:hAnsi="Arial" w:cs="Arial"/>
        </w:rPr>
        <w:t>5.</w:t>
      </w:r>
      <w:r w:rsidRPr="00883B4C">
        <w:rPr>
          <w:rFonts w:ascii="Arial" w:hAnsi="Arial" w:cs="Arial"/>
        </w:rPr>
        <w:tab/>
        <w:t xml:space="preserve">Arnold, G. (2013) </w:t>
      </w:r>
      <w:r w:rsidRPr="00883B4C">
        <w:rPr>
          <w:rFonts w:ascii="Arial" w:hAnsi="Arial" w:cs="Arial"/>
          <w:i/>
          <w:iCs/>
        </w:rPr>
        <w:t>Corporate Financial Managemen</w:t>
      </w:r>
      <w:r w:rsidRPr="00883B4C">
        <w:rPr>
          <w:rFonts w:ascii="Arial" w:hAnsi="Arial" w:cs="Arial"/>
        </w:rPr>
        <w:t>t. 5th ed. Harlow: Pearson.</w:t>
      </w:r>
    </w:p>
    <w:p w14:paraId="7CC99F6A" w14:textId="77777777" w:rsidR="001744F8" w:rsidRPr="00883B4C" w:rsidRDefault="001744F8" w:rsidP="00883B4C">
      <w:pPr>
        <w:spacing w:line="360" w:lineRule="auto"/>
        <w:rPr>
          <w:rFonts w:ascii="Arial" w:hAnsi="Arial" w:cs="Arial"/>
        </w:rPr>
      </w:pPr>
      <w:r w:rsidRPr="00883B4C">
        <w:rPr>
          <w:rFonts w:ascii="Arial" w:hAnsi="Arial" w:cs="Arial"/>
        </w:rPr>
        <w:t>6.</w:t>
      </w:r>
      <w:r w:rsidRPr="00883B4C">
        <w:rPr>
          <w:rFonts w:ascii="Arial" w:hAnsi="Arial" w:cs="Arial"/>
        </w:rPr>
        <w:tab/>
      </w:r>
      <w:proofErr w:type="spellStart"/>
      <w:r w:rsidRPr="00883B4C">
        <w:rPr>
          <w:rFonts w:ascii="Arial" w:hAnsi="Arial" w:cs="Arial"/>
        </w:rPr>
        <w:t>Atrill</w:t>
      </w:r>
      <w:proofErr w:type="spellEnd"/>
      <w:r w:rsidRPr="00883B4C">
        <w:rPr>
          <w:rFonts w:ascii="Arial" w:hAnsi="Arial" w:cs="Arial"/>
        </w:rPr>
        <w:t xml:space="preserve">, P. and McLaney, E. (2021) </w:t>
      </w:r>
      <w:r w:rsidRPr="00883B4C">
        <w:rPr>
          <w:rFonts w:ascii="Arial" w:hAnsi="Arial" w:cs="Arial"/>
          <w:i/>
          <w:iCs/>
        </w:rPr>
        <w:t>Management Accounting for Decision Makers</w:t>
      </w:r>
      <w:r w:rsidRPr="00883B4C">
        <w:rPr>
          <w:rFonts w:ascii="Arial" w:hAnsi="Arial" w:cs="Arial"/>
        </w:rPr>
        <w:t>. 10th ed. Harlow: Pearson.</w:t>
      </w:r>
    </w:p>
    <w:p w14:paraId="5DF58E68" w14:textId="77777777" w:rsidR="001744F8" w:rsidRPr="00883B4C" w:rsidRDefault="001744F8" w:rsidP="00883B4C">
      <w:pPr>
        <w:spacing w:line="360" w:lineRule="auto"/>
        <w:rPr>
          <w:rFonts w:ascii="Arial" w:hAnsi="Arial" w:cs="Arial"/>
        </w:rPr>
      </w:pPr>
      <w:r w:rsidRPr="00883B4C">
        <w:rPr>
          <w:rFonts w:ascii="Arial" w:hAnsi="Arial" w:cs="Arial"/>
        </w:rPr>
        <w:t>7.</w:t>
      </w:r>
      <w:r w:rsidRPr="00883B4C">
        <w:rPr>
          <w:rFonts w:ascii="Arial" w:hAnsi="Arial" w:cs="Arial"/>
        </w:rPr>
        <w:tab/>
      </w:r>
      <w:proofErr w:type="spellStart"/>
      <w:r w:rsidRPr="00883B4C">
        <w:rPr>
          <w:rFonts w:ascii="Arial" w:hAnsi="Arial" w:cs="Arial"/>
        </w:rPr>
        <w:t>Bogsnes</w:t>
      </w:r>
      <w:proofErr w:type="spellEnd"/>
      <w:r w:rsidRPr="00883B4C">
        <w:rPr>
          <w:rFonts w:ascii="Arial" w:hAnsi="Arial" w:cs="Arial"/>
        </w:rPr>
        <w:t xml:space="preserve">, B. (2009) </w:t>
      </w:r>
      <w:r w:rsidRPr="00883B4C">
        <w:rPr>
          <w:rFonts w:ascii="Arial" w:hAnsi="Arial" w:cs="Arial"/>
          <w:i/>
          <w:iCs/>
        </w:rPr>
        <w:t>Implementing Beyond Budgeting</w:t>
      </w:r>
      <w:r w:rsidRPr="00883B4C">
        <w:rPr>
          <w:rFonts w:ascii="Arial" w:hAnsi="Arial" w:cs="Arial"/>
        </w:rPr>
        <w:t>: Unlocking the Performance Potential. Hoboken: Wiley.</w:t>
      </w:r>
    </w:p>
    <w:p w14:paraId="30651103" w14:textId="77777777" w:rsidR="001744F8" w:rsidRPr="00883B4C" w:rsidRDefault="001744F8" w:rsidP="00883B4C">
      <w:pPr>
        <w:spacing w:line="360" w:lineRule="auto"/>
        <w:rPr>
          <w:rFonts w:ascii="Arial" w:hAnsi="Arial" w:cs="Arial"/>
        </w:rPr>
      </w:pPr>
      <w:r w:rsidRPr="00883B4C">
        <w:rPr>
          <w:rFonts w:ascii="Arial" w:hAnsi="Arial" w:cs="Arial"/>
        </w:rPr>
        <w:t>8.</w:t>
      </w:r>
      <w:r w:rsidRPr="00883B4C">
        <w:rPr>
          <w:rFonts w:ascii="Arial" w:hAnsi="Arial" w:cs="Arial"/>
        </w:rPr>
        <w:tab/>
        <w:t xml:space="preserve">Brealey, R.A., Myers, S.C. and Allen, F. (2020) </w:t>
      </w:r>
      <w:r w:rsidRPr="00883B4C">
        <w:rPr>
          <w:rFonts w:ascii="Arial" w:hAnsi="Arial" w:cs="Arial"/>
          <w:i/>
          <w:iCs/>
        </w:rPr>
        <w:t>Principles of Corporate Finance</w:t>
      </w:r>
      <w:r w:rsidRPr="00883B4C">
        <w:rPr>
          <w:rFonts w:ascii="Arial" w:hAnsi="Arial" w:cs="Arial"/>
        </w:rPr>
        <w:t>. 13th ed. New York: McGraw-Hill Education.</w:t>
      </w:r>
    </w:p>
    <w:p w14:paraId="304A62C7" w14:textId="77777777" w:rsidR="001744F8" w:rsidRPr="00883B4C" w:rsidRDefault="001744F8" w:rsidP="00883B4C">
      <w:pPr>
        <w:spacing w:line="360" w:lineRule="auto"/>
        <w:rPr>
          <w:rFonts w:ascii="Arial" w:hAnsi="Arial" w:cs="Arial"/>
        </w:rPr>
      </w:pPr>
      <w:r w:rsidRPr="00883B4C">
        <w:rPr>
          <w:rFonts w:ascii="Arial" w:hAnsi="Arial" w:cs="Arial"/>
        </w:rPr>
        <w:t>9.</w:t>
      </w:r>
      <w:r w:rsidRPr="00883B4C">
        <w:rPr>
          <w:rFonts w:ascii="Arial" w:hAnsi="Arial" w:cs="Arial"/>
        </w:rPr>
        <w:tab/>
        <w:t xml:space="preserve">Brigham, E.F. and Ehrhardt, M.C. (2017) </w:t>
      </w:r>
      <w:r w:rsidRPr="00883B4C">
        <w:rPr>
          <w:rFonts w:ascii="Arial" w:hAnsi="Arial" w:cs="Arial"/>
          <w:i/>
          <w:iCs/>
        </w:rPr>
        <w:t>Financial Management: Theory and Practice.</w:t>
      </w:r>
      <w:r w:rsidRPr="00883B4C">
        <w:rPr>
          <w:rFonts w:ascii="Arial" w:hAnsi="Arial" w:cs="Arial"/>
        </w:rPr>
        <w:t xml:space="preserve"> 15th ed. Boston: Cengage Learning.</w:t>
      </w:r>
    </w:p>
    <w:p w14:paraId="30BC3919" w14:textId="399C40E1" w:rsidR="001744F8" w:rsidRPr="00883B4C" w:rsidRDefault="001744F8" w:rsidP="00883B4C">
      <w:pPr>
        <w:spacing w:line="360" w:lineRule="auto"/>
        <w:rPr>
          <w:rFonts w:ascii="Arial" w:hAnsi="Arial" w:cs="Arial"/>
        </w:rPr>
      </w:pPr>
      <w:r w:rsidRPr="00883B4C">
        <w:rPr>
          <w:rFonts w:ascii="Arial" w:hAnsi="Arial" w:cs="Arial"/>
        </w:rPr>
        <w:t>10.</w:t>
      </w:r>
      <w:r w:rsidRPr="00883B4C">
        <w:rPr>
          <w:rFonts w:ascii="Arial" w:hAnsi="Arial" w:cs="Arial"/>
        </w:rPr>
        <w:tab/>
        <w:t xml:space="preserve">Brownell, P. (1982) </w:t>
      </w:r>
      <w:r w:rsidR="003971EA" w:rsidRPr="00883B4C">
        <w:rPr>
          <w:rFonts w:ascii="Arial" w:hAnsi="Arial" w:cs="Arial"/>
        </w:rPr>
        <w:t>“</w:t>
      </w:r>
      <w:r w:rsidRPr="00883B4C">
        <w:rPr>
          <w:rFonts w:ascii="Arial" w:hAnsi="Arial" w:cs="Arial"/>
        </w:rPr>
        <w:t>Participation in the budgeting process: When it works and when it doesn’t</w:t>
      </w:r>
      <w:r w:rsidR="003971EA" w:rsidRPr="00883B4C">
        <w:rPr>
          <w:rFonts w:ascii="Arial" w:hAnsi="Arial" w:cs="Arial"/>
        </w:rPr>
        <w:t>”</w:t>
      </w:r>
      <w:r w:rsidRPr="00883B4C">
        <w:rPr>
          <w:rFonts w:ascii="Arial" w:hAnsi="Arial" w:cs="Arial"/>
        </w:rPr>
        <w:t xml:space="preserve">. </w:t>
      </w:r>
      <w:r w:rsidRPr="00883B4C">
        <w:rPr>
          <w:rFonts w:ascii="Arial" w:hAnsi="Arial" w:cs="Arial"/>
          <w:i/>
          <w:iCs/>
        </w:rPr>
        <w:t>Journal of Accounting Literature</w:t>
      </w:r>
      <w:r w:rsidRPr="00883B4C">
        <w:rPr>
          <w:rFonts w:ascii="Arial" w:hAnsi="Arial" w:cs="Arial"/>
        </w:rPr>
        <w:t>, 1, pp.124–153.</w:t>
      </w:r>
    </w:p>
    <w:p w14:paraId="3FE72E87" w14:textId="77777777" w:rsidR="001744F8" w:rsidRPr="00883B4C" w:rsidRDefault="001744F8" w:rsidP="00883B4C">
      <w:pPr>
        <w:spacing w:line="360" w:lineRule="auto"/>
        <w:rPr>
          <w:rFonts w:ascii="Arial" w:hAnsi="Arial" w:cs="Arial"/>
        </w:rPr>
      </w:pPr>
      <w:r w:rsidRPr="00883B4C">
        <w:rPr>
          <w:rFonts w:ascii="Arial" w:hAnsi="Arial" w:cs="Arial"/>
        </w:rPr>
        <w:t>11.</w:t>
      </w:r>
      <w:r w:rsidRPr="00883B4C">
        <w:rPr>
          <w:rFonts w:ascii="Arial" w:hAnsi="Arial" w:cs="Arial"/>
        </w:rPr>
        <w:tab/>
        <w:t xml:space="preserve">Christopher, M. (2016) </w:t>
      </w:r>
      <w:r w:rsidRPr="00883B4C">
        <w:rPr>
          <w:rFonts w:ascii="Arial" w:hAnsi="Arial" w:cs="Arial"/>
          <w:i/>
          <w:iCs/>
        </w:rPr>
        <w:t>Logistics and Supply Chain Management</w:t>
      </w:r>
      <w:r w:rsidRPr="00883B4C">
        <w:rPr>
          <w:rFonts w:ascii="Arial" w:hAnsi="Arial" w:cs="Arial"/>
        </w:rPr>
        <w:t>. 5th ed. Harlow: Pearson.</w:t>
      </w:r>
    </w:p>
    <w:p w14:paraId="22F0BE99" w14:textId="77777777" w:rsidR="001744F8" w:rsidRPr="00883B4C" w:rsidRDefault="001744F8" w:rsidP="00883B4C">
      <w:pPr>
        <w:spacing w:line="360" w:lineRule="auto"/>
        <w:rPr>
          <w:rFonts w:ascii="Arial" w:hAnsi="Arial" w:cs="Arial"/>
        </w:rPr>
      </w:pPr>
      <w:r w:rsidRPr="00883B4C">
        <w:rPr>
          <w:rFonts w:ascii="Arial" w:hAnsi="Arial" w:cs="Arial"/>
        </w:rPr>
        <w:lastRenderedPageBreak/>
        <w:t>12.</w:t>
      </w:r>
      <w:r w:rsidRPr="00883B4C">
        <w:rPr>
          <w:rFonts w:ascii="Arial" w:hAnsi="Arial" w:cs="Arial"/>
        </w:rPr>
        <w:tab/>
        <w:t xml:space="preserve">Cooper, R. and Kaplan, R.S. (1998) </w:t>
      </w:r>
      <w:r w:rsidRPr="00883B4C">
        <w:rPr>
          <w:rFonts w:ascii="Arial" w:hAnsi="Arial" w:cs="Arial"/>
          <w:i/>
          <w:iCs/>
        </w:rPr>
        <w:t>Cost and Effect: Using Integrated Cost Systems to Drive Profitability and Performance.</w:t>
      </w:r>
      <w:r w:rsidRPr="00883B4C">
        <w:rPr>
          <w:rFonts w:ascii="Arial" w:hAnsi="Arial" w:cs="Arial"/>
        </w:rPr>
        <w:t xml:space="preserve"> Boston: Harvard Business School Press.</w:t>
      </w:r>
    </w:p>
    <w:p w14:paraId="08CCA6FD" w14:textId="77777777" w:rsidR="001744F8" w:rsidRPr="00883B4C" w:rsidRDefault="001744F8" w:rsidP="00883B4C">
      <w:pPr>
        <w:spacing w:line="360" w:lineRule="auto"/>
        <w:rPr>
          <w:rFonts w:ascii="Arial" w:hAnsi="Arial" w:cs="Arial"/>
        </w:rPr>
      </w:pPr>
      <w:r w:rsidRPr="00883B4C">
        <w:rPr>
          <w:rFonts w:ascii="Arial" w:hAnsi="Arial" w:cs="Arial"/>
        </w:rPr>
        <w:t>13.</w:t>
      </w:r>
      <w:r w:rsidRPr="00883B4C">
        <w:rPr>
          <w:rFonts w:ascii="Arial" w:hAnsi="Arial" w:cs="Arial"/>
        </w:rPr>
        <w:tab/>
        <w:t xml:space="preserve">Dyson, J.R. and Franklin, E. (2020) </w:t>
      </w:r>
      <w:r w:rsidRPr="00883B4C">
        <w:rPr>
          <w:rFonts w:ascii="Arial" w:hAnsi="Arial" w:cs="Arial"/>
          <w:i/>
          <w:iCs/>
        </w:rPr>
        <w:t>Accounting for Non-Accounting Students</w:t>
      </w:r>
      <w:r w:rsidRPr="00883B4C">
        <w:rPr>
          <w:rFonts w:ascii="Arial" w:hAnsi="Arial" w:cs="Arial"/>
        </w:rPr>
        <w:t>. 10th ed. Harlow: Pearson.</w:t>
      </w:r>
    </w:p>
    <w:p w14:paraId="2E2EDC40" w14:textId="62994524" w:rsidR="001744F8" w:rsidRPr="00883B4C" w:rsidRDefault="001744F8" w:rsidP="00883B4C">
      <w:pPr>
        <w:spacing w:line="360" w:lineRule="auto"/>
        <w:rPr>
          <w:rFonts w:ascii="Arial" w:hAnsi="Arial" w:cs="Arial"/>
        </w:rPr>
      </w:pPr>
      <w:r w:rsidRPr="00883B4C">
        <w:rPr>
          <w:rFonts w:ascii="Arial" w:hAnsi="Arial" w:cs="Arial"/>
        </w:rPr>
        <w:t>14.</w:t>
      </w:r>
      <w:r w:rsidRPr="00883B4C">
        <w:rPr>
          <w:rFonts w:ascii="Arial" w:hAnsi="Arial" w:cs="Arial"/>
        </w:rPr>
        <w:tab/>
        <w:t xml:space="preserve">Eccles, R.G. (1991) </w:t>
      </w:r>
      <w:r w:rsidR="00711182" w:rsidRPr="00883B4C">
        <w:rPr>
          <w:rFonts w:ascii="Arial" w:hAnsi="Arial" w:cs="Arial"/>
        </w:rPr>
        <w:t>“</w:t>
      </w:r>
      <w:r w:rsidRPr="00883B4C">
        <w:rPr>
          <w:rFonts w:ascii="Arial" w:hAnsi="Arial" w:cs="Arial"/>
        </w:rPr>
        <w:t>The performance measurement manifesto</w:t>
      </w:r>
      <w:r w:rsidR="00711182" w:rsidRPr="00883B4C">
        <w:rPr>
          <w:rFonts w:ascii="Arial" w:hAnsi="Arial" w:cs="Arial"/>
        </w:rPr>
        <w:t>”</w:t>
      </w:r>
      <w:r w:rsidRPr="00883B4C">
        <w:rPr>
          <w:rFonts w:ascii="Arial" w:hAnsi="Arial" w:cs="Arial"/>
        </w:rPr>
        <w:t xml:space="preserve">. </w:t>
      </w:r>
      <w:r w:rsidRPr="00883B4C">
        <w:rPr>
          <w:rFonts w:ascii="Arial" w:hAnsi="Arial" w:cs="Arial"/>
          <w:i/>
          <w:iCs/>
        </w:rPr>
        <w:t xml:space="preserve">Harvard Business Review, </w:t>
      </w:r>
      <w:r w:rsidRPr="00883B4C">
        <w:rPr>
          <w:rFonts w:ascii="Arial" w:hAnsi="Arial" w:cs="Arial"/>
        </w:rPr>
        <w:t>69(1), pp.131–137.</w:t>
      </w:r>
    </w:p>
    <w:p w14:paraId="56C460C2" w14:textId="3792E597" w:rsidR="001744F8" w:rsidRPr="00883B4C" w:rsidRDefault="001744F8" w:rsidP="00883B4C">
      <w:pPr>
        <w:spacing w:line="360" w:lineRule="auto"/>
        <w:rPr>
          <w:rFonts w:ascii="Arial" w:hAnsi="Arial" w:cs="Arial"/>
        </w:rPr>
      </w:pPr>
      <w:r w:rsidRPr="00883B4C">
        <w:rPr>
          <w:rFonts w:ascii="Arial" w:hAnsi="Arial" w:cs="Arial"/>
        </w:rPr>
        <w:t>15.</w:t>
      </w:r>
      <w:r w:rsidRPr="00883B4C">
        <w:rPr>
          <w:rFonts w:ascii="Arial" w:hAnsi="Arial" w:cs="Arial"/>
        </w:rPr>
        <w:tab/>
        <w:t xml:space="preserve">Ekholm, B. and Wallin, J. (2000) </w:t>
      </w:r>
      <w:r w:rsidR="0063763F" w:rsidRPr="00883B4C">
        <w:rPr>
          <w:rFonts w:ascii="Arial" w:hAnsi="Arial" w:cs="Arial"/>
        </w:rPr>
        <w:t>“</w:t>
      </w:r>
      <w:r w:rsidRPr="00883B4C">
        <w:rPr>
          <w:rFonts w:ascii="Arial" w:hAnsi="Arial" w:cs="Arial"/>
        </w:rPr>
        <w:t>Is the annual budget really dead?</w:t>
      </w:r>
      <w:r w:rsidR="0063763F" w:rsidRPr="00883B4C">
        <w:rPr>
          <w:rFonts w:ascii="Arial" w:hAnsi="Arial" w:cs="Arial"/>
        </w:rPr>
        <w:t>”</w:t>
      </w:r>
      <w:r w:rsidRPr="00883B4C">
        <w:rPr>
          <w:rFonts w:ascii="Arial" w:hAnsi="Arial" w:cs="Arial"/>
        </w:rPr>
        <w:t xml:space="preserve"> </w:t>
      </w:r>
      <w:r w:rsidRPr="00883B4C">
        <w:rPr>
          <w:rFonts w:ascii="Arial" w:hAnsi="Arial" w:cs="Arial"/>
          <w:i/>
          <w:iCs/>
        </w:rPr>
        <w:t>European Accounting Review</w:t>
      </w:r>
      <w:r w:rsidR="0063763F" w:rsidRPr="00883B4C">
        <w:rPr>
          <w:rFonts w:ascii="Arial" w:hAnsi="Arial" w:cs="Arial"/>
          <w:i/>
          <w:iCs/>
        </w:rPr>
        <w:t>,</w:t>
      </w:r>
      <w:r w:rsidRPr="00883B4C">
        <w:rPr>
          <w:rFonts w:ascii="Arial" w:hAnsi="Arial" w:cs="Arial"/>
          <w:i/>
          <w:iCs/>
        </w:rPr>
        <w:t xml:space="preserve"> </w:t>
      </w:r>
      <w:r w:rsidRPr="00883B4C">
        <w:rPr>
          <w:rFonts w:ascii="Arial" w:hAnsi="Arial" w:cs="Arial"/>
        </w:rPr>
        <w:t>9(4), pp.519–539.</w:t>
      </w:r>
      <w:r w:rsidR="00B854CB" w:rsidRPr="00883B4C">
        <w:rPr>
          <w:rFonts w:ascii="Arial" w:hAnsi="Arial" w:cs="Arial"/>
        </w:rPr>
        <w:t xml:space="preserve">       </w:t>
      </w:r>
      <w:hyperlink r:id="rId13" w:history="1">
        <w:r w:rsidR="00CF2885" w:rsidRPr="00883B4C">
          <w:rPr>
            <w:rStyle w:val="Hyperlink"/>
            <w:rFonts w:ascii="Arial" w:hAnsi="Arial" w:cs="Arial"/>
          </w:rPr>
          <w:t>https://doi.org/10.1080/09638180020024007</w:t>
        </w:r>
      </w:hyperlink>
      <w:r w:rsidR="00CF2885" w:rsidRPr="00883B4C">
        <w:rPr>
          <w:rFonts w:ascii="Arial" w:hAnsi="Arial" w:cs="Arial"/>
        </w:rPr>
        <w:t xml:space="preserve"> </w:t>
      </w:r>
    </w:p>
    <w:p w14:paraId="46C0E6B1" w14:textId="77777777" w:rsidR="001744F8" w:rsidRPr="00883B4C" w:rsidRDefault="001744F8" w:rsidP="00883B4C">
      <w:pPr>
        <w:spacing w:line="360" w:lineRule="auto"/>
        <w:rPr>
          <w:rFonts w:ascii="Arial" w:hAnsi="Arial" w:cs="Arial"/>
        </w:rPr>
      </w:pPr>
      <w:r w:rsidRPr="00883B4C">
        <w:rPr>
          <w:rFonts w:ascii="Arial" w:hAnsi="Arial" w:cs="Arial"/>
        </w:rPr>
        <w:t>16.</w:t>
      </w:r>
      <w:r w:rsidRPr="00883B4C">
        <w:rPr>
          <w:rFonts w:ascii="Arial" w:hAnsi="Arial" w:cs="Arial"/>
        </w:rPr>
        <w:tab/>
        <w:t xml:space="preserve">Garrison, R.H., Noreen, E.W. and Brewer, P.C. (2018) </w:t>
      </w:r>
      <w:r w:rsidRPr="00883B4C">
        <w:rPr>
          <w:rFonts w:ascii="Arial" w:hAnsi="Arial" w:cs="Arial"/>
          <w:i/>
          <w:iCs/>
        </w:rPr>
        <w:t>Managerial Accounting</w:t>
      </w:r>
      <w:r w:rsidRPr="00883B4C">
        <w:rPr>
          <w:rFonts w:ascii="Arial" w:hAnsi="Arial" w:cs="Arial"/>
        </w:rPr>
        <w:t>. 16th ed. New York: McGraw-Hill Education.</w:t>
      </w:r>
    </w:p>
    <w:p w14:paraId="715EE392" w14:textId="77777777" w:rsidR="001744F8" w:rsidRPr="00883B4C" w:rsidRDefault="001744F8" w:rsidP="00883B4C">
      <w:pPr>
        <w:spacing w:line="360" w:lineRule="auto"/>
        <w:rPr>
          <w:rFonts w:ascii="Arial" w:hAnsi="Arial" w:cs="Arial"/>
        </w:rPr>
      </w:pPr>
      <w:r w:rsidRPr="00883B4C">
        <w:rPr>
          <w:rFonts w:ascii="Arial" w:hAnsi="Arial" w:cs="Arial"/>
        </w:rPr>
        <w:t>17.</w:t>
      </w:r>
      <w:r w:rsidRPr="00883B4C">
        <w:rPr>
          <w:rFonts w:ascii="Arial" w:hAnsi="Arial" w:cs="Arial"/>
        </w:rPr>
        <w:tab/>
        <w:t xml:space="preserve">Hansen, D.R., Mowen, M.M. and Heitger, D.L. (2015) </w:t>
      </w:r>
      <w:r w:rsidRPr="00883B4C">
        <w:rPr>
          <w:rFonts w:ascii="Arial" w:hAnsi="Arial" w:cs="Arial"/>
          <w:i/>
          <w:iCs/>
        </w:rPr>
        <w:t>Cornerstones of Managerial Accounting</w:t>
      </w:r>
      <w:r w:rsidRPr="00883B4C">
        <w:rPr>
          <w:rFonts w:ascii="Arial" w:hAnsi="Arial" w:cs="Arial"/>
        </w:rPr>
        <w:t>. 5th ed. Boston: Cengage Learning.</w:t>
      </w:r>
    </w:p>
    <w:p w14:paraId="3372E47A" w14:textId="08B2C360" w:rsidR="00D14473" w:rsidRPr="00883B4C" w:rsidRDefault="001744F8" w:rsidP="00883B4C">
      <w:pPr>
        <w:spacing w:line="360" w:lineRule="auto"/>
        <w:rPr>
          <w:rFonts w:ascii="Arial" w:hAnsi="Arial" w:cs="Arial"/>
        </w:rPr>
      </w:pPr>
      <w:r w:rsidRPr="00883B4C">
        <w:rPr>
          <w:rFonts w:ascii="Arial" w:hAnsi="Arial" w:cs="Arial"/>
        </w:rPr>
        <w:t>18.</w:t>
      </w:r>
      <w:r w:rsidRPr="00883B4C">
        <w:rPr>
          <w:rFonts w:ascii="Arial" w:hAnsi="Arial" w:cs="Arial"/>
        </w:rPr>
        <w:tab/>
        <w:t xml:space="preserve">Hansen, S.C., Otley, D.T. and Van der Stede, W.A. (2003) </w:t>
      </w:r>
      <w:r w:rsidR="007D0292" w:rsidRPr="00883B4C">
        <w:rPr>
          <w:rFonts w:ascii="Arial" w:hAnsi="Arial" w:cs="Arial"/>
        </w:rPr>
        <w:t>“</w:t>
      </w:r>
      <w:r w:rsidRPr="00883B4C">
        <w:rPr>
          <w:rFonts w:ascii="Arial" w:hAnsi="Arial" w:cs="Arial"/>
        </w:rPr>
        <w:t>Practice developments in budgeting</w:t>
      </w:r>
      <w:r w:rsidR="00D14473" w:rsidRPr="00883B4C">
        <w:rPr>
          <w:rFonts w:ascii="Arial" w:hAnsi="Arial" w:cs="Arial"/>
        </w:rPr>
        <w:t>”</w:t>
      </w:r>
      <w:r w:rsidRPr="00883B4C">
        <w:rPr>
          <w:rFonts w:ascii="Arial" w:hAnsi="Arial" w:cs="Arial"/>
        </w:rPr>
        <w:t xml:space="preserve">. </w:t>
      </w:r>
      <w:r w:rsidRPr="00883B4C">
        <w:rPr>
          <w:rFonts w:ascii="Arial" w:hAnsi="Arial" w:cs="Arial"/>
          <w:i/>
          <w:iCs/>
        </w:rPr>
        <w:t>Management Accounting Research</w:t>
      </w:r>
      <w:r w:rsidRPr="00883B4C">
        <w:rPr>
          <w:rFonts w:ascii="Arial" w:hAnsi="Arial" w:cs="Arial"/>
        </w:rPr>
        <w:t xml:space="preserve">, 14(1), pp.95–116. </w:t>
      </w:r>
      <w:hyperlink r:id="rId14" w:history="1">
        <w:r w:rsidR="00D14473" w:rsidRPr="00883B4C">
          <w:rPr>
            <w:rStyle w:val="Hyperlink"/>
            <w:rFonts w:ascii="Arial" w:hAnsi="Arial" w:cs="Arial"/>
          </w:rPr>
          <w:t>https://doi.org/10.1016/S1044-5005(03)00002-8</w:t>
        </w:r>
      </w:hyperlink>
    </w:p>
    <w:p w14:paraId="1341C8A2" w14:textId="77777777" w:rsidR="001744F8" w:rsidRPr="00883B4C" w:rsidRDefault="001744F8" w:rsidP="00883B4C">
      <w:pPr>
        <w:spacing w:line="360" w:lineRule="auto"/>
        <w:rPr>
          <w:rFonts w:ascii="Arial" w:hAnsi="Arial" w:cs="Arial"/>
        </w:rPr>
      </w:pPr>
      <w:r w:rsidRPr="00883B4C">
        <w:rPr>
          <w:rFonts w:ascii="Arial" w:hAnsi="Arial" w:cs="Arial"/>
        </w:rPr>
        <w:t>19.</w:t>
      </w:r>
      <w:r w:rsidRPr="00883B4C">
        <w:rPr>
          <w:rFonts w:ascii="Arial" w:hAnsi="Arial" w:cs="Arial"/>
        </w:rPr>
        <w:tab/>
        <w:t xml:space="preserve">Hope, J. and Fraser, R. (2003) </w:t>
      </w:r>
      <w:r w:rsidRPr="00883B4C">
        <w:rPr>
          <w:rFonts w:ascii="Arial" w:hAnsi="Arial" w:cs="Arial"/>
          <w:i/>
          <w:iCs/>
        </w:rPr>
        <w:t>Beyond Budgeting</w:t>
      </w:r>
      <w:r w:rsidRPr="00883B4C">
        <w:rPr>
          <w:rFonts w:ascii="Arial" w:hAnsi="Arial" w:cs="Arial"/>
        </w:rPr>
        <w:t xml:space="preserve">: </w:t>
      </w:r>
      <w:r w:rsidRPr="00883B4C">
        <w:rPr>
          <w:rFonts w:ascii="Arial" w:hAnsi="Arial" w:cs="Arial"/>
          <w:i/>
          <w:iCs/>
        </w:rPr>
        <w:t>How Managers Can Break Free from the Annual Performance Trap</w:t>
      </w:r>
      <w:r w:rsidRPr="00883B4C">
        <w:rPr>
          <w:rFonts w:ascii="Arial" w:hAnsi="Arial" w:cs="Arial"/>
        </w:rPr>
        <w:t>. Boston: Harvard Business School Press.</w:t>
      </w:r>
    </w:p>
    <w:p w14:paraId="5DBAB595" w14:textId="77777777" w:rsidR="001744F8" w:rsidRPr="00883B4C" w:rsidRDefault="001744F8" w:rsidP="00883B4C">
      <w:pPr>
        <w:spacing w:line="360" w:lineRule="auto"/>
        <w:rPr>
          <w:rFonts w:ascii="Arial" w:hAnsi="Arial" w:cs="Arial"/>
        </w:rPr>
      </w:pPr>
      <w:r w:rsidRPr="00883B4C">
        <w:rPr>
          <w:rFonts w:ascii="Arial" w:hAnsi="Arial" w:cs="Arial"/>
        </w:rPr>
        <w:t>20.</w:t>
      </w:r>
      <w:r w:rsidRPr="00883B4C">
        <w:rPr>
          <w:rFonts w:ascii="Arial" w:hAnsi="Arial" w:cs="Arial"/>
        </w:rPr>
        <w:tab/>
        <w:t>Horngren, C.T., Datar, S.M. and Rajan, M.V. (2018) Cost Accounting: A Managerial Emphasis. 16th ed. Harlow: Pearson.</w:t>
      </w:r>
    </w:p>
    <w:p w14:paraId="5ED500F3" w14:textId="77777777" w:rsidR="001744F8" w:rsidRPr="00883B4C" w:rsidRDefault="001744F8" w:rsidP="00883B4C">
      <w:pPr>
        <w:spacing w:line="360" w:lineRule="auto"/>
        <w:rPr>
          <w:rFonts w:ascii="Arial" w:hAnsi="Arial" w:cs="Arial"/>
        </w:rPr>
      </w:pPr>
      <w:r w:rsidRPr="00883B4C">
        <w:rPr>
          <w:rFonts w:ascii="Arial" w:hAnsi="Arial" w:cs="Arial"/>
        </w:rPr>
        <w:t>21.</w:t>
      </w:r>
      <w:r w:rsidRPr="00883B4C">
        <w:rPr>
          <w:rFonts w:ascii="Arial" w:hAnsi="Arial" w:cs="Arial"/>
        </w:rPr>
        <w:tab/>
        <w:t xml:space="preserve">Horngren, C.T., Sundem, G.L. and Stratton, W.O. (2014) </w:t>
      </w:r>
      <w:r w:rsidRPr="00883B4C">
        <w:rPr>
          <w:rFonts w:ascii="Arial" w:hAnsi="Arial" w:cs="Arial"/>
          <w:i/>
          <w:iCs/>
        </w:rPr>
        <w:t>Introduction to Management Accounting</w:t>
      </w:r>
      <w:r w:rsidRPr="00883B4C">
        <w:rPr>
          <w:rFonts w:ascii="Arial" w:hAnsi="Arial" w:cs="Arial"/>
        </w:rPr>
        <w:t>. 16th ed. Harlow: Pearson.</w:t>
      </w:r>
    </w:p>
    <w:p w14:paraId="2C9252BB" w14:textId="77777777" w:rsidR="001744F8" w:rsidRPr="00883B4C" w:rsidRDefault="001744F8" w:rsidP="00883B4C">
      <w:pPr>
        <w:spacing w:line="360" w:lineRule="auto"/>
        <w:rPr>
          <w:rFonts w:ascii="Arial" w:hAnsi="Arial" w:cs="Arial"/>
        </w:rPr>
      </w:pPr>
      <w:r w:rsidRPr="00883B4C">
        <w:rPr>
          <w:rFonts w:ascii="Arial" w:hAnsi="Arial" w:cs="Arial"/>
        </w:rPr>
        <w:t>22.</w:t>
      </w:r>
      <w:r w:rsidRPr="00883B4C">
        <w:rPr>
          <w:rFonts w:ascii="Arial" w:hAnsi="Arial" w:cs="Arial"/>
        </w:rPr>
        <w:tab/>
        <w:t xml:space="preserve">Johnson, H.T. and Kaplan, R.S. (1987) </w:t>
      </w:r>
      <w:r w:rsidRPr="00883B4C">
        <w:rPr>
          <w:rFonts w:ascii="Arial" w:hAnsi="Arial" w:cs="Arial"/>
          <w:i/>
          <w:iCs/>
        </w:rPr>
        <w:t>Relevance Lost: The Rise and Fall of Management Accounting</w:t>
      </w:r>
      <w:r w:rsidRPr="00883B4C">
        <w:rPr>
          <w:rFonts w:ascii="Arial" w:hAnsi="Arial" w:cs="Arial"/>
        </w:rPr>
        <w:t>. Boston: Harvard Business School Press.</w:t>
      </w:r>
    </w:p>
    <w:p w14:paraId="047C8B5B" w14:textId="77777777" w:rsidR="001744F8" w:rsidRPr="00883B4C" w:rsidRDefault="001744F8" w:rsidP="00883B4C">
      <w:pPr>
        <w:spacing w:line="360" w:lineRule="auto"/>
        <w:rPr>
          <w:rFonts w:ascii="Arial" w:hAnsi="Arial" w:cs="Arial"/>
        </w:rPr>
      </w:pPr>
      <w:r w:rsidRPr="00883B4C">
        <w:rPr>
          <w:rFonts w:ascii="Arial" w:hAnsi="Arial" w:cs="Arial"/>
        </w:rPr>
        <w:t>23.</w:t>
      </w:r>
      <w:r w:rsidRPr="00883B4C">
        <w:rPr>
          <w:rFonts w:ascii="Arial" w:hAnsi="Arial" w:cs="Arial"/>
        </w:rPr>
        <w:tab/>
        <w:t xml:space="preserve">Kaplan, R.S. and Atkinson, A.A. (2015) </w:t>
      </w:r>
      <w:r w:rsidRPr="00883B4C">
        <w:rPr>
          <w:rFonts w:ascii="Arial" w:hAnsi="Arial" w:cs="Arial"/>
          <w:i/>
          <w:iCs/>
        </w:rPr>
        <w:t>Advanced Management Accounting</w:t>
      </w:r>
      <w:r w:rsidRPr="00883B4C">
        <w:rPr>
          <w:rFonts w:ascii="Arial" w:hAnsi="Arial" w:cs="Arial"/>
        </w:rPr>
        <w:t>. 3rd ed. Harlow: Pearson.</w:t>
      </w:r>
    </w:p>
    <w:p w14:paraId="38FAD71C" w14:textId="395D6070" w:rsidR="001744F8" w:rsidRPr="00883B4C" w:rsidRDefault="001744F8" w:rsidP="00883B4C">
      <w:pPr>
        <w:spacing w:line="360" w:lineRule="auto"/>
        <w:rPr>
          <w:rFonts w:ascii="Arial" w:hAnsi="Arial" w:cs="Arial"/>
        </w:rPr>
      </w:pPr>
      <w:r w:rsidRPr="00883B4C">
        <w:rPr>
          <w:rFonts w:ascii="Arial" w:hAnsi="Arial" w:cs="Arial"/>
        </w:rPr>
        <w:t>24.</w:t>
      </w:r>
      <w:r w:rsidRPr="00883B4C">
        <w:rPr>
          <w:rFonts w:ascii="Arial" w:hAnsi="Arial" w:cs="Arial"/>
        </w:rPr>
        <w:tab/>
        <w:t xml:space="preserve">Kaplan, R.S. and Norton, D.P. (1996) </w:t>
      </w:r>
      <w:r w:rsidRPr="00883B4C">
        <w:rPr>
          <w:rFonts w:ascii="Arial" w:hAnsi="Arial" w:cs="Arial"/>
          <w:i/>
          <w:iCs/>
        </w:rPr>
        <w:t>The Balanced Scorecard: Translating Strategy into Acti</w:t>
      </w:r>
      <w:r w:rsidR="00841DA3" w:rsidRPr="00883B4C">
        <w:rPr>
          <w:rFonts w:ascii="Arial" w:hAnsi="Arial" w:cs="Arial"/>
          <w:i/>
          <w:iCs/>
        </w:rPr>
        <w:t>on</w:t>
      </w:r>
      <w:r w:rsidRPr="00883B4C">
        <w:rPr>
          <w:rFonts w:ascii="Arial" w:hAnsi="Arial" w:cs="Arial"/>
        </w:rPr>
        <w:t>. Boston: Harvard Business School Press.</w:t>
      </w:r>
    </w:p>
    <w:p w14:paraId="1D677B94" w14:textId="71341ECE" w:rsidR="00E11317" w:rsidRPr="00883B4C" w:rsidRDefault="001744F8" w:rsidP="00883B4C">
      <w:pPr>
        <w:spacing w:line="360" w:lineRule="auto"/>
        <w:rPr>
          <w:rFonts w:ascii="Arial" w:hAnsi="Arial" w:cs="Arial"/>
        </w:rPr>
      </w:pPr>
      <w:r w:rsidRPr="00883B4C">
        <w:rPr>
          <w:rFonts w:ascii="Arial" w:hAnsi="Arial" w:cs="Arial"/>
        </w:rPr>
        <w:lastRenderedPageBreak/>
        <w:t>25.</w:t>
      </w:r>
      <w:r w:rsidRPr="00883B4C">
        <w:rPr>
          <w:rFonts w:ascii="Arial" w:hAnsi="Arial" w:cs="Arial"/>
        </w:rPr>
        <w:tab/>
        <w:t xml:space="preserve">Libby, T. and Lindsay, R.M. (2010) </w:t>
      </w:r>
      <w:r w:rsidR="00841DA3" w:rsidRPr="00883B4C">
        <w:rPr>
          <w:rFonts w:ascii="Arial" w:hAnsi="Arial" w:cs="Arial"/>
        </w:rPr>
        <w:t>“</w:t>
      </w:r>
      <w:r w:rsidRPr="00883B4C">
        <w:rPr>
          <w:rFonts w:ascii="Arial" w:hAnsi="Arial" w:cs="Arial"/>
        </w:rPr>
        <w:t>Beyond budgeting or budgeting reconsidered?</w:t>
      </w:r>
      <w:r w:rsidR="0001181B" w:rsidRPr="00883B4C">
        <w:rPr>
          <w:rFonts w:ascii="Arial" w:hAnsi="Arial" w:cs="Arial"/>
        </w:rPr>
        <w:t>”</w:t>
      </w:r>
      <w:r w:rsidRPr="00883B4C">
        <w:rPr>
          <w:rFonts w:ascii="Arial" w:hAnsi="Arial" w:cs="Arial"/>
        </w:rPr>
        <w:t xml:space="preserve"> </w:t>
      </w:r>
      <w:r w:rsidRPr="00883B4C">
        <w:rPr>
          <w:rFonts w:ascii="Arial" w:hAnsi="Arial" w:cs="Arial"/>
          <w:i/>
          <w:iCs/>
        </w:rPr>
        <w:t>Management Accounting Research</w:t>
      </w:r>
      <w:r w:rsidRPr="00883B4C">
        <w:rPr>
          <w:rFonts w:ascii="Arial" w:hAnsi="Arial" w:cs="Arial"/>
        </w:rPr>
        <w:t xml:space="preserve">, 21(1), pp.56–75. </w:t>
      </w:r>
      <w:hyperlink r:id="rId15" w:history="1">
        <w:r w:rsidR="00E11317" w:rsidRPr="00883B4C">
          <w:rPr>
            <w:rStyle w:val="Hyperlink"/>
            <w:rFonts w:ascii="Arial" w:hAnsi="Arial" w:cs="Arial"/>
          </w:rPr>
          <w:t>https://doi.org/10.1016/j.mar.2009.10.003</w:t>
        </w:r>
      </w:hyperlink>
    </w:p>
    <w:p w14:paraId="4C6A0A25" w14:textId="77777777" w:rsidR="001744F8" w:rsidRPr="00883B4C" w:rsidRDefault="001744F8" w:rsidP="00883B4C">
      <w:pPr>
        <w:spacing w:line="360" w:lineRule="auto"/>
        <w:rPr>
          <w:rFonts w:ascii="Arial" w:hAnsi="Arial" w:cs="Arial"/>
        </w:rPr>
      </w:pPr>
      <w:r w:rsidRPr="00883B4C">
        <w:rPr>
          <w:rFonts w:ascii="Arial" w:hAnsi="Arial" w:cs="Arial"/>
        </w:rPr>
        <w:t>26.</w:t>
      </w:r>
      <w:r w:rsidRPr="00883B4C">
        <w:rPr>
          <w:rFonts w:ascii="Arial" w:hAnsi="Arial" w:cs="Arial"/>
        </w:rPr>
        <w:tab/>
        <w:t xml:space="preserve">Marr, B. (2012) </w:t>
      </w:r>
      <w:r w:rsidRPr="00883B4C">
        <w:rPr>
          <w:rFonts w:ascii="Arial" w:hAnsi="Arial" w:cs="Arial"/>
          <w:i/>
          <w:iCs/>
        </w:rPr>
        <w:t>Key Performance Indicators</w:t>
      </w:r>
      <w:r w:rsidRPr="00883B4C">
        <w:rPr>
          <w:rFonts w:ascii="Arial" w:hAnsi="Arial" w:cs="Arial"/>
        </w:rPr>
        <w:t>: The 75 Measures Every Manager Needs to Know. Harlow: Pearson.</w:t>
      </w:r>
    </w:p>
    <w:p w14:paraId="1B140389" w14:textId="77777777" w:rsidR="001744F8" w:rsidRPr="00883B4C" w:rsidRDefault="001744F8" w:rsidP="00883B4C">
      <w:pPr>
        <w:spacing w:line="360" w:lineRule="auto"/>
        <w:rPr>
          <w:rFonts w:ascii="Arial" w:hAnsi="Arial" w:cs="Arial"/>
        </w:rPr>
      </w:pPr>
      <w:r w:rsidRPr="00883B4C">
        <w:rPr>
          <w:rFonts w:ascii="Arial" w:hAnsi="Arial" w:cs="Arial"/>
        </w:rPr>
        <w:t>27.</w:t>
      </w:r>
      <w:r w:rsidRPr="00883B4C">
        <w:rPr>
          <w:rFonts w:ascii="Arial" w:hAnsi="Arial" w:cs="Arial"/>
        </w:rPr>
        <w:tab/>
        <w:t xml:space="preserve">Merchant, K.A. and Van der Stede, W.A. (2017) </w:t>
      </w:r>
      <w:r w:rsidRPr="00883B4C">
        <w:rPr>
          <w:rFonts w:ascii="Arial" w:hAnsi="Arial" w:cs="Arial"/>
          <w:i/>
          <w:iCs/>
        </w:rPr>
        <w:t>Management Control Systems</w:t>
      </w:r>
      <w:r w:rsidRPr="00883B4C">
        <w:rPr>
          <w:rFonts w:ascii="Arial" w:hAnsi="Arial" w:cs="Arial"/>
        </w:rPr>
        <w:t xml:space="preserve">: </w:t>
      </w:r>
      <w:r w:rsidRPr="00883B4C">
        <w:rPr>
          <w:rFonts w:ascii="Arial" w:hAnsi="Arial" w:cs="Arial"/>
          <w:i/>
          <w:iCs/>
        </w:rPr>
        <w:t>Performance Measurement, Evaluation and Incentives</w:t>
      </w:r>
      <w:r w:rsidRPr="00883B4C">
        <w:rPr>
          <w:rFonts w:ascii="Arial" w:hAnsi="Arial" w:cs="Arial"/>
        </w:rPr>
        <w:t>. 4th ed. Harlow: Pearson.</w:t>
      </w:r>
    </w:p>
    <w:p w14:paraId="4235CF0C" w14:textId="4D8FE8FC" w:rsidR="001475F6" w:rsidRPr="00883B4C" w:rsidRDefault="001744F8" w:rsidP="00883B4C">
      <w:pPr>
        <w:spacing w:line="360" w:lineRule="auto"/>
        <w:rPr>
          <w:rFonts w:ascii="Arial" w:hAnsi="Arial" w:cs="Arial"/>
        </w:rPr>
      </w:pPr>
      <w:r w:rsidRPr="00883B4C">
        <w:rPr>
          <w:rFonts w:ascii="Arial" w:hAnsi="Arial" w:cs="Arial"/>
        </w:rPr>
        <w:t>28.</w:t>
      </w:r>
      <w:r w:rsidRPr="00883B4C">
        <w:rPr>
          <w:rFonts w:ascii="Arial" w:hAnsi="Arial" w:cs="Arial"/>
        </w:rPr>
        <w:tab/>
        <w:t xml:space="preserve">Neely, A., Bourne, M. and Adams, C. (2003) </w:t>
      </w:r>
      <w:r w:rsidR="00AA1F95" w:rsidRPr="00883B4C">
        <w:rPr>
          <w:rFonts w:ascii="Arial" w:hAnsi="Arial" w:cs="Arial"/>
        </w:rPr>
        <w:t>“</w:t>
      </w:r>
      <w:r w:rsidRPr="00883B4C">
        <w:rPr>
          <w:rFonts w:ascii="Arial" w:hAnsi="Arial" w:cs="Arial"/>
        </w:rPr>
        <w:t>Better budgeting or beyond budgeting?</w:t>
      </w:r>
      <w:r w:rsidR="00AA1F95" w:rsidRPr="00883B4C">
        <w:rPr>
          <w:rFonts w:ascii="Arial" w:hAnsi="Arial" w:cs="Arial"/>
        </w:rPr>
        <w:t>”</w:t>
      </w:r>
      <w:r w:rsidR="001475F6" w:rsidRPr="00883B4C">
        <w:rPr>
          <w:rFonts w:ascii="Arial" w:hAnsi="Arial" w:cs="Arial"/>
        </w:rPr>
        <w:t xml:space="preserve"> </w:t>
      </w:r>
      <w:r w:rsidRPr="00883B4C">
        <w:rPr>
          <w:rFonts w:ascii="Arial" w:hAnsi="Arial" w:cs="Arial"/>
        </w:rPr>
        <w:t xml:space="preserve"> Measuring Business Excellence, 7(3), pp.22–28. </w:t>
      </w:r>
      <w:hyperlink r:id="rId16" w:history="1">
        <w:r w:rsidR="001475F6" w:rsidRPr="00883B4C">
          <w:rPr>
            <w:rStyle w:val="Hyperlink"/>
            <w:rFonts w:ascii="Arial" w:hAnsi="Arial" w:cs="Arial"/>
          </w:rPr>
          <w:t>https://doi.org/10.1108/13683040310496471</w:t>
        </w:r>
      </w:hyperlink>
    </w:p>
    <w:p w14:paraId="2EE5BDE0" w14:textId="2C656C58" w:rsidR="001744F8" w:rsidRPr="00883B4C" w:rsidRDefault="001744F8" w:rsidP="00883B4C">
      <w:pPr>
        <w:spacing w:line="360" w:lineRule="auto"/>
        <w:rPr>
          <w:rFonts w:ascii="Arial" w:hAnsi="Arial" w:cs="Arial"/>
        </w:rPr>
      </w:pPr>
      <w:r w:rsidRPr="00883B4C">
        <w:rPr>
          <w:rFonts w:ascii="Arial" w:hAnsi="Arial" w:cs="Arial"/>
        </w:rPr>
        <w:t>29.</w:t>
      </w:r>
      <w:r w:rsidRPr="00883B4C">
        <w:rPr>
          <w:rFonts w:ascii="Arial" w:hAnsi="Arial" w:cs="Arial"/>
        </w:rPr>
        <w:tab/>
        <w:t xml:space="preserve">Otley, D. (1999) </w:t>
      </w:r>
      <w:r w:rsidR="001475F6" w:rsidRPr="00883B4C">
        <w:rPr>
          <w:rFonts w:ascii="Arial" w:hAnsi="Arial" w:cs="Arial"/>
        </w:rPr>
        <w:t>“</w:t>
      </w:r>
      <w:r w:rsidRPr="00883B4C">
        <w:rPr>
          <w:rFonts w:ascii="Arial" w:hAnsi="Arial" w:cs="Arial"/>
        </w:rPr>
        <w:t>Performance management: A framework for management control systems research</w:t>
      </w:r>
      <w:r w:rsidR="001475F6" w:rsidRPr="00883B4C">
        <w:rPr>
          <w:rFonts w:ascii="Arial" w:hAnsi="Arial" w:cs="Arial"/>
        </w:rPr>
        <w:t>”</w:t>
      </w:r>
      <w:r w:rsidRPr="00883B4C">
        <w:rPr>
          <w:rFonts w:ascii="Arial" w:hAnsi="Arial" w:cs="Arial"/>
        </w:rPr>
        <w:t xml:space="preserve">. </w:t>
      </w:r>
      <w:r w:rsidRPr="00883B4C">
        <w:rPr>
          <w:rFonts w:ascii="Arial" w:hAnsi="Arial" w:cs="Arial"/>
          <w:i/>
          <w:iCs/>
        </w:rPr>
        <w:t>Management Accounting Research</w:t>
      </w:r>
      <w:r w:rsidRPr="00883B4C">
        <w:rPr>
          <w:rFonts w:ascii="Arial" w:hAnsi="Arial" w:cs="Arial"/>
        </w:rPr>
        <w:t xml:space="preserve">, 10(4), pp.363–382. </w:t>
      </w:r>
      <w:hyperlink r:id="rId17" w:history="1">
        <w:r w:rsidR="008C4DC7" w:rsidRPr="00883B4C">
          <w:rPr>
            <w:rStyle w:val="Hyperlink"/>
            <w:rFonts w:ascii="Arial" w:hAnsi="Arial" w:cs="Arial"/>
          </w:rPr>
          <w:t>https://doi.org/10.1006/mare.1999.0115</w:t>
        </w:r>
      </w:hyperlink>
    </w:p>
    <w:p w14:paraId="50752DF4" w14:textId="77777777" w:rsidR="008C4DC7" w:rsidRPr="00883B4C" w:rsidRDefault="008C4DC7" w:rsidP="00883B4C">
      <w:pPr>
        <w:spacing w:line="360" w:lineRule="auto"/>
        <w:rPr>
          <w:rFonts w:ascii="Arial" w:hAnsi="Arial" w:cs="Arial"/>
        </w:rPr>
      </w:pPr>
    </w:p>
    <w:p w14:paraId="3EB1F5DE" w14:textId="07564F27" w:rsidR="001744F8" w:rsidRPr="00883B4C" w:rsidRDefault="001744F8" w:rsidP="00883B4C">
      <w:pPr>
        <w:spacing w:line="360" w:lineRule="auto"/>
        <w:rPr>
          <w:rFonts w:ascii="Arial" w:hAnsi="Arial" w:cs="Arial"/>
        </w:rPr>
      </w:pPr>
      <w:r w:rsidRPr="00883B4C">
        <w:rPr>
          <w:rFonts w:ascii="Arial" w:hAnsi="Arial" w:cs="Arial"/>
        </w:rPr>
        <w:t>30.</w:t>
      </w:r>
      <w:r w:rsidRPr="00883B4C">
        <w:rPr>
          <w:rFonts w:ascii="Arial" w:hAnsi="Arial" w:cs="Arial"/>
        </w:rPr>
        <w:tab/>
        <w:t xml:space="preserve">Otley, D. and Berry, A. (1980) </w:t>
      </w:r>
      <w:r w:rsidR="00DF6580" w:rsidRPr="00883B4C">
        <w:rPr>
          <w:rFonts w:ascii="Arial" w:hAnsi="Arial" w:cs="Arial"/>
        </w:rPr>
        <w:t>“</w:t>
      </w:r>
      <w:r w:rsidRPr="00883B4C">
        <w:rPr>
          <w:rFonts w:ascii="Arial" w:hAnsi="Arial" w:cs="Arial"/>
        </w:rPr>
        <w:t>Control, organisation and accounting</w:t>
      </w:r>
      <w:r w:rsidR="00DF6580" w:rsidRPr="00883B4C">
        <w:rPr>
          <w:rFonts w:ascii="Arial" w:hAnsi="Arial" w:cs="Arial"/>
        </w:rPr>
        <w:t>”</w:t>
      </w:r>
      <w:r w:rsidRPr="00883B4C">
        <w:rPr>
          <w:rFonts w:ascii="Arial" w:hAnsi="Arial" w:cs="Arial"/>
        </w:rPr>
        <w:t xml:space="preserve">. </w:t>
      </w:r>
      <w:r w:rsidRPr="00883B4C">
        <w:rPr>
          <w:rFonts w:ascii="Arial" w:hAnsi="Arial" w:cs="Arial"/>
          <w:i/>
          <w:iCs/>
        </w:rPr>
        <w:t>Accounting, Organi</w:t>
      </w:r>
      <w:r w:rsidR="0092004E" w:rsidRPr="00883B4C">
        <w:rPr>
          <w:rFonts w:ascii="Arial" w:hAnsi="Arial" w:cs="Arial"/>
          <w:i/>
          <w:iCs/>
        </w:rPr>
        <w:t>s</w:t>
      </w:r>
      <w:r w:rsidRPr="00883B4C">
        <w:rPr>
          <w:rFonts w:ascii="Arial" w:hAnsi="Arial" w:cs="Arial"/>
          <w:i/>
          <w:iCs/>
        </w:rPr>
        <w:t>ations and Society</w:t>
      </w:r>
      <w:r w:rsidRPr="00883B4C">
        <w:rPr>
          <w:rFonts w:ascii="Arial" w:hAnsi="Arial" w:cs="Arial"/>
        </w:rPr>
        <w:t xml:space="preserve">, 5(2), pp.231–244. </w:t>
      </w:r>
      <w:hyperlink r:id="rId18" w:history="1">
        <w:r w:rsidR="0092004E" w:rsidRPr="00883B4C">
          <w:rPr>
            <w:rStyle w:val="Hyperlink"/>
            <w:rFonts w:ascii="Arial" w:hAnsi="Arial" w:cs="Arial"/>
          </w:rPr>
          <w:t>https://doi.org/10.1016/0361-3682(80)90012-4</w:t>
        </w:r>
      </w:hyperlink>
      <w:r w:rsidR="0092004E" w:rsidRPr="00883B4C">
        <w:rPr>
          <w:rFonts w:ascii="Arial" w:hAnsi="Arial" w:cs="Arial"/>
        </w:rPr>
        <w:t xml:space="preserve"> </w:t>
      </w:r>
    </w:p>
    <w:p w14:paraId="4C322807" w14:textId="62B99A00" w:rsidR="001744F8" w:rsidRPr="00883B4C" w:rsidRDefault="001744F8" w:rsidP="00883B4C">
      <w:pPr>
        <w:spacing w:line="360" w:lineRule="auto"/>
        <w:rPr>
          <w:rFonts w:ascii="Arial" w:hAnsi="Arial" w:cs="Arial"/>
        </w:rPr>
      </w:pPr>
      <w:r w:rsidRPr="00883B4C">
        <w:rPr>
          <w:rFonts w:ascii="Arial" w:hAnsi="Arial" w:cs="Arial"/>
        </w:rPr>
        <w:t>31.</w:t>
      </w:r>
      <w:r w:rsidRPr="00883B4C">
        <w:rPr>
          <w:rFonts w:ascii="Arial" w:hAnsi="Arial" w:cs="Arial"/>
        </w:rPr>
        <w:tab/>
      </w:r>
      <w:proofErr w:type="spellStart"/>
      <w:r w:rsidRPr="00883B4C">
        <w:rPr>
          <w:rFonts w:ascii="Arial" w:hAnsi="Arial" w:cs="Arial"/>
        </w:rPr>
        <w:t>Pyhrr</w:t>
      </w:r>
      <w:proofErr w:type="spellEnd"/>
      <w:r w:rsidRPr="00883B4C">
        <w:rPr>
          <w:rFonts w:ascii="Arial" w:hAnsi="Arial" w:cs="Arial"/>
        </w:rPr>
        <w:t xml:space="preserve">, P.A. (1970) </w:t>
      </w:r>
      <w:r w:rsidR="007B7499" w:rsidRPr="00883B4C">
        <w:rPr>
          <w:rFonts w:ascii="Arial" w:hAnsi="Arial" w:cs="Arial"/>
        </w:rPr>
        <w:t>“</w:t>
      </w:r>
      <w:r w:rsidRPr="00883B4C">
        <w:rPr>
          <w:rFonts w:ascii="Arial" w:hAnsi="Arial" w:cs="Arial"/>
        </w:rPr>
        <w:t>Zero-base budgeting</w:t>
      </w:r>
      <w:r w:rsidR="007B7499" w:rsidRPr="00883B4C">
        <w:rPr>
          <w:rFonts w:ascii="Arial" w:hAnsi="Arial" w:cs="Arial"/>
        </w:rPr>
        <w:t xml:space="preserve">”, </w:t>
      </w:r>
      <w:r w:rsidRPr="00883B4C">
        <w:rPr>
          <w:rFonts w:ascii="Arial" w:hAnsi="Arial" w:cs="Arial"/>
          <w:i/>
          <w:iCs/>
        </w:rPr>
        <w:t>Harvard Business Review</w:t>
      </w:r>
      <w:r w:rsidRPr="00883B4C">
        <w:rPr>
          <w:rFonts w:ascii="Arial" w:hAnsi="Arial" w:cs="Arial"/>
        </w:rPr>
        <w:t>, 48(6), pp.111–121.</w:t>
      </w:r>
    </w:p>
    <w:p w14:paraId="3B368157" w14:textId="77777777" w:rsidR="001744F8" w:rsidRPr="00883B4C" w:rsidRDefault="001744F8" w:rsidP="00883B4C">
      <w:pPr>
        <w:spacing w:line="360" w:lineRule="auto"/>
        <w:rPr>
          <w:rFonts w:ascii="Arial" w:hAnsi="Arial" w:cs="Arial"/>
        </w:rPr>
      </w:pPr>
      <w:r w:rsidRPr="00883B4C">
        <w:rPr>
          <w:rFonts w:ascii="Arial" w:hAnsi="Arial" w:cs="Arial"/>
        </w:rPr>
        <w:t>32.</w:t>
      </w:r>
      <w:r w:rsidRPr="00883B4C">
        <w:rPr>
          <w:rFonts w:ascii="Arial" w:hAnsi="Arial" w:cs="Arial"/>
        </w:rPr>
        <w:tab/>
        <w:t xml:space="preserve">Seal, W., Rohde, C., Garrison, R.H. and Noreen, E.W. (2019) </w:t>
      </w:r>
      <w:r w:rsidRPr="00883B4C">
        <w:rPr>
          <w:rFonts w:ascii="Arial" w:hAnsi="Arial" w:cs="Arial"/>
          <w:i/>
          <w:iCs/>
        </w:rPr>
        <w:t>Management Accounting</w:t>
      </w:r>
      <w:r w:rsidRPr="00883B4C">
        <w:rPr>
          <w:rFonts w:ascii="Arial" w:hAnsi="Arial" w:cs="Arial"/>
        </w:rPr>
        <w:t>. 6th ed. London: McGraw-Hill Education.</w:t>
      </w:r>
    </w:p>
    <w:p w14:paraId="350CB68E" w14:textId="23F21C80" w:rsidR="001744F8" w:rsidRPr="00883B4C" w:rsidRDefault="001744F8" w:rsidP="00883B4C">
      <w:pPr>
        <w:spacing w:line="360" w:lineRule="auto"/>
        <w:rPr>
          <w:rFonts w:ascii="Arial" w:hAnsi="Arial" w:cs="Arial"/>
        </w:rPr>
      </w:pPr>
      <w:r w:rsidRPr="00883B4C">
        <w:rPr>
          <w:rFonts w:ascii="Arial" w:hAnsi="Arial" w:cs="Arial"/>
        </w:rPr>
        <w:t>33.</w:t>
      </w:r>
      <w:r w:rsidRPr="00883B4C">
        <w:rPr>
          <w:rFonts w:ascii="Arial" w:hAnsi="Arial" w:cs="Arial"/>
        </w:rPr>
        <w:tab/>
        <w:t xml:space="preserve">Shields, M.D. and Shields, J.F. (1998) </w:t>
      </w:r>
      <w:r w:rsidR="00973D38" w:rsidRPr="00883B4C">
        <w:rPr>
          <w:rFonts w:ascii="Arial" w:hAnsi="Arial" w:cs="Arial"/>
        </w:rPr>
        <w:t>“</w:t>
      </w:r>
      <w:r w:rsidRPr="00883B4C">
        <w:rPr>
          <w:rFonts w:ascii="Arial" w:hAnsi="Arial" w:cs="Arial"/>
        </w:rPr>
        <w:t>Antecedents of participative budgeting</w:t>
      </w:r>
      <w:r w:rsidR="00973D38" w:rsidRPr="00883B4C">
        <w:rPr>
          <w:rFonts w:ascii="Arial" w:hAnsi="Arial" w:cs="Arial"/>
        </w:rPr>
        <w:t>”</w:t>
      </w:r>
      <w:r w:rsidR="00EA048C" w:rsidRPr="00883B4C">
        <w:rPr>
          <w:rFonts w:ascii="Arial" w:hAnsi="Arial" w:cs="Arial"/>
        </w:rPr>
        <w:t xml:space="preserve">, </w:t>
      </w:r>
      <w:r w:rsidRPr="00883B4C">
        <w:rPr>
          <w:rFonts w:ascii="Arial" w:hAnsi="Arial" w:cs="Arial"/>
          <w:i/>
          <w:iCs/>
        </w:rPr>
        <w:t>Accounting, Organi</w:t>
      </w:r>
      <w:r w:rsidR="00EA048C" w:rsidRPr="00883B4C">
        <w:rPr>
          <w:rFonts w:ascii="Arial" w:hAnsi="Arial" w:cs="Arial"/>
          <w:i/>
          <w:iCs/>
        </w:rPr>
        <w:t>s</w:t>
      </w:r>
      <w:r w:rsidRPr="00883B4C">
        <w:rPr>
          <w:rFonts w:ascii="Arial" w:hAnsi="Arial" w:cs="Arial"/>
          <w:i/>
          <w:iCs/>
        </w:rPr>
        <w:t>ations and Society</w:t>
      </w:r>
      <w:r w:rsidRPr="00883B4C">
        <w:rPr>
          <w:rFonts w:ascii="Arial" w:hAnsi="Arial" w:cs="Arial"/>
        </w:rPr>
        <w:t>, 23(1), pp.49–76. https://doi.org/10.1016/S0361-3682(97)00014-7</w:t>
      </w:r>
    </w:p>
    <w:p w14:paraId="43C43828" w14:textId="77777777" w:rsidR="001744F8" w:rsidRPr="00883B4C" w:rsidRDefault="001744F8" w:rsidP="00883B4C">
      <w:pPr>
        <w:spacing w:line="360" w:lineRule="auto"/>
        <w:rPr>
          <w:rFonts w:ascii="Arial" w:hAnsi="Arial" w:cs="Arial"/>
        </w:rPr>
      </w:pPr>
      <w:r w:rsidRPr="00883B4C">
        <w:rPr>
          <w:rFonts w:ascii="Arial" w:hAnsi="Arial" w:cs="Arial"/>
        </w:rPr>
        <w:t>34.</w:t>
      </w:r>
      <w:r w:rsidRPr="00883B4C">
        <w:rPr>
          <w:rFonts w:ascii="Arial" w:hAnsi="Arial" w:cs="Arial"/>
        </w:rPr>
        <w:tab/>
        <w:t xml:space="preserve">Simons, R. (1995) </w:t>
      </w:r>
      <w:r w:rsidRPr="00883B4C">
        <w:rPr>
          <w:rFonts w:ascii="Arial" w:hAnsi="Arial" w:cs="Arial"/>
          <w:i/>
          <w:iCs/>
        </w:rPr>
        <w:t>Levers of Control</w:t>
      </w:r>
      <w:r w:rsidRPr="00883B4C">
        <w:rPr>
          <w:rFonts w:ascii="Arial" w:hAnsi="Arial" w:cs="Arial"/>
        </w:rPr>
        <w:t xml:space="preserve">: </w:t>
      </w:r>
      <w:r w:rsidRPr="00883B4C">
        <w:rPr>
          <w:rFonts w:ascii="Arial" w:hAnsi="Arial" w:cs="Arial"/>
          <w:i/>
          <w:iCs/>
        </w:rPr>
        <w:t>How Managers Use Innovative Control</w:t>
      </w:r>
      <w:r w:rsidRPr="00883B4C">
        <w:rPr>
          <w:rFonts w:ascii="Arial" w:hAnsi="Arial" w:cs="Arial"/>
        </w:rPr>
        <w:t xml:space="preserve"> </w:t>
      </w:r>
      <w:r w:rsidRPr="00883B4C">
        <w:rPr>
          <w:rFonts w:ascii="Arial" w:hAnsi="Arial" w:cs="Arial"/>
          <w:i/>
          <w:iCs/>
        </w:rPr>
        <w:t>Systems to Drive Strategic Renewal</w:t>
      </w:r>
      <w:r w:rsidRPr="00883B4C">
        <w:rPr>
          <w:rFonts w:ascii="Arial" w:hAnsi="Arial" w:cs="Arial"/>
        </w:rPr>
        <w:t>. Boston: Harvard Business School Press.</w:t>
      </w:r>
    </w:p>
    <w:p w14:paraId="59AB36D0" w14:textId="77777777" w:rsidR="001744F8" w:rsidRPr="00883B4C" w:rsidRDefault="001744F8" w:rsidP="00883B4C">
      <w:pPr>
        <w:spacing w:line="360" w:lineRule="auto"/>
        <w:rPr>
          <w:rFonts w:ascii="Arial" w:hAnsi="Arial" w:cs="Arial"/>
        </w:rPr>
      </w:pPr>
      <w:r w:rsidRPr="00883B4C">
        <w:rPr>
          <w:rFonts w:ascii="Arial" w:hAnsi="Arial" w:cs="Arial"/>
        </w:rPr>
        <w:t>35.</w:t>
      </w:r>
      <w:r w:rsidRPr="00883B4C">
        <w:rPr>
          <w:rFonts w:ascii="Arial" w:hAnsi="Arial" w:cs="Arial"/>
        </w:rPr>
        <w:tab/>
        <w:t xml:space="preserve">Simons, R. (2000) </w:t>
      </w:r>
      <w:r w:rsidRPr="00883B4C">
        <w:rPr>
          <w:rFonts w:ascii="Arial" w:hAnsi="Arial" w:cs="Arial"/>
          <w:i/>
          <w:iCs/>
        </w:rPr>
        <w:t>Performance Measurement and Control Systems for Implementing Strategy</w:t>
      </w:r>
      <w:r w:rsidRPr="00883B4C">
        <w:rPr>
          <w:rFonts w:ascii="Arial" w:hAnsi="Arial" w:cs="Arial"/>
        </w:rPr>
        <w:t>. Upper Saddle River: Prentice Hall.</w:t>
      </w:r>
    </w:p>
    <w:p w14:paraId="1862B310" w14:textId="77777777" w:rsidR="001744F8" w:rsidRPr="00883B4C" w:rsidRDefault="001744F8" w:rsidP="00883B4C">
      <w:pPr>
        <w:spacing w:line="360" w:lineRule="auto"/>
        <w:rPr>
          <w:rFonts w:ascii="Arial" w:hAnsi="Arial" w:cs="Arial"/>
        </w:rPr>
      </w:pPr>
      <w:r w:rsidRPr="00883B4C">
        <w:rPr>
          <w:rFonts w:ascii="Arial" w:hAnsi="Arial" w:cs="Arial"/>
        </w:rPr>
        <w:lastRenderedPageBreak/>
        <w:t>36.</w:t>
      </w:r>
      <w:r w:rsidRPr="00883B4C">
        <w:rPr>
          <w:rFonts w:ascii="Arial" w:hAnsi="Arial" w:cs="Arial"/>
        </w:rPr>
        <w:tab/>
        <w:t xml:space="preserve">Slack, N. and Brandon-Jones, A. (2019) </w:t>
      </w:r>
      <w:r w:rsidRPr="00883B4C">
        <w:rPr>
          <w:rFonts w:ascii="Arial" w:hAnsi="Arial" w:cs="Arial"/>
          <w:i/>
          <w:iCs/>
        </w:rPr>
        <w:t>Operations Management</w:t>
      </w:r>
      <w:r w:rsidRPr="00883B4C">
        <w:rPr>
          <w:rFonts w:ascii="Arial" w:hAnsi="Arial" w:cs="Arial"/>
        </w:rPr>
        <w:t>. 9th ed. Harlow: Pearson.</w:t>
      </w:r>
    </w:p>
    <w:p w14:paraId="33A480D2" w14:textId="2ED5BC30" w:rsidR="00752051" w:rsidRPr="00883B4C" w:rsidRDefault="001744F8" w:rsidP="00883B4C">
      <w:pPr>
        <w:spacing w:line="360" w:lineRule="auto"/>
        <w:rPr>
          <w:rFonts w:ascii="Arial" w:hAnsi="Arial" w:cs="Arial"/>
        </w:rPr>
      </w:pPr>
      <w:r w:rsidRPr="00883B4C">
        <w:rPr>
          <w:rFonts w:ascii="Arial" w:hAnsi="Arial" w:cs="Arial"/>
        </w:rPr>
        <w:t>37.</w:t>
      </w:r>
      <w:r w:rsidRPr="00883B4C">
        <w:rPr>
          <w:rFonts w:ascii="Arial" w:hAnsi="Arial" w:cs="Arial"/>
        </w:rPr>
        <w:tab/>
        <w:t xml:space="preserve">Wallander, J. (1999) </w:t>
      </w:r>
      <w:r w:rsidR="00752051" w:rsidRPr="00883B4C">
        <w:rPr>
          <w:rFonts w:ascii="Arial" w:hAnsi="Arial" w:cs="Arial"/>
        </w:rPr>
        <w:t>“</w:t>
      </w:r>
      <w:r w:rsidRPr="00883B4C">
        <w:rPr>
          <w:rFonts w:ascii="Arial" w:hAnsi="Arial" w:cs="Arial"/>
        </w:rPr>
        <w:t xml:space="preserve">Budgeting </w:t>
      </w:r>
      <w:r w:rsidR="00752051" w:rsidRPr="00883B4C">
        <w:rPr>
          <w:rFonts w:ascii="Arial" w:hAnsi="Arial" w:cs="Arial"/>
        </w:rPr>
        <w:t xml:space="preserve">- </w:t>
      </w:r>
      <w:r w:rsidRPr="00883B4C">
        <w:rPr>
          <w:rFonts w:ascii="Arial" w:hAnsi="Arial" w:cs="Arial"/>
        </w:rPr>
        <w:t xml:space="preserve">an unnecessary evil. </w:t>
      </w:r>
      <w:r w:rsidRPr="00883B4C">
        <w:rPr>
          <w:rFonts w:ascii="Arial" w:hAnsi="Arial" w:cs="Arial"/>
          <w:i/>
          <w:iCs/>
        </w:rPr>
        <w:t>Scandinavian Journal of Management</w:t>
      </w:r>
      <w:r w:rsidRPr="00883B4C">
        <w:rPr>
          <w:rFonts w:ascii="Arial" w:hAnsi="Arial" w:cs="Arial"/>
        </w:rPr>
        <w:t xml:space="preserve">, 15(4), pp.405–421. </w:t>
      </w:r>
      <w:hyperlink r:id="rId19" w:history="1">
        <w:r w:rsidR="00752051" w:rsidRPr="00883B4C">
          <w:rPr>
            <w:rStyle w:val="Hyperlink"/>
            <w:rFonts w:ascii="Arial" w:hAnsi="Arial" w:cs="Arial"/>
          </w:rPr>
          <w:t>https://doi.org/10.1016/S0956-5221(98)00029-3</w:t>
        </w:r>
      </w:hyperlink>
    </w:p>
    <w:p w14:paraId="423F56E5" w14:textId="77777777" w:rsidR="001744F8" w:rsidRPr="00883B4C" w:rsidRDefault="001744F8" w:rsidP="00883B4C">
      <w:pPr>
        <w:spacing w:line="360" w:lineRule="auto"/>
        <w:rPr>
          <w:rFonts w:ascii="Arial" w:hAnsi="Arial" w:cs="Arial"/>
        </w:rPr>
      </w:pPr>
      <w:r w:rsidRPr="00883B4C">
        <w:rPr>
          <w:rFonts w:ascii="Arial" w:hAnsi="Arial" w:cs="Arial"/>
        </w:rPr>
        <w:t>38.</w:t>
      </w:r>
      <w:r w:rsidRPr="00883B4C">
        <w:rPr>
          <w:rFonts w:ascii="Arial" w:hAnsi="Arial" w:cs="Arial"/>
        </w:rPr>
        <w:tab/>
        <w:t xml:space="preserve">Walsh, C. (2008) </w:t>
      </w:r>
      <w:r w:rsidRPr="00883B4C">
        <w:rPr>
          <w:rFonts w:ascii="Arial" w:hAnsi="Arial" w:cs="Arial"/>
          <w:i/>
          <w:iCs/>
        </w:rPr>
        <w:t>Key Management Ratios</w:t>
      </w:r>
      <w:r w:rsidRPr="00883B4C">
        <w:rPr>
          <w:rFonts w:ascii="Arial" w:hAnsi="Arial" w:cs="Arial"/>
        </w:rPr>
        <w:t>. 4th ed. Harlow: Pearson.</w:t>
      </w:r>
    </w:p>
    <w:p w14:paraId="12F55EFE" w14:textId="77777777" w:rsidR="001744F8" w:rsidRPr="00883B4C" w:rsidRDefault="001744F8" w:rsidP="00883B4C">
      <w:pPr>
        <w:spacing w:line="360" w:lineRule="auto"/>
        <w:rPr>
          <w:rFonts w:ascii="Arial" w:hAnsi="Arial" w:cs="Arial"/>
        </w:rPr>
      </w:pPr>
      <w:r w:rsidRPr="00883B4C">
        <w:rPr>
          <w:rFonts w:ascii="Arial" w:hAnsi="Arial" w:cs="Arial"/>
        </w:rPr>
        <w:t>39.</w:t>
      </w:r>
      <w:r w:rsidRPr="00883B4C">
        <w:rPr>
          <w:rFonts w:ascii="Arial" w:hAnsi="Arial" w:cs="Arial"/>
        </w:rPr>
        <w:tab/>
        <w:t xml:space="preserve">Weygandt, J.J., Kimmel, P.D. and </w:t>
      </w:r>
      <w:proofErr w:type="spellStart"/>
      <w:r w:rsidRPr="00883B4C">
        <w:rPr>
          <w:rFonts w:ascii="Arial" w:hAnsi="Arial" w:cs="Arial"/>
        </w:rPr>
        <w:t>Kieso</w:t>
      </w:r>
      <w:proofErr w:type="spellEnd"/>
      <w:r w:rsidRPr="00883B4C">
        <w:rPr>
          <w:rFonts w:ascii="Arial" w:hAnsi="Arial" w:cs="Arial"/>
        </w:rPr>
        <w:t xml:space="preserve">, D.E. (2020) </w:t>
      </w:r>
      <w:r w:rsidRPr="00883B4C">
        <w:rPr>
          <w:rFonts w:ascii="Arial" w:hAnsi="Arial" w:cs="Arial"/>
          <w:i/>
          <w:iCs/>
        </w:rPr>
        <w:t>Financial Accounting</w:t>
      </w:r>
      <w:r w:rsidRPr="00883B4C">
        <w:rPr>
          <w:rFonts w:ascii="Arial" w:hAnsi="Arial" w:cs="Arial"/>
        </w:rPr>
        <w:t>. 11th ed. Hoboken, NJ: Wiley.</w:t>
      </w:r>
    </w:p>
    <w:p w14:paraId="3CA054E5" w14:textId="350CECF1" w:rsidR="003D6970" w:rsidRPr="00883B4C" w:rsidRDefault="001744F8" w:rsidP="00883B4C">
      <w:pPr>
        <w:spacing w:line="360" w:lineRule="auto"/>
        <w:rPr>
          <w:rFonts w:ascii="Arial" w:hAnsi="Arial" w:cs="Arial"/>
        </w:rPr>
      </w:pPr>
      <w:r w:rsidRPr="00883B4C">
        <w:rPr>
          <w:rFonts w:ascii="Arial" w:hAnsi="Arial" w:cs="Arial"/>
        </w:rPr>
        <w:t>40.</w:t>
      </w:r>
      <w:r w:rsidRPr="00883B4C">
        <w:rPr>
          <w:rFonts w:ascii="Arial" w:hAnsi="Arial" w:cs="Arial"/>
        </w:rPr>
        <w:tab/>
        <w:t xml:space="preserve">Young, S.M. (1985) </w:t>
      </w:r>
      <w:r w:rsidR="00C714E8" w:rsidRPr="00883B4C">
        <w:rPr>
          <w:rFonts w:ascii="Arial" w:hAnsi="Arial" w:cs="Arial"/>
        </w:rPr>
        <w:t>“</w:t>
      </w:r>
      <w:r w:rsidRPr="00883B4C">
        <w:rPr>
          <w:rFonts w:ascii="Arial" w:hAnsi="Arial" w:cs="Arial"/>
        </w:rPr>
        <w:t>Participative budgeting: The effects of risk aversion and asymmetric information</w:t>
      </w:r>
      <w:r w:rsidR="00C714E8" w:rsidRPr="00883B4C">
        <w:rPr>
          <w:rFonts w:ascii="Arial" w:hAnsi="Arial" w:cs="Arial"/>
        </w:rPr>
        <w:t>”,</w:t>
      </w:r>
      <w:r w:rsidRPr="00883B4C">
        <w:rPr>
          <w:rFonts w:ascii="Arial" w:hAnsi="Arial" w:cs="Arial"/>
        </w:rPr>
        <w:t xml:space="preserve"> </w:t>
      </w:r>
      <w:r w:rsidRPr="00883B4C">
        <w:rPr>
          <w:rFonts w:ascii="Arial" w:hAnsi="Arial" w:cs="Arial"/>
          <w:i/>
          <w:iCs/>
        </w:rPr>
        <w:t>Journal of Accounting Research</w:t>
      </w:r>
      <w:r w:rsidRPr="00883B4C">
        <w:rPr>
          <w:rFonts w:ascii="Arial" w:hAnsi="Arial" w:cs="Arial"/>
        </w:rPr>
        <w:t xml:space="preserve">, 23(2), pp.829–842. </w:t>
      </w:r>
      <w:hyperlink r:id="rId20" w:history="1">
        <w:r w:rsidR="00C714E8" w:rsidRPr="00883B4C">
          <w:rPr>
            <w:rStyle w:val="Hyperlink"/>
            <w:rFonts w:ascii="Arial" w:hAnsi="Arial" w:cs="Arial"/>
          </w:rPr>
          <w:t>https://doi.org/10.2307/2490840</w:t>
        </w:r>
      </w:hyperlink>
    </w:p>
    <w:p w14:paraId="35F51DB2" w14:textId="2FDE05F9" w:rsidR="00C714E8" w:rsidRPr="00883B4C" w:rsidRDefault="00457703" w:rsidP="00883B4C">
      <w:pPr>
        <w:spacing w:line="360" w:lineRule="auto"/>
        <w:rPr>
          <w:rFonts w:ascii="Arial" w:hAnsi="Arial" w:cs="Arial"/>
        </w:rPr>
      </w:pPr>
      <w:r w:rsidRPr="00883B4C">
        <w:rPr>
          <w:rFonts w:ascii="Arial" w:hAnsi="Arial" w:cs="Arial"/>
        </w:rPr>
        <w:t>41</w:t>
      </w:r>
      <w:r w:rsidR="00F60429" w:rsidRPr="00883B4C">
        <w:rPr>
          <w:rFonts w:ascii="Arial" w:hAnsi="Arial" w:cs="Arial"/>
        </w:rPr>
        <w:t xml:space="preserve">.     </w:t>
      </w:r>
      <w:r w:rsidR="008E10D3" w:rsidRPr="00883B4C">
        <w:rPr>
          <w:rFonts w:ascii="Arial" w:hAnsi="Arial" w:cs="Arial"/>
        </w:rPr>
        <w:t xml:space="preserve">  </w:t>
      </w:r>
      <w:r w:rsidR="00F60429" w:rsidRPr="00883B4C">
        <w:rPr>
          <w:rFonts w:ascii="Arial" w:hAnsi="Arial" w:cs="Arial"/>
        </w:rPr>
        <w:t xml:space="preserve"> Alexander, D. and Nobes, </w:t>
      </w:r>
      <w:r w:rsidR="009D6AB9" w:rsidRPr="00883B4C">
        <w:rPr>
          <w:rFonts w:ascii="Arial" w:hAnsi="Arial" w:cs="Arial"/>
        </w:rPr>
        <w:t xml:space="preserve">C. (2017) </w:t>
      </w:r>
      <w:r w:rsidR="009D6AB9" w:rsidRPr="00883B4C">
        <w:rPr>
          <w:rFonts w:ascii="Arial" w:hAnsi="Arial" w:cs="Arial"/>
          <w:i/>
          <w:iCs/>
        </w:rPr>
        <w:t>Financial Accounting</w:t>
      </w:r>
      <w:r w:rsidR="00863FF7" w:rsidRPr="00883B4C">
        <w:rPr>
          <w:rFonts w:ascii="Arial" w:hAnsi="Arial" w:cs="Arial"/>
          <w:i/>
          <w:iCs/>
        </w:rPr>
        <w:t>: An International Introduction</w:t>
      </w:r>
      <w:r w:rsidR="00863FF7" w:rsidRPr="00883B4C">
        <w:rPr>
          <w:rFonts w:ascii="Arial" w:hAnsi="Arial" w:cs="Arial"/>
        </w:rPr>
        <w:t>. 6</w:t>
      </w:r>
      <w:r w:rsidR="00863FF7" w:rsidRPr="00883B4C">
        <w:rPr>
          <w:rFonts w:ascii="Arial" w:hAnsi="Arial" w:cs="Arial"/>
          <w:vertAlign w:val="superscript"/>
        </w:rPr>
        <w:t>th</w:t>
      </w:r>
      <w:r w:rsidR="00863FF7" w:rsidRPr="00883B4C">
        <w:rPr>
          <w:rFonts w:ascii="Arial" w:hAnsi="Arial" w:cs="Arial"/>
        </w:rPr>
        <w:t xml:space="preserve"> </w:t>
      </w:r>
      <w:proofErr w:type="spellStart"/>
      <w:r w:rsidR="00863FF7" w:rsidRPr="00883B4C">
        <w:rPr>
          <w:rFonts w:ascii="Arial" w:hAnsi="Arial" w:cs="Arial"/>
        </w:rPr>
        <w:t>edn</w:t>
      </w:r>
      <w:proofErr w:type="spellEnd"/>
      <w:r w:rsidR="00863FF7" w:rsidRPr="00883B4C">
        <w:rPr>
          <w:rFonts w:ascii="Arial" w:hAnsi="Arial" w:cs="Arial"/>
        </w:rPr>
        <w:t>. Harlow</w:t>
      </w:r>
      <w:r w:rsidR="008E10D3" w:rsidRPr="00883B4C">
        <w:rPr>
          <w:rFonts w:ascii="Arial" w:hAnsi="Arial" w:cs="Arial"/>
        </w:rPr>
        <w:t xml:space="preserve">: Pearson. </w:t>
      </w:r>
    </w:p>
    <w:sectPr w:rsidR="00C714E8" w:rsidRPr="00883B4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74FAB9" w14:textId="77777777" w:rsidR="007D07A0" w:rsidRDefault="007D07A0" w:rsidP="006868DC">
      <w:pPr>
        <w:spacing w:after="0" w:line="240" w:lineRule="auto"/>
      </w:pPr>
      <w:r>
        <w:separator/>
      </w:r>
    </w:p>
  </w:endnote>
  <w:endnote w:type="continuationSeparator" w:id="0">
    <w:p w14:paraId="56988B18" w14:textId="77777777" w:rsidR="007D07A0" w:rsidRDefault="007D07A0" w:rsidP="006868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B09E13" w14:textId="77777777" w:rsidR="007D07A0" w:rsidRDefault="007D07A0" w:rsidP="006868DC">
      <w:pPr>
        <w:spacing w:after="0" w:line="240" w:lineRule="auto"/>
      </w:pPr>
      <w:r>
        <w:separator/>
      </w:r>
    </w:p>
  </w:footnote>
  <w:footnote w:type="continuationSeparator" w:id="0">
    <w:p w14:paraId="5605B4EE" w14:textId="77777777" w:rsidR="007D07A0" w:rsidRDefault="007D07A0" w:rsidP="006868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2D3BBE"/>
    <w:multiLevelType w:val="hybridMultilevel"/>
    <w:tmpl w:val="085E6FF6"/>
    <w:lvl w:ilvl="0" w:tplc="F078D946">
      <w:start w:val="1"/>
      <w:numFmt w:val="decimal"/>
      <w:lvlText w:val="%1."/>
      <w:lvlJc w:val="left"/>
      <w:pPr>
        <w:ind w:left="1032" w:hanging="720"/>
      </w:pPr>
      <w:rPr>
        <w:rFonts w:hint="default"/>
      </w:rPr>
    </w:lvl>
    <w:lvl w:ilvl="1" w:tplc="08090019" w:tentative="1">
      <w:start w:val="1"/>
      <w:numFmt w:val="lowerLetter"/>
      <w:lvlText w:val="%2."/>
      <w:lvlJc w:val="left"/>
      <w:pPr>
        <w:ind w:left="1392" w:hanging="360"/>
      </w:pPr>
    </w:lvl>
    <w:lvl w:ilvl="2" w:tplc="0809001B" w:tentative="1">
      <w:start w:val="1"/>
      <w:numFmt w:val="lowerRoman"/>
      <w:lvlText w:val="%3."/>
      <w:lvlJc w:val="right"/>
      <w:pPr>
        <w:ind w:left="2112" w:hanging="180"/>
      </w:pPr>
    </w:lvl>
    <w:lvl w:ilvl="3" w:tplc="0809000F" w:tentative="1">
      <w:start w:val="1"/>
      <w:numFmt w:val="decimal"/>
      <w:lvlText w:val="%4."/>
      <w:lvlJc w:val="left"/>
      <w:pPr>
        <w:ind w:left="2832" w:hanging="360"/>
      </w:pPr>
    </w:lvl>
    <w:lvl w:ilvl="4" w:tplc="08090019" w:tentative="1">
      <w:start w:val="1"/>
      <w:numFmt w:val="lowerLetter"/>
      <w:lvlText w:val="%5."/>
      <w:lvlJc w:val="left"/>
      <w:pPr>
        <w:ind w:left="3552" w:hanging="360"/>
      </w:pPr>
    </w:lvl>
    <w:lvl w:ilvl="5" w:tplc="0809001B" w:tentative="1">
      <w:start w:val="1"/>
      <w:numFmt w:val="lowerRoman"/>
      <w:lvlText w:val="%6."/>
      <w:lvlJc w:val="right"/>
      <w:pPr>
        <w:ind w:left="4272" w:hanging="180"/>
      </w:pPr>
    </w:lvl>
    <w:lvl w:ilvl="6" w:tplc="0809000F" w:tentative="1">
      <w:start w:val="1"/>
      <w:numFmt w:val="decimal"/>
      <w:lvlText w:val="%7."/>
      <w:lvlJc w:val="left"/>
      <w:pPr>
        <w:ind w:left="4992" w:hanging="360"/>
      </w:pPr>
    </w:lvl>
    <w:lvl w:ilvl="7" w:tplc="08090019" w:tentative="1">
      <w:start w:val="1"/>
      <w:numFmt w:val="lowerLetter"/>
      <w:lvlText w:val="%8."/>
      <w:lvlJc w:val="left"/>
      <w:pPr>
        <w:ind w:left="5712" w:hanging="360"/>
      </w:pPr>
    </w:lvl>
    <w:lvl w:ilvl="8" w:tplc="0809001B" w:tentative="1">
      <w:start w:val="1"/>
      <w:numFmt w:val="lowerRoman"/>
      <w:lvlText w:val="%9."/>
      <w:lvlJc w:val="right"/>
      <w:pPr>
        <w:ind w:left="6432" w:hanging="180"/>
      </w:pPr>
    </w:lvl>
  </w:abstractNum>
  <w:abstractNum w:abstractNumId="1" w15:restartNumberingAfterBreak="0">
    <w:nsid w:val="10025411"/>
    <w:multiLevelType w:val="hybridMultilevel"/>
    <w:tmpl w:val="C09E12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214E3D"/>
    <w:multiLevelType w:val="hybridMultilevel"/>
    <w:tmpl w:val="92A2D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017605"/>
    <w:multiLevelType w:val="hybridMultilevel"/>
    <w:tmpl w:val="CDDC1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580FB1"/>
    <w:multiLevelType w:val="hybridMultilevel"/>
    <w:tmpl w:val="C28C26F2"/>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6FC5E23"/>
    <w:multiLevelType w:val="hybridMultilevel"/>
    <w:tmpl w:val="991C44EC"/>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727433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5DE3E46"/>
    <w:multiLevelType w:val="hybridMultilevel"/>
    <w:tmpl w:val="AA8E7A22"/>
    <w:lvl w:ilvl="0" w:tplc="F078D946">
      <w:start w:val="1"/>
      <w:numFmt w:val="decimal"/>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8" w15:restartNumberingAfterBreak="0">
    <w:nsid w:val="3A550D3A"/>
    <w:multiLevelType w:val="hybridMultilevel"/>
    <w:tmpl w:val="B9FC78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3A8B2BAC"/>
    <w:multiLevelType w:val="hybridMultilevel"/>
    <w:tmpl w:val="793EDF5A"/>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3F350A33"/>
    <w:multiLevelType w:val="hybridMultilevel"/>
    <w:tmpl w:val="D038B1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512791F"/>
    <w:multiLevelType w:val="hybridMultilevel"/>
    <w:tmpl w:val="E5580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546FD9"/>
    <w:multiLevelType w:val="hybridMultilevel"/>
    <w:tmpl w:val="645A3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E8E2FA4"/>
    <w:multiLevelType w:val="hybridMultilevel"/>
    <w:tmpl w:val="C1020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526500"/>
    <w:multiLevelType w:val="hybridMultilevel"/>
    <w:tmpl w:val="131435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6724E20"/>
    <w:multiLevelType w:val="hybridMultilevel"/>
    <w:tmpl w:val="B0A66B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A3649D2"/>
    <w:multiLevelType w:val="hybridMultilevel"/>
    <w:tmpl w:val="978E8C12"/>
    <w:lvl w:ilvl="0" w:tplc="58562DAC">
      <w:start w:val="1"/>
      <w:numFmt w:val="decimal"/>
      <w:lvlText w:val="%1."/>
      <w:lvlJc w:val="left"/>
      <w:pPr>
        <w:ind w:left="408" w:hanging="360"/>
      </w:pPr>
      <w:rPr>
        <w:rFonts w:hint="default"/>
      </w:rPr>
    </w:lvl>
    <w:lvl w:ilvl="1" w:tplc="08090019" w:tentative="1">
      <w:start w:val="1"/>
      <w:numFmt w:val="lowerLetter"/>
      <w:lvlText w:val="%2."/>
      <w:lvlJc w:val="left"/>
      <w:pPr>
        <w:ind w:left="1128" w:hanging="360"/>
      </w:pPr>
    </w:lvl>
    <w:lvl w:ilvl="2" w:tplc="0809001B" w:tentative="1">
      <w:start w:val="1"/>
      <w:numFmt w:val="lowerRoman"/>
      <w:lvlText w:val="%3."/>
      <w:lvlJc w:val="right"/>
      <w:pPr>
        <w:ind w:left="1848" w:hanging="180"/>
      </w:pPr>
    </w:lvl>
    <w:lvl w:ilvl="3" w:tplc="0809000F" w:tentative="1">
      <w:start w:val="1"/>
      <w:numFmt w:val="decimal"/>
      <w:lvlText w:val="%4."/>
      <w:lvlJc w:val="left"/>
      <w:pPr>
        <w:ind w:left="2568" w:hanging="360"/>
      </w:pPr>
    </w:lvl>
    <w:lvl w:ilvl="4" w:tplc="08090019" w:tentative="1">
      <w:start w:val="1"/>
      <w:numFmt w:val="lowerLetter"/>
      <w:lvlText w:val="%5."/>
      <w:lvlJc w:val="left"/>
      <w:pPr>
        <w:ind w:left="3288" w:hanging="360"/>
      </w:pPr>
    </w:lvl>
    <w:lvl w:ilvl="5" w:tplc="0809001B" w:tentative="1">
      <w:start w:val="1"/>
      <w:numFmt w:val="lowerRoman"/>
      <w:lvlText w:val="%6."/>
      <w:lvlJc w:val="right"/>
      <w:pPr>
        <w:ind w:left="4008" w:hanging="180"/>
      </w:pPr>
    </w:lvl>
    <w:lvl w:ilvl="6" w:tplc="0809000F" w:tentative="1">
      <w:start w:val="1"/>
      <w:numFmt w:val="decimal"/>
      <w:lvlText w:val="%7."/>
      <w:lvlJc w:val="left"/>
      <w:pPr>
        <w:ind w:left="4728" w:hanging="360"/>
      </w:pPr>
    </w:lvl>
    <w:lvl w:ilvl="7" w:tplc="08090019" w:tentative="1">
      <w:start w:val="1"/>
      <w:numFmt w:val="lowerLetter"/>
      <w:lvlText w:val="%8."/>
      <w:lvlJc w:val="left"/>
      <w:pPr>
        <w:ind w:left="5448" w:hanging="360"/>
      </w:pPr>
    </w:lvl>
    <w:lvl w:ilvl="8" w:tplc="0809001B" w:tentative="1">
      <w:start w:val="1"/>
      <w:numFmt w:val="lowerRoman"/>
      <w:lvlText w:val="%9."/>
      <w:lvlJc w:val="right"/>
      <w:pPr>
        <w:ind w:left="6168" w:hanging="180"/>
      </w:pPr>
    </w:lvl>
  </w:abstractNum>
  <w:abstractNum w:abstractNumId="17" w15:restartNumberingAfterBreak="0">
    <w:nsid w:val="7D253F69"/>
    <w:multiLevelType w:val="hybridMultilevel"/>
    <w:tmpl w:val="A8D6C97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512839369">
    <w:abstractNumId w:val="6"/>
  </w:num>
  <w:num w:numId="2" w16cid:durableId="908807379">
    <w:abstractNumId w:val="1"/>
  </w:num>
  <w:num w:numId="3" w16cid:durableId="1573853604">
    <w:abstractNumId w:val="14"/>
  </w:num>
  <w:num w:numId="4" w16cid:durableId="898443661">
    <w:abstractNumId w:val="12"/>
  </w:num>
  <w:num w:numId="5" w16cid:durableId="2098556364">
    <w:abstractNumId w:val="15"/>
  </w:num>
  <w:num w:numId="6" w16cid:durableId="939987891">
    <w:abstractNumId w:val="4"/>
  </w:num>
  <w:num w:numId="7" w16cid:durableId="129399649">
    <w:abstractNumId w:val="2"/>
  </w:num>
  <w:num w:numId="8" w16cid:durableId="527257320">
    <w:abstractNumId w:val="8"/>
  </w:num>
  <w:num w:numId="9" w16cid:durableId="1819372983">
    <w:abstractNumId w:val="17"/>
  </w:num>
  <w:num w:numId="10" w16cid:durableId="1141189503">
    <w:abstractNumId w:val="13"/>
  </w:num>
  <w:num w:numId="11" w16cid:durableId="1405954733">
    <w:abstractNumId w:val="0"/>
  </w:num>
  <w:num w:numId="12" w16cid:durableId="1914506568">
    <w:abstractNumId w:val="7"/>
  </w:num>
  <w:num w:numId="13" w16cid:durableId="1030257372">
    <w:abstractNumId w:val="16"/>
  </w:num>
  <w:num w:numId="14" w16cid:durableId="1765802368">
    <w:abstractNumId w:val="10"/>
  </w:num>
  <w:num w:numId="15" w16cid:durableId="463236279">
    <w:abstractNumId w:val="9"/>
  </w:num>
  <w:num w:numId="16" w16cid:durableId="678770786">
    <w:abstractNumId w:val="5"/>
  </w:num>
  <w:num w:numId="17" w16cid:durableId="2079592746">
    <w:abstractNumId w:val="3"/>
  </w:num>
  <w:num w:numId="18" w16cid:durableId="109716706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20DE"/>
    <w:rsid w:val="0000251E"/>
    <w:rsid w:val="00002B22"/>
    <w:rsid w:val="00007943"/>
    <w:rsid w:val="0001181B"/>
    <w:rsid w:val="00013DFB"/>
    <w:rsid w:val="00015DB9"/>
    <w:rsid w:val="00017EC2"/>
    <w:rsid w:val="0003534C"/>
    <w:rsid w:val="00051597"/>
    <w:rsid w:val="00056960"/>
    <w:rsid w:val="00060AEC"/>
    <w:rsid w:val="0006395E"/>
    <w:rsid w:val="000754B7"/>
    <w:rsid w:val="0007566A"/>
    <w:rsid w:val="00085C34"/>
    <w:rsid w:val="00086133"/>
    <w:rsid w:val="000874F1"/>
    <w:rsid w:val="000945D0"/>
    <w:rsid w:val="000952EE"/>
    <w:rsid w:val="000A0CAC"/>
    <w:rsid w:val="000A2F6E"/>
    <w:rsid w:val="000A7334"/>
    <w:rsid w:val="000B140D"/>
    <w:rsid w:val="000B35CB"/>
    <w:rsid w:val="000D469D"/>
    <w:rsid w:val="00105305"/>
    <w:rsid w:val="00105CF8"/>
    <w:rsid w:val="0010682E"/>
    <w:rsid w:val="00117718"/>
    <w:rsid w:val="001278B4"/>
    <w:rsid w:val="0013294F"/>
    <w:rsid w:val="00140146"/>
    <w:rsid w:val="0014196A"/>
    <w:rsid w:val="0014453A"/>
    <w:rsid w:val="001472D5"/>
    <w:rsid w:val="001475F6"/>
    <w:rsid w:val="00157EF0"/>
    <w:rsid w:val="00160649"/>
    <w:rsid w:val="00162279"/>
    <w:rsid w:val="00163CAB"/>
    <w:rsid w:val="00164F5F"/>
    <w:rsid w:val="00167CEC"/>
    <w:rsid w:val="001744F8"/>
    <w:rsid w:val="00183FDF"/>
    <w:rsid w:val="0019248E"/>
    <w:rsid w:val="0019734C"/>
    <w:rsid w:val="0019782D"/>
    <w:rsid w:val="001A30FA"/>
    <w:rsid w:val="001B318D"/>
    <w:rsid w:val="001B532A"/>
    <w:rsid w:val="001C354D"/>
    <w:rsid w:val="001C3BD8"/>
    <w:rsid w:val="001C3EC0"/>
    <w:rsid w:val="001C5C19"/>
    <w:rsid w:val="001D2496"/>
    <w:rsid w:val="001D505A"/>
    <w:rsid w:val="001D6DB5"/>
    <w:rsid w:val="001D730E"/>
    <w:rsid w:val="001E3452"/>
    <w:rsid w:val="001E43FA"/>
    <w:rsid w:val="00200256"/>
    <w:rsid w:val="002057BA"/>
    <w:rsid w:val="00210724"/>
    <w:rsid w:val="00211BF7"/>
    <w:rsid w:val="00220F93"/>
    <w:rsid w:val="00226C77"/>
    <w:rsid w:val="002306DD"/>
    <w:rsid w:val="00230D87"/>
    <w:rsid w:val="002409D6"/>
    <w:rsid w:val="00250708"/>
    <w:rsid w:val="002576C2"/>
    <w:rsid w:val="002606F3"/>
    <w:rsid w:val="002615F3"/>
    <w:rsid w:val="00280E85"/>
    <w:rsid w:val="00283DA4"/>
    <w:rsid w:val="0028474E"/>
    <w:rsid w:val="00285C96"/>
    <w:rsid w:val="002874FB"/>
    <w:rsid w:val="00290A72"/>
    <w:rsid w:val="00291B6F"/>
    <w:rsid w:val="00291D03"/>
    <w:rsid w:val="00292890"/>
    <w:rsid w:val="00292D40"/>
    <w:rsid w:val="00295C44"/>
    <w:rsid w:val="002B0489"/>
    <w:rsid w:val="002B1CFE"/>
    <w:rsid w:val="002B33E5"/>
    <w:rsid w:val="002B457C"/>
    <w:rsid w:val="002B723E"/>
    <w:rsid w:val="002C2481"/>
    <w:rsid w:val="002C248C"/>
    <w:rsid w:val="002C2752"/>
    <w:rsid w:val="002C6D5E"/>
    <w:rsid w:val="002F459A"/>
    <w:rsid w:val="002F4AB2"/>
    <w:rsid w:val="00304A75"/>
    <w:rsid w:val="00305D48"/>
    <w:rsid w:val="00306527"/>
    <w:rsid w:val="003120F4"/>
    <w:rsid w:val="00315C29"/>
    <w:rsid w:val="003176CA"/>
    <w:rsid w:val="0032090F"/>
    <w:rsid w:val="00322FF9"/>
    <w:rsid w:val="003260D1"/>
    <w:rsid w:val="00342E0D"/>
    <w:rsid w:val="00343D66"/>
    <w:rsid w:val="0035058B"/>
    <w:rsid w:val="00350597"/>
    <w:rsid w:val="003552BC"/>
    <w:rsid w:val="00356876"/>
    <w:rsid w:val="00361918"/>
    <w:rsid w:val="00370F2B"/>
    <w:rsid w:val="00372E29"/>
    <w:rsid w:val="00382ECE"/>
    <w:rsid w:val="003971EA"/>
    <w:rsid w:val="00397311"/>
    <w:rsid w:val="003A2DB3"/>
    <w:rsid w:val="003A509D"/>
    <w:rsid w:val="003B5ABA"/>
    <w:rsid w:val="003C0833"/>
    <w:rsid w:val="003C2BA8"/>
    <w:rsid w:val="003D03D3"/>
    <w:rsid w:val="003D15D6"/>
    <w:rsid w:val="003D3BEB"/>
    <w:rsid w:val="003D6970"/>
    <w:rsid w:val="003D6EC7"/>
    <w:rsid w:val="003E0D3B"/>
    <w:rsid w:val="003E7433"/>
    <w:rsid w:val="003F0D58"/>
    <w:rsid w:val="003F1635"/>
    <w:rsid w:val="003F3A95"/>
    <w:rsid w:val="003F3B6E"/>
    <w:rsid w:val="003F7732"/>
    <w:rsid w:val="0040190F"/>
    <w:rsid w:val="004076EF"/>
    <w:rsid w:val="00412EB6"/>
    <w:rsid w:val="0041593B"/>
    <w:rsid w:val="004208D1"/>
    <w:rsid w:val="004247FD"/>
    <w:rsid w:val="004267D1"/>
    <w:rsid w:val="004340DB"/>
    <w:rsid w:val="00454D88"/>
    <w:rsid w:val="00455DD4"/>
    <w:rsid w:val="00457703"/>
    <w:rsid w:val="004607DB"/>
    <w:rsid w:val="00461502"/>
    <w:rsid w:val="00492047"/>
    <w:rsid w:val="00495867"/>
    <w:rsid w:val="004A0E4D"/>
    <w:rsid w:val="004A1ADE"/>
    <w:rsid w:val="004A214E"/>
    <w:rsid w:val="004A448E"/>
    <w:rsid w:val="004B22E8"/>
    <w:rsid w:val="004B2FFF"/>
    <w:rsid w:val="004B3251"/>
    <w:rsid w:val="004B33AB"/>
    <w:rsid w:val="004B360F"/>
    <w:rsid w:val="004B517F"/>
    <w:rsid w:val="004B6901"/>
    <w:rsid w:val="004C0A7D"/>
    <w:rsid w:val="004C0AA4"/>
    <w:rsid w:val="004F131E"/>
    <w:rsid w:val="004F1AC5"/>
    <w:rsid w:val="004F5CAD"/>
    <w:rsid w:val="00502674"/>
    <w:rsid w:val="00510B61"/>
    <w:rsid w:val="00515916"/>
    <w:rsid w:val="0052262A"/>
    <w:rsid w:val="00525E39"/>
    <w:rsid w:val="005267E9"/>
    <w:rsid w:val="00536114"/>
    <w:rsid w:val="0054484D"/>
    <w:rsid w:val="00545D11"/>
    <w:rsid w:val="005558B7"/>
    <w:rsid w:val="005608D2"/>
    <w:rsid w:val="00562B71"/>
    <w:rsid w:val="00573746"/>
    <w:rsid w:val="00576E7F"/>
    <w:rsid w:val="00581789"/>
    <w:rsid w:val="00581AFF"/>
    <w:rsid w:val="00587601"/>
    <w:rsid w:val="00596CD7"/>
    <w:rsid w:val="005979BF"/>
    <w:rsid w:val="005A1EA2"/>
    <w:rsid w:val="005A2837"/>
    <w:rsid w:val="005B123F"/>
    <w:rsid w:val="005B1DAF"/>
    <w:rsid w:val="005B2E45"/>
    <w:rsid w:val="005B4808"/>
    <w:rsid w:val="005B7A92"/>
    <w:rsid w:val="005D0901"/>
    <w:rsid w:val="005E0A47"/>
    <w:rsid w:val="005E21FA"/>
    <w:rsid w:val="005E6143"/>
    <w:rsid w:val="005E76B6"/>
    <w:rsid w:val="005E775D"/>
    <w:rsid w:val="005F0D21"/>
    <w:rsid w:val="005F3901"/>
    <w:rsid w:val="005F4824"/>
    <w:rsid w:val="006002B1"/>
    <w:rsid w:val="00601595"/>
    <w:rsid w:val="00603D73"/>
    <w:rsid w:val="00606000"/>
    <w:rsid w:val="00606B2D"/>
    <w:rsid w:val="00611DCF"/>
    <w:rsid w:val="006127A1"/>
    <w:rsid w:val="006128BF"/>
    <w:rsid w:val="006139AA"/>
    <w:rsid w:val="00614D89"/>
    <w:rsid w:val="00615BA2"/>
    <w:rsid w:val="00622FD9"/>
    <w:rsid w:val="006314C3"/>
    <w:rsid w:val="0063763F"/>
    <w:rsid w:val="00640114"/>
    <w:rsid w:val="00640368"/>
    <w:rsid w:val="00650CEE"/>
    <w:rsid w:val="00657BEB"/>
    <w:rsid w:val="006602A3"/>
    <w:rsid w:val="00662135"/>
    <w:rsid w:val="0066538A"/>
    <w:rsid w:val="006739FC"/>
    <w:rsid w:val="00675E4F"/>
    <w:rsid w:val="006868DC"/>
    <w:rsid w:val="006907CF"/>
    <w:rsid w:val="006914A0"/>
    <w:rsid w:val="00692782"/>
    <w:rsid w:val="0069423D"/>
    <w:rsid w:val="006A0176"/>
    <w:rsid w:val="006A55C1"/>
    <w:rsid w:val="006B39A1"/>
    <w:rsid w:val="006B3F14"/>
    <w:rsid w:val="006B7A56"/>
    <w:rsid w:val="006C2EA1"/>
    <w:rsid w:val="006D064A"/>
    <w:rsid w:val="006D1D00"/>
    <w:rsid w:val="006E12A1"/>
    <w:rsid w:val="006E31FD"/>
    <w:rsid w:val="006E5E75"/>
    <w:rsid w:val="00707430"/>
    <w:rsid w:val="00711182"/>
    <w:rsid w:val="007115D5"/>
    <w:rsid w:val="00712715"/>
    <w:rsid w:val="00713244"/>
    <w:rsid w:val="00714D5A"/>
    <w:rsid w:val="007208BD"/>
    <w:rsid w:val="007219F8"/>
    <w:rsid w:val="00723E84"/>
    <w:rsid w:val="00731BD5"/>
    <w:rsid w:val="007448E8"/>
    <w:rsid w:val="007509ED"/>
    <w:rsid w:val="00751C70"/>
    <w:rsid w:val="00752051"/>
    <w:rsid w:val="00752331"/>
    <w:rsid w:val="00752602"/>
    <w:rsid w:val="00754AA5"/>
    <w:rsid w:val="00756ACE"/>
    <w:rsid w:val="00764540"/>
    <w:rsid w:val="00770AC2"/>
    <w:rsid w:val="00773025"/>
    <w:rsid w:val="007811B6"/>
    <w:rsid w:val="00781433"/>
    <w:rsid w:val="00782001"/>
    <w:rsid w:val="007870D1"/>
    <w:rsid w:val="00791D9D"/>
    <w:rsid w:val="007B09BE"/>
    <w:rsid w:val="007B2A62"/>
    <w:rsid w:val="007B7499"/>
    <w:rsid w:val="007C2EE0"/>
    <w:rsid w:val="007C3B67"/>
    <w:rsid w:val="007C5441"/>
    <w:rsid w:val="007D0292"/>
    <w:rsid w:val="007D07A0"/>
    <w:rsid w:val="007D097E"/>
    <w:rsid w:val="007D09A9"/>
    <w:rsid w:val="007D23A6"/>
    <w:rsid w:val="007D55FE"/>
    <w:rsid w:val="007E0828"/>
    <w:rsid w:val="007E27D3"/>
    <w:rsid w:val="007E2CE9"/>
    <w:rsid w:val="007E4D45"/>
    <w:rsid w:val="007F4639"/>
    <w:rsid w:val="007F5048"/>
    <w:rsid w:val="008005F0"/>
    <w:rsid w:val="00807535"/>
    <w:rsid w:val="00810472"/>
    <w:rsid w:val="008222FC"/>
    <w:rsid w:val="00824A7E"/>
    <w:rsid w:val="00826FF2"/>
    <w:rsid w:val="008271D3"/>
    <w:rsid w:val="008325A2"/>
    <w:rsid w:val="008364F7"/>
    <w:rsid w:val="00841DA3"/>
    <w:rsid w:val="008450D1"/>
    <w:rsid w:val="00862027"/>
    <w:rsid w:val="00862FD6"/>
    <w:rsid w:val="00863FF7"/>
    <w:rsid w:val="00864FCE"/>
    <w:rsid w:val="00880338"/>
    <w:rsid w:val="00883B4C"/>
    <w:rsid w:val="0088556E"/>
    <w:rsid w:val="008870B8"/>
    <w:rsid w:val="008915E6"/>
    <w:rsid w:val="008A5FC0"/>
    <w:rsid w:val="008B5242"/>
    <w:rsid w:val="008C2959"/>
    <w:rsid w:val="008C4DC7"/>
    <w:rsid w:val="008C5148"/>
    <w:rsid w:val="008C5EA1"/>
    <w:rsid w:val="008E10D3"/>
    <w:rsid w:val="008F3920"/>
    <w:rsid w:val="008F6D89"/>
    <w:rsid w:val="009004F7"/>
    <w:rsid w:val="00906741"/>
    <w:rsid w:val="00914AA7"/>
    <w:rsid w:val="0092004E"/>
    <w:rsid w:val="00922382"/>
    <w:rsid w:val="00922D96"/>
    <w:rsid w:val="00926E76"/>
    <w:rsid w:val="0093137F"/>
    <w:rsid w:val="009319A7"/>
    <w:rsid w:val="00933E84"/>
    <w:rsid w:val="00935142"/>
    <w:rsid w:val="009405FB"/>
    <w:rsid w:val="0094756A"/>
    <w:rsid w:val="009512C5"/>
    <w:rsid w:val="0095438E"/>
    <w:rsid w:val="00973D38"/>
    <w:rsid w:val="00976C99"/>
    <w:rsid w:val="00981D79"/>
    <w:rsid w:val="00982EE9"/>
    <w:rsid w:val="009913C6"/>
    <w:rsid w:val="00992B85"/>
    <w:rsid w:val="009961B0"/>
    <w:rsid w:val="009A11AD"/>
    <w:rsid w:val="009A176A"/>
    <w:rsid w:val="009A79EC"/>
    <w:rsid w:val="009B45D1"/>
    <w:rsid w:val="009B73A2"/>
    <w:rsid w:val="009C0ABA"/>
    <w:rsid w:val="009C0F0D"/>
    <w:rsid w:val="009D04D7"/>
    <w:rsid w:val="009D0CDC"/>
    <w:rsid w:val="009D16A4"/>
    <w:rsid w:val="009D6286"/>
    <w:rsid w:val="009D6AB9"/>
    <w:rsid w:val="009E737D"/>
    <w:rsid w:val="009F257B"/>
    <w:rsid w:val="009F286E"/>
    <w:rsid w:val="009F3D7E"/>
    <w:rsid w:val="009F6BD8"/>
    <w:rsid w:val="009F7205"/>
    <w:rsid w:val="00A0200F"/>
    <w:rsid w:val="00A02322"/>
    <w:rsid w:val="00A0492C"/>
    <w:rsid w:val="00A04EB2"/>
    <w:rsid w:val="00A13263"/>
    <w:rsid w:val="00A212CB"/>
    <w:rsid w:val="00A40E89"/>
    <w:rsid w:val="00A47211"/>
    <w:rsid w:val="00A50134"/>
    <w:rsid w:val="00A54296"/>
    <w:rsid w:val="00A55D2D"/>
    <w:rsid w:val="00A55ED2"/>
    <w:rsid w:val="00A5759C"/>
    <w:rsid w:val="00A615B7"/>
    <w:rsid w:val="00A620DE"/>
    <w:rsid w:val="00A639A6"/>
    <w:rsid w:val="00A76777"/>
    <w:rsid w:val="00A91E4B"/>
    <w:rsid w:val="00A9530D"/>
    <w:rsid w:val="00A9615D"/>
    <w:rsid w:val="00AA1F95"/>
    <w:rsid w:val="00AA4777"/>
    <w:rsid w:val="00AA5CC4"/>
    <w:rsid w:val="00AA7400"/>
    <w:rsid w:val="00AB22B7"/>
    <w:rsid w:val="00AB517A"/>
    <w:rsid w:val="00AC33D3"/>
    <w:rsid w:val="00AC4E3C"/>
    <w:rsid w:val="00AC6D36"/>
    <w:rsid w:val="00AD2133"/>
    <w:rsid w:val="00B0589D"/>
    <w:rsid w:val="00B1098E"/>
    <w:rsid w:val="00B11EB2"/>
    <w:rsid w:val="00B1663D"/>
    <w:rsid w:val="00B17BC4"/>
    <w:rsid w:val="00B20852"/>
    <w:rsid w:val="00B23CCE"/>
    <w:rsid w:val="00B2498D"/>
    <w:rsid w:val="00B317DD"/>
    <w:rsid w:val="00B354AD"/>
    <w:rsid w:val="00B45490"/>
    <w:rsid w:val="00B4624E"/>
    <w:rsid w:val="00B5207B"/>
    <w:rsid w:val="00B527DD"/>
    <w:rsid w:val="00B6122F"/>
    <w:rsid w:val="00B66A3A"/>
    <w:rsid w:val="00B723A7"/>
    <w:rsid w:val="00B8003B"/>
    <w:rsid w:val="00B816A1"/>
    <w:rsid w:val="00B81D15"/>
    <w:rsid w:val="00B854CB"/>
    <w:rsid w:val="00B8714D"/>
    <w:rsid w:val="00B871A0"/>
    <w:rsid w:val="00B931A7"/>
    <w:rsid w:val="00B97491"/>
    <w:rsid w:val="00BA277B"/>
    <w:rsid w:val="00BA3465"/>
    <w:rsid w:val="00BB11E1"/>
    <w:rsid w:val="00BB2EC7"/>
    <w:rsid w:val="00BB5935"/>
    <w:rsid w:val="00BC1AA2"/>
    <w:rsid w:val="00BC2E16"/>
    <w:rsid w:val="00BC4AD0"/>
    <w:rsid w:val="00BD3551"/>
    <w:rsid w:val="00BD5537"/>
    <w:rsid w:val="00BE7AFD"/>
    <w:rsid w:val="00BF1B7C"/>
    <w:rsid w:val="00BF2454"/>
    <w:rsid w:val="00C01B30"/>
    <w:rsid w:val="00C063BA"/>
    <w:rsid w:val="00C0728E"/>
    <w:rsid w:val="00C07955"/>
    <w:rsid w:val="00C12556"/>
    <w:rsid w:val="00C12A98"/>
    <w:rsid w:val="00C209D8"/>
    <w:rsid w:val="00C30E76"/>
    <w:rsid w:val="00C375D5"/>
    <w:rsid w:val="00C44A91"/>
    <w:rsid w:val="00C559C4"/>
    <w:rsid w:val="00C571C6"/>
    <w:rsid w:val="00C57F05"/>
    <w:rsid w:val="00C61F95"/>
    <w:rsid w:val="00C707FA"/>
    <w:rsid w:val="00C714E8"/>
    <w:rsid w:val="00C73520"/>
    <w:rsid w:val="00C85214"/>
    <w:rsid w:val="00C865F5"/>
    <w:rsid w:val="00C87BD8"/>
    <w:rsid w:val="00C94B2A"/>
    <w:rsid w:val="00C94F6D"/>
    <w:rsid w:val="00CA0AFF"/>
    <w:rsid w:val="00CA2440"/>
    <w:rsid w:val="00CA3D0B"/>
    <w:rsid w:val="00CA4AB2"/>
    <w:rsid w:val="00CB74A1"/>
    <w:rsid w:val="00CC6788"/>
    <w:rsid w:val="00CD099C"/>
    <w:rsid w:val="00CD27FA"/>
    <w:rsid w:val="00CD7416"/>
    <w:rsid w:val="00CE668E"/>
    <w:rsid w:val="00CF2885"/>
    <w:rsid w:val="00CF4F31"/>
    <w:rsid w:val="00D039C8"/>
    <w:rsid w:val="00D06FFF"/>
    <w:rsid w:val="00D14473"/>
    <w:rsid w:val="00D331A2"/>
    <w:rsid w:val="00D331D7"/>
    <w:rsid w:val="00D336BE"/>
    <w:rsid w:val="00D353EF"/>
    <w:rsid w:val="00D401A9"/>
    <w:rsid w:val="00D41D8D"/>
    <w:rsid w:val="00D45AA2"/>
    <w:rsid w:val="00D50006"/>
    <w:rsid w:val="00D51005"/>
    <w:rsid w:val="00D60A58"/>
    <w:rsid w:val="00D64128"/>
    <w:rsid w:val="00D64C3F"/>
    <w:rsid w:val="00D736A9"/>
    <w:rsid w:val="00D76FB2"/>
    <w:rsid w:val="00D777DE"/>
    <w:rsid w:val="00D8153B"/>
    <w:rsid w:val="00D85936"/>
    <w:rsid w:val="00D90A78"/>
    <w:rsid w:val="00D933C0"/>
    <w:rsid w:val="00DB1EBA"/>
    <w:rsid w:val="00DB36A5"/>
    <w:rsid w:val="00DB6793"/>
    <w:rsid w:val="00DC4A14"/>
    <w:rsid w:val="00DD7538"/>
    <w:rsid w:val="00DE7003"/>
    <w:rsid w:val="00DF2C5E"/>
    <w:rsid w:val="00DF6580"/>
    <w:rsid w:val="00DF7006"/>
    <w:rsid w:val="00E00D21"/>
    <w:rsid w:val="00E0706E"/>
    <w:rsid w:val="00E10345"/>
    <w:rsid w:val="00E1098D"/>
    <w:rsid w:val="00E11317"/>
    <w:rsid w:val="00E14710"/>
    <w:rsid w:val="00E1613B"/>
    <w:rsid w:val="00E249FE"/>
    <w:rsid w:val="00E25156"/>
    <w:rsid w:val="00E30A76"/>
    <w:rsid w:val="00E31A26"/>
    <w:rsid w:val="00E37B1B"/>
    <w:rsid w:val="00E44E64"/>
    <w:rsid w:val="00E50BDE"/>
    <w:rsid w:val="00E5178A"/>
    <w:rsid w:val="00E533D8"/>
    <w:rsid w:val="00E538B3"/>
    <w:rsid w:val="00E548CA"/>
    <w:rsid w:val="00E63036"/>
    <w:rsid w:val="00E6524A"/>
    <w:rsid w:val="00E67196"/>
    <w:rsid w:val="00E73255"/>
    <w:rsid w:val="00E75061"/>
    <w:rsid w:val="00E750F1"/>
    <w:rsid w:val="00E873BB"/>
    <w:rsid w:val="00EA048C"/>
    <w:rsid w:val="00EA6B91"/>
    <w:rsid w:val="00EA72DC"/>
    <w:rsid w:val="00EB27B9"/>
    <w:rsid w:val="00EC5427"/>
    <w:rsid w:val="00EC7AA1"/>
    <w:rsid w:val="00EE1FC1"/>
    <w:rsid w:val="00EE5FAC"/>
    <w:rsid w:val="00EF348A"/>
    <w:rsid w:val="00EF65A7"/>
    <w:rsid w:val="00EF6DA5"/>
    <w:rsid w:val="00F004DA"/>
    <w:rsid w:val="00F26B31"/>
    <w:rsid w:val="00F30B7C"/>
    <w:rsid w:val="00F312ED"/>
    <w:rsid w:val="00F3367D"/>
    <w:rsid w:val="00F41573"/>
    <w:rsid w:val="00F4578E"/>
    <w:rsid w:val="00F510E2"/>
    <w:rsid w:val="00F54C95"/>
    <w:rsid w:val="00F60429"/>
    <w:rsid w:val="00F663DA"/>
    <w:rsid w:val="00F712FB"/>
    <w:rsid w:val="00F7532F"/>
    <w:rsid w:val="00F75429"/>
    <w:rsid w:val="00F76C8D"/>
    <w:rsid w:val="00F774FB"/>
    <w:rsid w:val="00F81C8A"/>
    <w:rsid w:val="00F85C49"/>
    <w:rsid w:val="00F93E14"/>
    <w:rsid w:val="00F9785C"/>
    <w:rsid w:val="00FA20FB"/>
    <w:rsid w:val="00FB0CE3"/>
    <w:rsid w:val="00FB3F74"/>
    <w:rsid w:val="00FB69F6"/>
    <w:rsid w:val="00FB6CD2"/>
    <w:rsid w:val="00FB6ED3"/>
    <w:rsid w:val="00FD0C83"/>
    <w:rsid w:val="00FD52B5"/>
    <w:rsid w:val="00FE2290"/>
    <w:rsid w:val="00FE4803"/>
    <w:rsid w:val="00FE4F23"/>
    <w:rsid w:val="00FF069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F33F3"/>
  <w15:chartTrackingRefBased/>
  <w15:docId w15:val="{A605A3A7-86DF-4949-8DCF-6EB9CB08B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20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620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20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20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20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20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20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20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20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20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620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20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20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20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20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20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20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20DE"/>
    <w:rPr>
      <w:rFonts w:eastAsiaTheme="majorEastAsia" w:cstheme="majorBidi"/>
      <w:color w:val="272727" w:themeColor="text1" w:themeTint="D8"/>
    </w:rPr>
  </w:style>
  <w:style w:type="paragraph" w:styleId="Title">
    <w:name w:val="Title"/>
    <w:basedOn w:val="Normal"/>
    <w:next w:val="Normal"/>
    <w:link w:val="TitleChar"/>
    <w:uiPriority w:val="10"/>
    <w:qFormat/>
    <w:rsid w:val="00A620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20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20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20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20DE"/>
    <w:pPr>
      <w:spacing w:before="160"/>
      <w:jc w:val="center"/>
    </w:pPr>
    <w:rPr>
      <w:i/>
      <w:iCs/>
      <w:color w:val="404040" w:themeColor="text1" w:themeTint="BF"/>
    </w:rPr>
  </w:style>
  <w:style w:type="character" w:customStyle="1" w:styleId="QuoteChar">
    <w:name w:val="Quote Char"/>
    <w:basedOn w:val="DefaultParagraphFont"/>
    <w:link w:val="Quote"/>
    <w:uiPriority w:val="29"/>
    <w:rsid w:val="00A620DE"/>
    <w:rPr>
      <w:i/>
      <w:iCs/>
      <w:color w:val="404040" w:themeColor="text1" w:themeTint="BF"/>
    </w:rPr>
  </w:style>
  <w:style w:type="paragraph" w:styleId="ListParagraph">
    <w:name w:val="List Paragraph"/>
    <w:basedOn w:val="Normal"/>
    <w:uiPriority w:val="34"/>
    <w:qFormat/>
    <w:rsid w:val="00A620DE"/>
    <w:pPr>
      <w:ind w:left="720"/>
      <w:contextualSpacing/>
    </w:pPr>
  </w:style>
  <w:style w:type="character" w:styleId="IntenseEmphasis">
    <w:name w:val="Intense Emphasis"/>
    <w:basedOn w:val="DefaultParagraphFont"/>
    <w:uiPriority w:val="21"/>
    <w:qFormat/>
    <w:rsid w:val="00A620DE"/>
    <w:rPr>
      <w:i/>
      <w:iCs/>
      <w:color w:val="0F4761" w:themeColor="accent1" w:themeShade="BF"/>
    </w:rPr>
  </w:style>
  <w:style w:type="paragraph" w:styleId="IntenseQuote">
    <w:name w:val="Intense Quote"/>
    <w:basedOn w:val="Normal"/>
    <w:next w:val="Normal"/>
    <w:link w:val="IntenseQuoteChar"/>
    <w:uiPriority w:val="30"/>
    <w:qFormat/>
    <w:rsid w:val="00A620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20DE"/>
    <w:rPr>
      <w:i/>
      <w:iCs/>
      <w:color w:val="0F4761" w:themeColor="accent1" w:themeShade="BF"/>
    </w:rPr>
  </w:style>
  <w:style w:type="character" w:styleId="IntenseReference">
    <w:name w:val="Intense Reference"/>
    <w:basedOn w:val="DefaultParagraphFont"/>
    <w:uiPriority w:val="32"/>
    <w:qFormat/>
    <w:rsid w:val="00A620DE"/>
    <w:rPr>
      <w:b/>
      <w:bCs/>
      <w:smallCaps/>
      <w:color w:val="0F4761" w:themeColor="accent1" w:themeShade="BF"/>
      <w:spacing w:val="5"/>
    </w:rPr>
  </w:style>
  <w:style w:type="paragraph" w:styleId="NoSpacing">
    <w:name w:val="No Spacing"/>
    <w:uiPriority w:val="1"/>
    <w:qFormat/>
    <w:rsid w:val="00CC6788"/>
    <w:pPr>
      <w:spacing w:after="0" w:line="240" w:lineRule="auto"/>
    </w:pPr>
  </w:style>
  <w:style w:type="character" w:customStyle="1" w:styleId="s1">
    <w:name w:val="s1"/>
    <w:basedOn w:val="DefaultParagraphFont"/>
    <w:rsid w:val="00C865F5"/>
  </w:style>
  <w:style w:type="paragraph" w:customStyle="1" w:styleId="p2">
    <w:name w:val="p2"/>
    <w:basedOn w:val="Normal"/>
    <w:rsid w:val="00C865F5"/>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paragraph" w:customStyle="1" w:styleId="p1">
    <w:name w:val="p1"/>
    <w:basedOn w:val="Normal"/>
    <w:rsid w:val="00C865F5"/>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paragraph" w:styleId="Header">
    <w:name w:val="header"/>
    <w:basedOn w:val="Normal"/>
    <w:link w:val="HeaderChar"/>
    <w:uiPriority w:val="99"/>
    <w:unhideWhenUsed/>
    <w:rsid w:val="006868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68DC"/>
  </w:style>
  <w:style w:type="paragraph" w:styleId="Footer">
    <w:name w:val="footer"/>
    <w:basedOn w:val="Normal"/>
    <w:link w:val="FooterChar"/>
    <w:uiPriority w:val="99"/>
    <w:unhideWhenUsed/>
    <w:rsid w:val="006868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68DC"/>
  </w:style>
  <w:style w:type="paragraph" w:styleId="NormalWeb">
    <w:name w:val="Normal (Web)"/>
    <w:basedOn w:val="Normal"/>
    <w:uiPriority w:val="99"/>
    <w:unhideWhenUsed/>
    <w:rsid w:val="00DB1EB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4C0AA4"/>
    <w:rPr>
      <w:color w:val="467886" w:themeColor="hyperlink"/>
      <w:u w:val="single"/>
    </w:rPr>
  </w:style>
  <w:style w:type="character" w:styleId="UnresolvedMention">
    <w:name w:val="Unresolved Mention"/>
    <w:basedOn w:val="DefaultParagraphFont"/>
    <w:uiPriority w:val="99"/>
    <w:semiHidden/>
    <w:unhideWhenUsed/>
    <w:rsid w:val="004C0AA4"/>
    <w:rPr>
      <w:color w:val="605E5C"/>
      <w:shd w:val="clear" w:color="auto" w:fill="E1DFDD"/>
    </w:rPr>
  </w:style>
  <w:style w:type="paragraph" w:styleId="TOCHeading">
    <w:name w:val="TOC Heading"/>
    <w:basedOn w:val="Heading1"/>
    <w:next w:val="Normal"/>
    <w:uiPriority w:val="39"/>
    <w:unhideWhenUsed/>
    <w:qFormat/>
    <w:rsid w:val="00510B61"/>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0A0CAC"/>
    <w:pPr>
      <w:tabs>
        <w:tab w:val="right" w:leader="dot" w:pos="9016"/>
      </w:tabs>
      <w:spacing w:after="100" w:line="360" w:lineRule="auto"/>
    </w:pPr>
    <w:rPr>
      <w:rFonts w:ascii="Arial" w:hAnsi="Arial" w:cs="Arial"/>
      <w:noProof/>
    </w:rPr>
  </w:style>
  <w:style w:type="paragraph" w:styleId="TOC2">
    <w:name w:val="toc 2"/>
    <w:basedOn w:val="Normal"/>
    <w:next w:val="Normal"/>
    <w:autoRedefine/>
    <w:uiPriority w:val="39"/>
    <w:unhideWhenUsed/>
    <w:rsid w:val="00510B61"/>
    <w:pPr>
      <w:spacing w:after="100"/>
      <w:ind w:left="240"/>
    </w:pPr>
  </w:style>
  <w:style w:type="paragraph" w:styleId="TOC3">
    <w:name w:val="toc 3"/>
    <w:basedOn w:val="Normal"/>
    <w:next w:val="Normal"/>
    <w:autoRedefine/>
    <w:uiPriority w:val="39"/>
    <w:unhideWhenUsed/>
    <w:rsid w:val="00510B6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80/09638180020024007" TargetMode="External"/><Relationship Id="rId18" Type="http://schemas.openxmlformats.org/officeDocument/2006/relationships/hyperlink" Target="https://doi.org/10.1016/0361-3682(80)90012-4"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1016/S0361-3682(98)00046-7" TargetMode="External"/><Relationship Id="rId17" Type="http://schemas.openxmlformats.org/officeDocument/2006/relationships/hyperlink" Target="https://doi.org/10.1006/mare.1999.0115" TargetMode="External"/><Relationship Id="rId2" Type="http://schemas.openxmlformats.org/officeDocument/2006/relationships/numbering" Target="numbering.xml"/><Relationship Id="rId16" Type="http://schemas.openxmlformats.org/officeDocument/2006/relationships/hyperlink" Target="https://doi.org/10.1108/13683040310496471" TargetMode="External"/><Relationship Id="rId20" Type="http://schemas.openxmlformats.org/officeDocument/2006/relationships/hyperlink" Target="https://doi.org/10.2307/249084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doi.org/10.1016/j.mar.2009.10.003" TargetMode="External"/><Relationship Id="rId10" Type="http://schemas.openxmlformats.org/officeDocument/2006/relationships/image" Target="media/image3.jpeg"/><Relationship Id="rId19" Type="http://schemas.openxmlformats.org/officeDocument/2006/relationships/hyperlink" Target="https://doi.org/10.1016/S0956-5221(98)00029-3"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i.org/10.1016/S1044-5005(03)00002-8"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EB984B-6A40-4FB8-86DC-8B801C21BA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6394</Words>
  <Characters>36448</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Sanda-Ionela Vica (2410012)</dc:creator>
  <cp:keywords/>
  <dc:description/>
  <cp:lastModifiedBy>Sanda-Ionela Vica (2410012)</cp:lastModifiedBy>
  <cp:revision>2</cp:revision>
  <dcterms:created xsi:type="dcterms:W3CDTF">2026-03-19T10:35:00Z</dcterms:created>
  <dcterms:modified xsi:type="dcterms:W3CDTF">2026-03-19T10:35:00Z</dcterms:modified>
</cp:coreProperties>
</file>