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08865" w14:textId="05631ABF" w:rsidR="003C40A0" w:rsidRDefault="00F90477" w:rsidP="00D55132">
      <w:pPr>
        <w:pStyle w:val="Title"/>
        <w:jc w:val="center"/>
        <w:rPr>
          <w:rFonts w:ascii="Times New Roman" w:hAnsi="Times New Roman" w:cs="Times New Roman"/>
          <w:sz w:val="72"/>
          <w:szCs w:val="72"/>
        </w:rPr>
      </w:pPr>
      <w:r w:rsidRPr="00D55132">
        <w:rPr>
          <w:rFonts w:ascii="Times New Roman" w:hAnsi="Times New Roman" w:cs="Times New Roman"/>
          <w:sz w:val="72"/>
          <w:szCs w:val="72"/>
        </w:rPr>
        <w:t>Community Engagement Process Report</w:t>
      </w:r>
    </w:p>
    <w:p w14:paraId="3CC47484" w14:textId="77777777" w:rsidR="00D55132" w:rsidRDefault="00D55132" w:rsidP="00D55132"/>
    <w:p w14:paraId="16B85D73" w14:textId="77777777" w:rsidR="00D55132" w:rsidRPr="00D55132" w:rsidRDefault="00D55132" w:rsidP="00D55132"/>
    <w:p w14:paraId="70B3F48A" w14:textId="020F1B85" w:rsidR="00D55132" w:rsidRPr="00D55132" w:rsidRDefault="00D55132" w:rsidP="00D55132">
      <w:pPr>
        <w:pStyle w:val="Title"/>
        <w:jc w:val="center"/>
        <w:rPr>
          <w:rFonts w:ascii="Times New Roman" w:hAnsi="Times New Roman" w:cs="Times New Roman"/>
          <w:sz w:val="72"/>
          <w:szCs w:val="72"/>
        </w:rPr>
      </w:pPr>
      <w:r w:rsidRPr="00D55132">
        <w:rPr>
          <w:rFonts w:ascii="Times New Roman" w:hAnsi="Times New Roman" w:cs="Times New Roman"/>
          <w:sz w:val="72"/>
          <w:szCs w:val="72"/>
        </w:rPr>
        <w:t>MODULE CODE: LCBB4002</w:t>
      </w:r>
    </w:p>
    <w:p w14:paraId="35C5A3CB" w14:textId="6D06D74A" w:rsidR="00D55132" w:rsidRPr="00D55132" w:rsidRDefault="00D55132" w:rsidP="00D55132">
      <w:pPr>
        <w:pStyle w:val="Title"/>
        <w:jc w:val="center"/>
        <w:rPr>
          <w:rFonts w:ascii="Times New Roman" w:hAnsi="Times New Roman" w:cs="Times New Roman"/>
          <w:sz w:val="72"/>
          <w:szCs w:val="72"/>
        </w:rPr>
      </w:pPr>
      <w:r w:rsidRPr="00D55132">
        <w:rPr>
          <w:rFonts w:ascii="Times New Roman" w:hAnsi="Times New Roman" w:cs="Times New Roman"/>
          <w:sz w:val="72"/>
          <w:szCs w:val="72"/>
        </w:rPr>
        <w:t>COMPONENT 1</w:t>
      </w:r>
    </w:p>
    <w:p w14:paraId="6818D00A" w14:textId="77777777" w:rsidR="00F90477" w:rsidRDefault="00F90477" w:rsidP="00F90477"/>
    <w:p w14:paraId="5025FB24" w14:textId="77777777" w:rsidR="00F90477" w:rsidRDefault="00F90477" w:rsidP="00F90477"/>
    <w:p w14:paraId="65FFC131" w14:textId="77777777" w:rsidR="00F90477" w:rsidRDefault="00F90477" w:rsidP="00F90477"/>
    <w:p w14:paraId="5B178CB1" w14:textId="77777777" w:rsidR="00F90477" w:rsidRDefault="00F90477" w:rsidP="00F90477"/>
    <w:p w14:paraId="2E4AADCD" w14:textId="77777777" w:rsidR="00F90477" w:rsidRDefault="00F90477" w:rsidP="00F90477"/>
    <w:p w14:paraId="7C924926" w14:textId="77777777" w:rsidR="00F90477" w:rsidRDefault="00F90477" w:rsidP="00F90477"/>
    <w:p w14:paraId="7BA5802D" w14:textId="77777777" w:rsidR="00F90477" w:rsidRDefault="00F90477" w:rsidP="00F90477"/>
    <w:p w14:paraId="2321A27D" w14:textId="77777777" w:rsidR="00F90477" w:rsidRDefault="00F90477" w:rsidP="00F90477"/>
    <w:p w14:paraId="690C9155" w14:textId="77777777" w:rsidR="00F90477" w:rsidRDefault="00F90477" w:rsidP="00F90477"/>
    <w:p w14:paraId="32AB041C" w14:textId="77777777" w:rsidR="00F90477" w:rsidRDefault="00F90477" w:rsidP="00F90477"/>
    <w:p w14:paraId="7BA302E4" w14:textId="77777777" w:rsidR="00F90477" w:rsidRDefault="00F90477" w:rsidP="00F90477"/>
    <w:p w14:paraId="6523146A" w14:textId="77777777" w:rsidR="00F90477" w:rsidRDefault="00F90477" w:rsidP="00F90477"/>
    <w:p w14:paraId="72E0C694" w14:textId="77777777" w:rsidR="00F90477" w:rsidRDefault="00F90477" w:rsidP="00F90477"/>
    <w:p w14:paraId="0D343793" w14:textId="77777777" w:rsidR="00F90477" w:rsidRDefault="00F90477" w:rsidP="00F90477"/>
    <w:p w14:paraId="0FD78360" w14:textId="77777777" w:rsidR="00F90477" w:rsidRDefault="00F90477" w:rsidP="00F90477"/>
    <w:p w14:paraId="408719DC" w14:textId="77777777" w:rsidR="00F90477" w:rsidRDefault="00F90477" w:rsidP="00F90477"/>
    <w:p w14:paraId="585F215C" w14:textId="77777777" w:rsidR="00F90477" w:rsidRDefault="00F90477" w:rsidP="00F90477"/>
    <w:p w14:paraId="296229B5" w14:textId="77777777" w:rsidR="00F90477" w:rsidRDefault="00F90477" w:rsidP="00D55132">
      <w:pPr>
        <w:jc w:val="center"/>
      </w:pPr>
    </w:p>
    <w:p w14:paraId="705E93C8" w14:textId="497B96D3" w:rsidR="00F90477" w:rsidRDefault="00D55132" w:rsidP="00D55132">
      <w:pPr>
        <w:jc w:val="center"/>
      </w:pPr>
      <w:r>
        <w:t>STUDENT NAME</w:t>
      </w:r>
      <w:r w:rsidR="003C065C">
        <w:t xml:space="preserve"> Mihai Florin Ciprian</w:t>
      </w:r>
    </w:p>
    <w:p w14:paraId="0CB4088C" w14:textId="572EC8EC" w:rsidR="00D55132" w:rsidRDefault="00D55132" w:rsidP="00D55132">
      <w:pPr>
        <w:jc w:val="center"/>
      </w:pPr>
      <w:r>
        <w:t>STUDENT ID:</w:t>
      </w:r>
      <w:r w:rsidR="00B7497F">
        <w:t>2247307</w:t>
      </w:r>
    </w:p>
    <w:p w14:paraId="13F231A4" w14:textId="77777777" w:rsidR="00F90477" w:rsidRDefault="00F90477" w:rsidP="00F90477"/>
    <w:p w14:paraId="0781A2DD" w14:textId="77777777" w:rsidR="00F90477" w:rsidRDefault="00F90477" w:rsidP="00F90477"/>
    <w:p w14:paraId="3FD26287" w14:textId="77777777" w:rsidR="00F90477" w:rsidRDefault="00F90477" w:rsidP="00F90477"/>
    <w:p w14:paraId="6CC7D95B" w14:textId="77777777" w:rsidR="00F90477" w:rsidRDefault="00F90477" w:rsidP="00F90477"/>
    <w:p w14:paraId="4137498E" w14:textId="77777777" w:rsidR="00F90477" w:rsidRDefault="00F90477" w:rsidP="00F90477"/>
    <w:p w14:paraId="03B95525" w14:textId="77777777" w:rsidR="00F90477" w:rsidRDefault="00F90477" w:rsidP="00F90477"/>
    <w:p w14:paraId="5099FF6E" w14:textId="77777777" w:rsidR="00F90477" w:rsidRDefault="00F90477" w:rsidP="00F90477"/>
    <w:p w14:paraId="090B3441" w14:textId="77777777" w:rsidR="00F90477" w:rsidRDefault="00F90477" w:rsidP="00F90477"/>
    <w:sdt>
      <w:sdtPr>
        <w:rPr>
          <w:rFonts w:ascii="Times New Roman" w:eastAsiaTheme="minorHAnsi" w:hAnsi="Times New Roman" w:cstheme="minorBidi"/>
          <w:color w:val="auto"/>
          <w:kern w:val="2"/>
          <w:sz w:val="24"/>
          <w:szCs w:val="22"/>
          <w:lang w:val="en-GB"/>
          <w14:ligatures w14:val="standardContextual"/>
        </w:rPr>
        <w:id w:val="369270856"/>
        <w:docPartObj>
          <w:docPartGallery w:val="Table of Contents"/>
          <w:docPartUnique/>
        </w:docPartObj>
      </w:sdtPr>
      <w:sdtEndPr>
        <w:rPr>
          <w:b/>
          <w:bCs/>
          <w:noProof/>
        </w:rPr>
      </w:sdtEndPr>
      <w:sdtContent>
        <w:p w14:paraId="218084B4" w14:textId="59F444D4" w:rsidR="006A029D" w:rsidRDefault="006A029D">
          <w:pPr>
            <w:pStyle w:val="TOCHeading"/>
          </w:pPr>
          <w:r>
            <w:t>Contents</w:t>
          </w:r>
        </w:p>
        <w:p w14:paraId="3543B925" w14:textId="12B99617" w:rsidR="006A029D" w:rsidRDefault="006A029D" w:rsidP="006A029D">
          <w:pPr>
            <w:pStyle w:val="TOC1"/>
            <w:tabs>
              <w:tab w:val="right" w:leader="dot" w:pos="9016"/>
            </w:tabs>
            <w:spacing w:line="360" w:lineRule="auto"/>
            <w:rPr>
              <w:noProof/>
            </w:rPr>
          </w:pPr>
          <w:r>
            <w:fldChar w:fldCharType="begin"/>
          </w:r>
          <w:r>
            <w:instrText xml:space="preserve"> TOC \o "1-3" \h \z \u </w:instrText>
          </w:r>
          <w:r>
            <w:fldChar w:fldCharType="separate"/>
          </w:r>
          <w:hyperlink w:anchor="_Toc153013359" w:history="1">
            <w:r w:rsidRPr="00B0174F">
              <w:rPr>
                <w:rStyle w:val="Hyperlink"/>
                <w:noProof/>
              </w:rPr>
              <w:t>Introduction</w:t>
            </w:r>
            <w:r>
              <w:rPr>
                <w:noProof/>
                <w:webHidden/>
              </w:rPr>
              <w:tab/>
            </w:r>
            <w:r>
              <w:rPr>
                <w:noProof/>
                <w:webHidden/>
              </w:rPr>
              <w:fldChar w:fldCharType="begin"/>
            </w:r>
            <w:r>
              <w:rPr>
                <w:noProof/>
                <w:webHidden/>
              </w:rPr>
              <w:instrText xml:space="preserve"> PAGEREF _Toc153013359 \h </w:instrText>
            </w:r>
            <w:r>
              <w:rPr>
                <w:noProof/>
                <w:webHidden/>
              </w:rPr>
            </w:r>
            <w:r>
              <w:rPr>
                <w:noProof/>
                <w:webHidden/>
              </w:rPr>
              <w:fldChar w:fldCharType="separate"/>
            </w:r>
            <w:r>
              <w:rPr>
                <w:noProof/>
                <w:webHidden/>
              </w:rPr>
              <w:t>3</w:t>
            </w:r>
            <w:r>
              <w:rPr>
                <w:noProof/>
                <w:webHidden/>
              </w:rPr>
              <w:fldChar w:fldCharType="end"/>
            </w:r>
          </w:hyperlink>
        </w:p>
        <w:p w14:paraId="02228395" w14:textId="0E5F4B04" w:rsidR="006A029D" w:rsidRDefault="00A97B4D" w:rsidP="006A029D">
          <w:pPr>
            <w:pStyle w:val="TOC1"/>
            <w:tabs>
              <w:tab w:val="right" w:leader="dot" w:pos="9016"/>
            </w:tabs>
            <w:spacing w:line="360" w:lineRule="auto"/>
            <w:rPr>
              <w:noProof/>
            </w:rPr>
          </w:pPr>
          <w:hyperlink w:anchor="_Toc153013360" w:history="1">
            <w:r w:rsidR="006A029D" w:rsidRPr="00B0174F">
              <w:rPr>
                <w:rStyle w:val="Hyperlink"/>
                <w:noProof/>
              </w:rPr>
              <w:t>Body</w:t>
            </w:r>
            <w:r w:rsidR="006A029D">
              <w:rPr>
                <w:noProof/>
                <w:webHidden/>
              </w:rPr>
              <w:tab/>
            </w:r>
            <w:r w:rsidR="006A029D">
              <w:rPr>
                <w:noProof/>
                <w:webHidden/>
              </w:rPr>
              <w:fldChar w:fldCharType="begin"/>
            </w:r>
            <w:r w:rsidR="006A029D">
              <w:rPr>
                <w:noProof/>
                <w:webHidden/>
              </w:rPr>
              <w:instrText xml:space="preserve"> PAGEREF _Toc153013360 \h </w:instrText>
            </w:r>
            <w:r w:rsidR="006A029D">
              <w:rPr>
                <w:noProof/>
                <w:webHidden/>
              </w:rPr>
            </w:r>
            <w:r w:rsidR="006A029D">
              <w:rPr>
                <w:noProof/>
                <w:webHidden/>
              </w:rPr>
              <w:fldChar w:fldCharType="separate"/>
            </w:r>
            <w:r w:rsidR="006A029D">
              <w:rPr>
                <w:noProof/>
                <w:webHidden/>
              </w:rPr>
              <w:t>3</w:t>
            </w:r>
            <w:r w:rsidR="006A029D">
              <w:rPr>
                <w:noProof/>
                <w:webHidden/>
              </w:rPr>
              <w:fldChar w:fldCharType="end"/>
            </w:r>
          </w:hyperlink>
        </w:p>
        <w:p w14:paraId="011E9505" w14:textId="26E8A327" w:rsidR="006A029D" w:rsidRDefault="00A97B4D" w:rsidP="006A029D">
          <w:pPr>
            <w:pStyle w:val="TOC1"/>
            <w:tabs>
              <w:tab w:val="right" w:leader="dot" w:pos="9016"/>
            </w:tabs>
            <w:spacing w:line="360" w:lineRule="auto"/>
            <w:rPr>
              <w:noProof/>
            </w:rPr>
          </w:pPr>
          <w:hyperlink w:anchor="_Toc153013361" w:history="1">
            <w:r w:rsidR="006A029D" w:rsidRPr="00B0174F">
              <w:rPr>
                <w:rStyle w:val="Hyperlink"/>
                <w:noProof/>
              </w:rPr>
              <w:t>Project Background and Goals</w:t>
            </w:r>
            <w:r w:rsidR="006A029D">
              <w:rPr>
                <w:noProof/>
                <w:webHidden/>
              </w:rPr>
              <w:tab/>
            </w:r>
            <w:r w:rsidR="006A029D">
              <w:rPr>
                <w:noProof/>
                <w:webHidden/>
              </w:rPr>
              <w:fldChar w:fldCharType="begin"/>
            </w:r>
            <w:r w:rsidR="006A029D">
              <w:rPr>
                <w:noProof/>
                <w:webHidden/>
              </w:rPr>
              <w:instrText xml:space="preserve"> PAGEREF _Toc153013361 \h </w:instrText>
            </w:r>
            <w:r w:rsidR="006A029D">
              <w:rPr>
                <w:noProof/>
                <w:webHidden/>
              </w:rPr>
            </w:r>
            <w:r w:rsidR="006A029D">
              <w:rPr>
                <w:noProof/>
                <w:webHidden/>
              </w:rPr>
              <w:fldChar w:fldCharType="separate"/>
            </w:r>
            <w:r w:rsidR="006A029D">
              <w:rPr>
                <w:noProof/>
                <w:webHidden/>
              </w:rPr>
              <w:t>3</w:t>
            </w:r>
            <w:r w:rsidR="006A029D">
              <w:rPr>
                <w:noProof/>
                <w:webHidden/>
              </w:rPr>
              <w:fldChar w:fldCharType="end"/>
            </w:r>
          </w:hyperlink>
        </w:p>
        <w:p w14:paraId="0D47828A" w14:textId="236CFF4D" w:rsidR="006A029D" w:rsidRDefault="00A97B4D" w:rsidP="006A029D">
          <w:pPr>
            <w:pStyle w:val="TOC1"/>
            <w:tabs>
              <w:tab w:val="right" w:leader="dot" w:pos="9016"/>
            </w:tabs>
            <w:spacing w:line="360" w:lineRule="auto"/>
            <w:rPr>
              <w:noProof/>
            </w:rPr>
          </w:pPr>
          <w:hyperlink w:anchor="_Toc153013362" w:history="1">
            <w:r w:rsidR="006A029D" w:rsidRPr="00B0174F">
              <w:rPr>
                <w:rStyle w:val="Hyperlink"/>
                <w:noProof/>
              </w:rPr>
              <w:t>Evaluation of Community Engagement Approaches</w:t>
            </w:r>
            <w:r w:rsidR="006A029D">
              <w:rPr>
                <w:noProof/>
                <w:webHidden/>
              </w:rPr>
              <w:tab/>
            </w:r>
            <w:r w:rsidR="006A029D">
              <w:rPr>
                <w:noProof/>
                <w:webHidden/>
              </w:rPr>
              <w:fldChar w:fldCharType="begin"/>
            </w:r>
            <w:r w:rsidR="006A029D">
              <w:rPr>
                <w:noProof/>
                <w:webHidden/>
              </w:rPr>
              <w:instrText xml:space="preserve"> PAGEREF _Toc153013362 \h </w:instrText>
            </w:r>
            <w:r w:rsidR="006A029D">
              <w:rPr>
                <w:noProof/>
                <w:webHidden/>
              </w:rPr>
            </w:r>
            <w:r w:rsidR="006A029D">
              <w:rPr>
                <w:noProof/>
                <w:webHidden/>
              </w:rPr>
              <w:fldChar w:fldCharType="separate"/>
            </w:r>
            <w:r w:rsidR="006A029D">
              <w:rPr>
                <w:noProof/>
                <w:webHidden/>
              </w:rPr>
              <w:t>4</w:t>
            </w:r>
            <w:r w:rsidR="006A029D">
              <w:rPr>
                <w:noProof/>
                <w:webHidden/>
              </w:rPr>
              <w:fldChar w:fldCharType="end"/>
            </w:r>
          </w:hyperlink>
        </w:p>
        <w:p w14:paraId="0B67A892" w14:textId="25FC3E6D" w:rsidR="006A029D" w:rsidRDefault="00A97B4D" w:rsidP="006A029D">
          <w:pPr>
            <w:pStyle w:val="TOC1"/>
            <w:tabs>
              <w:tab w:val="right" w:leader="dot" w:pos="9016"/>
            </w:tabs>
            <w:spacing w:line="360" w:lineRule="auto"/>
            <w:rPr>
              <w:noProof/>
            </w:rPr>
          </w:pPr>
          <w:hyperlink w:anchor="_Toc153013363" w:history="1">
            <w:r w:rsidR="006A029D" w:rsidRPr="00B0174F">
              <w:rPr>
                <w:rStyle w:val="Hyperlink"/>
                <w:noProof/>
              </w:rPr>
              <w:t>Lessons Learned and Post-Project Considerations</w:t>
            </w:r>
            <w:r w:rsidR="006A029D">
              <w:rPr>
                <w:noProof/>
                <w:webHidden/>
              </w:rPr>
              <w:tab/>
            </w:r>
            <w:r w:rsidR="006A029D">
              <w:rPr>
                <w:noProof/>
                <w:webHidden/>
              </w:rPr>
              <w:fldChar w:fldCharType="begin"/>
            </w:r>
            <w:r w:rsidR="006A029D">
              <w:rPr>
                <w:noProof/>
                <w:webHidden/>
              </w:rPr>
              <w:instrText xml:space="preserve"> PAGEREF _Toc153013363 \h </w:instrText>
            </w:r>
            <w:r w:rsidR="006A029D">
              <w:rPr>
                <w:noProof/>
                <w:webHidden/>
              </w:rPr>
            </w:r>
            <w:r w:rsidR="006A029D">
              <w:rPr>
                <w:noProof/>
                <w:webHidden/>
              </w:rPr>
              <w:fldChar w:fldCharType="separate"/>
            </w:r>
            <w:r w:rsidR="006A029D">
              <w:rPr>
                <w:noProof/>
                <w:webHidden/>
              </w:rPr>
              <w:t>5</w:t>
            </w:r>
            <w:r w:rsidR="006A029D">
              <w:rPr>
                <w:noProof/>
                <w:webHidden/>
              </w:rPr>
              <w:fldChar w:fldCharType="end"/>
            </w:r>
          </w:hyperlink>
        </w:p>
        <w:p w14:paraId="22BA917C" w14:textId="7071D5FF" w:rsidR="006A029D" w:rsidRDefault="00A97B4D" w:rsidP="006A029D">
          <w:pPr>
            <w:pStyle w:val="TOC1"/>
            <w:tabs>
              <w:tab w:val="right" w:leader="dot" w:pos="9016"/>
            </w:tabs>
            <w:spacing w:line="360" w:lineRule="auto"/>
            <w:rPr>
              <w:noProof/>
            </w:rPr>
          </w:pPr>
          <w:hyperlink w:anchor="_Toc153013364" w:history="1">
            <w:r w:rsidR="006A029D" w:rsidRPr="00B0174F">
              <w:rPr>
                <w:rStyle w:val="Hyperlink"/>
                <w:noProof/>
              </w:rPr>
              <w:t>Strategies for Future Community Engagement</w:t>
            </w:r>
            <w:r w:rsidR="006A029D">
              <w:rPr>
                <w:noProof/>
                <w:webHidden/>
              </w:rPr>
              <w:tab/>
            </w:r>
            <w:r w:rsidR="006A029D">
              <w:rPr>
                <w:noProof/>
                <w:webHidden/>
              </w:rPr>
              <w:fldChar w:fldCharType="begin"/>
            </w:r>
            <w:r w:rsidR="006A029D">
              <w:rPr>
                <w:noProof/>
                <w:webHidden/>
              </w:rPr>
              <w:instrText xml:space="preserve"> PAGEREF _Toc153013364 \h </w:instrText>
            </w:r>
            <w:r w:rsidR="006A029D">
              <w:rPr>
                <w:noProof/>
                <w:webHidden/>
              </w:rPr>
            </w:r>
            <w:r w:rsidR="006A029D">
              <w:rPr>
                <w:noProof/>
                <w:webHidden/>
              </w:rPr>
              <w:fldChar w:fldCharType="separate"/>
            </w:r>
            <w:r w:rsidR="006A029D">
              <w:rPr>
                <w:noProof/>
                <w:webHidden/>
              </w:rPr>
              <w:t>6</w:t>
            </w:r>
            <w:r w:rsidR="006A029D">
              <w:rPr>
                <w:noProof/>
                <w:webHidden/>
              </w:rPr>
              <w:fldChar w:fldCharType="end"/>
            </w:r>
          </w:hyperlink>
        </w:p>
        <w:p w14:paraId="6A6C00AA" w14:textId="23021782" w:rsidR="006A029D" w:rsidRDefault="00A97B4D" w:rsidP="006A029D">
          <w:pPr>
            <w:pStyle w:val="TOC1"/>
            <w:tabs>
              <w:tab w:val="right" w:leader="dot" w:pos="9016"/>
            </w:tabs>
            <w:spacing w:line="360" w:lineRule="auto"/>
            <w:rPr>
              <w:noProof/>
            </w:rPr>
          </w:pPr>
          <w:hyperlink w:anchor="_Toc153013365" w:history="1">
            <w:r w:rsidR="006A029D" w:rsidRPr="00B0174F">
              <w:rPr>
                <w:rStyle w:val="Hyperlink"/>
                <w:noProof/>
              </w:rPr>
              <w:t>Importance of forward-looking approach to educate community members on influencing factors</w:t>
            </w:r>
            <w:r w:rsidR="006A029D">
              <w:rPr>
                <w:noProof/>
                <w:webHidden/>
              </w:rPr>
              <w:tab/>
            </w:r>
            <w:r w:rsidR="006A029D">
              <w:rPr>
                <w:noProof/>
                <w:webHidden/>
              </w:rPr>
              <w:fldChar w:fldCharType="begin"/>
            </w:r>
            <w:r w:rsidR="006A029D">
              <w:rPr>
                <w:noProof/>
                <w:webHidden/>
              </w:rPr>
              <w:instrText xml:space="preserve"> PAGEREF _Toc153013365 \h </w:instrText>
            </w:r>
            <w:r w:rsidR="006A029D">
              <w:rPr>
                <w:noProof/>
                <w:webHidden/>
              </w:rPr>
            </w:r>
            <w:r w:rsidR="006A029D">
              <w:rPr>
                <w:noProof/>
                <w:webHidden/>
              </w:rPr>
              <w:fldChar w:fldCharType="separate"/>
            </w:r>
            <w:r w:rsidR="006A029D">
              <w:rPr>
                <w:noProof/>
                <w:webHidden/>
              </w:rPr>
              <w:t>7</w:t>
            </w:r>
            <w:r w:rsidR="006A029D">
              <w:rPr>
                <w:noProof/>
                <w:webHidden/>
              </w:rPr>
              <w:fldChar w:fldCharType="end"/>
            </w:r>
          </w:hyperlink>
        </w:p>
        <w:p w14:paraId="4C627C22" w14:textId="7C673206" w:rsidR="006A029D" w:rsidRDefault="00A97B4D" w:rsidP="006A029D">
          <w:pPr>
            <w:pStyle w:val="TOC1"/>
            <w:tabs>
              <w:tab w:val="right" w:leader="dot" w:pos="9016"/>
            </w:tabs>
            <w:spacing w:line="360" w:lineRule="auto"/>
            <w:rPr>
              <w:noProof/>
            </w:rPr>
          </w:pPr>
          <w:hyperlink w:anchor="_Toc153013366" w:history="1">
            <w:r w:rsidR="006A029D" w:rsidRPr="00B0174F">
              <w:rPr>
                <w:rStyle w:val="Hyperlink"/>
                <w:noProof/>
              </w:rPr>
              <w:t>Advantages and disadvantages of forward-looking community education approaches</w:t>
            </w:r>
            <w:r w:rsidR="006A029D">
              <w:rPr>
                <w:noProof/>
                <w:webHidden/>
              </w:rPr>
              <w:tab/>
            </w:r>
            <w:r w:rsidR="006A029D">
              <w:rPr>
                <w:noProof/>
                <w:webHidden/>
              </w:rPr>
              <w:fldChar w:fldCharType="begin"/>
            </w:r>
            <w:r w:rsidR="006A029D">
              <w:rPr>
                <w:noProof/>
                <w:webHidden/>
              </w:rPr>
              <w:instrText xml:space="preserve"> PAGEREF _Toc153013366 \h </w:instrText>
            </w:r>
            <w:r w:rsidR="006A029D">
              <w:rPr>
                <w:noProof/>
                <w:webHidden/>
              </w:rPr>
            </w:r>
            <w:r w:rsidR="006A029D">
              <w:rPr>
                <w:noProof/>
                <w:webHidden/>
              </w:rPr>
              <w:fldChar w:fldCharType="separate"/>
            </w:r>
            <w:r w:rsidR="006A029D">
              <w:rPr>
                <w:noProof/>
                <w:webHidden/>
              </w:rPr>
              <w:t>8</w:t>
            </w:r>
            <w:r w:rsidR="006A029D">
              <w:rPr>
                <w:noProof/>
                <w:webHidden/>
              </w:rPr>
              <w:fldChar w:fldCharType="end"/>
            </w:r>
          </w:hyperlink>
        </w:p>
        <w:p w14:paraId="79410049" w14:textId="35C9C699" w:rsidR="006A029D" w:rsidRDefault="00A97B4D" w:rsidP="006A029D">
          <w:pPr>
            <w:pStyle w:val="TOC1"/>
            <w:tabs>
              <w:tab w:val="right" w:leader="dot" w:pos="9016"/>
            </w:tabs>
            <w:spacing w:line="360" w:lineRule="auto"/>
            <w:rPr>
              <w:noProof/>
            </w:rPr>
          </w:pPr>
          <w:hyperlink w:anchor="_Toc153013367" w:history="1">
            <w:r w:rsidR="006A029D" w:rsidRPr="00B0174F">
              <w:rPr>
                <w:rStyle w:val="Hyperlink"/>
                <w:noProof/>
              </w:rPr>
              <w:t>Conclusion</w:t>
            </w:r>
            <w:r w:rsidR="006A029D">
              <w:rPr>
                <w:noProof/>
                <w:webHidden/>
              </w:rPr>
              <w:tab/>
            </w:r>
            <w:r w:rsidR="006A029D">
              <w:rPr>
                <w:noProof/>
                <w:webHidden/>
              </w:rPr>
              <w:fldChar w:fldCharType="begin"/>
            </w:r>
            <w:r w:rsidR="006A029D">
              <w:rPr>
                <w:noProof/>
                <w:webHidden/>
              </w:rPr>
              <w:instrText xml:space="preserve"> PAGEREF _Toc153013367 \h </w:instrText>
            </w:r>
            <w:r w:rsidR="006A029D">
              <w:rPr>
                <w:noProof/>
                <w:webHidden/>
              </w:rPr>
            </w:r>
            <w:r w:rsidR="006A029D">
              <w:rPr>
                <w:noProof/>
                <w:webHidden/>
              </w:rPr>
              <w:fldChar w:fldCharType="separate"/>
            </w:r>
            <w:r w:rsidR="006A029D">
              <w:rPr>
                <w:noProof/>
                <w:webHidden/>
              </w:rPr>
              <w:t>8</w:t>
            </w:r>
            <w:r w:rsidR="006A029D">
              <w:rPr>
                <w:noProof/>
                <w:webHidden/>
              </w:rPr>
              <w:fldChar w:fldCharType="end"/>
            </w:r>
          </w:hyperlink>
        </w:p>
        <w:p w14:paraId="4DB4EBDA" w14:textId="6A598C2A" w:rsidR="006A029D" w:rsidRDefault="00A97B4D" w:rsidP="006A029D">
          <w:pPr>
            <w:pStyle w:val="TOC1"/>
            <w:tabs>
              <w:tab w:val="right" w:leader="dot" w:pos="9016"/>
            </w:tabs>
            <w:spacing w:line="360" w:lineRule="auto"/>
            <w:rPr>
              <w:noProof/>
            </w:rPr>
          </w:pPr>
          <w:hyperlink w:anchor="_Toc153013368" w:history="1">
            <w:r w:rsidR="006A029D" w:rsidRPr="00B0174F">
              <w:rPr>
                <w:rStyle w:val="Hyperlink"/>
                <w:noProof/>
              </w:rPr>
              <w:t>References</w:t>
            </w:r>
            <w:r w:rsidR="006A029D">
              <w:rPr>
                <w:noProof/>
                <w:webHidden/>
              </w:rPr>
              <w:tab/>
            </w:r>
            <w:r w:rsidR="006A029D">
              <w:rPr>
                <w:noProof/>
                <w:webHidden/>
              </w:rPr>
              <w:fldChar w:fldCharType="begin"/>
            </w:r>
            <w:r w:rsidR="006A029D">
              <w:rPr>
                <w:noProof/>
                <w:webHidden/>
              </w:rPr>
              <w:instrText xml:space="preserve"> PAGEREF _Toc153013368 \h </w:instrText>
            </w:r>
            <w:r w:rsidR="006A029D">
              <w:rPr>
                <w:noProof/>
                <w:webHidden/>
              </w:rPr>
            </w:r>
            <w:r w:rsidR="006A029D">
              <w:rPr>
                <w:noProof/>
                <w:webHidden/>
              </w:rPr>
              <w:fldChar w:fldCharType="separate"/>
            </w:r>
            <w:r w:rsidR="006A029D">
              <w:rPr>
                <w:noProof/>
                <w:webHidden/>
              </w:rPr>
              <w:t>9</w:t>
            </w:r>
            <w:r w:rsidR="006A029D">
              <w:rPr>
                <w:noProof/>
                <w:webHidden/>
              </w:rPr>
              <w:fldChar w:fldCharType="end"/>
            </w:r>
          </w:hyperlink>
        </w:p>
        <w:p w14:paraId="5A6FB626" w14:textId="08630645" w:rsidR="006A029D" w:rsidRDefault="006A029D" w:rsidP="006A029D">
          <w:pPr>
            <w:spacing w:line="360" w:lineRule="auto"/>
          </w:pPr>
          <w:r>
            <w:rPr>
              <w:b/>
              <w:bCs/>
              <w:noProof/>
            </w:rPr>
            <w:fldChar w:fldCharType="end"/>
          </w:r>
        </w:p>
      </w:sdtContent>
    </w:sdt>
    <w:p w14:paraId="72556337" w14:textId="77777777" w:rsidR="00F90477" w:rsidRDefault="00F90477" w:rsidP="00F90477"/>
    <w:p w14:paraId="422A3FF7" w14:textId="77777777" w:rsidR="00F90477" w:rsidRDefault="00F90477" w:rsidP="00F90477"/>
    <w:p w14:paraId="0507B1E2" w14:textId="77777777" w:rsidR="00F90477" w:rsidRDefault="00F90477" w:rsidP="00F90477"/>
    <w:p w14:paraId="13958D97" w14:textId="77777777" w:rsidR="00F90477" w:rsidRDefault="00F90477" w:rsidP="00F90477"/>
    <w:p w14:paraId="308477B8" w14:textId="77777777" w:rsidR="00F90477" w:rsidRDefault="00F90477" w:rsidP="00F90477"/>
    <w:p w14:paraId="22621CCA" w14:textId="77777777" w:rsidR="00F90477" w:rsidRDefault="00F90477" w:rsidP="00F90477"/>
    <w:p w14:paraId="2C4DDD98" w14:textId="77777777" w:rsidR="00F90477" w:rsidRDefault="00F90477" w:rsidP="00F90477"/>
    <w:p w14:paraId="6920D3E5" w14:textId="77777777" w:rsidR="00F90477" w:rsidRDefault="00F90477" w:rsidP="00F90477"/>
    <w:p w14:paraId="1BD75A9D" w14:textId="77777777" w:rsidR="00F90477" w:rsidRDefault="00F90477" w:rsidP="00F90477"/>
    <w:p w14:paraId="7E030A5D" w14:textId="77777777" w:rsidR="00F90477" w:rsidRDefault="00F90477" w:rsidP="00F90477"/>
    <w:p w14:paraId="17BBEE5A" w14:textId="6E3FC792" w:rsidR="00F90477" w:rsidRDefault="00F90477" w:rsidP="006A029D">
      <w:pPr>
        <w:pStyle w:val="Heading1"/>
      </w:pPr>
      <w:bookmarkStart w:id="0" w:name="_Toc153013359"/>
      <w:r w:rsidRPr="00F90477">
        <w:lastRenderedPageBreak/>
        <w:t>Introduction</w:t>
      </w:r>
      <w:bookmarkEnd w:id="0"/>
    </w:p>
    <w:p w14:paraId="46C7CE0F" w14:textId="77777777" w:rsidR="00F90477" w:rsidRDefault="00F90477" w:rsidP="00F90477"/>
    <w:p w14:paraId="774EB1A1" w14:textId="0F6F7DB0" w:rsidR="00F90477" w:rsidRDefault="00F90477" w:rsidP="00F90477">
      <w:pPr>
        <w:spacing w:line="360" w:lineRule="auto"/>
      </w:pPr>
      <w:r>
        <w:t>Social development project which entails of turning an old public library within Milton UK, into a modern community center. This project was officially commenced in 2022. The project sought investment and improvement on community facilities with regards to the lack of it in the area recently. These were the purpose statements that aimed at creating a center located in an area where people can freely come and engage in their daily activities such as hosting educational programs, holding meetings, and functions among others. These included residents, youth organizations, retirements citizen associations, cultural groups, and individuals at risk of social isolation.</w:t>
      </w:r>
    </w:p>
    <w:p w14:paraId="777FA1B0" w14:textId="78CE6FBB" w:rsidR="00F90477" w:rsidRDefault="00F90477" w:rsidP="00F90477">
      <w:pPr>
        <w:spacing w:line="360" w:lineRule="auto"/>
      </w:pPr>
      <w:r>
        <w:t>Some of these benefits were expected to include enhancing social cohesion, promoting skills development, health, and wellness, as well as having modern facilities for community programs. Community participation in aspects of the case including the method used during the stakeholder consultation, the engagement strategies employed throughout planning and construction, the lessons, and recommendations for involving members of that community who will use the center. The evaluation of that process could provide meaningful information regarding the creation of safe and appropriate spaces for community residents. The analysis of the strategies to be utilized in future engagements will be presented in this report.</w:t>
      </w:r>
    </w:p>
    <w:p w14:paraId="04EE1205" w14:textId="004E2063" w:rsidR="00F90477" w:rsidRDefault="00F90477" w:rsidP="006A029D">
      <w:pPr>
        <w:pStyle w:val="Heading1"/>
      </w:pPr>
      <w:bookmarkStart w:id="1" w:name="_Toc153013360"/>
      <w:r>
        <w:t>Body</w:t>
      </w:r>
      <w:bookmarkEnd w:id="1"/>
    </w:p>
    <w:p w14:paraId="36CAD7ED" w14:textId="3C360AEE" w:rsidR="00F90477" w:rsidRDefault="00F90477" w:rsidP="006A029D">
      <w:pPr>
        <w:pStyle w:val="Heading1"/>
      </w:pPr>
      <w:bookmarkStart w:id="2" w:name="_Toc153013361"/>
      <w:r>
        <w:t>Project Background and Goals</w:t>
      </w:r>
      <w:bookmarkEnd w:id="2"/>
    </w:p>
    <w:p w14:paraId="522FCAF8" w14:textId="77777777" w:rsidR="00F90477" w:rsidRDefault="00F90477" w:rsidP="00F90477"/>
    <w:p w14:paraId="0E8D13E4" w14:textId="2906E855" w:rsidR="00F90477" w:rsidRDefault="00F90477" w:rsidP="00F90477">
      <w:pPr>
        <w:spacing w:line="360" w:lineRule="auto"/>
      </w:pPr>
      <w:r>
        <w:t>The decision to refurbish the Milton Library was made to cater for the low levels of community activities in the adjacent areas of this library. The Milton City Council has, for over nine years, reported on an extended period without significant capital investments in facilities within Milton. Due to the absence of appropriate gathering points and activities, different groups like the elderly, youths, and cultural bodies had fewer opportunities to include in community issues.</w:t>
      </w:r>
    </w:p>
    <w:p w14:paraId="5872E0EA" w14:textId="4A2B5723" w:rsidR="006A029D" w:rsidRDefault="00F90477" w:rsidP="006A029D">
      <w:pPr>
        <w:spacing w:line="360" w:lineRule="auto"/>
      </w:pPr>
      <w:r>
        <w:t xml:space="preserve">Its goal was to bring a versatile and complete structure for accommodating different socio-cultural, training, and seminar sessions and meetings. From the study by Clark et al. (2020), the key purposes of the program were to expand access to facilities among individuals irrespective of their age or ethnicity, minimize social seclusion, and foster partnership. </w:t>
      </w:r>
      <w:r w:rsidR="006A029D" w:rsidRPr="006A029D">
        <w:t xml:space="preserve">It is vital to note that the significant stakeholders consisted of many community groups with diverse cultures. Each of these groups received a bespoke benefit system that was tailored to </w:t>
      </w:r>
      <w:r w:rsidR="006A029D" w:rsidRPr="006A029D">
        <w:lastRenderedPageBreak/>
        <w:t>their requirements. For instance, young individuals had the option to register for skill enhancement courses, while elderly individuals were provided with the chance to engage in health-oriented physical activities. According to the 2020 report from the Office of National Statistics, the service was specifically developed to address the evolving societal demands resulting from shifting demographic patterns in the area.</w:t>
      </w:r>
    </w:p>
    <w:p w14:paraId="37B8B3BA" w14:textId="372D1B08" w:rsidR="00F90477" w:rsidRDefault="00F90477" w:rsidP="006A029D">
      <w:pPr>
        <w:pStyle w:val="Heading1"/>
      </w:pPr>
      <w:bookmarkStart w:id="3" w:name="_Toc153013362"/>
      <w:r w:rsidRPr="00F90477">
        <w:t>Evaluation of Community Engagement Approaches</w:t>
      </w:r>
      <w:bookmarkEnd w:id="3"/>
    </w:p>
    <w:p w14:paraId="1D4C5906" w14:textId="77777777" w:rsidR="00F90477" w:rsidRDefault="00F90477" w:rsidP="00F90477"/>
    <w:p w14:paraId="40C43EBE" w14:textId="77777777" w:rsidR="006A029D" w:rsidRDefault="006A029D" w:rsidP="00F90477">
      <w:pPr>
        <w:spacing w:line="360" w:lineRule="auto"/>
      </w:pPr>
      <w:r w:rsidRPr="006A029D">
        <w:t>However, it is particularly important to highlight that various communities make up the main stakeholders here, whose traditions may differ. A specific, specialized benefit plan was created for every one of these groups in order to be able to accommodate their various needs. This includes making it possible for young people to participate in classes aimed at enhancing their skills and the elderly in physical exercises geared towards improving their health, among others. Service development according to a report by Office of National Statistics (2020) as a result of changing societal needs associated with the changing demographics in the area.</w:t>
      </w:r>
    </w:p>
    <w:p w14:paraId="0BDAAE35" w14:textId="656DCFA8" w:rsidR="00F90477" w:rsidRDefault="00F90477" w:rsidP="00F90477">
      <w:pPr>
        <w:spacing w:line="360" w:lineRule="auto"/>
      </w:pPr>
      <w:r>
        <w:t>For more than a decade, local volunteers in the Milton Community Action Group (MCAG) played an important role in speaking up on behalf of the project. Finally, the Milton City Council endorsed the conversion proposal which was supported by the petitioners’ campaigns. During this time, MCAG organized community meetings where architects could present facility concepts together with the council for their feedback and views on the same. These seminars were highly attended and saw enthusiastic conversations among different community inhabitants (Patel, 2022).</w:t>
      </w:r>
    </w:p>
    <w:p w14:paraId="3C05B717" w14:textId="1BD9DC38" w:rsidR="00F90477" w:rsidRDefault="00F90477" w:rsidP="00F90477">
      <w:pPr>
        <w:spacing w:line="360" w:lineRule="auto"/>
      </w:pPr>
      <w:r>
        <w:t>The engagement strategies used Facebook and Next-door for survey distribution as well as updated information on the project. Moreover, MCAG engaged in home-to-home canvassing as well as used materials presented both in minority and majority languages (MCAG, 2022). Aware of this, MCAS included diverse community organizations such as youth sports clubs and culture groups in an attempt to increase people's involvement in the planning. To foster idea-sharing among the businesses and to book their respective events once the completion of the construction is completed (Patel, 2022).</w:t>
      </w:r>
    </w:p>
    <w:p w14:paraId="720FB678" w14:textId="77777777" w:rsidR="00D72B63" w:rsidRDefault="00D72B63" w:rsidP="00F90477">
      <w:pPr>
        <w:spacing w:line="360" w:lineRule="auto"/>
      </w:pPr>
    </w:p>
    <w:p w14:paraId="7E8B0E10" w14:textId="07759077" w:rsidR="00D72B63" w:rsidRDefault="00D72B63" w:rsidP="006A029D">
      <w:pPr>
        <w:pStyle w:val="Heading1"/>
      </w:pPr>
      <w:bookmarkStart w:id="4" w:name="_Toc153013363"/>
      <w:r w:rsidRPr="00D72B63">
        <w:t>Lessons Learned and Post-Project Considerations</w:t>
      </w:r>
      <w:bookmarkEnd w:id="4"/>
    </w:p>
    <w:p w14:paraId="16B6AAC7" w14:textId="77777777" w:rsidR="00D72B63" w:rsidRDefault="00D72B63" w:rsidP="00D72B63"/>
    <w:p w14:paraId="21C3F505" w14:textId="0A4C841E" w:rsidR="00D72B63" w:rsidRDefault="00D72B63" w:rsidP="00D72B63">
      <w:pPr>
        <w:spacing w:line="360" w:lineRule="auto"/>
      </w:pPr>
      <w:r>
        <w:lastRenderedPageBreak/>
        <w:t>The study undertaken at Milton Community Center was a crucial step that provided important information regarding the involvement of the community and how it can influence other subsequent projects. The research points out the importance of local advocacy groups who articulate issues for the community, and then revolution begins. Patel (2022) states that the continuous lobbying for an investment by MCAG within last ten years has greatly influenced the decisions concerning the region which were taken by the Council during those years. Surveys, petitions, and town hall meetings were used to ensure it was assured effectively that community goal formed part of the plans. Moreover, it was achieved in conjunction with the promotion of knowledgeable and participatory involvement by the locals.</w:t>
      </w:r>
    </w:p>
    <w:p w14:paraId="699DBDD6" w14:textId="7A052038" w:rsidR="00D72B63" w:rsidRDefault="00D72B63" w:rsidP="00D72B63">
      <w:pPr>
        <w:spacing w:line="360" w:lineRule="auto"/>
      </w:pPr>
      <w:r>
        <w:t>Off-line and multi-lingual engagement approaches were emphasized alongside the digital means (MCAG, 2022). In that respect, face-to-face meetings and canvassing turned out to be extremely viable, especially targeting minority populations who had not been active on such social media sites as Facebook. The content was found available, and asking for feedback among the representative groups significantly increased its outreach (Smith, 2020). The two most essential variables that reduced the barrier to participation were transport for the event and meeting times.</w:t>
      </w:r>
    </w:p>
    <w:p w14:paraId="0C7C09FD" w14:textId="08DF4FCD" w:rsidR="00D72B63" w:rsidRDefault="00D72B63" w:rsidP="00D72B63">
      <w:pPr>
        <w:spacing w:line="360" w:lineRule="auto"/>
      </w:pPr>
      <w:r>
        <w:t>After the project, the community should be kept involved in managing the daytime activities in the facility. One way of achieving this is by creating a community advisory team comprising local people. Repeated feedback about programming, policies, and evaluations could help the facility constantly change the services it provides toward meeting the community’s needs. Besides, a group of volunteers who developed from this project could be involved in training people for the paid roles and thus utilize their competence in running such a facility.</w:t>
      </w:r>
    </w:p>
    <w:p w14:paraId="53531F31" w14:textId="18D00767" w:rsidR="00D72B63" w:rsidRPr="00D72B63" w:rsidRDefault="00D72B63" w:rsidP="00D72B63">
      <w:pPr>
        <w:spacing w:line="360" w:lineRule="auto"/>
      </w:pPr>
      <w:r>
        <w:t>This program centers on the importance of collaborative approaches and co-production strategies that treat users in the community as active partners instead of passive ones (Krasny &amp; Mino, 2021). Investigating participative systems may also enhance the equitability and responsiveness in policy making.</w:t>
      </w:r>
    </w:p>
    <w:p w14:paraId="733FEA78" w14:textId="77777777" w:rsidR="00F90477" w:rsidRDefault="00F90477" w:rsidP="00F90477">
      <w:pPr>
        <w:spacing w:line="360" w:lineRule="auto"/>
      </w:pPr>
    </w:p>
    <w:p w14:paraId="4E43D373" w14:textId="77777777" w:rsidR="00F90477" w:rsidRDefault="00F90477" w:rsidP="00F90477">
      <w:pPr>
        <w:spacing w:line="360" w:lineRule="auto"/>
      </w:pPr>
    </w:p>
    <w:p w14:paraId="5FD8C3D4" w14:textId="7029B650" w:rsidR="00F90477" w:rsidRDefault="00D72B63" w:rsidP="006A029D">
      <w:pPr>
        <w:pStyle w:val="Heading1"/>
      </w:pPr>
      <w:bookmarkStart w:id="5" w:name="_Toc153013364"/>
      <w:r w:rsidRPr="00D72B63">
        <w:t>Strategies for Future Community Engagement</w:t>
      </w:r>
      <w:bookmarkEnd w:id="5"/>
    </w:p>
    <w:p w14:paraId="4EA8D385" w14:textId="77777777" w:rsidR="00D72B63" w:rsidRDefault="00D72B63" w:rsidP="00D72B63"/>
    <w:p w14:paraId="26194122" w14:textId="7290B58C" w:rsidR="00D72B63" w:rsidRDefault="00D72B63" w:rsidP="00D72B63">
      <w:pPr>
        <w:spacing w:line="360" w:lineRule="auto"/>
      </w:pPr>
      <w:r>
        <w:lastRenderedPageBreak/>
        <w:t>The effective means of community involvement in that project should constitute the guidelines for any other moves in this respect in the future. The following are some of the fundamental principles that can be found in the academic literature: meaningful participation, co-designing solutions with stakeholders, inclusive communication that is free from jargon, acknowledgment of the community’s asset and prioritization, capacity building, and shared accountability through reciprocal partnerships (Sirianni, 2009)</w:t>
      </w:r>
    </w:p>
    <w:p w14:paraId="2605F71E" w14:textId="6013AF18" w:rsidR="00D72B63" w:rsidRDefault="00D72B63" w:rsidP="00D72B63">
      <w:pPr>
        <w:spacing w:line="360" w:lineRule="auto"/>
      </w:pPr>
      <w:r>
        <w:t>So that these ideas be implemented, one should understand the most important community relations and proper engagement measures. For instance, in the case of senior citizen associations, traditional analogy methods like community meetings and newsletters were considered better than digital alternatives. However, marketing on platforms like WhatsApp, Snapchat, and TikTok could enable a smooth association of young people with the company through channels that they already know (Patel &amp; Iyer, 2020). It’s possible through use of appropriate channels for different groups, recognizing limitations like no access to Wi-Fi, to engage in greater and more comprehensive output. Some restrictions can be overcome when you understand them.</w:t>
      </w:r>
    </w:p>
    <w:p w14:paraId="4DE5F1DF" w14:textId="7BA536D7" w:rsidR="00D72B63" w:rsidRDefault="00D72B63" w:rsidP="00D72B63">
      <w:pPr>
        <w:spacing w:line="360" w:lineRule="auto"/>
      </w:pPr>
      <w:r>
        <w:t>It is obvious that, in terms of broad-based communication and outreach, social media platforms prove extremely beneficial. Whereas Facebook served as a very crucial venue of conducting quests and sharing events, the Nextdoor app provided a platform for conversation on community-related issues including the layout of public places. Despite this danger, involving digital spaces will continue to be important for broadening participation processes (Kohn &amp; Morris, 2022). However, it would be incorrect from this perspective to claim that online environments tend to fragment voices completely. Where multi-methods are involved, the local knowledge may influence the plan calibrations towards more inclusive models.</w:t>
      </w:r>
    </w:p>
    <w:p w14:paraId="266F5538" w14:textId="77777777" w:rsidR="00D72B63" w:rsidRDefault="00D72B63" w:rsidP="00D72B63">
      <w:pPr>
        <w:spacing w:line="360" w:lineRule="auto"/>
      </w:pPr>
      <w:r>
        <w:t>As per Krasny and Mino (2021) integrated information sharing path can facilitate participatory decision making. Digital mediation of community objectives combined with continuous offline dialogue and co-production is needed for these pathways. These include sources which are very important to disadvantaged groups. Through this way, they can actively be involved in the making policies that affect them as compared to just getting consulted. To solve structural inequalities one should look at them from asset-based viewpoint that strengthens local leadership and It should be done to transfer self-determination degrees into the channel of transmission.</w:t>
      </w:r>
    </w:p>
    <w:p w14:paraId="1824FDB1" w14:textId="77777777" w:rsidR="00D72B63" w:rsidRDefault="00D72B63" w:rsidP="00D72B63">
      <w:pPr>
        <w:spacing w:line="360" w:lineRule="auto"/>
      </w:pPr>
    </w:p>
    <w:p w14:paraId="265C4A94" w14:textId="5E25398E" w:rsidR="00D72B63" w:rsidRDefault="00D72B63" w:rsidP="00D72B63">
      <w:pPr>
        <w:spacing w:line="360" w:lineRule="auto"/>
      </w:pPr>
      <w:r>
        <w:t>According to Weymouth and Hartz-Karp (2015), in order to educate members of the community about the social, political, and environmental matters affecting the unique interests of the said community, one must embrace the look-ahead attitude. They also have chances to create more critical engagement in time leading to civic participation by engaging in cooperative learning on newly emerged issues such as impacts of climate change or worldwide movement trends that put hyperlocal conditions into perspective. Collaborative learning opportunities provide the needed possibilities for this.</w:t>
      </w:r>
    </w:p>
    <w:p w14:paraId="246A3BA4" w14:textId="1644AE53" w:rsidR="006A029D" w:rsidRDefault="006A029D" w:rsidP="006A029D">
      <w:pPr>
        <w:pStyle w:val="Heading1"/>
      </w:pPr>
      <w:bookmarkStart w:id="6" w:name="_Toc153013365"/>
      <w:r w:rsidRPr="006A029D">
        <w:t>Importance of forward-looking approach to educate community members on influencing factors</w:t>
      </w:r>
      <w:bookmarkEnd w:id="6"/>
    </w:p>
    <w:p w14:paraId="32163A25" w14:textId="77777777" w:rsidR="006A029D" w:rsidRDefault="006A029D" w:rsidP="006A029D"/>
    <w:p w14:paraId="7D8A5E76" w14:textId="5BF9FF26" w:rsidR="006A029D" w:rsidRDefault="006A029D" w:rsidP="006A029D">
      <w:pPr>
        <w:spacing w:line="360" w:lineRule="auto"/>
      </w:pPr>
      <w:r>
        <w:t>Progressive approaches help to understand the wider sociopolitical and ecological contexts within which community needs and aspirations for inclusion are situated (Weymouth &amp; Hartz-Karp, 2015). For example, providing cooperative learning environments on urgent issues like the climate change, discriminations and algorithmic racism on social networks or development of extreme ideas makes it possible for every person see domestic emergencies as symptoms of global ones. The development of such an understanding brings to light the extent to which general power dynamics impact on everyday experiences within a community as well as across distinct communities experiencing similar issues (Kerstetter &amp; Morrison, 2022).</w:t>
      </w:r>
    </w:p>
    <w:p w14:paraId="2C8E67E7" w14:textId="4056C616" w:rsidR="006A029D" w:rsidRDefault="006A029D" w:rsidP="006A029D">
      <w:pPr>
        <w:spacing w:line="360" w:lineRule="auto"/>
      </w:pPr>
      <w:r>
        <w:t>Citizens are provided with the power to challenge the prevailing status quo and propose new visions based on social justice and fairness once they adopt an asset-based community development perspective (Foot and Hopkins, 2010). The concept of forward-looking engagement encourages people to be pro-activist in their engagements and think outside the box for alternative futures that will change the systems and structures that causes harm. Cultural-centered models for equitable growth, based on community understanding, that draw upon indigenous theories within each group’s context demonstrate promising approaches toward incorporating these vital pedagogical processes.</w:t>
      </w:r>
    </w:p>
    <w:p w14:paraId="32F2352F" w14:textId="77777777" w:rsidR="006A029D" w:rsidRDefault="006A029D" w:rsidP="006A029D">
      <w:pPr>
        <w:spacing w:line="360" w:lineRule="auto"/>
      </w:pPr>
    </w:p>
    <w:p w14:paraId="3D24A681" w14:textId="4CB803E9" w:rsidR="006A029D" w:rsidRDefault="006A029D" w:rsidP="006A029D">
      <w:pPr>
        <w:pStyle w:val="Heading1"/>
      </w:pPr>
      <w:bookmarkStart w:id="7" w:name="_Toc153013366"/>
      <w:r>
        <w:t>A</w:t>
      </w:r>
      <w:r w:rsidRPr="006A029D">
        <w:t>dvantages and disadvantages of forward-looking community education approaches</w:t>
      </w:r>
      <w:bookmarkEnd w:id="7"/>
      <w:r>
        <w:t xml:space="preserve"> </w:t>
      </w:r>
    </w:p>
    <w:p w14:paraId="674E49B0" w14:textId="77777777" w:rsidR="006A029D" w:rsidRDefault="006A029D" w:rsidP="006A029D">
      <w:pPr>
        <w:spacing w:line="360" w:lineRule="auto"/>
      </w:pPr>
    </w:p>
    <w:p w14:paraId="2FF987E1" w14:textId="6C0BB58D" w:rsidR="006A029D" w:rsidRDefault="006A029D" w:rsidP="006A029D">
      <w:pPr>
        <w:spacing w:line="360" w:lineRule="auto"/>
      </w:pPr>
      <w:r w:rsidRPr="006A029D">
        <w:t xml:space="preserve">Despite this, it is important to note that </w:t>
      </w:r>
      <w:r>
        <w:t>certain limitations need</w:t>
      </w:r>
      <w:r w:rsidRPr="006A029D">
        <w:t xml:space="preserve"> to be borne in mind relating to using forward-looking engagement strategies to deepen an appreciation for key issues and foster solidarity. This explains why if complex and emotional themes are brought </w:t>
      </w:r>
      <w:r>
        <w:t xml:space="preserve">up </w:t>
      </w:r>
      <w:r w:rsidRPr="006A029D">
        <w:t xml:space="preserve">without considering </w:t>
      </w:r>
      <w:r>
        <w:t xml:space="preserve">the </w:t>
      </w:r>
      <w:r w:rsidRPr="006A029D">
        <w:t xml:space="preserve">political education of some communities then some groups will find such </w:t>
      </w:r>
      <w:r>
        <w:t xml:space="preserve">an </w:t>
      </w:r>
      <w:r w:rsidRPr="006A029D">
        <w:t xml:space="preserve">approach to be too much for their understanding. This is particularly true since it is based on how such issues are presented and may not consider cultural sensitivity (Preston &amp; Aslett, 2021). Controlled, highly structured conversations geared towards select objectives are also susceptible to misuse whereby communities’ </w:t>
      </w:r>
      <w:r>
        <w:t>labour</w:t>
      </w:r>
      <w:r w:rsidRPr="006A029D">
        <w:t xml:space="preserve"> and knowledge is exploited, but their real ability to influence decisions hardly comes to fruition. However, embracing collaborative action research methods that focus on increasing public understanding through iterative practice may mitigate such impacts (Brydon-Miller et al., 2003). The equitable facilitation strategies emphasize virtues such as </w:t>
      </w:r>
      <w:r>
        <w:t>caring</w:t>
      </w:r>
      <w:r w:rsidRPr="006A029D">
        <w:t>, trust</w:t>
      </w:r>
      <w:r>
        <w:t>,</w:t>
      </w:r>
      <w:r w:rsidRPr="006A029D">
        <w:t xml:space="preserve"> and humility that enable residents to determine what, how, when</w:t>
      </w:r>
      <w:r>
        <w:t>,</w:t>
      </w:r>
      <w:r w:rsidRPr="006A029D">
        <w:t xml:space="preserve"> and where to learn based on the needs and priorities for </w:t>
      </w:r>
      <w:r>
        <w:t xml:space="preserve">the </w:t>
      </w:r>
      <w:r w:rsidRPr="006A029D">
        <w:t xml:space="preserve">development of the community. Considering trade-offs collectively is the best way of achieving the benefits accrued by nurturing </w:t>
      </w:r>
      <w:r>
        <w:t xml:space="preserve">a </w:t>
      </w:r>
      <w:r w:rsidRPr="006A029D">
        <w:t>higher level of understanding.</w:t>
      </w:r>
    </w:p>
    <w:p w14:paraId="078F7726" w14:textId="2FFD971C" w:rsidR="006A029D" w:rsidRDefault="006A029D" w:rsidP="006A029D">
      <w:pPr>
        <w:pStyle w:val="Heading1"/>
      </w:pPr>
      <w:bookmarkStart w:id="8" w:name="_Toc153013367"/>
      <w:r>
        <w:t>Conclusion</w:t>
      </w:r>
      <w:bookmarkEnd w:id="8"/>
    </w:p>
    <w:p w14:paraId="05DCC3F1" w14:textId="77777777" w:rsidR="006A029D" w:rsidRDefault="006A029D" w:rsidP="006A029D"/>
    <w:p w14:paraId="38982E13" w14:textId="476EB017" w:rsidR="006A029D" w:rsidRDefault="006A029D" w:rsidP="006A029D">
      <w:pPr>
        <w:spacing w:line="360" w:lineRule="auto"/>
      </w:pPr>
      <w:r>
        <w:t>The Milton Community Centre project is an exemplary example of a highly useful setup where all the stakeholders take part in promoting social welfare services. The constant involvement of the local crowd, diverse communication means, and the participation of people in examining their necessities resulted in one of the community’s most valuable assets which can take account of varying purposes. Having these advanced, state-of-the-art involvement structures in place, the center can now build on its existing community interactions. It means that stakeholders must make sure that they put up co-creation processes first for the power of making decisions to vest directly on those whose lives will be greatly affected. Such ethically driven goals for equitable as self-directed growth must focus on the inclusion of local communities’ voices, knowledge, and power.</w:t>
      </w:r>
    </w:p>
    <w:p w14:paraId="7873A398" w14:textId="77777777" w:rsidR="006A029D" w:rsidRDefault="006A029D" w:rsidP="006A029D">
      <w:pPr>
        <w:spacing w:line="360" w:lineRule="auto"/>
      </w:pPr>
    </w:p>
    <w:p w14:paraId="3E29DA62" w14:textId="77777777" w:rsidR="00D55132" w:rsidRDefault="00D55132" w:rsidP="006A029D">
      <w:pPr>
        <w:spacing w:line="360" w:lineRule="auto"/>
      </w:pPr>
    </w:p>
    <w:p w14:paraId="528C6C3A" w14:textId="24A1108A" w:rsidR="006A029D" w:rsidRDefault="006A029D" w:rsidP="006A029D">
      <w:pPr>
        <w:pStyle w:val="Heading1"/>
      </w:pPr>
      <w:bookmarkStart w:id="9" w:name="_Toc153013368"/>
      <w:r>
        <w:t>References</w:t>
      </w:r>
      <w:bookmarkEnd w:id="9"/>
      <w:r>
        <w:t xml:space="preserve"> </w:t>
      </w:r>
    </w:p>
    <w:p w14:paraId="6601A886" w14:textId="77777777" w:rsidR="006A029D" w:rsidRDefault="006A029D" w:rsidP="006A029D">
      <w:pPr>
        <w:spacing w:line="360" w:lineRule="auto"/>
      </w:pPr>
    </w:p>
    <w:p w14:paraId="68AB1696" w14:textId="77777777" w:rsidR="006A029D" w:rsidRDefault="006A029D" w:rsidP="006A029D">
      <w:pPr>
        <w:pStyle w:val="ListParagraph"/>
        <w:numPr>
          <w:ilvl w:val="0"/>
          <w:numId w:val="1"/>
        </w:numPr>
        <w:spacing w:line="360" w:lineRule="auto"/>
      </w:pPr>
      <w:r>
        <w:t>Brydon-Miller, M., Greenwood, D. &amp; Maguire, P. (2003). Why action research? Action Research. 1(1), 9–28.</w:t>
      </w:r>
    </w:p>
    <w:p w14:paraId="068E66A4" w14:textId="77777777" w:rsidR="006A029D" w:rsidRDefault="006A029D" w:rsidP="006A029D">
      <w:pPr>
        <w:pStyle w:val="ListParagraph"/>
        <w:numPr>
          <w:ilvl w:val="0"/>
          <w:numId w:val="1"/>
        </w:numPr>
        <w:spacing w:line="360" w:lineRule="auto"/>
      </w:pPr>
      <w:r>
        <w:t>Clark, A. et al. (2021). Community-Driven Development: Approaches for an Equitable Future. Bristol: Policy Press.</w:t>
      </w:r>
    </w:p>
    <w:p w14:paraId="20045581" w14:textId="77777777" w:rsidR="006A029D" w:rsidRDefault="006A029D" w:rsidP="006A029D">
      <w:pPr>
        <w:pStyle w:val="ListParagraph"/>
        <w:numPr>
          <w:ilvl w:val="0"/>
          <w:numId w:val="1"/>
        </w:numPr>
        <w:spacing w:line="360" w:lineRule="auto"/>
      </w:pPr>
      <w:r>
        <w:t>Clark, A. et al. (2021). Community-Driven Development: Approaches for an Equitable Future. Bristol: Policy Press.</w:t>
      </w:r>
    </w:p>
    <w:p w14:paraId="61510AFB" w14:textId="77777777" w:rsidR="006A029D" w:rsidRDefault="006A029D" w:rsidP="006A029D">
      <w:pPr>
        <w:pStyle w:val="ListParagraph"/>
        <w:numPr>
          <w:ilvl w:val="0"/>
          <w:numId w:val="1"/>
        </w:numPr>
        <w:spacing w:line="360" w:lineRule="auto"/>
      </w:pPr>
      <w:r>
        <w:t>Foot, J. &amp; Hopkins, T. (2010). A glass half-full: how an asset approach can improve community health and well-being. Great Britain Improvement and Development Agency.</w:t>
      </w:r>
    </w:p>
    <w:p w14:paraId="7D1F2635" w14:textId="77777777" w:rsidR="006A029D" w:rsidRDefault="006A029D" w:rsidP="006A029D">
      <w:pPr>
        <w:pStyle w:val="ListParagraph"/>
        <w:numPr>
          <w:ilvl w:val="0"/>
          <w:numId w:val="1"/>
        </w:numPr>
        <w:spacing w:line="360" w:lineRule="auto"/>
      </w:pPr>
      <w:r>
        <w:t>Kohn, K. &amp; Moraes, C. (2022). WhatsApp as a tool for qualitative research: asymmetric mobile messaging interviews. Media International Australia, 177(1), 67-81.</w:t>
      </w:r>
    </w:p>
    <w:p w14:paraId="2F09B617" w14:textId="77777777" w:rsidR="006A029D" w:rsidRDefault="006A029D" w:rsidP="006A029D">
      <w:pPr>
        <w:pStyle w:val="ListParagraph"/>
        <w:numPr>
          <w:ilvl w:val="0"/>
          <w:numId w:val="1"/>
        </w:numPr>
        <w:spacing w:line="360" w:lineRule="auto"/>
      </w:pPr>
      <w:r>
        <w:t xml:space="preserve">Krasny, M. &amp; Mino, J. (2021). Civic co-production and community resilience. Journal of Environmental Planning and Management. [online] Available at: </w:t>
      </w:r>
      <w:hyperlink r:id="rId8" w:history="1">
        <w:r w:rsidRPr="00E211CC">
          <w:rPr>
            <w:rStyle w:val="Hyperlink"/>
          </w:rPr>
          <w:t>https://www.tandfonline.com/doi/abs/10.1080/09640568.2021.1915892</w:t>
        </w:r>
      </w:hyperlink>
      <w:r>
        <w:t xml:space="preserve">   </w:t>
      </w:r>
    </w:p>
    <w:p w14:paraId="229B6D7E" w14:textId="77777777" w:rsidR="006A029D" w:rsidRDefault="006A029D" w:rsidP="006A029D">
      <w:pPr>
        <w:pStyle w:val="ListParagraph"/>
        <w:numPr>
          <w:ilvl w:val="0"/>
          <w:numId w:val="1"/>
        </w:numPr>
        <w:spacing w:line="360" w:lineRule="auto"/>
      </w:pPr>
      <w:r>
        <w:t xml:space="preserve">Krasny, M. &amp; Mino, J. (2021). Civic co-production and community resilience. Journal of Environmental Planning and Management. [online] Available at: </w:t>
      </w:r>
      <w:hyperlink r:id="rId9" w:history="1">
        <w:r w:rsidRPr="00E211CC">
          <w:rPr>
            <w:rStyle w:val="Hyperlink"/>
          </w:rPr>
          <w:t>https://www.tandfonline.com/doi/abs/10.1080/09640568.2021.1915892</w:t>
        </w:r>
      </w:hyperlink>
      <w:r>
        <w:t xml:space="preserve">  </w:t>
      </w:r>
    </w:p>
    <w:p w14:paraId="3FC44C25" w14:textId="77777777" w:rsidR="006A029D" w:rsidRDefault="006A029D" w:rsidP="006A029D">
      <w:pPr>
        <w:pStyle w:val="ListParagraph"/>
        <w:numPr>
          <w:ilvl w:val="0"/>
          <w:numId w:val="1"/>
        </w:numPr>
        <w:spacing w:line="360" w:lineRule="auto"/>
      </w:pPr>
      <w:r>
        <w:t xml:space="preserve">MCAG (Milton Community Action Group). (2020). Building our Community's Future. </w:t>
      </w:r>
      <w:hyperlink r:id="rId10" w:history="1">
        <w:r w:rsidRPr="00E211CC">
          <w:rPr>
            <w:rStyle w:val="Hyperlink"/>
          </w:rPr>
          <w:t>https://www.ftadviser.com/mortgages/2022/11/21/mortgages-have-big-part-to-play-in-tackling-climate-change/</w:t>
        </w:r>
      </w:hyperlink>
      <w:r>
        <w:t xml:space="preserve">   </w:t>
      </w:r>
    </w:p>
    <w:p w14:paraId="68AA0B52" w14:textId="77777777" w:rsidR="006A029D" w:rsidRDefault="006A029D" w:rsidP="006A029D">
      <w:pPr>
        <w:pStyle w:val="ListParagraph"/>
        <w:numPr>
          <w:ilvl w:val="0"/>
          <w:numId w:val="1"/>
        </w:numPr>
        <w:spacing w:line="360" w:lineRule="auto"/>
      </w:pPr>
      <w:r>
        <w:t xml:space="preserve">Milton City Council. (2021). Community Investment Strategy 2021-2025. Milton: Milton City Council. </w:t>
      </w:r>
    </w:p>
    <w:p w14:paraId="5E81277F" w14:textId="77777777" w:rsidR="006A029D" w:rsidRDefault="006A029D" w:rsidP="006A029D">
      <w:pPr>
        <w:pStyle w:val="ListParagraph"/>
        <w:numPr>
          <w:ilvl w:val="0"/>
          <w:numId w:val="1"/>
        </w:numPr>
        <w:spacing w:line="360" w:lineRule="auto"/>
      </w:pPr>
      <w:r>
        <w:t>Milton Council. (2021). Milton Community Center Consultation Report. Milton: Milton Council Policy and Research Division.</w:t>
      </w:r>
    </w:p>
    <w:p w14:paraId="1BD523C2" w14:textId="77777777" w:rsidR="006A029D" w:rsidRDefault="006A029D" w:rsidP="006A029D">
      <w:pPr>
        <w:pStyle w:val="ListParagraph"/>
        <w:numPr>
          <w:ilvl w:val="0"/>
          <w:numId w:val="1"/>
        </w:numPr>
        <w:spacing w:line="360" w:lineRule="auto"/>
      </w:pPr>
      <w:r>
        <w:t xml:space="preserve">Patel, R. &amp; Iyer, M. (2020). Connecting with Communities in Crisis. Stanford Social Innovation Review. [online] Available at: https://ssir.org/articles/entry/connecting_with_communities_in_crisis </w:t>
      </w:r>
    </w:p>
    <w:p w14:paraId="5AC97D2D" w14:textId="77777777" w:rsidR="006A029D" w:rsidRDefault="006A029D" w:rsidP="006A029D">
      <w:pPr>
        <w:pStyle w:val="ListParagraph"/>
        <w:numPr>
          <w:ilvl w:val="0"/>
          <w:numId w:val="1"/>
        </w:numPr>
        <w:spacing w:line="360" w:lineRule="auto"/>
      </w:pPr>
      <w:r>
        <w:t>Patel, R. (2022). Community-Driven Engagement: The Milton Library Transition. Journal of Civic Engagement, 44(2), 33-39.</w:t>
      </w:r>
    </w:p>
    <w:p w14:paraId="7ED40DEC" w14:textId="77777777" w:rsidR="006A029D" w:rsidRDefault="006A029D" w:rsidP="006A029D">
      <w:pPr>
        <w:pStyle w:val="ListParagraph"/>
        <w:numPr>
          <w:ilvl w:val="0"/>
          <w:numId w:val="1"/>
        </w:numPr>
        <w:spacing w:line="360" w:lineRule="auto"/>
      </w:pPr>
      <w:r>
        <w:t>Patel, R. (2022). Community-Driven Engagement: The Milton Library Transition. Journal of Civic Engagement, 44(2), 33-39.</w:t>
      </w:r>
    </w:p>
    <w:p w14:paraId="28270A20" w14:textId="77777777" w:rsidR="006A029D" w:rsidRPr="006A029D" w:rsidRDefault="006A029D" w:rsidP="006A029D">
      <w:pPr>
        <w:pStyle w:val="ListParagraph"/>
        <w:numPr>
          <w:ilvl w:val="0"/>
          <w:numId w:val="1"/>
        </w:numPr>
        <w:spacing w:line="360" w:lineRule="auto"/>
      </w:pPr>
      <w:r>
        <w:t>Preston, J. &amp; Aslett, J. (2021). Resisting neocolonial education reform: learning from the counterstories of Indigenous, Black, and racialized educators in Canada. Race Ethnicity and Education, 24(1), 27-47.</w:t>
      </w:r>
    </w:p>
    <w:p w14:paraId="7CBC3CF8" w14:textId="77777777" w:rsidR="006A029D" w:rsidRDefault="006A029D" w:rsidP="006A029D">
      <w:pPr>
        <w:pStyle w:val="ListParagraph"/>
        <w:numPr>
          <w:ilvl w:val="0"/>
          <w:numId w:val="1"/>
        </w:numPr>
        <w:spacing w:line="360" w:lineRule="auto"/>
      </w:pPr>
      <w:r>
        <w:t>Sirianni, C. (2009). Investing in Democracy: Engaging Citizens in Collaborative Governance. Washington DC: Brookings Institution Press.</w:t>
      </w:r>
    </w:p>
    <w:p w14:paraId="5C7C0402" w14:textId="77777777" w:rsidR="006A029D" w:rsidRDefault="006A029D" w:rsidP="006A029D">
      <w:pPr>
        <w:pStyle w:val="ListParagraph"/>
        <w:numPr>
          <w:ilvl w:val="0"/>
          <w:numId w:val="1"/>
        </w:numPr>
        <w:spacing w:line="360" w:lineRule="auto"/>
      </w:pPr>
      <w:r>
        <w:t>Smith, A. (2020). Developing Inclusive Engagement Strategies. Milton: MCAG.</w:t>
      </w:r>
    </w:p>
    <w:p w14:paraId="1CB29BC4" w14:textId="77777777" w:rsidR="006A029D" w:rsidRDefault="006A029D" w:rsidP="006A029D">
      <w:pPr>
        <w:pStyle w:val="ListParagraph"/>
        <w:numPr>
          <w:ilvl w:val="0"/>
          <w:numId w:val="1"/>
        </w:numPr>
        <w:spacing w:line="360" w:lineRule="auto"/>
      </w:pPr>
      <w:r>
        <w:t>Smith, A. (2020). Developing Inclusive Engagement Strategies. Milton: MCAG.</w:t>
      </w:r>
    </w:p>
    <w:p w14:paraId="0B0E7C48" w14:textId="77777777" w:rsidR="006A029D" w:rsidRDefault="006A029D" w:rsidP="006A029D">
      <w:pPr>
        <w:pStyle w:val="ListParagraph"/>
        <w:numPr>
          <w:ilvl w:val="0"/>
          <w:numId w:val="1"/>
        </w:numPr>
        <w:spacing w:line="360" w:lineRule="auto"/>
      </w:pPr>
      <w:r>
        <w:t>Weymouth, R. &amp; Hartz-Karp, J. (2015). Deliberative Collaborative Governance as a Proactive Response to Climate Change. Journal of Environmental Planning and Management, 58(1), 57-72.</w:t>
      </w:r>
    </w:p>
    <w:p w14:paraId="4CA63707" w14:textId="3E758C92" w:rsidR="006A029D" w:rsidRPr="006A029D" w:rsidRDefault="006A029D" w:rsidP="006A029D"/>
    <w:sectPr w:rsidR="006A029D" w:rsidRPr="006A029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E25C7" w14:textId="77777777" w:rsidR="00F90477" w:rsidRDefault="00F90477" w:rsidP="00F90477">
      <w:pPr>
        <w:spacing w:after="0" w:line="240" w:lineRule="auto"/>
      </w:pPr>
      <w:r>
        <w:separator/>
      </w:r>
    </w:p>
  </w:endnote>
  <w:endnote w:type="continuationSeparator" w:id="0">
    <w:p w14:paraId="19AEE561" w14:textId="77777777" w:rsidR="00F90477" w:rsidRDefault="00F90477" w:rsidP="00F90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172180050"/>
      <w:docPartObj>
        <w:docPartGallery w:val="Page Numbers (Bottom of Page)"/>
        <w:docPartUnique/>
      </w:docPartObj>
    </w:sdtPr>
    <w:sdtEndPr/>
    <w:sdtContent>
      <w:p w14:paraId="554BEBB0" w14:textId="27FD394F" w:rsidR="00F90477" w:rsidRDefault="00F90477">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0BAB8DDA" w14:textId="77777777" w:rsidR="00F90477" w:rsidRDefault="00F90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A8B19" w14:textId="77777777" w:rsidR="00F90477" w:rsidRDefault="00F90477" w:rsidP="00F90477">
      <w:pPr>
        <w:spacing w:after="0" w:line="240" w:lineRule="auto"/>
      </w:pPr>
      <w:r>
        <w:separator/>
      </w:r>
    </w:p>
  </w:footnote>
  <w:footnote w:type="continuationSeparator" w:id="0">
    <w:p w14:paraId="4839E68C" w14:textId="77777777" w:rsidR="00F90477" w:rsidRDefault="00F90477" w:rsidP="00F90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80853"/>
    <w:multiLevelType w:val="hybridMultilevel"/>
    <w:tmpl w:val="F4EE0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743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477"/>
    <w:rsid w:val="00395D89"/>
    <w:rsid w:val="003C065C"/>
    <w:rsid w:val="003C40A0"/>
    <w:rsid w:val="006A029D"/>
    <w:rsid w:val="00742825"/>
    <w:rsid w:val="008C6CAE"/>
    <w:rsid w:val="00B7497F"/>
    <w:rsid w:val="00C0648F"/>
    <w:rsid w:val="00D55132"/>
    <w:rsid w:val="00D72B63"/>
    <w:rsid w:val="00F90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1D4A09"/>
  <w15:chartTrackingRefBased/>
  <w15:docId w15:val="{75A6AC97-1F75-4A98-94E1-9EBCC513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48F"/>
    <w:rPr>
      <w:rFonts w:ascii="Times New Roman" w:hAnsi="Times New Roman"/>
      <w:sz w:val="24"/>
    </w:rPr>
  </w:style>
  <w:style w:type="paragraph" w:styleId="Heading1">
    <w:name w:val="heading 1"/>
    <w:basedOn w:val="Normal"/>
    <w:next w:val="Normal"/>
    <w:link w:val="Heading1Char"/>
    <w:autoRedefine/>
    <w:uiPriority w:val="9"/>
    <w:qFormat/>
    <w:rsid w:val="006A029D"/>
    <w:pPr>
      <w:keepNext/>
      <w:keepLines/>
      <w:spacing w:before="240" w:after="0" w:line="360" w:lineRule="auto"/>
      <w:jc w:val="center"/>
      <w:outlineLvl w:val="0"/>
    </w:pPr>
    <w:rPr>
      <w:rFonts w:eastAsiaTheme="majorEastAsia" w:cstheme="majorBidi"/>
      <w:b/>
      <w:bCs/>
      <w:i/>
      <w:iCs/>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29D"/>
    <w:rPr>
      <w:rFonts w:ascii="Times New Roman" w:eastAsiaTheme="majorEastAsia" w:hAnsi="Times New Roman" w:cstheme="majorBidi"/>
      <w:b/>
      <w:bCs/>
      <w:i/>
      <w:iCs/>
      <w:sz w:val="24"/>
      <w:szCs w:val="32"/>
      <w:u w:val="single"/>
    </w:rPr>
  </w:style>
  <w:style w:type="paragraph" w:styleId="Title">
    <w:name w:val="Title"/>
    <w:basedOn w:val="Normal"/>
    <w:next w:val="Normal"/>
    <w:link w:val="TitleChar"/>
    <w:uiPriority w:val="10"/>
    <w:qFormat/>
    <w:rsid w:val="00F904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47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90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477"/>
    <w:rPr>
      <w:rFonts w:ascii="Times New Roman" w:hAnsi="Times New Roman"/>
      <w:sz w:val="24"/>
    </w:rPr>
  </w:style>
  <w:style w:type="paragraph" w:styleId="Footer">
    <w:name w:val="footer"/>
    <w:basedOn w:val="Normal"/>
    <w:link w:val="FooterChar"/>
    <w:uiPriority w:val="99"/>
    <w:unhideWhenUsed/>
    <w:rsid w:val="00F90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477"/>
    <w:rPr>
      <w:rFonts w:ascii="Times New Roman" w:hAnsi="Times New Roman"/>
      <w:sz w:val="24"/>
    </w:rPr>
  </w:style>
  <w:style w:type="character" w:styleId="Hyperlink">
    <w:name w:val="Hyperlink"/>
    <w:basedOn w:val="DefaultParagraphFont"/>
    <w:uiPriority w:val="99"/>
    <w:unhideWhenUsed/>
    <w:rsid w:val="006A029D"/>
    <w:rPr>
      <w:color w:val="0563C1" w:themeColor="hyperlink"/>
      <w:u w:val="single"/>
    </w:rPr>
  </w:style>
  <w:style w:type="character" w:styleId="UnresolvedMention">
    <w:name w:val="Unresolved Mention"/>
    <w:basedOn w:val="DefaultParagraphFont"/>
    <w:uiPriority w:val="99"/>
    <w:semiHidden/>
    <w:unhideWhenUsed/>
    <w:rsid w:val="006A029D"/>
    <w:rPr>
      <w:color w:val="605E5C"/>
      <w:shd w:val="clear" w:color="auto" w:fill="E1DFDD"/>
    </w:rPr>
  </w:style>
  <w:style w:type="paragraph" w:styleId="ListParagraph">
    <w:name w:val="List Paragraph"/>
    <w:basedOn w:val="Normal"/>
    <w:uiPriority w:val="34"/>
    <w:qFormat/>
    <w:rsid w:val="006A029D"/>
    <w:pPr>
      <w:ind w:left="720"/>
      <w:contextualSpacing/>
    </w:pPr>
  </w:style>
  <w:style w:type="paragraph" w:styleId="TOCHeading">
    <w:name w:val="TOC Heading"/>
    <w:basedOn w:val="Heading1"/>
    <w:next w:val="Normal"/>
    <w:uiPriority w:val="39"/>
    <w:unhideWhenUsed/>
    <w:qFormat/>
    <w:rsid w:val="006A029D"/>
    <w:pPr>
      <w:spacing w:line="259" w:lineRule="auto"/>
      <w:jc w:val="left"/>
      <w:outlineLvl w:val="9"/>
    </w:pPr>
    <w:rPr>
      <w:rFonts w:asciiTheme="majorHAnsi" w:hAnsiTheme="majorHAnsi"/>
      <w:b w:val="0"/>
      <w:bCs w:val="0"/>
      <w:i w:val="0"/>
      <w:iCs w:val="0"/>
      <w:color w:val="2F5496" w:themeColor="accent1" w:themeShade="BF"/>
      <w:kern w:val="0"/>
      <w:sz w:val="32"/>
      <w:u w:val="none"/>
      <w:lang w:val="en-US"/>
      <w14:ligatures w14:val="none"/>
    </w:rPr>
  </w:style>
  <w:style w:type="paragraph" w:styleId="TOC1">
    <w:name w:val="toc 1"/>
    <w:basedOn w:val="Normal"/>
    <w:next w:val="Normal"/>
    <w:autoRedefine/>
    <w:uiPriority w:val="39"/>
    <w:unhideWhenUsed/>
    <w:rsid w:val="006A02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9640568.2021.1915892"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www.ftadviser.com/mortgages/2022/11/21/mortgages-have-big-part-to-play-in-tackling-climate-change/" TargetMode="External" /><Relationship Id="rId4" Type="http://schemas.openxmlformats.org/officeDocument/2006/relationships/settings" Target="settings.xml" /><Relationship Id="rId9" Type="http://schemas.openxmlformats.org/officeDocument/2006/relationships/hyperlink" Target="https://www.tandfonline.com/doi/abs/10.1080/09640568.2021.191589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40BE6-C33E-4E23-98DF-2AD27549EE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2423</Words>
  <Characters>15776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Not name boom</cp:lastModifiedBy>
  <cp:revision>2</cp:revision>
  <dcterms:created xsi:type="dcterms:W3CDTF">2023-12-09T11:35:00Z</dcterms:created>
  <dcterms:modified xsi:type="dcterms:W3CDTF">2023-12-09T11:35:00Z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b4af09df-8e05-40b4-afb6-6c35dddfdad3</vt:lpwstr>
  </property>
</Properties>
</file>