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43890" w14:textId="7270C9BE" w:rsidR="00B317E1" w:rsidRPr="00B317E1" w:rsidRDefault="00B317E1" w:rsidP="00B317E1">
      <w:pPr>
        <w:pStyle w:val="NormalWeb"/>
        <w:spacing w:line="360" w:lineRule="auto"/>
        <w:jc w:val="center"/>
        <w:rPr>
          <w:rFonts w:ascii="Arial" w:hAnsi="Arial" w:cs="Arial"/>
          <w:b/>
          <w:bCs/>
          <w:sz w:val="36"/>
          <w:szCs w:val="36"/>
        </w:rPr>
      </w:pPr>
      <w:r w:rsidRPr="00B317E1">
        <w:rPr>
          <w:rFonts w:ascii="Arial" w:hAnsi="Arial" w:cs="Arial"/>
          <w:b/>
          <w:bCs/>
          <w:sz w:val="36"/>
          <w:szCs w:val="36"/>
        </w:rPr>
        <w:t xml:space="preserve">Student Name: </w:t>
      </w:r>
      <w:r w:rsidRPr="00B317E1">
        <w:rPr>
          <w:rFonts w:ascii="Arial" w:hAnsi="Arial" w:cs="Arial"/>
          <w:b/>
          <w:bCs/>
          <w:sz w:val="36"/>
          <w:szCs w:val="36"/>
        </w:rPr>
        <w:t>Waqaar Ajmal</w:t>
      </w:r>
    </w:p>
    <w:p w14:paraId="3F9ABFA2" w14:textId="54FF92F1" w:rsidR="00B317E1" w:rsidRPr="00B317E1" w:rsidRDefault="00B317E1" w:rsidP="00B317E1">
      <w:pPr>
        <w:pStyle w:val="NormalWeb"/>
        <w:spacing w:line="360" w:lineRule="auto"/>
        <w:jc w:val="center"/>
        <w:rPr>
          <w:rFonts w:ascii="Arial" w:hAnsi="Arial" w:cs="Arial"/>
          <w:b/>
          <w:bCs/>
          <w:sz w:val="36"/>
          <w:szCs w:val="36"/>
        </w:rPr>
      </w:pPr>
      <w:r w:rsidRPr="00B317E1">
        <w:rPr>
          <w:rFonts w:ascii="Arial" w:hAnsi="Arial" w:cs="Arial"/>
          <w:b/>
          <w:bCs/>
          <w:sz w:val="36"/>
          <w:szCs w:val="36"/>
        </w:rPr>
        <w:t>Student ID: 2221</w:t>
      </w:r>
      <w:r w:rsidRPr="00B317E1">
        <w:rPr>
          <w:rFonts w:ascii="Arial" w:hAnsi="Arial" w:cs="Arial"/>
          <w:b/>
          <w:bCs/>
          <w:sz w:val="36"/>
          <w:szCs w:val="36"/>
        </w:rPr>
        <w:t>382</w:t>
      </w:r>
    </w:p>
    <w:p w14:paraId="2EB68318" w14:textId="77777777" w:rsidR="00B317E1" w:rsidRPr="00B317E1" w:rsidRDefault="00B317E1" w:rsidP="00B317E1">
      <w:pPr>
        <w:pStyle w:val="NormalWeb"/>
        <w:spacing w:line="360" w:lineRule="auto"/>
        <w:jc w:val="center"/>
        <w:rPr>
          <w:rFonts w:ascii="Arial" w:hAnsi="Arial" w:cs="Arial"/>
          <w:b/>
          <w:bCs/>
          <w:sz w:val="36"/>
          <w:szCs w:val="36"/>
        </w:rPr>
      </w:pPr>
      <w:r w:rsidRPr="00B317E1">
        <w:rPr>
          <w:rFonts w:ascii="Arial" w:hAnsi="Arial" w:cs="Arial"/>
          <w:b/>
          <w:bCs/>
          <w:sz w:val="36"/>
          <w:szCs w:val="36"/>
        </w:rPr>
        <w:t>Module - Health, Wellbeing and Sustainable Development</w:t>
      </w:r>
    </w:p>
    <w:p w14:paraId="2ACFF002" w14:textId="77777777" w:rsidR="00B317E1" w:rsidRPr="00B317E1" w:rsidRDefault="00B317E1" w:rsidP="00B317E1">
      <w:pPr>
        <w:pStyle w:val="NormalWeb"/>
        <w:spacing w:line="360" w:lineRule="auto"/>
        <w:jc w:val="center"/>
        <w:rPr>
          <w:rFonts w:ascii="Arial" w:hAnsi="Arial" w:cs="Arial"/>
          <w:b/>
          <w:bCs/>
          <w:sz w:val="36"/>
          <w:szCs w:val="36"/>
        </w:rPr>
      </w:pPr>
      <w:r w:rsidRPr="00B317E1">
        <w:rPr>
          <w:rFonts w:ascii="Arial" w:hAnsi="Arial" w:cs="Arial"/>
          <w:b/>
          <w:bCs/>
          <w:sz w:val="36"/>
          <w:szCs w:val="36"/>
        </w:rPr>
        <w:t>Module Code BMHP6030</w:t>
      </w:r>
    </w:p>
    <w:p w14:paraId="063750BA" w14:textId="77777777" w:rsidR="00B317E1" w:rsidRPr="00B317E1" w:rsidRDefault="00B317E1" w:rsidP="00B317E1">
      <w:pPr>
        <w:pStyle w:val="NormalWeb"/>
        <w:spacing w:line="360" w:lineRule="auto"/>
        <w:jc w:val="center"/>
        <w:rPr>
          <w:rFonts w:ascii="Arial" w:hAnsi="Arial" w:cs="Arial"/>
          <w:b/>
          <w:bCs/>
          <w:sz w:val="36"/>
          <w:szCs w:val="36"/>
        </w:rPr>
      </w:pPr>
      <w:r w:rsidRPr="00B317E1">
        <w:rPr>
          <w:rFonts w:ascii="Arial" w:hAnsi="Arial" w:cs="Arial"/>
          <w:b/>
          <w:bCs/>
          <w:sz w:val="36"/>
          <w:szCs w:val="36"/>
        </w:rPr>
        <w:t>Assignment Title: Component 2: Written Assignment (Report)</w:t>
      </w:r>
    </w:p>
    <w:p w14:paraId="1A6EFD6D" w14:textId="13209470" w:rsidR="00B317E1" w:rsidRPr="00B317E1" w:rsidRDefault="00B317E1" w:rsidP="00B317E1">
      <w:pPr>
        <w:spacing w:before="100" w:beforeAutospacing="1" w:after="100" w:afterAutospacing="1" w:line="360" w:lineRule="auto"/>
        <w:jc w:val="center"/>
        <w:outlineLvl w:val="1"/>
        <w:rPr>
          <w:rFonts w:ascii="Arial" w:eastAsia="Times New Roman" w:hAnsi="Arial" w:cs="Arial"/>
          <w:b/>
          <w:bCs/>
          <w:kern w:val="0"/>
          <w:sz w:val="36"/>
          <w:szCs w:val="36"/>
          <w:lang w:eastAsia="en-GB"/>
          <w14:ligatures w14:val="none"/>
        </w:rPr>
      </w:pPr>
      <w:r w:rsidRPr="00B317E1">
        <w:rPr>
          <w:rFonts w:ascii="Arial" w:hAnsi="Arial" w:cs="Arial"/>
          <w:b/>
          <w:bCs/>
          <w:sz w:val="36"/>
          <w:szCs w:val="36"/>
        </w:rPr>
        <w:t>Lecturer: Zakkiyah Ahmed</w:t>
      </w:r>
    </w:p>
    <w:p w14:paraId="3D9F7DDF"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3AFE53BE"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C309205"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ECAA070"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3F9BAD0D"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631264E"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21F6192"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177921E"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159A593"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07D621D"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3D558F5" w14:textId="77777777" w:rsidR="00B317E1" w:rsidRDefault="00B317E1"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F898353" w14:textId="012BAE96"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lastRenderedPageBreak/>
        <w:t>Introduction</w:t>
      </w:r>
    </w:p>
    <w:p w14:paraId="397FFFCA"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The United Nations Sustainable Development Goals (SDGs) provide a global framework to address interconnected challenges relating to health, sustainability, and inequality by 2030 (United Nations, 2015). Among these, SDG 3: Good Health and Wellbeing aims to ensure healthy lives for all, while SDG 13: Climate Action addresses environmental determinants that increasingly shape population health outcomes. These goals are inherently interdependent, as climate change is widely recognised as a major public health threat (IPCC, 2022).</w:t>
      </w:r>
    </w:p>
    <w:p w14:paraId="7E84ACCA"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This report critically examines policies and initiatives related to SDG 3 and SDG 13 at global, national (UK), and local levels. It evaluates their effectiveness using theoretical frameworks such as the Health Belief Model (Rosenstock, 1974) and Social Cognitive Theory (Bandura, 1986), assessing how behavioural and structural factors are addressed. Importantly, the report moves beyond descriptive analysis by identifying policy limitations, implementation gaps, and inequalities in outcomes.</w:t>
      </w:r>
    </w:p>
    <w:p w14:paraId="42E5BB5E"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Recent evidence highlights widening health inequalities in England, with socio-economic deprivation strongly linked to poorer health outcomes and reduced life expectancy (Marmot, 2020; UKHSA, 2023). Similarly, climate change disproportionately affects vulnerable populations, reinforcing existing inequalities (Watts et al., 2021).</w:t>
      </w:r>
    </w:p>
    <w:p w14:paraId="580FB3F6" w14:textId="05C65E2A" w:rsidR="00D27148" w:rsidRPr="00D27148" w:rsidRDefault="00D27148" w:rsidP="00AE19CA">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D27148">
        <w:rPr>
          <w:rFonts w:ascii="Arial" w:eastAsia="Times New Roman" w:hAnsi="Arial" w:cs="Arial"/>
          <w:b/>
          <w:bCs/>
          <w:kern w:val="36"/>
          <w:sz w:val="22"/>
          <w:szCs w:val="22"/>
          <w:lang w:eastAsia="en-GB"/>
          <w14:ligatures w14:val="none"/>
        </w:rPr>
        <w:t>SDG 3: Good Health and Wellbe</w:t>
      </w:r>
      <w:r w:rsidRPr="00AE19CA">
        <w:rPr>
          <w:rFonts w:ascii="Arial" w:eastAsia="Times New Roman" w:hAnsi="Arial" w:cs="Arial"/>
          <w:b/>
          <w:bCs/>
          <w:kern w:val="36"/>
          <w:sz w:val="22"/>
          <w:szCs w:val="22"/>
          <w:lang w:eastAsia="en-GB"/>
          <w14:ligatures w14:val="none"/>
        </w:rPr>
        <w:t>ing.</w:t>
      </w:r>
    </w:p>
    <w:p w14:paraId="6D77BD9B"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Overview</w:t>
      </w:r>
    </w:p>
    <w:p w14:paraId="25B1C9F6"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SDG 3 aims to “ensure healthy lives and promote wellbeing for all at all ages” (United Nations, 2015). It encompasses a wide range of targets, including reducing maternal and child mortality, combating communicable and non-communicable diseases (NCDs), improving mental health, and achieving universal health coverage (WHO, 2023). While significant progress has been made globally, particularly in reducing infectious disease mortality, major inequalities persist both between and within countries (GBD, 2022).</w:t>
      </w:r>
    </w:p>
    <w:p w14:paraId="2D6F98C2" w14:textId="5FDDBDFF"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Health outcomes are strongly influenced by social, economic, and environmental determinants, meaning that achieving SDG 3 requires more than healthcare provision alone (Marmot, 2020). This highlights the importance of critically examining policy approaches across different levels.</w:t>
      </w:r>
    </w:p>
    <w:p w14:paraId="2D4403CC"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Global Policies and Critical Evaluation</w:t>
      </w:r>
    </w:p>
    <w:p w14:paraId="2552813A"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lastRenderedPageBreak/>
        <w:t>At the global level, SDG 3 is primarily driven by initiatives led by the World Health Organization (WHO), including Universal Health Coverage (UHC) and the Global Action Plan for the Prevention and Control of Non-Communicable Diseases (WHO, 2019). These frameworks emphasise prevention, equitable access to healthcare, and strengthening health systems.</w:t>
      </w:r>
    </w:p>
    <w:p w14:paraId="693458EC"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Many global health interventions are underpinned by behavioural theories such as the Health Belief Model (HBM), which suggests that individuals are more likely to engage in health-promoting behaviours if they perceive a threat and believe that action will reduce risk (Rosenstock, 1974). For example, vaccination campaigns often use messaging that increases perceived susceptibility and severity of disease.</w:t>
      </w:r>
    </w:p>
    <w:p w14:paraId="1844412F"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However, the HBM has been widely criticised for its individualistic focus, as it assumes individuals have the capacity and resources to make rational health decisions (Naidoo and Wills, 2016). This neglects structural barriers such as poverty, limited healthcare access, and cultural factors. As Marmot (2020) argues, health inequalities are largely driven by social determinants, including income, education, and living conditions.</w:t>
      </w:r>
    </w:p>
    <w:p w14:paraId="52CDA299" w14:textId="0D8EB06B"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The COVID-19 pandemic further exposed weaknesses in global SDG 3 implementation. Despite global cooperation, there were significant disparities in vaccine distribution, with high-income countries securing the majority of doses (The Lancet, 2021). This highlights the lack of enforceable mechanisms within global health governance and raises questions about equity and accountability.</w:t>
      </w:r>
    </w:p>
    <w:p w14:paraId="35E3A11F"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National (UK) Policies and Critical Evaluation</w:t>
      </w:r>
    </w:p>
    <w:p w14:paraId="78A8FE6C"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In the UK, SDG 3 is addressed through policies such as the NHS Long Term Plan (NHS England, 2019), which focuses on prevention, early intervention, and integrated care systems. The policy emphasises personalised care and patient self-management, reflecting principles of Social Cognitive Theory (SCT), particularly self-efficacy and observational learning (Bandura, 1986).</w:t>
      </w:r>
    </w:p>
    <w:p w14:paraId="06355F1D"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For example, initiatives aimed at managing chronic conditions such as diabetes encourage individuals to take an active role in their health through education and behavioural support. This demonstrates the application of SCT in promoting sustainable health behaviours.</w:t>
      </w:r>
    </w:p>
    <w:p w14:paraId="488E81F9"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 xml:space="preserve">However, despite these efforts, health inequalities in the UK have widened. The Marmot Review (2020) found that life expectancy improvements have stalled, and in some deprived </w:t>
      </w:r>
      <w:r w:rsidRPr="00D27148">
        <w:rPr>
          <w:rFonts w:ascii="Arial" w:eastAsia="Times New Roman" w:hAnsi="Arial" w:cs="Arial"/>
          <w:kern w:val="0"/>
          <w:sz w:val="22"/>
          <w:szCs w:val="22"/>
          <w:lang w:eastAsia="en-GB"/>
          <w14:ligatures w14:val="none"/>
        </w:rPr>
        <w:lastRenderedPageBreak/>
        <w:t>areas, they have declined. Individuals living in socio-economically disadvantaged communities experience higher rates of chronic illness, mental health issues, and premature mortality (Public Health England, 2020).</w:t>
      </w:r>
    </w:p>
    <w:p w14:paraId="1E1D0E44"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 critical limitation of UK health policy is its continued focus on healthcare services rather than addressing the wider determinants of health. Factors such as poor housing, unemployment, and low income significantly influence health outcomes but are not adequately addressed within health policy frameworks (Marmot, 2020).</w:t>
      </w:r>
    </w:p>
    <w:p w14:paraId="1D404CCB" w14:textId="77777777" w:rsidR="00D27148" w:rsidRPr="00AE19CA"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Additionally, austerity measures and reductions in public health funding have weakened the capacity of local authorities to deliver preventive services (The King’s Fund, 2022). This has resulted in reduced access to services such as smoking cessation programmes and mental health support, particularly in deprived areas</w:t>
      </w:r>
      <w:r w:rsidRPr="00AE19CA">
        <w:rPr>
          <w:rFonts w:ascii="Arial" w:eastAsia="Times New Roman" w:hAnsi="Arial" w:cs="Arial"/>
          <w:kern w:val="0"/>
          <w:sz w:val="22"/>
          <w:szCs w:val="22"/>
          <w:lang w:eastAsia="en-GB"/>
          <w14:ligatures w14:val="none"/>
        </w:rPr>
        <w:t>.</w:t>
      </w:r>
    </w:p>
    <w:p w14:paraId="60CEE2F1" w14:textId="4D5DA99A"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b/>
          <w:bCs/>
          <w:kern w:val="0"/>
          <w:sz w:val="22"/>
          <w:szCs w:val="22"/>
          <w:lang w:eastAsia="en-GB"/>
          <w14:ligatures w14:val="none"/>
        </w:rPr>
        <w:t>Local Policies and Practice</w:t>
      </w:r>
    </w:p>
    <w:p w14:paraId="7BE5150F"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At the local level, Integrated Care Systems (ICSs) aim to improve population health by coordinating healthcare services and addressing local needs (NHS England, 2022). Local authorities also implement public health initiatives targeting issues such as obesity, smoking, and mental health.</w:t>
      </w:r>
    </w:p>
    <w:p w14:paraId="1E65D4AA"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These initiatives often reflect SCT by focusing on community engagement and social support to influence behaviour. For example, community-based weight management programmes use peer support and role modelling to enhance self-efficacy and promote sustained behaviour change.</w:t>
      </w:r>
    </w:p>
    <w:p w14:paraId="439C4D1B"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However, local implementation is often constrained by limited funding and regional inequalities. Buck et al. (2021) highlight that variations in local authority resources lead to inconsistent service provision, with more deprived areas often experiencing greater need but fewer resources.</w:t>
      </w:r>
    </w:p>
    <w:p w14:paraId="5E46EC5C"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Furthermore, while local initiatives can be effective in addressing specific issues, they are limited in their ability to tackle broader structural determinants of health without national-level support.</w:t>
      </w:r>
    </w:p>
    <w:p w14:paraId="5E099D33"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Critical Discussion</w:t>
      </w:r>
    </w:p>
    <w:p w14:paraId="31E099F3"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 xml:space="preserve">A key limitation of SDG 3 policies across all levels is their fragmented approach, which often prioritises individual behaviour change over structural reform. While models such as HBM </w:t>
      </w:r>
      <w:r w:rsidRPr="00D27148">
        <w:rPr>
          <w:rFonts w:ascii="Arial" w:eastAsia="Times New Roman" w:hAnsi="Arial" w:cs="Arial"/>
          <w:kern w:val="0"/>
          <w:sz w:val="22"/>
          <w:szCs w:val="22"/>
          <w:lang w:eastAsia="en-GB"/>
          <w14:ligatures w14:val="none"/>
        </w:rPr>
        <w:lastRenderedPageBreak/>
        <w:t>and SCT provide useful frameworks for understanding behaviour, they do not fully account for the complex social and economic factors influencing health.</w:t>
      </w:r>
    </w:p>
    <w:p w14:paraId="107ED2C0"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Evidence suggests that social determinants account for a substantial proportion of health outcomes, meaning that policies focused solely on behaviour change are unlikely to reduce inequalities (Marmot, 2020). This highlights the need for a more holistic, systems-based approach.</w:t>
      </w:r>
    </w:p>
    <w:p w14:paraId="65B902B8" w14:textId="537A62FA"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Additionally, the lack of policy integration across sectors limits the effectiveness of SDG 3 initiatives. Health outcomes are closely linked to policies in areas such as housing, education, and employment, yet these are often addressed separately.</w:t>
      </w:r>
    </w:p>
    <w:p w14:paraId="05AA47F4"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Recommendations</w:t>
      </w:r>
    </w:p>
    <w:p w14:paraId="70971FD3"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To improve the effectiveness of SDG 3 policies, the following recommendations are proposed:</w:t>
      </w:r>
    </w:p>
    <w:p w14:paraId="70ACC6BA" w14:textId="77777777" w:rsidR="00D27148" w:rsidRPr="00D27148" w:rsidRDefault="00D27148" w:rsidP="00AE19CA">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Increase investment in public health and preventive services</w:t>
      </w:r>
    </w:p>
    <w:p w14:paraId="2F50CF1F" w14:textId="77777777" w:rsidR="00D27148" w:rsidRPr="00D27148" w:rsidRDefault="00D27148" w:rsidP="00AE19CA">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Address social determinants of health through cross-sector policies</w:t>
      </w:r>
    </w:p>
    <w:p w14:paraId="4A26B459" w14:textId="77777777" w:rsidR="00D27148" w:rsidRPr="00D27148" w:rsidRDefault="00D27148" w:rsidP="00AE19CA">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Strengthen local authority capacity and funding</w:t>
      </w:r>
    </w:p>
    <w:p w14:paraId="49E19D3D" w14:textId="77777777" w:rsidR="00D27148" w:rsidRPr="00D27148" w:rsidRDefault="00D27148" w:rsidP="00AE19CA">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Develop equity-focused interventions targeting vulnerable populations</w:t>
      </w:r>
    </w:p>
    <w:p w14:paraId="6F59FE01" w14:textId="77777777" w:rsidR="00D27148" w:rsidRPr="00D27148" w:rsidRDefault="00D27148" w:rsidP="00AE19CA">
      <w:pPr>
        <w:numPr>
          <w:ilvl w:val="0"/>
          <w:numId w:val="5"/>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Improve data collection and monitoring of health inequalities</w:t>
      </w:r>
    </w:p>
    <w:p w14:paraId="0A791B86" w14:textId="1CCD55A6" w:rsidR="00D27148" w:rsidRPr="00D27148" w:rsidRDefault="00D27148" w:rsidP="00AE19CA">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D27148">
        <w:rPr>
          <w:rFonts w:ascii="Arial" w:eastAsia="Times New Roman" w:hAnsi="Arial" w:cs="Arial"/>
          <w:b/>
          <w:bCs/>
          <w:kern w:val="36"/>
          <w:sz w:val="22"/>
          <w:szCs w:val="22"/>
          <w:lang w:eastAsia="en-GB"/>
          <w14:ligatures w14:val="none"/>
        </w:rPr>
        <w:t>SDG 13: Climate Action</w:t>
      </w:r>
    </w:p>
    <w:p w14:paraId="6321A8E0"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Overview</w:t>
      </w:r>
    </w:p>
    <w:p w14:paraId="1D587C9F"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SDG 13 aims to “take urgent action to combat climate change and its impacts” (United Nations, 2015). Climate change is increasingly recognised as one of the greatest threats to global health, influencing a wide range of outcomes including respiratory disease, heat-related illness, food insecurity, and mental health (IPCC, 2022). These impacts are not distributed equally, with vulnerable populations disproportionately affected (Watts et al., 2021).</w:t>
      </w:r>
    </w:p>
    <w:p w14:paraId="66B19675"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The interrelationship between climate and health highlights the importance of integrating environmental sustainability into health policy. Achieving SDG 13 is therefore essential for the success of SDG 3.</w:t>
      </w:r>
    </w:p>
    <w:p w14:paraId="45E5F745" w14:textId="13AE3253" w:rsidR="00D27148" w:rsidRPr="00D27148" w:rsidRDefault="00D27148" w:rsidP="00AE19CA">
      <w:pPr>
        <w:spacing w:after="0" w:line="360" w:lineRule="auto"/>
        <w:rPr>
          <w:rFonts w:ascii="Arial" w:eastAsia="Times New Roman" w:hAnsi="Arial" w:cs="Arial"/>
          <w:kern w:val="0"/>
          <w:sz w:val="22"/>
          <w:szCs w:val="22"/>
          <w:lang w:eastAsia="en-GB"/>
          <w14:ligatures w14:val="none"/>
        </w:rPr>
      </w:pPr>
    </w:p>
    <w:p w14:paraId="224BFA12"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lastRenderedPageBreak/>
        <w:t>Global Policies and Critical Evaluation</w:t>
      </w:r>
    </w:p>
    <w:p w14:paraId="57C53C82"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At the global level, climate action is primarily guided by the Paris Agreement, which aims to limit global warming to well below 2°C (UNFCCC, 2015). This agreement represents a significant step towards coordinated global action and has been widely adopted by countries.</w:t>
      </w:r>
    </w:p>
    <w:p w14:paraId="44AF3B5E"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Climate policies often incorporate elements of Social Cognitive Theory (SCT), particularly in promoting pro-environmental behaviours such as reducing energy consumption or adopting sustainable transport. These approaches rely on increasing awareness, shaping social norms, and enhancing self-efficacy (Bandura, 1986).</w:t>
      </w:r>
    </w:p>
    <w:p w14:paraId="11854D75"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However, similar to SDG 3, this behavioural focus has been criticised for placing responsibility on individuals rather than addressing systemic drivers of climate change, such as industrial emissions and economic structures (Giddens, 2011). This reflects a broader limitation of sustainability policies, where structural and political factors are often underemphasised.</w:t>
      </w:r>
    </w:p>
    <w:p w14:paraId="41F93FD8"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Furthermore, global climate governance lacks enforceable mechanisms, meaning that countries are not legally bound to meet their targets (IPCC, 2022). As a result, progress has been inconsistent, and global emissions remain high.</w:t>
      </w:r>
    </w:p>
    <w:p w14:paraId="1213201B"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Inequality is also a major concern. Low-income countries contribute least to climate change but are most vulnerable to its impacts, including extreme weather events and food insecurity (Watts et al., 2021). This raises ethical concerns and highlights the need for a more equitable, justice-based approach to climate policy.</w:t>
      </w:r>
    </w:p>
    <w:p w14:paraId="1E89C9E8"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National (UK) Policies and Critical Evaluation</w:t>
      </w:r>
    </w:p>
    <w:p w14:paraId="27138920"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In the UK, SDG 13 is addressed through policies such as the Net Zero Strategy and the Climate Change Act 2008, which set legally binding targets to reduce greenhouse gas emissions (HM Government, 2021). These policies aim to transition towards renewable energy, improve energy efficiency, and promote sustainable transport.</w:t>
      </w:r>
    </w:p>
    <w:p w14:paraId="338051D0"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Importantly, UK climate policies increasingly recognise the health co-benefits of environmental action. For example, reducing air pollution can significantly decrease rates of respiratory and cardiovascular disease (Public Health England, 2019). Similarly, promoting active travel (walking and cycling) can improve physical health and reduce obesity rates.</w:t>
      </w:r>
    </w:p>
    <w:p w14:paraId="5CCF7373"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lastRenderedPageBreak/>
        <w:t>These initiatives align with SCT by encouraging behaviour change through environmental restructuring, such as creating safer cycling infrastructure. However, their effectiveness is limited by socio-economic factors. For example, individuals in low-income communities may have less access to safe green spaces or may rely more heavily on cars due to limited public transport options.</w:t>
      </w:r>
    </w:p>
    <w:p w14:paraId="1D8CE948"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Despite progress, environmental inequalities remain a significant issue in the UK. Research shows that deprived communities are more likely to be exposed to higher levels of air pollution and environmental hazards (UK Health Security Agency, 2023). This suggests that climate policies are not adequately addressing issues of equity.</w:t>
      </w:r>
    </w:p>
    <w:p w14:paraId="04AC5274" w14:textId="7564D5B0"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Additionally, policy implementation has been criticised for inconsistency and lack of urgency. While targets are ambitious, there are concerns about whether they will be achieved due to political and economic constraints (Climate Change Committee, 2023)</w:t>
      </w:r>
    </w:p>
    <w:p w14:paraId="61E3ECF4"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Local Policies and Practice</w:t>
      </w:r>
    </w:p>
    <w:p w14:paraId="00062B0E"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Local authorities play a crucial role in implementing climate action through initiatives such as sustainable transport schemes, urban green spaces, and energy efficiency programmes (Local Government Association, 2022). These initiatives have the potential to deliver both environmental and health benefits.</w:t>
      </w:r>
    </w:p>
    <w:p w14:paraId="07AE6678"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For example, increasing access to green spaces has been linked to improved mental health and wellbeing, as well as increased physical activity (WHO, 2016). Similarly, active travel schemes can reduce air pollution while promoting healthier lifestyles.</w:t>
      </w:r>
    </w:p>
    <w:p w14:paraId="489DCDC8"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These local initiatives often reflect the Health Belief Model (HBM) by emphasising the perceived benefits of behaviour change, such as improved health and reduced environmental impact (Rosenstock, 1974). However, like other behavioural models, HBM does not fully account for structural barriers such as income, infrastructure, and accessibility.</w:t>
      </w:r>
    </w:p>
    <w:p w14:paraId="68EC3E06"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Local climate action is often constrained by limited funding and resources. The Local Government Association (2022) highlights that many councils lack the financial capacity to implement large-scale sustainability initiatives. Additionally, there is often a lack of coordination between local and national policies, reducing overall effectiveness.</w:t>
      </w:r>
    </w:p>
    <w:p w14:paraId="358C9E4F" w14:textId="77777777" w:rsidR="00AE19CA" w:rsidRPr="00AE19CA" w:rsidRDefault="00AE19CA"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81442A9" w14:textId="77777777" w:rsidR="00AE19CA" w:rsidRPr="00AE19CA" w:rsidRDefault="00AE19CA"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BE804C7" w14:textId="6EA2012E"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lastRenderedPageBreak/>
        <w:t>Critical Discussion</w:t>
      </w:r>
    </w:p>
    <w:p w14:paraId="5F0C0229"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 key limitation of SDG 13 policies is their failure to fully integrate health and environmental strategies. While the health impacts of climate change are well established, they are often treated as secondary considerations within policy frameworks.</w:t>
      </w:r>
    </w:p>
    <w:p w14:paraId="6ABBBDC0"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Furthermore, climate change exacerbates existing health inequalities, disproportionately affecting vulnerable populations. This reflects a broader issue in both SDG 3 and SDG 13, where policies fail to address the underlying social determinants of health and environmental risk.</w:t>
      </w:r>
    </w:p>
    <w:p w14:paraId="5A305289" w14:textId="0ADB28C4" w:rsidR="00AE19CA" w:rsidRPr="00AE19CA"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The reliance on behavioural change models such as SCT and HBM also presents limitations. While these models are useful for understanding individual behaviour, they do not adequately address systemic issues such as economic inequality and political decision-making</w:t>
      </w:r>
      <w:r w:rsidR="00AE19CA" w:rsidRPr="00AE19CA">
        <w:rPr>
          <w:rFonts w:ascii="Arial" w:eastAsia="Times New Roman" w:hAnsi="Arial" w:cs="Arial"/>
          <w:kern w:val="0"/>
          <w:sz w:val="22"/>
          <w:szCs w:val="22"/>
          <w:lang w:eastAsia="en-GB"/>
          <w14:ligatures w14:val="none"/>
        </w:rPr>
        <w:t>.</w:t>
      </w:r>
    </w:p>
    <w:p w14:paraId="0417B4DD" w14:textId="1737FEA2"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b/>
          <w:bCs/>
          <w:kern w:val="0"/>
          <w:sz w:val="22"/>
          <w:szCs w:val="22"/>
          <w:lang w:eastAsia="en-GB"/>
          <w14:ligatures w14:val="none"/>
        </w:rPr>
        <w:t>Recommendations</w:t>
      </w:r>
    </w:p>
    <w:p w14:paraId="1C8221E8"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To improve the effectiveness of SDG 13 policies, the following recommendations are proposed:</w:t>
      </w:r>
    </w:p>
    <w:p w14:paraId="475B8DC8" w14:textId="77777777" w:rsidR="00D27148" w:rsidRPr="00D27148" w:rsidRDefault="00D27148" w:rsidP="00AE19CA">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Integrate climate and health policies at all levels</w:t>
      </w:r>
    </w:p>
    <w:p w14:paraId="1E5B1CF5" w14:textId="77777777" w:rsidR="00D27148" w:rsidRPr="00D27148" w:rsidRDefault="00D27148" w:rsidP="00AE19CA">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Increase investment in sustainable infrastructure, particularly in deprived areas</w:t>
      </w:r>
    </w:p>
    <w:p w14:paraId="28729AAD" w14:textId="77777777" w:rsidR="00D27148" w:rsidRPr="00D27148" w:rsidRDefault="00D27148" w:rsidP="00AE19CA">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Address environmental inequalities through targeted interventions</w:t>
      </w:r>
    </w:p>
    <w:p w14:paraId="4FA4B71D" w14:textId="77777777" w:rsidR="00D27148" w:rsidRPr="00D27148" w:rsidRDefault="00D27148" w:rsidP="00AE19CA">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Strengthen global accountability and enforcement mechanisms</w:t>
      </w:r>
    </w:p>
    <w:p w14:paraId="6A72E357" w14:textId="6C92F076" w:rsidR="00D27148" w:rsidRPr="00AE19CA" w:rsidRDefault="00D27148" w:rsidP="00AE19CA">
      <w:pPr>
        <w:numPr>
          <w:ilvl w:val="0"/>
          <w:numId w:val="6"/>
        </w:num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Promote community engagement and education to support behaviour change</w:t>
      </w:r>
      <w:r w:rsidR="00AE19CA" w:rsidRPr="00AE19CA">
        <w:rPr>
          <w:rFonts w:ascii="Arial" w:eastAsia="Times New Roman" w:hAnsi="Arial" w:cs="Arial"/>
          <w:kern w:val="0"/>
          <w:sz w:val="22"/>
          <w:szCs w:val="22"/>
          <w:lang w:eastAsia="en-GB"/>
          <w14:ligatures w14:val="none"/>
        </w:rPr>
        <w:t>.</w:t>
      </w:r>
    </w:p>
    <w:p w14:paraId="0EFDAB76" w14:textId="77777777" w:rsidR="00D27148" w:rsidRPr="00D27148" w:rsidRDefault="00D27148" w:rsidP="00AE19C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D27148">
        <w:rPr>
          <w:rFonts w:ascii="Arial" w:eastAsia="Times New Roman" w:hAnsi="Arial" w:cs="Arial"/>
          <w:b/>
          <w:bCs/>
          <w:kern w:val="0"/>
          <w:sz w:val="22"/>
          <w:szCs w:val="22"/>
          <w:lang w:eastAsia="en-GB"/>
          <w14:ligatures w14:val="none"/>
        </w:rPr>
        <w:t>Conclusion (≈220 words)</w:t>
      </w:r>
    </w:p>
    <w:p w14:paraId="34A79068"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This report has demonstrated that while SDG 3 and SDG 13 are supported by comprehensive global, national, and local policy frameworks, their effectiveness is limited by fragmented implementation and insufficient focus on equity. A key finding is that both health and climate policies continue to prioritise individual behaviour change, often underpinned by models such as the Health Belief Model and Social Cognitive Theory, while inadequately addressing the structural determinants that shape outcomes (Marmot, 2020; Giddens, 2011).</w:t>
      </w:r>
    </w:p>
    <w:p w14:paraId="1B5BA4A6"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 xml:space="preserve">The analysis highlights the strong interconnection between SDG 3 and SDG 13, as environmental factors such as air pollution and climate change significantly influence population health (IPCC, 2022; Watts et al., 2021). However, policy approaches frequently </w:t>
      </w:r>
      <w:r w:rsidRPr="00D27148">
        <w:rPr>
          <w:rFonts w:ascii="Arial" w:eastAsia="Times New Roman" w:hAnsi="Arial" w:cs="Arial"/>
          <w:kern w:val="0"/>
          <w:sz w:val="22"/>
          <w:szCs w:val="22"/>
          <w:lang w:eastAsia="en-GB"/>
          <w14:ligatures w14:val="none"/>
        </w:rPr>
        <w:lastRenderedPageBreak/>
        <w:t>treat these goals in isolation, limiting their overall impact. This lack of integration reduces opportunities to maximise co-benefits, such as improving public health through sustainable transport and environmental interventions.</w:t>
      </w:r>
    </w:p>
    <w:p w14:paraId="25C836FE"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A broader implication is that achieving the SDGs requires a shift towards a systems-based and equity-focused approach, recognising that health outcomes are shaped by social, economic, and environmental conditions. Without addressing inequalities, progress will remain uneven and unsustainable.</w:t>
      </w:r>
    </w:p>
    <w:p w14:paraId="0CF27B14" w14:textId="77777777" w:rsidR="00D27148" w:rsidRPr="00D27148" w:rsidRDefault="00D27148" w:rsidP="00AE19CA">
      <w:pPr>
        <w:spacing w:before="100" w:beforeAutospacing="1" w:after="100" w:afterAutospacing="1" w:line="360" w:lineRule="auto"/>
        <w:rPr>
          <w:rFonts w:ascii="Arial" w:eastAsia="Times New Roman" w:hAnsi="Arial" w:cs="Arial"/>
          <w:kern w:val="0"/>
          <w:sz w:val="22"/>
          <w:szCs w:val="22"/>
          <w:lang w:eastAsia="en-GB"/>
          <w14:ligatures w14:val="none"/>
        </w:rPr>
      </w:pPr>
      <w:r w:rsidRPr="00D27148">
        <w:rPr>
          <w:rFonts w:ascii="Arial" w:eastAsia="Times New Roman" w:hAnsi="Arial" w:cs="Arial"/>
          <w:kern w:val="0"/>
          <w:sz w:val="22"/>
          <w:szCs w:val="22"/>
          <w:lang w:eastAsia="en-GB"/>
          <w14:ligatures w14:val="none"/>
        </w:rPr>
        <w:t>Future policy must prioritise cross-sector collaboration, long-term investment in prevention, and targeted interventions for vulnerable populations. Ultimately, the success of the SDGs depends not only on policy ambition but on the ability to implement coordinated, inclusive, and evidence-based strategies that address the root causes of both poor health and environmental degradation.</w:t>
      </w:r>
    </w:p>
    <w:p w14:paraId="0FA36656" w14:textId="77777777" w:rsidR="00D27148" w:rsidRDefault="00D27148" w:rsidP="00D27148">
      <w:pPr>
        <w:pStyle w:val="NormalWeb"/>
      </w:pPr>
    </w:p>
    <w:p w14:paraId="45AF7D3A" w14:textId="77777777" w:rsidR="00D27148" w:rsidRDefault="00D27148" w:rsidP="00D27148">
      <w:pPr>
        <w:pStyle w:val="NormalWeb"/>
      </w:pPr>
    </w:p>
    <w:p w14:paraId="2F6B4DFB" w14:textId="77777777" w:rsidR="00D27148" w:rsidRDefault="00D27148" w:rsidP="00D27148">
      <w:pPr>
        <w:pStyle w:val="NormalWeb"/>
      </w:pPr>
    </w:p>
    <w:p w14:paraId="5BEC987A" w14:textId="77777777" w:rsidR="00D27148" w:rsidRDefault="00D27148" w:rsidP="00D27148">
      <w:pPr>
        <w:pStyle w:val="NormalWeb"/>
      </w:pPr>
    </w:p>
    <w:p w14:paraId="57974F7A" w14:textId="77777777" w:rsidR="00D27148" w:rsidRDefault="00D27148" w:rsidP="00D27148">
      <w:pPr>
        <w:pStyle w:val="NormalWeb"/>
      </w:pPr>
    </w:p>
    <w:p w14:paraId="0168CDBE" w14:textId="77777777" w:rsidR="00D27148" w:rsidRDefault="00D27148" w:rsidP="00D27148">
      <w:pPr>
        <w:pStyle w:val="NormalWeb"/>
      </w:pPr>
    </w:p>
    <w:p w14:paraId="023C3CD1" w14:textId="77777777" w:rsidR="00D27148" w:rsidRDefault="00D27148" w:rsidP="00D27148">
      <w:pPr>
        <w:pStyle w:val="NormalWeb"/>
      </w:pPr>
    </w:p>
    <w:p w14:paraId="4CD791A2" w14:textId="77777777" w:rsidR="00AE19CA" w:rsidRDefault="00AE19CA" w:rsidP="00D27148">
      <w:pPr>
        <w:pStyle w:val="NormalWeb"/>
      </w:pPr>
    </w:p>
    <w:p w14:paraId="235600A0" w14:textId="77777777" w:rsidR="00AE19CA" w:rsidRDefault="00AE19CA" w:rsidP="00D27148">
      <w:pPr>
        <w:pStyle w:val="NormalWeb"/>
      </w:pPr>
    </w:p>
    <w:p w14:paraId="25969F86" w14:textId="77777777" w:rsidR="00AE19CA" w:rsidRDefault="00AE19CA" w:rsidP="00D27148">
      <w:pPr>
        <w:pStyle w:val="NormalWeb"/>
      </w:pPr>
    </w:p>
    <w:p w14:paraId="2F92BE31" w14:textId="77777777" w:rsidR="00AE19CA" w:rsidRDefault="00AE19CA" w:rsidP="00D27148">
      <w:pPr>
        <w:pStyle w:val="NormalWeb"/>
      </w:pPr>
    </w:p>
    <w:p w14:paraId="5F13F03A" w14:textId="77777777" w:rsidR="00AE19CA" w:rsidRDefault="00AE19CA" w:rsidP="00D27148">
      <w:pPr>
        <w:pStyle w:val="NormalWeb"/>
      </w:pPr>
    </w:p>
    <w:p w14:paraId="182D3694" w14:textId="77777777" w:rsidR="00AE19CA" w:rsidRDefault="00AE19CA" w:rsidP="00D27148">
      <w:pPr>
        <w:pStyle w:val="NormalWeb"/>
      </w:pPr>
    </w:p>
    <w:p w14:paraId="4E7BF18B" w14:textId="77777777" w:rsidR="00AE19CA" w:rsidRDefault="00AE19CA" w:rsidP="00D27148">
      <w:pPr>
        <w:pStyle w:val="NormalWeb"/>
      </w:pPr>
    </w:p>
    <w:p w14:paraId="65CBBF63" w14:textId="77777777" w:rsidR="00AE19CA" w:rsidRDefault="00AE19CA" w:rsidP="00D27148">
      <w:pPr>
        <w:pStyle w:val="NormalWeb"/>
      </w:pPr>
    </w:p>
    <w:p w14:paraId="66B5656D" w14:textId="7CD262D5" w:rsidR="00AE19CA" w:rsidRPr="00AE19CA" w:rsidRDefault="00AE19CA" w:rsidP="00AE19CA">
      <w:pPr>
        <w:pStyle w:val="NormalWeb"/>
        <w:spacing w:line="360" w:lineRule="auto"/>
        <w:rPr>
          <w:rFonts w:ascii="Arial" w:hAnsi="Arial" w:cs="Arial"/>
          <w:b/>
          <w:bCs/>
          <w:sz w:val="22"/>
          <w:szCs w:val="22"/>
        </w:rPr>
      </w:pPr>
      <w:r w:rsidRPr="00AE19CA">
        <w:rPr>
          <w:rFonts w:ascii="Arial" w:hAnsi="Arial" w:cs="Arial"/>
          <w:b/>
          <w:bCs/>
          <w:sz w:val="22"/>
          <w:szCs w:val="22"/>
        </w:rPr>
        <w:lastRenderedPageBreak/>
        <w:t>References</w:t>
      </w:r>
    </w:p>
    <w:p w14:paraId="352D74AC"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Bandura, A. (1986) </w:t>
      </w:r>
      <w:r w:rsidRPr="00AE19CA">
        <w:rPr>
          <w:rStyle w:val="Emphasis"/>
          <w:rFonts w:ascii="Arial" w:eastAsiaTheme="majorEastAsia" w:hAnsi="Arial" w:cs="Arial"/>
          <w:sz w:val="22"/>
          <w:szCs w:val="22"/>
        </w:rPr>
        <w:t>Social foundations of thought and action: A social cognitive theory</w:t>
      </w:r>
      <w:r w:rsidRPr="00AE19CA">
        <w:rPr>
          <w:rFonts w:ascii="Arial" w:hAnsi="Arial" w:cs="Arial"/>
          <w:sz w:val="22"/>
          <w:szCs w:val="22"/>
        </w:rPr>
        <w:t>. Englewood Cliffs: Prentice-Hall.</w:t>
      </w:r>
    </w:p>
    <w:p w14:paraId="3CFD9E5F"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Buck, D., Baylis, A., Dougall, D. and Robertson, R. (2021) </w:t>
      </w:r>
      <w:r w:rsidRPr="00AE19CA">
        <w:rPr>
          <w:rStyle w:val="Emphasis"/>
          <w:rFonts w:ascii="Arial" w:eastAsiaTheme="majorEastAsia" w:hAnsi="Arial" w:cs="Arial"/>
          <w:sz w:val="22"/>
          <w:szCs w:val="22"/>
        </w:rPr>
        <w:t>A vision for population health</w:t>
      </w:r>
      <w:r w:rsidRPr="00AE19CA">
        <w:rPr>
          <w:rFonts w:ascii="Arial" w:hAnsi="Arial" w:cs="Arial"/>
          <w:sz w:val="22"/>
          <w:szCs w:val="22"/>
        </w:rPr>
        <w:t>. London: The King’s Fund.</w:t>
      </w:r>
    </w:p>
    <w:p w14:paraId="68B17C93"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Climate Change Committee (2023) </w:t>
      </w:r>
      <w:r w:rsidRPr="00AE19CA">
        <w:rPr>
          <w:rStyle w:val="Emphasis"/>
          <w:rFonts w:ascii="Arial" w:eastAsiaTheme="majorEastAsia" w:hAnsi="Arial" w:cs="Arial"/>
          <w:sz w:val="22"/>
          <w:szCs w:val="22"/>
        </w:rPr>
        <w:t>Progress report to Parliament</w:t>
      </w:r>
      <w:r w:rsidRPr="00AE19CA">
        <w:rPr>
          <w:rFonts w:ascii="Arial" w:hAnsi="Arial" w:cs="Arial"/>
          <w:sz w:val="22"/>
          <w:szCs w:val="22"/>
        </w:rPr>
        <w:t>. London: CCC.</w:t>
      </w:r>
    </w:p>
    <w:p w14:paraId="7C04F9FA"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GBD (2022) </w:t>
      </w:r>
      <w:r w:rsidRPr="00AE19CA">
        <w:rPr>
          <w:rStyle w:val="Emphasis"/>
          <w:rFonts w:ascii="Arial" w:eastAsiaTheme="majorEastAsia" w:hAnsi="Arial" w:cs="Arial"/>
          <w:sz w:val="22"/>
          <w:szCs w:val="22"/>
        </w:rPr>
        <w:t>Global burden of disease study 2022 results</w:t>
      </w:r>
      <w:r w:rsidRPr="00AE19CA">
        <w:rPr>
          <w:rFonts w:ascii="Arial" w:hAnsi="Arial" w:cs="Arial"/>
          <w:sz w:val="22"/>
          <w:szCs w:val="22"/>
        </w:rPr>
        <w:t>. Seattle: IHME.</w:t>
      </w:r>
    </w:p>
    <w:p w14:paraId="65F6DF35"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Giddens, A. (2011) </w:t>
      </w:r>
      <w:r w:rsidRPr="00AE19CA">
        <w:rPr>
          <w:rStyle w:val="Emphasis"/>
          <w:rFonts w:ascii="Arial" w:eastAsiaTheme="majorEastAsia" w:hAnsi="Arial" w:cs="Arial"/>
          <w:sz w:val="22"/>
          <w:szCs w:val="22"/>
        </w:rPr>
        <w:t>The politics of climate change</w:t>
      </w:r>
      <w:r w:rsidRPr="00AE19CA">
        <w:rPr>
          <w:rFonts w:ascii="Arial" w:hAnsi="Arial" w:cs="Arial"/>
          <w:sz w:val="22"/>
          <w:szCs w:val="22"/>
        </w:rPr>
        <w:t xml:space="preserve">. 2nd </w:t>
      </w:r>
      <w:proofErr w:type="spellStart"/>
      <w:r w:rsidRPr="00AE19CA">
        <w:rPr>
          <w:rFonts w:ascii="Arial" w:hAnsi="Arial" w:cs="Arial"/>
          <w:sz w:val="22"/>
          <w:szCs w:val="22"/>
        </w:rPr>
        <w:t>edn</w:t>
      </w:r>
      <w:proofErr w:type="spellEnd"/>
      <w:r w:rsidRPr="00AE19CA">
        <w:rPr>
          <w:rFonts w:ascii="Arial" w:hAnsi="Arial" w:cs="Arial"/>
          <w:sz w:val="22"/>
          <w:szCs w:val="22"/>
        </w:rPr>
        <w:t>. Cambridge: Polity Press.</w:t>
      </w:r>
    </w:p>
    <w:p w14:paraId="4ADDE9F7"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HM Government (2021) </w:t>
      </w:r>
      <w:r w:rsidRPr="00AE19CA">
        <w:rPr>
          <w:rStyle w:val="Emphasis"/>
          <w:rFonts w:ascii="Arial" w:eastAsiaTheme="majorEastAsia" w:hAnsi="Arial" w:cs="Arial"/>
          <w:sz w:val="22"/>
          <w:szCs w:val="22"/>
        </w:rPr>
        <w:t>Net zero strategy: Build back greener</w:t>
      </w:r>
      <w:r w:rsidRPr="00AE19CA">
        <w:rPr>
          <w:rFonts w:ascii="Arial" w:hAnsi="Arial" w:cs="Arial"/>
          <w:sz w:val="22"/>
          <w:szCs w:val="22"/>
        </w:rPr>
        <w:t>. London: HMSO.</w:t>
      </w:r>
    </w:p>
    <w:p w14:paraId="3E659048"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Intergovernmental Panel on Climate Change (IPCC) (2022) </w:t>
      </w:r>
      <w:r w:rsidRPr="00AE19CA">
        <w:rPr>
          <w:rStyle w:val="Emphasis"/>
          <w:rFonts w:ascii="Arial" w:eastAsiaTheme="majorEastAsia" w:hAnsi="Arial" w:cs="Arial"/>
          <w:sz w:val="22"/>
          <w:szCs w:val="22"/>
        </w:rPr>
        <w:t>Climate change 2022: Impacts, adaptation and vulnerability</w:t>
      </w:r>
      <w:r w:rsidRPr="00AE19CA">
        <w:rPr>
          <w:rFonts w:ascii="Arial" w:hAnsi="Arial" w:cs="Arial"/>
          <w:sz w:val="22"/>
          <w:szCs w:val="22"/>
        </w:rPr>
        <w:t>. Geneva: IPCC.</w:t>
      </w:r>
    </w:p>
    <w:p w14:paraId="595CF50B"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IPCC (2022) </w:t>
      </w:r>
      <w:r w:rsidRPr="00AE19CA">
        <w:rPr>
          <w:rStyle w:val="Emphasis"/>
          <w:rFonts w:ascii="Arial" w:eastAsiaTheme="majorEastAsia" w:hAnsi="Arial" w:cs="Arial"/>
          <w:sz w:val="22"/>
          <w:szCs w:val="22"/>
        </w:rPr>
        <w:t>Climate change 2022: Impacts, adaptation and vulnerability</w:t>
      </w:r>
      <w:r w:rsidRPr="00AE19CA">
        <w:rPr>
          <w:rFonts w:ascii="Arial" w:hAnsi="Arial" w:cs="Arial"/>
          <w:sz w:val="22"/>
          <w:szCs w:val="22"/>
        </w:rPr>
        <w:t>. Geneva: IPCC.</w:t>
      </w:r>
    </w:p>
    <w:p w14:paraId="5E318D7F"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Local Government Association (2022) </w:t>
      </w:r>
      <w:r w:rsidRPr="00AE19CA">
        <w:rPr>
          <w:rStyle w:val="Emphasis"/>
          <w:rFonts w:ascii="Arial" w:eastAsiaTheme="majorEastAsia" w:hAnsi="Arial" w:cs="Arial"/>
          <w:sz w:val="22"/>
          <w:szCs w:val="22"/>
        </w:rPr>
        <w:t>Climate change and local government</w:t>
      </w:r>
      <w:r w:rsidRPr="00AE19CA">
        <w:rPr>
          <w:rFonts w:ascii="Arial" w:hAnsi="Arial" w:cs="Arial"/>
          <w:sz w:val="22"/>
          <w:szCs w:val="22"/>
        </w:rPr>
        <w:t>. London: LGA.</w:t>
      </w:r>
    </w:p>
    <w:p w14:paraId="2E0E2D8F"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Marmot, M. (2020) </w:t>
      </w:r>
      <w:r w:rsidRPr="00AE19CA">
        <w:rPr>
          <w:rStyle w:val="Emphasis"/>
          <w:rFonts w:ascii="Arial" w:eastAsiaTheme="majorEastAsia" w:hAnsi="Arial" w:cs="Arial"/>
          <w:sz w:val="22"/>
          <w:szCs w:val="22"/>
        </w:rPr>
        <w:t>Health equity in England: The Marmot review 10 years on</w:t>
      </w:r>
      <w:r w:rsidRPr="00AE19CA">
        <w:rPr>
          <w:rFonts w:ascii="Arial" w:hAnsi="Arial" w:cs="Arial"/>
          <w:sz w:val="22"/>
          <w:szCs w:val="22"/>
        </w:rPr>
        <w:t>. London: Institute of Health Equity.</w:t>
      </w:r>
    </w:p>
    <w:p w14:paraId="3F8EE20C"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Naidoo, J. and Wills, J. (2016) </w:t>
      </w:r>
      <w:r w:rsidRPr="00AE19CA">
        <w:rPr>
          <w:rStyle w:val="Emphasis"/>
          <w:rFonts w:ascii="Arial" w:eastAsiaTheme="majorEastAsia" w:hAnsi="Arial" w:cs="Arial"/>
          <w:sz w:val="22"/>
          <w:szCs w:val="22"/>
        </w:rPr>
        <w:t>Foundations for health promotion</w:t>
      </w:r>
      <w:r w:rsidRPr="00AE19CA">
        <w:rPr>
          <w:rFonts w:ascii="Arial" w:hAnsi="Arial" w:cs="Arial"/>
          <w:sz w:val="22"/>
          <w:szCs w:val="22"/>
        </w:rPr>
        <w:t xml:space="preserve">. 4th </w:t>
      </w:r>
      <w:proofErr w:type="spellStart"/>
      <w:r w:rsidRPr="00AE19CA">
        <w:rPr>
          <w:rFonts w:ascii="Arial" w:hAnsi="Arial" w:cs="Arial"/>
          <w:sz w:val="22"/>
          <w:szCs w:val="22"/>
        </w:rPr>
        <w:t>edn</w:t>
      </w:r>
      <w:proofErr w:type="spellEnd"/>
      <w:r w:rsidRPr="00AE19CA">
        <w:rPr>
          <w:rFonts w:ascii="Arial" w:hAnsi="Arial" w:cs="Arial"/>
          <w:sz w:val="22"/>
          <w:szCs w:val="22"/>
        </w:rPr>
        <w:t>. London: Elsevier.</w:t>
      </w:r>
    </w:p>
    <w:p w14:paraId="6782C4D8"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NHS England (2019) </w:t>
      </w:r>
      <w:r w:rsidRPr="00AE19CA">
        <w:rPr>
          <w:rStyle w:val="Emphasis"/>
          <w:rFonts w:ascii="Arial" w:eastAsiaTheme="majorEastAsia" w:hAnsi="Arial" w:cs="Arial"/>
          <w:sz w:val="22"/>
          <w:szCs w:val="22"/>
        </w:rPr>
        <w:t>The NHS long term plan</w:t>
      </w:r>
      <w:r w:rsidRPr="00AE19CA">
        <w:rPr>
          <w:rFonts w:ascii="Arial" w:hAnsi="Arial" w:cs="Arial"/>
          <w:sz w:val="22"/>
          <w:szCs w:val="22"/>
        </w:rPr>
        <w:t>. London: NHS.</w:t>
      </w:r>
    </w:p>
    <w:p w14:paraId="1EC66E2F"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NHS England (2022) </w:t>
      </w:r>
      <w:r w:rsidRPr="00AE19CA">
        <w:rPr>
          <w:rStyle w:val="Emphasis"/>
          <w:rFonts w:ascii="Arial" w:eastAsiaTheme="majorEastAsia" w:hAnsi="Arial" w:cs="Arial"/>
          <w:sz w:val="22"/>
          <w:szCs w:val="22"/>
        </w:rPr>
        <w:t>Integrated care systems: Design framework</w:t>
      </w:r>
      <w:r w:rsidRPr="00AE19CA">
        <w:rPr>
          <w:rFonts w:ascii="Arial" w:hAnsi="Arial" w:cs="Arial"/>
          <w:sz w:val="22"/>
          <w:szCs w:val="22"/>
        </w:rPr>
        <w:t>. London: NHS.</w:t>
      </w:r>
    </w:p>
    <w:p w14:paraId="3D7DC123"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Public Health England (2019) </w:t>
      </w:r>
      <w:r w:rsidRPr="00AE19CA">
        <w:rPr>
          <w:rStyle w:val="Emphasis"/>
          <w:rFonts w:ascii="Arial" w:eastAsiaTheme="majorEastAsia" w:hAnsi="Arial" w:cs="Arial"/>
          <w:sz w:val="22"/>
          <w:szCs w:val="22"/>
        </w:rPr>
        <w:t>Health matters: Air pollution</w:t>
      </w:r>
      <w:r w:rsidRPr="00AE19CA">
        <w:rPr>
          <w:rFonts w:ascii="Arial" w:hAnsi="Arial" w:cs="Arial"/>
          <w:sz w:val="22"/>
          <w:szCs w:val="22"/>
        </w:rPr>
        <w:t>. London: PHE.</w:t>
      </w:r>
    </w:p>
    <w:p w14:paraId="1C67412C"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Public Health England (2020) </w:t>
      </w:r>
      <w:r w:rsidRPr="00AE19CA">
        <w:rPr>
          <w:rStyle w:val="Emphasis"/>
          <w:rFonts w:ascii="Arial" w:eastAsiaTheme="majorEastAsia" w:hAnsi="Arial" w:cs="Arial"/>
          <w:sz w:val="22"/>
          <w:szCs w:val="22"/>
        </w:rPr>
        <w:t>Health profile for England</w:t>
      </w:r>
      <w:r w:rsidRPr="00AE19CA">
        <w:rPr>
          <w:rFonts w:ascii="Arial" w:hAnsi="Arial" w:cs="Arial"/>
          <w:sz w:val="22"/>
          <w:szCs w:val="22"/>
        </w:rPr>
        <w:t>. London: PHE.</w:t>
      </w:r>
    </w:p>
    <w:p w14:paraId="403BE636"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Rosenstock, I.M. (1974) ‘The health belief model and preventive health behaviour’, </w:t>
      </w:r>
      <w:r w:rsidRPr="00AE19CA">
        <w:rPr>
          <w:rStyle w:val="Emphasis"/>
          <w:rFonts w:ascii="Arial" w:eastAsiaTheme="majorEastAsia" w:hAnsi="Arial" w:cs="Arial"/>
          <w:sz w:val="22"/>
          <w:szCs w:val="22"/>
        </w:rPr>
        <w:t>Health Education Monographs</w:t>
      </w:r>
      <w:r w:rsidRPr="00AE19CA">
        <w:rPr>
          <w:rFonts w:ascii="Arial" w:hAnsi="Arial" w:cs="Arial"/>
          <w:sz w:val="22"/>
          <w:szCs w:val="22"/>
        </w:rPr>
        <w:t>, 2(4), pp. 354–386.</w:t>
      </w:r>
    </w:p>
    <w:p w14:paraId="23458FD3"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The King’s Fund (2022) </w:t>
      </w:r>
      <w:r w:rsidRPr="00AE19CA">
        <w:rPr>
          <w:rStyle w:val="Emphasis"/>
          <w:rFonts w:ascii="Arial" w:eastAsiaTheme="majorEastAsia" w:hAnsi="Arial" w:cs="Arial"/>
          <w:sz w:val="22"/>
          <w:szCs w:val="22"/>
        </w:rPr>
        <w:t>NHS workforce pressures</w:t>
      </w:r>
      <w:r w:rsidRPr="00AE19CA">
        <w:rPr>
          <w:rFonts w:ascii="Arial" w:hAnsi="Arial" w:cs="Arial"/>
          <w:sz w:val="22"/>
          <w:szCs w:val="22"/>
        </w:rPr>
        <w:t>. London: The King’s Fund.</w:t>
      </w:r>
    </w:p>
    <w:p w14:paraId="3EAB53F7"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lastRenderedPageBreak/>
        <w:t xml:space="preserve">The Lancet (2021) ‘COVID-19: exposing health inequalities’, </w:t>
      </w:r>
      <w:r w:rsidRPr="00AE19CA">
        <w:rPr>
          <w:rStyle w:val="Emphasis"/>
          <w:rFonts w:ascii="Arial" w:eastAsiaTheme="majorEastAsia" w:hAnsi="Arial" w:cs="Arial"/>
          <w:sz w:val="22"/>
          <w:szCs w:val="22"/>
        </w:rPr>
        <w:t>The Lancet</w:t>
      </w:r>
      <w:r w:rsidRPr="00AE19CA">
        <w:rPr>
          <w:rFonts w:ascii="Arial" w:hAnsi="Arial" w:cs="Arial"/>
          <w:sz w:val="22"/>
          <w:szCs w:val="22"/>
        </w:rPr>
        <w:t>, 397(10274), pp. 190–191.</w:t>
      </w:r>
    </w:p>
    <w:p w14:paraId="4DC0FB0E"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UK Health Security Agency (2023) </w:t>
      </w:r>
      <w:r w:rsidRPr="00AE19CA">
        <w:rPr>
          <w:rStyle w:val="Emphasis"/>
          <w:rFonts w:ascii="Arial" w:eastAsiaTheme="majorEastAsia" w:hAnsi="Arial" w:cs="Arial"/>
          <w:sz w:val="22"/>
          <w:szCs w:val="22"/>
        </w:rPr>
        <w:t>Health inequalities in health protection report</w:t>
      </w:r>
      <w:r w:rsidRPr="00AE19CA">
        <w:rPr>
          <w:rFonts w:ascii="Arial" w:hAnsi="Arial" w:cs="Arial"/>
          <w:sz w:val="22"/>
          <w:szCs w:val="22"/>
        </w:rPr>
        <w:t>. London: UKHSA.</w:t>
      </w:r>
    </w:p>
    <w:p w14:paraId="7F6C1722"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UK Health Security Agency (UKHSA) (2023) </w:t>
      </w:r>
      <w:r w:rsidRPr="00AE19CA">
        <w:rPr>
          <w:rStyle w:val="Emphasis"/>
          <w:rFonts w:ascii="Arial" w:eastAsiaTheme="majorEastAsia" w:hAnsi="Arial" w:cs="Arial"/>
          <w:sz w:val="22"/>
          <w:szCs w:val="22"/>
        </w:rPr>
        <w:t>Health inequalities in health protection report</w:t>
      </w:r>
      <w:r w:rsidRPr="00AE19CA">
        <w:rPr>
          <w:rFonts w:ascii="Arial" w:hAnsi="Arial" w:cs="Arial"/>
          <w:sz w:val="22"/>
          <w:szCs w:val="22"/>
        </w:rPr>
        <w:t>. London: UKHSA.</w:t>
      </w:r>
    </w:p>
    <w:p w14:paraId="70C06564"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UNFCCC (2015) </w:t>
      </w:r>
      <w:r w:rsidRPr="00AE19CA">
        <w:rPr>
          <w:rStyle w:val="Emphasis"/>
          <w:rFonts w:ascii="Arial" w:eastAsiaTheme="majorEastAsia" w:hAnsi="Arial" w:cs="Arial"/>
          <w:sz w:val="22"/>
          <w:szCs w:val="22"/>
        </w:rPr>
        <w:t>Paris agreement</w:t>
      </w:r>
      <w:r w:rsidRPr="00AE19CA">
        <w:rPr>
          <w:rFonts w:ascii="Arial" w:hAnsi="Arial" w:cs="Arial"/>
          <w:sz w:val="22"/>
          <w:szCs w:val="22"/>
        </w:rPr>
        <w:t>. Bonn: United Nations.</w:t>
      </w:r>
    </w:p>
    <w:p w14:paraId="1FFE98DA"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United Nations (2015) </w:t>
      </w:r>
      <w:r w:rsidRPr="00AE19CA">
        <w:rPr>
          <w:rStyle w:val="Emphasis"/>
          <w:rFonts w:ascii="Arial" w:eastAsiaTheme="majorEastAsia" w:hAnsi="Arial" w:cs="Arial"/>
          <w:sz w:val="22"/>
          <w:szCs w:val="22"/>
        </w:rPr>
        <w:t>Transforming our world: The 2030 agenda for sustainable development</w:t>
      </w:r>
      <w:r w:rsidRPr="00AE19CA">
        <w:rPr>
          <w:rFonts w:ascii="Arial" w:hAnsi="Arial" w:cs="Arial"/>
          <w:sz w:val="22"/>
          <w:szCs w:val="22"/>
        </w:rPr>
        <w:t>. New York: UN.</w:t>
      </w:r>
    </w:p>
    <w:p w14:paraId="34D0D12F" w14:textId="77777777"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Watts, N. et al. (2021) ‘The 2021 report of the Lancet Countdown on health and climate change’, </w:t>
      </w:r>
      <w:r w:rsidRPr="00AE19CA">
        <w:rPr>
          <w:rStyle w:val="Emphasis"/>
          <w:rFonts w:ascii="Arial" w:eastAsiaTheme="majorEastAsia" w:hAnsi="Arial" w:cs="Arial"/>
          <w:sz w:val="22"/>
          <w:szCs w:val="22"/>
        </w:rPr>
        <w:t>The Lancet</w:t>
      </w:r>
      <w:r w:rsidRPr="00AE19CA">
        <w:rPr>
          <w:rFonts w:ascii="Arial" w:hAnsi="Arial" w:cs="Arial"/>
          <w:sz w:val="22"/>
          <w:szCs w:val="22"/>
        </w:rPr>
        <w:t>, 398(10311), pp. 1619–1662.</w:t>
      </w:r>
    </w:p>
    <w:p w14:paraId="76633119" w14:textId="0102C0F8"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World Health </w:t>
      </w:r>
      <w:r>
        <w:rPr>
          <w:rFonts w:ascii="Arial" w:hAnsi="Arial" w:cs="Arial"/>
          <w:sz w:val="22"/>
          <w:szCs w:val="22"/>
        </w:rPr>
        <w:t>Organisation</w:t>
      </w:r>
      <w:r w:rsidRPr="00AE19CA">
        <w:rPr>
          <w:rFonts w:ascii="Arial" w:hAnsi="Arial" w:cs="Arial"/>
          <w:sz w:val="22"/>
          <w:szCs w:val="22"/>
        </w:rPr>
        <w:t xml:space="preserve"> (WHO) (2016) </w:t>
      </w:r>
      <w:r w:rsidRPr="00AE19CA">
        <w:rPr>
          <w:rStyle w:val="Emphasis"/>
          <w:rFonts w:ascii="Arial" w:eastAsiaTheme="majorEastAsia" w:hAnsi="Arial" w:cs="Arial"/>
          <w:sz w:val="22"/>
          <w:szCs w:val="22"/>
        </w:rPr>
        <w:t>Urban green spaces and health</w:t>
      </w:r>
      <w:r w:rsidRPr="00AE19CA">
        <w:rPr>
          <w:rFonts w:ascii="Arial" w:hAnsi="Arial" w:cs="Arial"/>
          <w:sz w:val="22"/>
          <w:szCs w:val="22"/>
        </w:rPr>
        <w:t>. Copenhagen: WHO.</w:t>
      </w:r>
    </w:p>
    <w:p w14:paraId="565F92CD" w14:textId="407609EA"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 xml:space="preserve">World Health </w:t>
      </w:r>
      <w:r>
        <w:rPr>
          <w:rFonts w:ascii="Arial" w:hAnsi="Arial" w:cs="Arial"/>
          <w:sz w:val="22"/>
          <w:szCs w:val="22"/>
        </w:rPr>
        <w:t>Organisation</w:t>
      </w:r>
      <w:r w:rsidRPr="00AE19CA">
        <w:rPr>
          <w:rFonts w:ascii="Arial" w:hAnsi="Arial" w:cs="Arial"/>
          <w:sz w:val="22"/>
          <w:szCs w:val="22"/>
        </w:rPr>
        <w:t xml:space="preserve"> (WHO) (2019) </w:t>
      </w:r>
      <w:r w:rsidRPr="00AE19CA">
        <w:rPr>
          <w:rStyle w:val="Emphasis"/>
          <w:rFonts w:ascii="Arial" w:eastAsiaTheme="majorEastAsia" w:hAnsi="Arial" w:cs="Arial"/>
          <w:sz w:val="22"/>
          <w:szCs w:val="22"/>
        </w:rPr>
        <w:t>Global action plan for the prevention of noncommunicable diseases</w:t>
      </w:r>
      <w:r w:rsidRPr="00AE19CA">
        <w:rPr>
          <w:rFonts w:ascii="Arial" w:hAnsi="Arial" w:cs="Arial"/>
          <w:sz w:val="22"/>
          <w:szCs w:val="22"/>
        </w:rPr>
        <w:t>. Geneva: WHO.</w:t>
      </w:r>
    </w:p>
    <w:p w14:paraId="2B8FB317" w14:textId="611076DC" w:rsidR="00AE19CA" w:rsidRPr="00AE19CA" w:rsidRDefault="00AE19CA" w:rsidP="00AE19CA">
      <w:pPr>
        <w:pStyle w:val="NormalWeb"/>
        <w:spacing w:line="360" w:lineRule="auto"/>
        <w:rPr>
          <w:rFonts w:ascii="Arial" w:hAnsi="Arial" w:cs="Arial"/>
          <w:sz w:val="22"/>
          <w:szCs w:val="22"/>
        </w:rPr>
      </w:pPr>
      <w:r w:rsidRPr="00AE19CA">
        <w:rPr>
          <w:rFonts w:ascii="Arial" w:hAnsi="Arial" w:cs="Arial"/>
          <w:sz w:val="22"/>
          <w:szCs w:val="22"/>
        </w:rPr>
        <w:t>World Health Organi</w:t>
      </w:r>
      <w:r>
        <w:rPr>
          <w:rFonts w:ascii="Arial" w:hAnsi="Arial" w:cs="Arial"/>
          <w:sz w:val="22"/>
          <w:szCs w:val="22"/>
        </w:rPr>
        <w:t>s</w:t>
      </w:r>
      <w:r w:rsidRPr="00AE19CA">
        <w:rPr>
          <w:rFonts w:ascii="Arial" w:hAnsi="Arial" w:cs="Arial"/>
          <w:sz w:val="22"/>
          <w:szCs w:val="22"/>
        </w:rPr>
        <w:t xml:space="preserve">ation (WHO) (2023) </w:t>
      </w:r>
      <w:r w:rsidRPr="00AE19CA">
        <w:rPr>
          <w:rStyle w:val="Emphasis"/>
          <w:rFonts w:ascii="Arial" w:eastAsiaTheme="majorEastAsia" w:hAnsi="Arial" w:cs="Arial"/>
          <w:sz w:val="22"/>
          <w:szCs w:val="22"/>
        </w:rPr>
        <w:t>World health statistics 2023</w:t>
      </w:r>
      <w:r w:rsidRPr="00AE19CA">
        <w:rPr>
          <w:rFonts w:ascii="Arial" w:hAnsi="Arial" w:cs="Arial"/>
          <w:sz w:val="22"/>
          <w:szCs w:val="22"/>
        </w:rPr>
        <w:t>. Geneva: WHO.</w:t>
      </w:r>
    </w:p>
    <w:p w14:paraId="1A4CB86D" w14:textId="77777777" w:rsidR="00675AC4" w:rsidRDefault="00675AC4"/>
    <w:sectPr w:rsidR="00675A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F58C0"/>
    <w:multiLevelType w:val="multilevel"/>
    <w:tmpl w:val="EDEE4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5856B3"/>
    <w:multiLevelType w:val="multilevel"/>
    <w:tmpl w:val="AFEE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C602BE"/>
    <w:multiLevelType w:val="multilevel"/>
    <w:tmpl w:val="AFC8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90656"/>
    <w:multiLevelType w:val="multilevel"/>
    <w:tmpl w:val="62B40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4D4DF6"/>
    <w:multiLevelType w:val="multilevel"/>
    <w:tmpl w:val="33F2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F77D72"/>
    <w:multiLevelType w:val="multilevel"/>
    <w:tmpl w:val="B588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949716">
    <w:abstractNumId w:val="5"/>
  </w:num>
  <w:num w:numId="2" w16cid:durableId="1046098214">
    <w:abstractNumId w:val="2"/>
  </w:num>
  <w:num w:numId="3" w16cid:durableId="1427844657">
    <w:abstractNumId w:val="1"/>
  </w:num>
  <w:num w:numId="4" w16cid:durableId="1360280990">
    <w:abstractNumId w:val="3"/>
  </w:num>
  <w:num w:numId="5" w16cid:durableId="2118718658">
    <w:abstractNumId w:val="4"/>
  </w:num>
  <w:num w:numId="6" w16cid:durableId="1632129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148"/>
    <w:rsid w:val="001F5AE8"/>
    <w:rsid w:val="00257F96"/>
    <w:rsid w:val="00505B9D"/>
    <w:rsid w:val="00675AC4"/>
    <w:rsid w:val="007634A2"/>
    <w:rsid w:val="00AE19CA"/>
    <w:rsid w:val="00B317E1"/>
    <w:rsid w:val="00D27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43EB9"/>
  <w15:chartTrackingRefBased/>
  <w15:docId w15:val="{2D1DB73F-C742-47C3-A0E5-B4B9BBDC6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148"/>
    <w:rPr>
      <w:rFonts w:eastAsiaTheme="majorEastAsia" w:cstheme="majorBidi"/>
      <w:color w:val="272727" w:themeColor="text1" w:themeTint="D8"/>
    </w:rPr>
  </w:style>
  <w:style w:type="paragraph" w:styleId="Title">
    <w:name w:val="Title"/>
    <w:basedOn w:val="Normal"/>
    <w:next w:val="Normal"/>
    <w:link w:val="TitleChar"/>
    <w:uiPriority w:val="10"/>
    <w:qFormat/>
    <w:rsid w:val="00D2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148"/>
    <w:pPr>
      <w:spacing w:before="160"/>
      <w:jc w:val="center"/>
    </w:pPr>
    <w:rPr>
      <w:i/>
      <w:iCs/>
      <w:color w:val="404040" w:themeColor="text1" w:themeTint="BF"/>
    </w:rPr>
  </w:style>
  <w:style w:type="character" w:customStyle="1" w:styleId="QuoteChar">
    <w:name w:val="Quote Char"/>
    <w:basedOn w:val="DefaultParagraphFont"/>
    <w:link w:val="Quote"/>
    <w:uiPriority w:val="29"/>
    <w:rsid w:val="00D27148"/>
    <w:rPr>
      <w:i/>
      <w:iCs/>
      <w:color w:val="404040" w:themeColor="text1" w:themeTint="BF"/>
    </w:rPr>
  </w:style>
  <w:style w:type="paragraph" w:styleId="ListParagraph">
    <w:name w:val="List Paragraph"/>
    <w:basedOn w:val="Normal"/>
    <w:uiPriority w:val="34"/>
    <w:qFormat/>
    <w:rsid w:val="00D27148"/>
    <w:pPr>
      <w:ind w:left="720"/>
      <w:contextualSpacing/>
    </w:pPr>
  </w:style>
  <w:style w:type="character" w:styleId="IntenseEmphasis">
    <w:name w:val="Intense Emphasis"/>
    <w:basedOn w:val="DefaultParagraphFont"/>
    <w:uiPriority w:val="21"/>
    <w:qFormat/>
    <w:rsid w:val="00D27148"/>
    <w:rPr>
      <w:i/>
      <w:iCs/>
      <w:color w:val="0F4761" w:themeColor="accent1" w:themeShade="BF"/>
    </w:rPr>
  </w:style>
  <w:style w:type="paragraph" w:styleId="IntenseQuote">
    <w:name w:val="Intense Quote"/>
    <w:basedOn w:val="Normal"/>
    <w:next w:val="Normal"/>
    <w:link w:val="IntenseQuoteChar"/>
    <w:uiPriority w:val="30"/>
    <w:qFormat/>
    <w:rsid w:val="00D27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148"/>
    <w:rPr>
      <w:i/>
      <w:iCs/>
      <w:color w:val="0F4761" w:themeColor="accent1" w:themeShade="BF"/>
    </w:rPr>
  </w:style>
  <w:style w:type="character" w:styleId="IntenseReference">
    <w:name w:val="Intense Reference"/>
    <w:basedOn w:val="DefaultParagraphFont"/>
    <w:uiPriority w:val="32"/>
    <w:qFormat/>
    <w:rsid w:val="00D27148"/>
    <w:rPr>
      <w:b/>
      <w:bCs/>
      <w:smallCaps/>
      <w:color w:val="0F4761" w:themeColor="accent1" w:themeShade="BF"/>
      <w:spacing w:val="5"/>
    </w:rPr>
  </w:style>
  <w:style w:type="paragraph" w:styleId="NormalWeb">
    <w:name w:val="Normal (Web)"/>
    <w:basedOn w:val="Normal"/>
    <w:uiPriority w:val="99"/>
    <w:semiHidden/>
    <w:unhideWhenUsed/>
    <w:rsid w:val="00D2714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271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2567</Words>
  <Characters>16226</Characters>
  <Application>Microsoft Office Word</Application>
  <DocSecurity>0</DocSecurity>
  <Lines>306</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Khan</dc:creator>
  <cp:keywords/>
  <dc:description/>
  <cp:lastModifiedBy>Misbah Khan</cp:lastModifiedBy>
  <cp:revision>4</cp:revision>
  <dcterms:created xsi:type="dcterms:W3CDTF">2026-03-19T13:17:00Z</dcterms:created>
  <dcterms:modified xsi:type="dcterms:W3CDTF">2026-03-19T14:03:00Z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0a9ef9cb-f4c0-40d7-8c50-4462c6bbfb44</vt:lpwstr>
  </property>
</Properties>
</file>