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0F6E" w:rsidRDefault="00610F6E" w:rsidP="00610F6E">
      <w:pPr>
        <w:rPr>
          <w:rFonts w:ascii="Times New Roman" w:hAnsi="Times New Roman" w:cs="Times New Roman"/>
          <w:b/>
          <w:bCs/>
        </w:rPr>
      </w:pPr>
    </w:p>
    <w:p w:rsidR="00610F6E" w:rsidRDefault="00610F6E" w:rsidP="00610F6E">
      <w:pPr>
        <w:rPr>
          <w:rFonts w:ascii="Times New Roman" w:hAnsi="Times New Roman" w:cs="Times New Roman"/>
          <w:b/>
          <w:bCs/>
        </w:rPr>
      </w:pPr>
      <w:r>
        <w:rPr>
          <w:noProof/>
          <w:sz w:val="36"/>
          <w:szCs w:val="36"/>
        </w:rPr>
        <w:drawing>
          <wp:inline distT="114300" distB="114300" distL="114300" distR="114300" wp14:anchorId="6E6817CE" wp14:editId="2A663CE3">
            <wp:extent cx="2371725" cy="847725"/>
            <wp:effectExtent l="0" t="0" r="0" b="0"/>
            <wp:docPr id="7"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1.png" descr="A close-up of black text&#10;&#10;AI-generated content may be incorrect."/>
                    <pic:cNvPicPr preferRelativeResize="0"/>
                  </pic:nvPicPr>
                  <pic:blipFill>
                    <a:blip r:embed="rId5"/>
                    <a:srcRect/>
                    <a:stretch>
                      <a:fillRect/>
                    </a:stretch>
                  </pic:blipFill>
                  <pic:spPr>
                    <a:xfrm>
                      <a:off x="0" y="0"/>
                      <a:ext cx="2371725" cy="847725"/>
                    </a:xfrm>
                    <a:prstGeom prst="rect">
                      <a:avLst/>
                    </a:prstGeom>
                    <a:ln/>
                  </pic:spPr>
                </pic:pic>
              </a:graphicData>
            </a:graphic>
          </wp:inline>
        </w:drawing>
      </w:r>
    </w:p>
    <w:p w:rsidR="00610F6E" w:rsidRDefault="00610F6E" w:rsidP="00610F6E">
      <w:pPr>
        <w:rPr>
          <w:rFonts w:ascii="Times New Roman" w:hAnsi="Times New Roman" w:cs="Times New Roman"/>
          <w:b/>
          <w:bCs/>
        </w:rPr>
      </w:pPr>
    </w:p>
    <w:p w:rsidR="00610F6E" w:rsidRDefault="00610F6E" w:rsidP="00610F6E">
      <w:pPr>
        <w:rPr>
          <w:rFonts w:ascii="Times New Roman" w:hAnsi="Times New Roman" w:cs="Times New Roman"/>
          <w:b/>
          <w:bCs/>
        </w:rPr>
      </w:pPr>
    </w:p>
    <w:p w:rsidR="00610F6E" w:rsidRDefault="00610F6E" w:rsidP="00610F6E">
      <w:pPr>
        <w:rPr>
          <w:rFonts w:ascii="Times New Roman" w:hAnsi="Times New Roman" w:cs="Times New Roman"/>
          <w:b/>
          <w:bCs/>
        </w:rPr>
      </w:pPr>
    </w:p>
    <w:p w:rsidR="00610F6E" w:rsidRPr="00610F6E" w:rsidRDefault="00610F6E" w:rsidP="00610F6E">
      <w:pPr>
        <w:spacing w:after="160" w:line="259" w:lineRule="auto"/>
        <w:rPr>
          <w:rStyle w:val="Strong"/>
          <w:rFonts w:asciiTheme="minorHAnsi" w:hAnsiTheme="minorHAnsi" w:cstheme="minorHAnsi"/>
          <w:color w:val="1D2125"/>
          <w:sz w:val="44"/>
          <w:szCs w:val="44"/>
          <w:shd w:val="clear" w:color="auto" w:fill="FFFFFF"/>
        </w:rPr>
      </w:pPr>
      <w:bookmarkStart w:id="0" w:name="_eul8t3hmcs1v" w:colFirst="0" w:colLast="0"/>
      <w:bookmarkStart w:id="1" w:name="_eedvbdgg3snh" w:colFirst="0" w:colLast="0"/>
      <w:bookmarkEnd w:id="0"/>
      <w:bookmarkEnd w:id="1"/>
      <w:r>
        <w:rPr>
          <w:rStyle w:val="Strong"/>
          <w:rFonts w:cstheme="minorHAnsi"/>
          <w:color w:val="1D2125"/>
          <w:sz w:val="40"/>
          <w:szCs w:val="40"/>
          <w:shd w:val="clear" w:color="auto" w:fill="FFFFFF"/>
        </w:rPr>
        <w:t xml:space="preserve">              </w:t>
      </w:r>
      <w:r w:rsidR="00F90542">
        <w:rPr>
          <w:rStyle w:val="Strong"/>
          <w:rFonts w:cstheme="minorHAnsi"/>
          <w:color w:val="1D2125"/>
          <w:sz w:val="40"/>
          <w:szCs w:val="40"/>
          <w:shd w:val="clear" w:color="auto" w:fill="FFFFFF"/>
        </w:rPr>
        <w:t xml:space="preserve"> </w:t>
      </w:r>
      <w:r w:rsidRPr="00610F6E">
        <w:rPr>
          <w:rStyle w:val="Strong"/>
          <w:rFonts w:asciiTheme="minorHAnsi" w:hAnsiTheme="minorHAnsi" w:cstheme="minorHAnsi"/>
          <w:color w:val="1D2125"/>
          <w:sz w:val="44"/>
          <w:szCs w:val="44"/>
          <w:shd w:val="clear" w:color="auto" w:fill="FFFFFF"/>
        </w:rPr>
        <w:t xml:space="preserve">Master of Business Administration </w:t>
      </w:r>
    </w:p>
    <w:p w:rsidR="00610F6E" w:rsidRPr="00610F6E" w:rsidRDefault="00F90542" w:rsidP="00610F6E">
      <w:pPr>
        <w:spacing w:after="160" w:line="259" w:lineRule="auto"/>
        <w:jc w:val="left"/>
        <w:rPr>
          <w:rFonts w:asciiTheme="minorHAnsi" w:hAnsiTheme="minorHAnsi" w:cstheme="minorHAnsi"/>
          <w:b/>
          <w:sz w:val="44"/>
          <w:szCs w:val="44"/>
        </w:rPr>
      </w:pPr>
      <w:r>
        <w:rPr>
          <w:rFonts w:asciiTheme="minorHAnsi" w:hAnsiTheme="minorHAnsi" w:cstheme="minorHAnsi"/>
          <w:b/>
          <w:sz w:val="44"/>
          <w:szCs w:val="44"/>
        </w:rPr>
        <w:t xml:space="preserve">              </w:t>
      </w:r>
      <w:r w:rsidR="00610F6E" w:rsidRPr="00610F6E">
        <w:rPr>
          <w:rFonts w:asciiTheme="minorHAnsi" w:hAnsiTheme="minorHAnsi" w:cstheme="minorHAnsi"/>
          <w:b/>
          <w:sz w:val="44"/>
          <w:szCs w:val="44"/>
        </w:rPr>
        <w:t>Module Title: Strategic Management</w:t>
      </w:r>
    </w:p>
    <w:p w:rsidR="00610F6E" w:rsidRPr="00610F6E" w:rsidRDefault="00610F6E" w:rsidP="00610F6E">
      <w:pPr>
        <w:spacing w:after="160" w:line="259" w:lineRule="auto"/>
        <w:jc w:val="center"/>
        <w:rPr>
          <w:rFonts w:asciiTheme="minorHAnsi" w:hAnsiTheme="minorHAnsi" w:cstheme="minorHAnsi"/>
          <w:b/>
          <w:sz w:val="44"/>
          <w:szCs w:val="44"/>
        </w:rPr>
      </w:pPr>
      <w:r w:rsidRPr="00610F6E">
        <w:rPr>
          <w:rFonts w:asciiTheme="minorHAnsi" w:hAnsiTheme="minorHAnsi" w:cstheme="minorHAnsi"/>
          <w:b/>
          <w:sz w:val="44"/>
          <w:szCs w:val="44"/>
        </w:rPr>
        <w:t>Module code: LCMB7003</w:t>
      </w:r>
    </w:p>
    <w:p w:rsidR="00610F6E" w:rsidRPr="00610F6E" w:rsidRDefault="00610F6E" w:rsidP="00610F6E">
      <w:pPr>
        <w:pStyle w:val="Standard"/>
        <w:jc w:val="center"/>
        <w:rPr>
          <w:rFonts w:asciiTheme="minorHAnsi" w:hAnsiTheme="minorHAnsi" w:cstheme="minorHAnsi"/>
          <w:sz w:val="44"/>
          <w:szCs w:val="44"/>
        </w:rPr>
      </w:pPr>
      <w:r w:rsidRPr="00610F6E">
        <w:rPr>
          <w:rFonts w:asciiTheme="minorHAnsi" w:hAnsiTheme="minorHAnsi" w:cstheme="minorHAnsi"/>
          <w:b/>
          <w:bCs/>
          <w:sz w:val="44"/>
          <w:szCs w:val="44"/>
        </w:rPr>
        <w:t xml:space="preserve">Assignment Title: INTERNATIONAL BUSINESS CONSULTANCY REPORT: </w:t>
      </w:r>
      <w:r w:rsidRPr="00610F6E">
        <w:rPr>
          <w:rFonts w:asciiTheme="minorHAnsi" w:hAnsiTheme="minorHAnsi" w:cstheme="minorHAnsi"/>
          <w:b/>
          <w:sz w:val="44"/>
          <w:szCs w:val="44"/>
        </w:rPr>
        <w:t>INDIVIDUAL REPORT TESCO</w:t>
      </w:r>
    </w:p>
    <w:p w:rsidR="00610F6E" w:rsidRPr="00610F6E" w:rsidRDefault="00610F6E" w:rsidP="00610F6E">
      <w:pPr>
        <w:pStyle w:val="Standard"/>
        <w:jc w:val="center"/>
        <w:rPr>
          <w:rFonts w:asciiTheme="minorHAnsi" w:hAnsiTheme="minorHAnsi" w:cstheme="minorHAnsi"/>
          <w:sz w:val="44"/>
          <w:szCs w:val="44"/>
        </w:rPr>
      </w:pPr>
      <w:r w:rsidRPr="00610F6E">
        <w:rPr>
          <w:rFonts w:asciiTheme="minorHAnsi" w:hAnsiTheme="minorHAnsi" w:cstheme="minorHAnsi"/>
          <w:b/>
          <w:sz w:val="44"/>
          <w:szCs w:val="44"/>
        </w:rPr>
        <w:t>INTERNATIONAL MARKET FOR EXPANSION: SOUTH AFRICA</w:t>
      </w:r>
    </w:p>
    <w:p w:rsidR="00610F6E" w:rsidRPr="00610F6E" w:rsidRDefault="00610F6E" w:rsidP="00610F6E">
      <w:pPr>
        <w:spacing w:after="160" w:line="259" w:lineRule="auto"/>
        <w:jc w:val="center"/>
        <w:rPr>
          <w:rFonts w:asciiTheme="minorHAnsi" w:hAnsiTheme="minorHAnsi" w:cstheme="minorHAnsi"/>
          <w:b/>
          <w:sz w:val="44"/>
          <w:szCs w:val="44"/>
        </w:rPr>
      </w:pPr>
      <w:r w:rsidRPr="00610F6E">
        <w:rPr>
          <w:rFonts w:asciiTheme="minorHAnsi" w:hAnsiTheme="minorHAnsi" w:cstheme="minorHAnsi"/>
          <w:b/>
          <w:sz w:val="44"/>
          <w:szCs w:val="44"/>
        </w:rPr>
        <w:t xml:space="preserve">Lecturer`s Name: </w:t>
      </w:r>
      <w:r w:rsidRPr="00610F6E">
        <w:rPr>
          <w:rFonts w:asciiTheme="minorHAnsi" w:hAnsiTheme="minorHAnsi" w:cstheme="minorHAnsi"/>
          <w:b/>
          <w:sz w:val="44"/>
          <w:szCs w:val="44"/>
          <w:lang w:eastAsia="zh-TW"/>
        </w:rPr>
        <w:t>SIMON CHATTERTON</w:t>
      </w:r>
    </w:p>
    <w:p w:rsidR="00610F6E" w:rsidRPr="00610F6E" w:rsidRDefault="00610F6E" w:rsidP="00610F6E">
      <w:pPr>
        <w:spacing w:after="160" w:line="259" w:lineRule="auto"/>
        <w:jc w:val="center"/>
        <w:rPr>
          <w:rFonts w:asciiTheme="minorHAnsi" w:hAnsiTheme="minorHAnsi" w:cstheme="minorHAnsi"/>
          <w:b/>
          <w:sz w:val="44"/>
          <w:szCs w:val="44"/>
        </w:rPr>
      </w:pPr>
      <w:r w:rsidRPr="00610F6E">
        <w:rPr>
          <w:rFonts w:asciiTheme="minorHAnsi" w:hAnsiTheme="minorHAnsi" w:cstheme="minorHAnsi"/>
          <w:b/>
          <w:sz w:val="44"/>
          <w:szCs w:val="44"/>
        </w:rPr>
        <w:t xml:space="preserve">Student Name: Elvis </w:t>
      </w:r>
      <w:proofErr w:type="spellStart"/>
      <w:r w:rsidRPr="00610F6E">
        <w:rPr>
          <w:rFonts w:asciiTheme="minorHAnsi" w:hAnsiTheme="minorHAnsi" w:cstheme="minorHAnsi"/>
          <w:b/>
          <w:sz w:val="44"/>
          <w:szCs w:val="44"/>
        </w:rPr>
        <w:t>Liviu</w:t>
      </w:r>
      <w:proofErr w:type="spellEnd"/>
      <w:r w:rsidRPr="00610F6E">
        <w:rPr>
          <w:rFonts w:asciiTheme="minorHAnsi" w:hAnsiTheme="minorHAnsi" w:cstheme="minorHAnsi"/>
          <w:b/>
          <w:sz w:val="44"/>
          <w:szCs w:val="44"/>
        </w:rPr>
        <w:t xml:space="preserve"> </w:t>
      </w:r>
      <w:proofErr w:type="spellStart"/>
      <w:r w:rsidRPr="00610F6E">
        <w:rPr>
          <w:rFonts w:asciiTheme="minorHAnsi" w:hAnsiTheme="minorHAnsi" w:cstheme="minorHAnsi"/>
          <w:b/>
          <w:sz w:val="44"/>
          <w:szCs w:val="44"/>
        </w:rPr>
        <w:t>Nassiri</w:t>
      </w:r>
      <w:proofErr w:type="spellEnd"/>
      <w:r w:rsidRPr="00610F6E">
        <w:rPr>
          <w:rFonts w:asciiTheme="minorHAnsi" w:hAnsiTheme="minorHAnsi" w:cstheme="minorHAnsi"/>
          <w:b/>
          <w:sz w:val="44"/>
          <w:szCs w:val="44"/>
        </w:rPr>
        <w:t xml:space="preserve"> Basti</w:t>
      </w:r>
    </w:p>
    <w:p w:rsidR="00610F6E" w:rsidRPr="00610F6E" w:rsidRDefault="00610F6E" w:rsidP="00610F6E">
      <w:pPr>
        <w:spacing w:after="160" w:line="259" w:lineRule="auto"/>
        <w:jc w:val="center"/>
        <w:rPr>
          <w:rFonts w:asciiTheme="minorHAnsi" w:hAnsiTheme="minorHAnsi" w:cstheme="minorHAnsi"/>
          <w:color w:val="000000" w:themeColor="text1"/>
          <w:sz w:val="44"/>
          <w:szCs w:val="44"/>
        </w:rPr>
      </w:pPr>
      <w:r w:rsidRPr="00610F6E">
        <w:rPr>
          <w:rFonts w:asciiTheme="minorHAnsi" w:hAnsiTheme="minorHAnsi" w:cstheme="minorHAnsi"/>
          <w:b/>
          <w:sz w:val="44"/>
          <w:szCs w:val="44"/>
        </w:rPr>
        <w:t>Student ID:2112789</w:t>
      </w:r>
    </w:p>
    <w:p w:rsidR="00610F6E" w:rsidRPr="00610F6E" w:rsidRDefault="00610F6E" w:rsidP="00610F6E">
      <w:pPr>
        <w:pStyle w:val="Standard"/>
        <w:rPr>
          <w:rFonts w:asciiTheme="minorHAnsi" w:hAnsiTheme="minorHAnsi" w:cstheme="minorHAnsi"/>
          <w:sz w:val="44"/>
          <w:szCs w:val="44"/>
        </w:rPr>
      </w:pPr>
      <w:r w:rsidRPr="00610F6E">
        <w:rPr>
          <w:rFonts w:asciiTheme="minorHAnsi" w:hAnsiTheme="minorHAnsi" w:cstheme="minorHAnsi"/>
          <w:b/>
          <w:sz w:val="44"/>
          <w:szCs w:val="44"/>
        </w:rPr>
        <w:t xml:space="preserve">                         </w:t>
      </w:r>
      <w:r w:rsidR="00F90542">
        <w:rPr>
          <w:rFonts w:asciiTheme="minorHAnsi" w:hAnsiTheme="minorHAnsi" w:cstheme="minorHAnsi"/>
          <w:b/>
          <w:sz w:val="44"/>
          <w:szCs w:val="44"/>
        </w:rPr>
        <w:t xml:space="preserve"> </w:t>
      </w:r>
      <w:r w:rsidRPr="00610F6E">
        <w:rPr>
          <w:rFonts w:asciiTheme="minorHAnsi" w:hAnsiTheme="minorHAnsi" w:cstheme="minorHAnsi"/>
          <w:b/>
          <w:sz w:val="44"/>
          <w:szCs w:val="44"/>
        </w:rPr>
        <w:t xml:space="preserve">  WORD COUNT: 5085</w:t>
      </w:r>
    </w:p>
    <w:p w:rsidR="00610F6E" w:rsidRDefault="00610F6E" w:rsidP="00610F6E">
      <w:pPr>
        <w:pStyle w:val="Standard"/>
      </w:pPr>
      <w:bookmarkStart w:id="2" w:name="Bookmark"/>
      <w:bookmarkEnd w:id="2"/>
    </w:p>
    <w:p w:rsidR="00610F6E" w:rsidRDefault="00610F6E" w:rsidP="00610F6E">
      <w:pPr>
        <w:pStyle w:val="ContentsHeading"/>
        <w:pageBreakBefore/>
        <w:spacing w:before="0" w:line="360" w:lineRule="auto"/>
        <w:jc w:val="center"/>
        <w:outlineLvl w:val="9"/>
      </w:pPr>
      <w:r>
        <w:rPr>
          <w:rFonts w:ascii="Arial" w:hAnsi="Arial" w:cs="Arial"/>
          <w:b/>
          <w:color w:val="00000A"/>
          <w:sz w:val="28"/>
          <w:szCs w:val="28"/>
          <w:lang w:val="en-GB"/>
        </w:rPr>
        <w:lastRenderedPageBreak/>
        <w:t>Table of Contents</w:t>
      </w:r>
    </w:p>
    <w:p w:rsidR="00610F6E" w:rsidRDefault="00610F6E" w:rsidP="00610F6E">
      <w:pPr>
        <w:pStyle w:val="Contents1"/>
        <w:tabs>
          <w:tab w:val="clear" w:pos="9638"/>
          <w:tab w:val="right" w:leader="dot" w:pos="9026"/>
        </w:tabs>
      </w:pPr>
      <w:r>
        <w:rPr>
          <w:rFonts w:ascii="Calibri" w:hAnsi="Calibri" w:cs="F"/>
          <w:bCs/>
          <w:color w:val="365F91"/>
          <w:sz w:val="32"/>
          <w:szCs w:val="32"/>
          <w:lang w:val="en-US" w:eastAsia="en-US"/>
        </w:rPr>
        <w:fldChar w:fldCharType="begin"/>
      </w:r>
      <w:r>
        <w:instrText xml:space="preserve"> TOC \o "1-3" \u \h </w:instrText>
      </w:r>
      <w:r>
        <w:rPr>
          <w:rFonts w:ascii="Calibri" w:hAnsi="Calibri" w:cs="F"/>
          <w:bCs/>
          <w:color w:val="365F91"/>
          <w:sz w:val="32"/>
          <w:szCs w:val="32"/>
          <w:lang w:val="en-US" w:eastAsia="en-US"/>
        </w:rPr>
        <w:fldChar w:fldCharType="separate"/>
      </w:r>
      <w:hyperlink r:id="rId6" w:history="1">
        <w:r>
          <w:t xml:space="preserve">1.Introduction </w:t>
        </w:r>
        <w:r>
          <w:tab/>
          <w:t>3</w:t>
        </w:r>
      </w:hyperlink>
    </w:p>
    <w:p w:rsidR="00610F6E" w:rsidRDefault="00610F6E" w:rsidP="00610F6E">
      <w:pPr>
        <w:pStyle w:val="Contents1"/>
        <w:tabs>
          <w:tab w:val="clear" w:pos="9638"/>
          <w:tab w:val="right" w:leader="dot" w:pos="9026"/>
        </w:tabs>
      </w:pPr>
      <w:hyperlink r:id="rId7" w:history="1">
        <w:r>
          <w:t xml:space="preserve">2. Selection of Organisation and Target Market </w:t>
        </w:r>
        <w:r>
          <w:tab/>
          <w:t>3</w:t>
        </w:r>
      </w:hyperlink>
    </w:p>
    <w:p w:rsidR="00610F6E" w:rsidRDefault="00610F6E" w:rsidP="00610F6E">
      <w:pPr>
        <w:pStyle w:val="Contents2"/>
        <w:tabs>
          <w:tab w:val="clear" w:pos="9595"/>
          <w:tab w:val="right" w:leader="dot" w:pos="9266"/>
        </w:tabs>
      </w:pPr>
      <w:hyperlink r:id="rId8" w:history="1">
        <w:r>
          <w:t>2.1 Organisation: Tesco plc</w:t>
        </w:r>
        <w:r>
          <w:tab/>
          <w:t>3</w:t>
        </w:r>
      </w:hyperlink>
    </w:p>
    <w:p w:rsidR="00610F6E" w:rsidRDefault="00610F6E" w:rsidP="00610F6E">
      <w:pPr>
        <w:pStyle w:val="Contents2"/>
        <w:tabs>
          <w:tab w:val="clear" w:pos="9595"/>
          <w:tab w:val="right" w:leader="dot" w:pos="9266"/>
        </w:tabs>
      </w:pPr>
      <w:hyperlink r:id="rId9" w:history="1">
        <w:r>
          <w:t xml:space="preserve">2.2 Target market: South Africa </w:t>
        </w:r>
        <w:r>
          <w:tab/>
          <w:t>3</w:t>
        </w:r>
      </w:hyperlink>
    </w:p>
    <w:p w:rsidR="00610F6E" w:rsidRDefault="00610F6E" w:rsidP="00610F6E">
      <w:pPr>
        <w:pStyle w:val="Contents2"/>
        <w:tabs>
          <w:tab w:val="clear" w:pos="9595"/>
          <w:tab w:val="right" w:leader="dot" w:pos="9266"/>
        </w:tabs>
      </w:pPr>
      <w:hyperlink r:id="rId10" w:history="1">
        <w:r>
          <w:t xml:space="preserve">2.3 Justification for the chosen market  </w:t>
        </w:r>
        <w:r>
          <w:tab/>
          <w:t>4</w:t>
        </w:r>
      </w:hyperlink>
    </w:p>
    <w:p w:rsidR="00610F6E" w:rsidRDefault="00610F6E" w:rsidP="00610F6E">
      <w:pPr>
        <w:pStyle w:val="Contents1"/>
        <w:tabs>
          <w:tab w:val="clear" w:pos="9638"/>
          <w:tab w:val="right" w:leader="dot" w:pos="9026"/>
        </w:tabs>
      </w:pPr>
      <w:hyperlink r:id="rId11" w:history="1">
        <w:r>
          <w:t>3. Comprehensive Strategic Analysis</w:t>
        </w:r>
        <w:r>
          <w:tab/>
          <w:t>5</w:t>
        </w:r>
      </w:hyperlink>
    </w:p>
    <w:p w:rsidR="00610F6E" w:rsidRDefault="00610F6E" w:rsidP="00610F6E">
      <w:pPr>
        <w:pStyle w:val="Contents2"/>
        <w:tabs>
          <w:tab w:val="clear" w:pos="9595"/>
          <w:tab w:val="right" w:leader="dot" w:pos="9266"/>
        </w:tabs>
      </w:pPr>
      <w:hyperlink r:id="rId12" w:history="1">
        <w:r>
          <w:t>2.1 Macro-environmental Factors</w:t>
        </w:r>
        <w:r>
          <w:tab/>
          <w:t>5</w:t>
        </w:r>
      </w:hyperlink>
    </w:p>
    <w:p w:rsidR="00610F6E" w:rsidRDefault="00610F6E" w:rsidP="00610F6E">
      <w:pPr>
        <w:pStyle w:val="Contents2"/>
        <w:tabs>
          <w:tab w:val="clear" w:pos="9595"/>
          <w:tab w:val="right" w:leader="dot" w:pos="9266"/>
        </w:tabs>
      </w:pPr>
      <w:hyperlink r:id="rId13" w:history="1">
        <w:r>
          <w:t>2.2 Competitive Landscape</w:t>
        </w:r>
        <w:r>
          <w:tab/>
          <w:t>7</w:t>
        </w:r>
      </w:hyperlink>
    </w:p>
    <w:p w:rsidR="00610F6E" w:rsidRDefault="00610F6E" w:rsidP="00610F6E">
      <w:pPr>
        <w:pStyle w:val="Contents2"/>
        <w:tabs>
          <w:tab w:val="clear" w:pos="9595"/>
          <w:tab w:val="right" w:leader="dot" w:pos="9266"/>
        </w:tabs>
      </w:pPr>
      <w:hyperlink r:id="rId14" w:history="1">
        <w:r>
          <w:t xml:space="preserve">2.3 Integration &amp; Strategic Implication </w:t>
        </w:r>
        <w:r>
          <w:tab/>
          <w:t>8</w:t>
        </w:r>
      </w:hyperlink>
    </w:p>
    <w:p w:rsidR="00610F6E" w:rsidRDefault="00610F6E" w:rsidP="00610F6E">
      <w:pPr>
        <w:pStyle w:val="Contents1"/>
        <w:tabs>
          <w:tab w:val="clear" w:pos="9638"/>
          <w:tab w:val="right" w:leader="dot" w:pos="9026"/>
        </w:tabs>
      </w:pPr>
      <w:hyperlink r:id="rId15" w:history="1">
        <w:r>
          <w:t>3. Strategy Development and Formulation</w:t>
        </w:r>
        <w:r>
          <w:tab/>
          <w:t>9</w:t>
        </w:r>
      </w:hyperlink>
    </w:p>
    <w:p w:rsidR="00610F6E" w:rsidRDefault="00610F6E" w:rsidP="00610F6E">
      <w:pPr>
        <w:pStyle w:val="Contents2"/>
        <w:tabs>
          <w:tab w:val="clear" w:pos="9595"/>
          <w:tab w:val="right" w:leader="dot" w:pos="9266"/>
        </w:tabs>
      </w:pPr>
      <w:hyperlink r:id="rId16" w:history="1">
        <w:r>
          <w:t xml:space="preserve">3.1 Porter’s Generic Strategies  </w:t>
        </w:r>
        <w:r>
          <w:tab/>
          <w:t>9</w:t>
        </w:r>
      </w:hyperlink>
    </w:p>
    <w:p w:rsidR="00610F6E" w:rsidRDefault="00610F6E" w:rsidP="00610F6E">
      <w:pPr>
        <w:pStyle w:val="Contents2"/>
        <w:tabs>
          <w:tab w:val="clear" w:pos="9595"/>
          <w:tab w:val="right" w:leader="dot" w:pos="9266"/>
        </w:tabs>
      </w:pPr>
      <w:hyperlink r:id="rId17" w:history="1">
        <w:r>
          <w:t>3.2 Market Entry Strategies</w:t>
        </w:r>
        <w:r>
          <w:tab/>
          <w:t>10</w:t>
        </w:r>
      </w:hyperlink>
    </w:p>
    <w:p w:rsidR="00610F6E" w:rsidRDefault="00610F6E" w:rsidP="00610F6E">
      <w:pPr>
        <w:pStyle w:val="Contents2"/>
        <w:tabs>
          <w:tab w:val="clear" w:pos="9595"/>
          <w:tab w:val="right" w:leader="dot" w:pos="9266"/>
        </w:tabs>
      </w:pPr>
      <w:hyperlink r:id="rId18" w:history="1">
        <w:r>
          <w:t>3.3 Integration with the Resource-Based View (RBV)</w:t>
        </w:r>
        <w:r>
          <w:tab/>
          <w:t>11</w:t>
        </w:r>
      </w:hyperlink>
    </w:p>
    <w:p w:rsidR="00610F6E" w:rsidRDefault="00610F6E" w:rsidP="00610F6E">
      <w:pPr>
        <w:pStyle w:val="Contents1"/>
        <w:tabs>
          <w:tab w:val="clear" w:pos="9638"/>
          <w:tab w:val="right" w:leader="dot" w:pos="9026"/>
        </w:tabs>
      </w:pPr>
      <w:hyperlink r:id="rId19" w:history="1">
        <w:r>
          <w:t xml:space="preserve">4. Performance Evaluation Framework                    </w:t>
        </w:r>
        <w:r>
          <w:tab/>
          <w:t>13</w:t>
        </w:r>
      </w:hyperlink>
    </w:p>
    <w:p w:rsidR="00610F6E" w:rsidRDefault="00610F6E" w:rsidP="00610F6E">
      <w:pPr>
        <w:pStyle w:val="Contents2"/>
        <w:tabs>
          <w:tab w:val="clear" w:pos="9595"/>
          <w:tab w:val="right" w:leader="dot" w:pos="9266"/>
        </w:tabs>
      </w:pPr>
      <w:hyperlink r:id="rId20" w:history="1">
        <w:r>
          <w:t>4.1 Financial Perspective</w:t>
        </w:r>
        <w:r>
          <w:tab/>
          <w:t>14</w:t>
        </w:r>
      </w:hyperlink>
    </w:p>
    <w:p w:rsidR="00610F6E" w:rsidRDefault="00610F6E" w:rsidP="00610F6E">
      <w:pPr>
        <w:pStyle w:val="Contents2"/>
        <w:tabs>
          <w:tab w:val="clear" w:pos="9595"/>
          <w:tab w:val="right" w:leader="dot" w:pos="9266"/>
        </w:tabs>
      </w:pPr>
      <w:hyperlink r:id="rId21" w:history="1">
        <w:r>
          <w:t>4.2 Customer Perspective</w:t>
        </w:r>
        <w:r>
          <w:tab/>
          <w:t>15</w:t>
        </w:r>
      </w:hyperlink>
    </w:p>
    <w:p w:rsidR="00610F6E" w:rsidRDefault="00610F6E" w:rsidP="00610F6E">
      <w:pPr>
        <w:pStyle w:val="Contents2"/>
        <w:tabs>
          <w:tab w:val="clear" w:pos="9595"/>
          <w:tab w:val="right" w:leader="dot" w:pos="9266"/>
        </w:tabs>
      </w:pPr>
      <w:hyperlink r:id="rId22" w:history="1">
        <w:r>
          <w:t>4.3 Internal Processes Perspective</w:t>
        </w:r>
        <w:r>
          <w:tab/>
          <w:t>15</w:t>
        </w:r>
      </w:hyperlink>
    </w:p>
    <w:p w:rsidR="00610F6E" w:rsidRDefault="00610F6E" w:rsidP="00610F6E">
      <w:pPr>
        <w:pStyle w:val="Contents2"/>
        <w:tabs>
          <w:tab w:val="clear" w:pos="9595"/>
          <w:tab w:val="right" w:leader="dot" w:pos="9266"/>
        </w:tabs>
      </w:pPr>
      <w:hyperlink r:id="rId23" w:history="1">
        <w:r>
          <w:t>4.4 Learning and Growth Perspective</w:t>
        </w:r>
        <w:r>
          <w:tab/>
          <w:t>16</w:t>
        </w:r>
      </w:hyperlink>
    </w:p>
    <w:p w:rsidR="00610F6E" w:rsidRDefault="00610F6E" w:rsidP="00610F6E">
      <w:pPr>
        <w:pStyle w:val="Contents1"/>
        <w:tabs>
          <w:tab w:val="clear" w:pos="9638"/>
          <w:tab w:val="right" w:leader="dot" w:pos="9026"/>
        </w:tabs>
      </w:pPr>
      <w:hyperlink r:id="rId24" w:history="1">
        <w:r>
          <w:t xml:space="preserve">5. Conclusion </w:t>
        </w:r>
        <w:r>
          <w:tab/>
          <w:t>17</w:t>
        </w:r>
      </w:hyperlink>
    </w:p>
    <w:p w:rsidR="00610F6E" w:rsidRDefault="00610F6E" w:rsidP="00610F6E">
      <w:pPr>
        <w:pStyle w:val="Contents1"/>
        <w:tabs>
          <w:tab w:val="clear" w:pos="9638"/>
          <w:tab w:val="right" w:leader="dot" w:pos="9026"/>
        </w:tabs>
      </w:pPr>
      <w:hyperlink r:id="rId25" w:history="1">
        <w:r>
          <w:t>Reference list</w:t>
        </w:r>
        <w:r>
          <w:tab/>
          <w:t>19</w:t>
        </w:r>
      </w:hyperlink>
    </w:p>
    <w:p w:rsidR="00610F6E" w:rsidRDefault="00610F6E" w:rsidP="00610F6E">
      <w:pPr>
        <w:pStyle w:val="Standard"/>
      </w:pPr>
      <w:r>
        <w:fldChar w:fldCharType="end"/>
      </w:r>
      <w:hyperlink r:id="rId26" w:history="1"/>
    </w:p>
    <w:p w:rsidR="00610F6E" w:rsidRDefault="00610F6E" w:rsidP="00610F6E">
      <w:pPr>
        <w:pStyle w:val="Standard"/>
        <w:rPr>
          <w:b/>
          <w:sz w:val="28"/>
          <w:szCs w:val="28"/>
        </w:rPr>
      </w:pPr>
    </w:p>
    <w:p w:rsidR="00610F6E" w:rsidRDefault="00610F6E" w:rsidP="00610F6E">
      <w:pPr>
        <w:pStyle w:val="Heading1"/>
        <w:pageBreakBefore/>
        <w:numPr>
          <w:ilvl w:val="0"/>
          <w:numId w:val="5"/>
        </w:numPr>
        <w:spacing w:after="0"/>
      </w:pPr>
      <w:bookmarkStart w:id="3" w:name="Bookmark1"/>
      <w:bookmarkStart w:id="4" w:name="__RefHeading__1176_1551139750"/>
      <w:r>
        <w:lastRenderedPageBreak/>
        <w:t>Introduction</w:t>
      </w:r>
      <w:bookmarkEnd w:id="3"/>
      <w:bookmarkEnd w:id="4"/>
    </w:p>
    <w:p w:rsidR="00610F6E" w:rsidRDefault="00610F6E" w:rsidP="00610F6E">
      <w:pPr>
        <w:pStyle w:val="Standard"/>
      </w:pPr>
      <w:r>
        <w:rPr>
          <w:shd w:val="clear" w:color="auto" w:fill="FFFFFF"/>
        </w:rPr>
        <w:t>Globalisation has also forced organisations to continuously pursue opportunities for growth beyond national borders, which makes international expansion a significant strategic concern. Special attention is given to the pressure that retailers are under to diversify geographically, enhance their supply chain resilience, and acquire new consumer markets. This is the case of Tesco plc, a leading global retailer of general merchandise and groceries, which is the subject of this assignment and an appraisal of South Africa as the intended new foreign market to expand into. The decision is based on the fit between the competences that Tesco has already acquired in the value retailing, private-label development, and omnichannel delivery and the dynamic and urbanised consumer base of South Africa, with the increasing digital adoption. The analysis is organised into four steps, which include the selection of organisation and market, a detailed strategic analysis of the external environment, and creating and establishing an entry strategy.</w:t>
      </w:r>
    </w:p>
    <w:p w:rsidR="00610F6E" w:rsidRDefault="00610F6E" w:rsidP="00610F6E">
      <w:pPr>
        <w:pStyle w:val="Heading1"/>
        <w:spacing w:after="0"/>
      </w:pPr>
      <w:bookmarkStart w:id="5" w:name="Bookmark2"/>
      <w:bookmarkStart w:id="6" w:name="_12vjexw781ql"/>
      <w:bookmarkStart w:id="7" w:name="__RefHeading__1178_1551139750"/>
      <w:bookmarkEnd w:id="5"/>
      <w:r>
        <w:t>2. Selection of Organisation and Target Market</w:t>
      </w:r>
      <w:bookmarkEnd w:id="6"/>
      <w:bookmarkEnd w:id="7"/>
    </w:p>
    <w:p w:rsidR="00610F6E" w:rsidRDefault="00610F6E" w:rsidP="00610F6E">
      <w:pPr>
        <w:pStyle w:val="Heading2"/>
        <w:spacing w:before="0" w:after="0"/>
      </w:pPr>
      <w:bookmarkStart w:id="8" w:name="__RefHeading__1180_1551139750"/>
      <w:bookmarkStart w:id="9" w:name="Bookmark3"/>
      <w:r>
        <w:t>2.1 Organisation: Tesco plc</w:t>
      </w:r>
      <w:bookmarkEnd w:id="8"/>
      <w:bookmarkEnd w:id="9"/>
    </w:p>
    <w:p w:rsidR="00610F6E" w:rsidRDefault="00610F6E" w:rsidP="00610F6E">
      <w:pPr>
        <w:pStyle w:val="Standard"/>
      </w:pPr>
      <w:r>
        <w:t>Tesco plc is the entrant since the company's core competencies include scale buying power, established development of private-labels, a developed loyalty/CRM (Clubcard) and enhanced omnichannel fulfilment, which are directly relevant to the gaps and opportunities in the developing South African grocery market. Tesco's 2024 strategic reporting focuses on customer-centric value retailing, investment in data-driven personalisation and further growth of online and convenience formats, providing the firm with operational playbooks that can be translated to the national contexts (Tesco plc, 2024). With these strengths in place, Tesco can compete on price, assortment and digital fulfilment, three critical battlegrounds in contemporary grocery retailing.</w:t>
      </w:r>
    </w:p>
    <w:p w:rsidR="00610F6E" w:rsidRDefault="00610F6E" w:rsidP="00610F6E">
      <w:pPr>
        <w:pStyle w:val="Heading2"/>
        <w:spacing w:before="0" w:after="0"/>
      </w:pPr>
      <w:bookmarkStart w:id="10" w:name="Bookmark4"/>
      <w:bookmarkStart w:id="11" w:name="__RefHeading__1182_1551139750"/>
      <w:r>
        <w:t>2.2 Target market: South Africa</w:t>
      </w:r>
      <w:bookmarkEnd w:id="10"/>
      <w:bookmarkEnd w:id="11"/>
    </w:p>
    <w:p w:rsidR="00610F6E" w:rsidRDefault="00610F6E" w:rsidP="00610F6E">
      <w:pPr>
        <w:pStyle w:val="Standard"/>
      </w:pPr>
      <w:r>
        <w:t xml:space="preserve">South Africa is a promising market in several aspects. It is a big upper-middle-income economy in African terms and has tens of millions of citizens and a large urbanised and consumption-focused generation that is concentrated in metros such as Johannesburg, Cape Town and Durban. The retail business is advanced in relation to other regional counterparts: formal supermarket chains live side by side with an extensive informal trade, which provides the possibility to differentiate formats like </w:t>
      </w:r>
      <w:r>
        <w:lastRenderedPageBreak/>
        <w:t>discount, mainstream supermarket, convenience and premium, and product segmentation. Macro information and country profiles highlight the size of the market and consumer heterogeneity in South Africa-qualities that would be advantageous to an entrant that can adopt multi-format approaches (World Bank, 2025). The case is augmented by digital and channel trends. The penetration of online retail and grocery in South Africa has increased rapidly since the year 2020, and studies and market reports indicate a growth in online retail to the double digits and an increase in the rate at which consumers are embracing the idea of click-and-collect and on-demand delivery (Reuters Staff, 2025). In the recent analysis in the industry, online retail is experiencing a booming growth and predicts an increased proportion of overall retail spending in 2024-2025; these are the dynamics which fit the omnichannel playbook of Tesco (in-store + fulfilment centres + loyalty data). Using Clubcard-style analytics and established pick-and-pack logistics, Tesco would be able to distinguish on availability, personalised offers and price competitiveness.</w:t>
      </w:r>
    </w:p>
    <w:p w:rsidR="00610F6E" w:rsidRDefault="00610F6E" w:rsidP="00610F6E">
      <w:pPr>
        <w:pStyle w:val="Heading2"/>
        <w:spacing w:before="0" w:after="0"/>
      </w:pPr>
      <w:bookmarkStart w:id="12" w:name="Bookmark5"/>
      <w:bookmarkStart w:id="13" w:name="__RefHeading__1184_1551139750"/>
      <w:r>
        <w:t>2.3 Justification for the chosen market</w:t>
      </w:r>
      <w:bookmarkEnd w:id="12"/>
      <w:r>
        <w:t xml:space="preserve">  </w:t>
      </w:r>
      <w:bookmarkEnd w:id="13"/>
    </w:p>
    <w:p w:rsidR="00610F6E" w:rsidRDefault="00610F6E" w:rsidP="00610F6E">
      <w:pPr>
        <w:pStyle w:val="Standard"/>
      </w:pPr>
      <w:r>
        <w:t xml:space="preserve">The implications of competitive structure and go-to-market are worth planning. The formal grocery market is concentrated, with the national chains Shoprite/Checkers, </w:t>
      </w:r>
      <w:proofErr w:type="gramStart"/>
      <w:r>
        <w:t>Pick</w:t>
      </w:r>
      <w:proofErr w:type="gramEnd"/>
      <w:r>
        <w:t xml:space="preserve"> n Pay, Spar and Woolworths controlling major segments and making heavy investments in digital propositions (such as the on-demand delivery business expansion by Checkers). The size and local experience of incumbents are major obstacles, which also confirm the maturity of the market, which is why an international company must either undertake an acquisitive market entry strategy or a local merger that can quickly offer distribution presence and market acceptance (Reuters Staff, 2024). The ability of Tesco to invest in its own sourcing model based on the private label might enable it to compete on value with the introduction of differentiated ranges to reach the middle-income urban household segment.</w:t>
      </w:r>
    </w:p>
    <w:p w:rsidR="00610F6E" w:rsidRDefault="00610F6E" w:rsidP="00610F6E">
      <w:pPr>
        <w:pStyle w:val="Standard"/>
      </w:pPr>
      <w:r>
        <w:t xml:space="preserve">Licence, regulatory and social aspects are determinants. The “Broad-Based Black Economic Empowerment (B-BBEE)” framework in South Africa needs the participation of meaningful locals, and supplier growth and empowerment accolades to big corporations to conduct operations without reputational or business apprehension. The presence of effective compliance, which is local ownership structure, supplier development programmes and employment/ skills commitments, will not only be necessary to comply with the law but also to win tenders, property leases and community support (DTIC, 2021). In this respect, joint venture entry, majority-local </w:t>
      </w:r>
      <w:r>
        <w:lastRenderedPageBreak/>
        <w:t>partner, or a progressive acquisition that incorporates the B-BBEE compliance is recommended.</w:t>
      </w:r>
    </w:p>
    <w:p w:rsidR="00610F6E" w:rsidRDefault="00610F6E" w:rsidP="00610F6E">
      <w:pPr>
        <w:pStyle w:val="Standard"/>
      </w:pPr>
      <w:r>
        <w:t>Risks are not insurmountable but significant: the intensity of competitors in the industry, the currency and macro volatility, the logistical limitations in the non-metro areas, and the susceptibility of infrastructure (in particular, energy reliability) may increase the operating expenses and make the fulfilment more difficult. The mitigation strategies to these risks should include the phased roll-out with concentration on large metros, investing in local warehousing and micro-fulfilment centres, hedging/financial planning to control the currency exposure and a robust leadership team locally to control the regulatory and community engagement (Imray, 2023). Tesco ought to test the omnichannel offers (dark stores and click and collect) where feasible to test the unit economics and then expand countrywide. South Africa fits as a strategic location for Tesco since it is large enough to grow rapidly in digital and retail sophistication, structural needs (B-BBEE, local sourcing) that can be fulfilled by a well-resourced retailer.</w:t>
      </w:r>
    </w:p>
    <w:p w:rsidR="00610F6E" w:rsidRDefault="00610F6E" w:rsidP="00610F6E">
      <w:pPr>
        <w:pStyle w:val="Heading1"/>
        <w:spacing w:after="0"/>
      </w:pPr>
      <w:bookmarkStart w:id="14" w:name="__RefHeading__1186_1551139750"/>
      <w:bookmarkStart w:id="15" w:name="Bookmark6"/>
      <w:r>
        <w:t>3. Comprehensive Strategic Analysis</w:t>
      </w:r>
      <w:bookmarkEnd w:id="14"/>
      <w:bookmarkEnd w:id="15"/>
    </w:p>
    <w:p w:rsidR="00610F6E" w:rsidRDefault="00610F6E" w:rsidP="00610F6E">
      <w:pPr>
        <w:pStyle w:val="Heading2"/>
        <w:spacing w:before="0" w:after="0"/>
      </w:pPr>
      <w:bookmarkStart w:id="16" w:name="__RefHeading__1188_1551139750"/>
      <w:bookmarkStart w:id="17" w:name="Bookmark7"/>
      <w:r>
        <w:t>2.1 Macro-environmental Factors</w:t>
      </w:r>
      <w:bookmarkEnd w:id="16"/>
      <w:bookmarkEnd w:id="17"/>
    </w:p>
    <w:p w:rsidR="00610F6E" w:rsidRDefault="00610F6E" w:rsidP="00610F6E">
      <w:pPr>
        <w:pStyle w:val="Standard"/>
      </w:pPr>
      <w:r>
        <w:t>It is important to analyse the macro-environment and competitive pressures when analysing South Africa as a new international market opportunity for Tesco. In this section, consistent with best practice for strategic management, a PESTLE analysis will be used to consider the external environment of South Africa, before moving on to “Porter’s Five Forces” framework to assess levels of competitive pressure within retail. These analytical perspectives offer some insights into opportunities and threats, and it should be acknowledged that the key frameworks both have their shortcomings.</w:t>
      </w:r>
    </w:p>
    <w:p w:rsidR="00610F6E" w:rsidRDefault="00610F6E" w:rsidP="00610F6E">
      <w:pPr>
        <w:pStyle w:val="Standard"/>
      </w:pPr>
      <w:r>
        <w:rPr>
          <w:b/>
        </w:rPr>
        <w:t>PESTEL Analysis</w:t>
      </w:r>
    </w:p>
    <w:p w:rsidR="00610F6E" w:rsidRDefault="00610F6E" w:rsidP="00610F6E">
      <w:pPr>
        <w:pStyle w:val="Standard"/>
      </w:pPr>
      <w:r>
        <w:rPr>
          <w:b/>
          <w:i/>
        </w:rPr>
        <w:t xml:space="preserve">Political Factors: </w:t>
      </w:r>
      <w:r>
        <w:t xml:space="preserve">South Africa has a democratic political climate, while the retail environment is shaped by regulatory systems related to labour legislation, “Black Economic Empowerment (BEE)” frameworks, and “Foreign Direct Investment (FDI)” regulations, which are especially focused on BEE. The government is interested in attracting investment in the retail and consumer goods sectors; however, bureaucratic inefficiencies and corruption continue to be a concern for international investment (Transparency International, 2024). Tesco should review and plan for the relevant </w:t>
      </w:r>
      <w:r>
        <w:lastRenderedPageBreak/>
        <w:t>regulations if expanding into South Africa, to begin building legitimacy and credibility relative to employment equity framework considerations.</w:t>
      </w:r>
    </w:p>
    <w:p w:rsidR="00610F6E" w:rsidRDefault="00610F6E" w:rsidP="00610F6E">
      <w:pPr>
        <w:pStyle w:val="Standard"/>
      </w:pPr>
      <w:r>
        <w:rPr>
          <w:b/>
          <w:i/>
        </w:rPr>
        <w:t xml:space="preserve">Economic Factors: </w:t>
      </w:r>
      <w:r>
        <w:t>South Africa is considered the most developed economy in Africa, with a GDP of approximately 400 billion dollars (USD) and a population of around 60 million (World Bank, 2024). Nonetheless, there are challenges, which include high levels of income inequality, unemployment at around 30%, and occasional currency volatility. For Tesco, the expanding urban middle class and increased consumer expenditure in modern retail categories present opportunities. Exchange rate risks (“Rand–Pound volatility”) and inflationary concerns could be a concern for pricing strategies, so controlling costs will be important.</w:t>
      </w:r>
    </w:p>
    <w:p w:rsidR="00610F6E" w:rsidRDefault="00610F6E" w:rsidP="00610F6E">
      <w:pPr>
        <w:pStyle w:val="Standard"/>
      </w:pPr>
      <w:r>
        <w:rPr>
          <w:b/>
          <w:i/>
        </w:rPr>
        <w:t>Social Factors:</w:t>
      </w:r>
      <w:r>
        <w:t xml:space="preserve"> There is a diverse consumer base across South Africa, which is impacted by multicultural demographics and a growing youth population. There is a strong demand for low-cost grocery retail, but also an increasing consumer appetite for health, ethics, and sustainability among products (Euromonitor, 2023). Cultural differences may affect Tesco’s brand positioning and may require the local adaptation of products, packaging and marketing campaigns. Consumer trust in established local operators such as Shoprite and </w:t>
      </w:r>
      <w:proofErr w:type="spellStart"/>
      <w:r>
        <w:t>Pick'n</w:t>
      </w:r>
      <w:proofErr w:type="spellEnd"/>
      <w:r>
        <w:t xml:space="preserve"> Pay may present challenges for Tesco's entry.</w:t>
      </w:r>
    </w:p>
    <w:p w:rsidR="00610F6E" w:rsidRDefault="00610F6E" w:rsidP="00610F6E">
      <w:pPr>
        <w:pStyle w:val="Standard"/>
      </w:pPr>
      <w:r>
        <w:rPr>
          <w:b/>
          <w:i/>
        </w:rPr>
        <w:t>Technological Factors:</w:t>
      </w:r>
      <w:r>
        <w:t xml:space="preserve"> South Africa's retail sector has adopted e-commerce strategies via platforms such as Takealot and click-and-collect models. Digital penetration is occurring quickly, with over 70% internet penetration, as mobile commerce becomes increasingly relevant (Statista, 2024). Tesco will be able to take advantage of its technological advances, particularly in data-driven supply chain optimisation, loyalty programmes and integration into online retail. However, consideration needs to be taken of the inequalities of digital infrastructure between rural and urban areas, which may inhibit the uniform application of solutions.</w:t>
      </w:r>
    </w:p>
    <w:p w:rsidR="00610F6E" w:rsidRDefault="00610F6E" w:rsidP="00610F6E">
      <w:pPr>
        <w:pStyle w:val="Standard"/>
      </w:pPr>
      <w:r>
        <w:rPr>
          <w:b/>
          <w:i/>
        </w:rPr>
        <w:t xml:space="preserve">Legal Factors: </w:t>
      </w:r>
      <w:r>
        <w:t>Consumer protection, health &amp; safety, and regulation of competition are tightly controlled in South Africa. The Competition Commission oversees competition law, including fair competition and pricing transparency, so it may be difficult for Tesco to adopt aggressive discounting (Tesco Plc, 2023). Labour laws, which are quite rigid around pay and the status of collective bargaining, impact overseas operations costs. Being aware of the legal expectations will be an important aspect of managing legal risk in this area.</w:t>
      </w:r>
    </w:p>
    <w:p w:rsidR="00610F6E" w:rsidRDefault="00610F6E" w:rsidP="00610F6E">
      <w:pPr>
        <w:pStyle w:val="Standard"/>
      </w:pPr>
      <w:r>
        <w:rPr>
          <w:b/>
          <w:i/>
        </w:rPr>
        <w:t>Environmental Factors:</w:t>
      </w:r>
      <w:r>
        <w:t xml:space="preserve"> South Africa is facing increasing environmental issues such as water shortages, poor access to energy, and vulnerability to climate change. At the </w:t>
      </w:r>
      <w:r>
        <w:lastRenderedPageBreak/>
        <w:t>same time, consumers are becoming increasingly environmentally aware, adding pressure to retailers for sustainable supply chains and eco-friendly packaging (</w:t>
      </w:r>
      <w:proofErr w:type="spellStart"/>
      <w:r>
        <w:t>Hoskisson</w:t>
      </w:r>
      <w:proofErr w:type="spellEnd"/>
      <w:r>
        <w:t xml:space="preserve"> </w:t>
      </w:r>
      <w:r>
        <w:rPr>
          <w:i/>
        </w:rPr>
        <w:t>et al.,</w:t>
      </w:r>
      <w:r>
        <w:t xml:space="preserve"> 2021). Tesco's global sustainability agenda and commitments to net zero and decreasing food waste will meet consumer expectations and positively impact its competitive position.</w:t>
      </w:r>
    </w:p>
    <w:p w:rsidR="00610F6E" w:rsidRDefault="00610F6E" w:rsidP="00610F6E">
      <w:pPr>
        <w:pStyle w:val="Standard"/>
      </w:pPr>
      <w:r>
        <w:rPr>
          <w:b/>
          <w:i/>
        </w:rPr>
        <w:t xml:space="preserve">Critical Evaluation: </w:t>
      </w:r>
      <w:r>
        <w:t>The PESTLE framework provides a useful macro-level snapshot, but it has static elements that do not fully reflect the political and economic volatility seen in South Africa. Relying on broad categories of factors may also overlook regional variation in the country. Regardless, this exercise assisted awareness of opportunities and threats within the external environment.</w:t>
      </w:r>
    </w:p>
    <w:p w:rsidR="00610F6E" w:rsidRDefault="00610F6E" w:rsidP="00610F6E">
      <w:pPr>
        <w:pStyle w:val="Heading2"/>
        <w:spacing w:before="0" w:after="0"/>
      </w:pPr>
      <w:bookmarkStart w:id="18" w:name="__RefHeading__1190_1551139750"/>
      <w:bookmarkStart w:id="19" w:name="Bookmark8"/>
      <w:r>
        <w:t>2.2 Competitive Landscape</w:t>
      </w:r>
      <w:bookmarkEnd w:id="18"/>
      <w:bookmarkEnd w:id="19"/>
    </w:p>
    <w:p w:rsidR="00610F6E" w:rsidRDefault="00610F6E" w:rsidP="00610F6E">
      <w:pPr>
        <w:pStyle w:val="Standard"/>
      </w:pPr>
      <w:r>
        <w:rPr>
          <w:b/>
        </w:rPr>
        <w:t>Porter’s Five Forces Analysis</w:t>
      </w:r>
    </w:p>
    <w:p w:rsidR="00610F6E" w:rsidRDefault="00610F6E" w:rsidP="00610F6E">
      <w:pPr>
        <w:pStyle w:val="Standard"/>
      </w:pPr>
      <w:r>
        <w:rPr>
          <w:b/>
          <w:i/>
        </w:rPr>
        <w:t>Threat of New Entrants – Moderate</w:t>
      </w:r>
    </w:p>
    <w:p w:rsidR="00610F6E" w:rsidRDefault="00610F6E" w:rsidP="00610F6E">
      <w:pPr>
        <w:pStyle w:val="Standard"/>
      </w:pPr>
      <w:r>
        <w:t>The retail industry has substantial entry barriers owing to the need for a significant investment in logistics, supply chains, and real estate. Established local players can take advantage of their established economies of scale and brand loyalties, which will help to deter new entrants from successfully taking the market share (Rashid, 2023). However, Tesco may use its global brand equity and superior technology to lessen the impact of barriers to entry.</w:t>
      </w:r>
    </w:p>
    <w:p w:rsidR="00610F6E" w:rsidRDefault="00610F6E" w:rsidP="00610F6E">
      <w:pPr>
        <w:pStyle w:val="Standard"/>
      </w:pPr>
      <w:r>
        <w:rPr>
          <w:b/>
          <w:i/>
        </w:rPr>
        <w:t>Bargaining Power of Suppliers – Low to Moderate</w:t>
      </w:r>
    </w:p>
    <w:p w:rsidR="00610F6E" w:rsidRDefault="00610F6E" w:rsidP="00610F6E">
      <w:pPr>
        <w:pStyle w:val="Standard"/>
      </w:pPr>
      <w:r>
        <w:t>Large chains such as Shoprite and Woolworths dominate the grocery sector in South Africa and have significant bargaining power over suppliers. Fragmented agricultural production and many FMCG manufacturers will lessen supplier bargaining leverage (Bloomberg, 2025). Tesco can leverage its global sourcing capabilities; however, local procurement will likely be necessary to comply with localisation policies.</w:t>
      </w:r>
    </w:p>
    <w:p w:rsidR="00610F6E" w:rsidRDefault="00610F6E" w:rsidP="00610F6E">
      <w:pPr>
        <w:pStyle w:val="Standard"/>
      </w:pPr>
      <w:r>
        <w:rPr>
          <w:b/>
          <w:i/>
        </w:rPr>
        <w:t>Bargaining Power of Buyers – High</w:t>
      </w:r>
    </w:p>
    <w:p w:rsidR="00610F6E" w:rsidRDefault="00610F6E" w:rsidP="00610F6E">
      <w:pPr>
        <w:pStyle w:val="Standard"/>
      </w:pPr>
      <w:r>
        <w:t>South African consumers are highly price-sensitive as a result of high unemployment and income dispersal. Consequently, the high level of choice available in retail, from discounters to informal markets, also increases bargaining power for consumers (Reuters, 2025). Therefore, to attract and retain customers, Tesco must find competitive pricing, loyalty schemes, and differentiation strategies.</w:t>
      </w:r>
    </w:p>
    <w:p w:rsidR="00610F6E" w:rsidRDefault="00610F6E" w:rsidP="00610F6E">
      <w:pPr>
        <w:pStyle w:val="Standard"/>
      </w:pPr>
      <w:r>
        <w:rPr>
          <w:b/>
          <w:i/>
        </w:rPr>
        <w:t>Threat of Substitutes – Moderate</w:t>
      </w:r>
    </w:p>
    <w:p w:rsidR="00610F6E" w:rsidRDefault="00610F6E" w:rsidP="00610F6E">
      <w:pPr>
        <w:pStyle w:val="Standard"/>
      </w:pPr>
      <w:r>
        <w:t xml:space="preserve">The main substitutes are informal markets, street vendors and convenience shops that can offer lower prices. The emergence of e-commerce, like Takealot, which offers </w:t>
      </w:r>
      <w:r>
        <w:lastRenderedPageBreak/>
        <w:t>grocery delivery services, creates an increased threat of substitutes (Reuters, 2024). However, Tesco can manage this risk by employing omnichannel strategies and leveraging lower prices.</w:t>
      </w:r>
    </w:p>
    <w:p w:rsidR="00610F6E" w:rsidRDefault="00610F6E" w:rsidP="00610F6E">
      <w:pPr>
        <w:pStyle w:val="Standard"/>
      </w:pPr>
      <w:r>
        <w:rPr>
          <w:b/>
          <w:i/>
        </w:rPr>
        <w:t>Industry Rivalry – High</w:t>
      </w:r>
    </w:p>
    <w:p w:rsidR="00610F6E" w:rsidRDefault="00610F6E" w:rsidP="00610F6E">
      <w:pPr>
        <w:pStyle w:val="Standard"/>
      </w:pPr>
      <w:r>
        <w:t>The market is characterised by intense price competition and frequent sales promotions. The South African grocery retail space is characterised as highly competitive with dominant players, like “Shoprite”, “Pick n Pay”, “Spar”, “Woolworths” and “Massmart” (Deloitte, 2024). Tesco would inevitably face substantial competitive rivalry, requiring Tesco to gain clarity on its unique selling proposition through product quality, technology adoption and sustainability practices.</w:t>
      </w:r>
    </w:p>
    <w:p w:rsidR="00610F6E" w:rsidRDefault="00610F6E" w:rsidP="00610F6E">
      <w:pPr>
        <w:pStyle w:val="Standard"/>
      </w:pPr>
      <w:r>
        <w:rPr>
          <w:b/>
          <w:i/>
        </w:rPr>
        <w:t>Critical Evaluation:</w:t>
      </w:r>
      <w:r>
        <w:t xml:space="preserve"> Porter's model provides a useful starting point and a useful framework to understand competitive pressures; however, this model assumes a relatively static industry structure, which may not hold in developing markets like South Africa. Also, informal retail channels are undervalued, and digital disruption is misunderstood in this model, both of which are important within this market (Zhou, 2023). However, Porter’s model illustrates the intense nature of rivalry and the extent to which understanding consumer price sensitivity is crucial in the development of Tesco's strategy.</w:t>
      </w:r>
    </w:p>
    <w:p w:rsidR="00610F6E" w:rsidRDefault="00610F6E" w:rsidP="00610F6E">
      <w:pPr>
        <w:pStyle w:val="Heading2"/>
        <w:spacing w:before="0" w:after="0"/>
      </w:pPr>
      <w:bookmarkStart w:id="20" w:name="Bookmark9"/>
      <w:bookmarkStart w:id="21" w:name="__RefHeading__1192_1551139750"/>
      <w:r>
        <w:t>2.3 Integration &amp; Strategic Implication</w:t>
      </w:r>
      <w:bookmarkEnd w:id="20"/>
      <w:bookmarkEnd w:id="21"/>
    </w:p>
    <w:p w:rsidR="00610F6E" w:rsidRDefault="00610F6E" w:rsidP="00610F6E">
      <w:pPr>
        <w:pStyle w:val="Standard"/>
      </w:pPr>
      <w:r>
        <w:t xml:space="preserve">With the South African retail environment changing at a very high rate, various strategic implications can be made regarding the proposal by Tesco to enter the country. First, the radical increase of online retail that will go beyond R130 billion in 2025 and up to about 10% of the total retail sales demonstrates that digital channels are now not peripheral but central to competition (Mastercard, 2025). South African consumers are very price sensitive and demand promotions, value labels and confidence in the quality of its services, which Tesco can use to its advantage. Last but not least, regulatory and structural obstacles, in particular, B-BBEE compliance, store lease arrangements with incumbents, and supplier and buyer power imply that Tesco needs to </w:t>
      </w:r>
      <w:proofErr w:type="spellStart"/>
      <w:r>
        <w:t>strategise</w:t>
      </w:r>
      <w:proofErr w:type="spellEnd"/>
      <w:r>
        <w:t xml:space="preserve"> on good local collaborations (The Buzz at Hive Digital Media, 2025). Even investment in supply chain infrastructure, and, possibly, a strategic acquisition to achieve a credible presence.</w:t>
      </w:r>
    </w:p>
    <w:p w:rsidR="00610F6E" w:rsidRDefault="00610F6E" w:rsidP="00610F6E">
      <w:pPr>
        <w:pStyle w:val="Heading1"/>
        <w:spacing w:after="0"/>
      </w:pPr>
      <w:bookmarkStart w:id="22" w:name="__RefHeading__1194_1551139750"/>
      <w:bookmarkStart w:id="23" w:name="Bookmark10"/>
      <w:r>
        <w:lastRenderedPageBreak/>
        <w:t>3. Strategy Development and Formulation</w:t>
      </w:r>
      <w:bookmarkEnd w:id="22"/>
      <w:bookmarkEnd w:id="23"/>
    </w:p>
    <w:p w:rsidR="00610F6E" w:rsidRDefault="00610F6E" w:rsidP="00610F6E">
      <w:pPr>
        <w:pStyle w:val="Standard"/>
      </w:pPr>
      <w:r>
        <w:t>This section discusses potential strategies Tesco could move forward with using “Porter’s Generic Strategies”, possible areas for market entry, and the “Resource-Based View (RBV)” to capitalise on its internal strengths to build a strategy to sustain its competitive advantage within an increasingly fast-changing global retail market.</w:t>
      </w:r>
    </w:p>
    <w:p w:rsidR="00610F6E" w:rsidRDefault="00610F6E" w:rsidP="00610F6E">
      <w:pPr>
        <w:pStyle w:val="Heading2"/>
        <w:spacing w:before="0" w:after="0"/>
      </w:pPr>
      <w:bookmarkStart w:id="24" w:name="Bookmark11"/>
      <w:bookmarkStart w:id="25" w:name="__RefHeading__1196_1551139750"/>
      <w:r>
        <w:t>3.1 Porter’s Generic Strategies</w:t>
      </w:r>
      <w:bookmarkEnd w:id="24"/>
      <w:r>
        <w:t xml:space="preserve">  </w:t>
      </w:r>
      <w:bookmarkEnd w:id="25"/>
    </w:p>
    <w:p w:rsidR="00610F6E" w:rsidRDefault="00610F6E" w:rsidP="00610F6E">
      <w:pPr>
        <w:pStyle w:val="Standard"/>
      </w:pPr>
      <w:r>
        <w:t>Michael Porter’s framework identifies three generic strategies: “Cost Leadership”, “Differentiation”, and “Focus”. For Tesco, a retailer that trades in markets with intense competitive rivalry, such as the UK, Central Europe, and Asia, adopting the most appropriate strategy is key to maintaining a leading position within the market.</w:t>
      </w:r>
    </w:p>
    <w:p w:rsidR="00610F6E" w:rsidRDefault="00610F6E" w:rsidP="00610F6E">
      <w:pPr>
        <w:pStyle w:val="Standard"/>
      </w:pPr>
      <w:r>
        <w:rPr>
          <w:b/>
          <w:i/>
        </w:rPr>
        <w:t>Cost Leadership:</w:t>
      </w:r>
      <w:r>
        <w:t xml:space="preserve"> Tesco has historically been the leader in cost leadership, leveraging economies of scale, procurement, and strong supplier relationships. In addition, Tesco’s previous positioning statement, “Everyday Low Prices”, has long appealed to consumers focused on value (Tesco PLC, 2023). Nevertheless, competition has intensified at the low price point with competing discounters such as Aldi and Lidl. Therefore, Tesco must maintain operational efficiency with a view to continually innovating to avoid additional competition, which is pure price competition.</w:t>
      </w:r>
    </w:p>
    <w:p w:rsidR="00610F6E" w:rsidRDefault="00610F6E" w:rsidP="00610F6E">
      <w:pPr>
        <w:pStyle w:val="Standard"/>
      </w:pPr>
      <w:r>
        <w:rPr>
          <w:b/>
          <w:i/>
        </w:rPr>
        <w:t>Differentiation:</w:t>
      </w:r>
      <w:r>
        <w:t xml:space="preserve"> It includes the following factors</w:t>
      </w:r>
    </w:p>
    <w:p w:rsidR="00610F6E" w:rsidRDefault="00610F6E" w:rsidP="00610F6E">
      <w:pPr>
        <w:pStyle w:val="Standard"/>
        <w:numPr>
          <w:ilvl w:val="0"/>
          <w:numId w:val="6"/>
        </w:numPr>
      </w:pPr>
      <w:r>
        <w:t>Technology integration, such as AI-driven demand forecasting, cashier-less checkouts, and personalised offers via Clubcard.</w:t>
      </w:r>
    </w:p>
    <w:p w:rsidR="00610F6E" w:rsidRDefault="00610F6E" w:rsidP="00610F6E">
      <w:pPr>
        <w:pStyle w:val="Standard"/>
        <w:numPr>
          <w:ilvl w:val="0"/>
          <w:numId w:val="2"/>
        </w:numPr>
      </w:pPr>
      <w:r>
        <w:t>Product innovations such as private label ranges, health options, and sustainability-focused products.</w:t>
      </w:r>
    </w:p>
    <w:p w:rsidR="00610F6E" w:rsidRDefault="00610F6E" w:rsidP="00610F6E">
      <w:pPr>
        <w:pStyle w:val="Standard"/>
        <w:numPr>
          <w:ilvl w:val="0"/>
          <w:numId w:val="2"/>
        </w:numPr>
      </w:pPr>
      <w:r>
        <w:t>Customer experience via omnichannel service – seamless integration of online and offline buying.</w:t>
      </w:r>
    </w:p>
    <w:p w:rsidR="00610F6E" w:rsidRDefault="00610F6E" w:rsidP="00610F6E">
      <w:pPr>
        <w:pStyle w:val="Standard"/>
      </w:pPr>
      <w:r>
        <w:rPr>
          <w:b/>
          <w:i/>
        </w:rPr>
        <w:t>Emphasis:</w:t>
      </w:r>
      <w:r>
        <w:t xml:space="preserve"> According to Wang and Zhou (2022), large-scale retailers may pursue a hybrid strategy—namely, a cost consideration and differentiation. A hybrid strategy is illustrated through “Aldi Price Match.” This warranty gives the customer a guarantee of low cost and a premium product range, in comparison to the Aldi equivalent, such as “Tesco Finest.” Aldi and other discount chains will be contested, giving strength to the low-cost strategy. Further, Tesco can defend its base against discount chains by attracting middle- and higher-income households.</w:t>
      </w:r>
    </w:p>
    <w:p w:rsidR="00610F6E" w:rsidRDefault="00610F6E" w:rsidP="00610F6E">
      <w:pPr>
        <w:pStyle w:val="Standard"/>
      </w:pPr>
      <w:r>
        <w:rPr>
          <w:b/>
          <w:i/>
        </w:rPr>
        <w:t>Strategic alignment recommendation:</w:t>
      </w:r>
      <w:r>
        <w:t xml:space="preserve"> The hybrid strategy remains the most appropriate company strategy. Tesco needs to continue price leadership in its core </w:t>
      </w:r>
      <w:r>
        <w:lastRenderedPageBreak/>
        <w:t>markets. However, there are also other opportunities for occasions to employ a differentiation strategy that could offer significant gains in long-term loyalty, such as sustainability, digital innovation, and quality of service.</w:t>
      </w:r>
    </w:p>
    <w:p w:rsidR="00610F6E" w:rsidRDefault="00610F6E" w:rsidP="00610F6E">
      <w:pPr>
        <w:pStyle w:val="Heading2"/>
        <w:spacing w:before="0" w:after="0"/>
      </w:pPr>
      <w:bookmarkStart w:id="26" w:name="__RefHeading__1198_1551139750"/>
      <w:bookmarkStart w:id="27" w:name="Bookmark12"/>
      <w:r>
        <w:t>3.2 Market Entry Strategies</w:t>
      </w:r>
      <w:bookmarkEnd w:id="26"/>
      <w:bookmarkEnd w:id="27"/>
    </w:p>
    <w:p w:rsidR="00610F6E" w:rsidRDefault="00610F6E" w:rsidP="00610F6E">
      <w:pPr>
        <w:pStyle w:val="Standard"/>
      </w:pPr>
      <w:r>
        <w:t>When considering its markets for international expansion or strengthening, it is necessary to identify and select a market entry strategy that aligns with Tesco's resources. Accordingly, there are risks and opportunities with any chosen area, and there are also opportunities and risks depending on local factors and regulations.</w:t>
      </w:r>
    </w:p>
    <w:p w:rsidR="00610F6E" w:rsidRDefault="00610F6E" w:rsidP="00610F6E">
      <w:pPr>
        <w:pStyle w:val="Standard"/>
      </w:pPr>
      <w:r>
        <w:rPr>
          <w:b/>
          <w:i/>
        </w:rPr>
        <w:t xml:space="preserve">Joint Venture (JV): </w:t>
      </w:r>
      <w:r>
        <w:t>JV allow Tesco to share the risks associated with changing and navigating into the local market and also leverage the knowledge of individuals or companies who already conduct business in the local context, e.g., Tata in India, where eventually Tesco exited the JV as a result of regulatory challenges and a lack of profitable returns (Tesco PLC, 2024). There is a lesson here that can be taken from Tesco's experience. Joint ventures work best in situations where local expertise is required, in addition to the governance structures put in place to ensure cultural alignment and commitment.</w:t>
      </w:r>
    </w:p>
    <w:p w:rsidR="00610F6E" w:rsidRDefault="00610F6E" w:rsidP="00610F6E">
      <w:pPr>
        <w:pStyle w:val="Standard"/>
      </w:pPr>
      <w:r>
        <w:rPr>
          <w:b/>
          <w:i/>
        </w:rPr>
        <w:t>Strategic Alliance:</w:t>
      </w:r>
      <w:r>
        <w:t xml:space="preserve"> Strategic alliances can include, for example, partnerships with tech firms, logistics companies, or alliances with other non-retailers to augment the Tesco service offer in a targeted market or region. Partnerships or alliances could mean working with last-mile delivery service providers (e.g., Deliveroo) to extend the service offer for a particular neighbourhood without the need to invest heavily in building a proper business operation (</w:t>
      </w:r>
      <w:proofErr w:type="spellStart"/>
      <w:r>
        <w:t>Roele</w:t>
      </w:r>
      <w:proofErr w:type="spellEnd"/>
      <w:r>
        <w:t xml:space="preserve"> and </w:t>
      </w:r>
      <w:proofErr w:type="spellStart"/>
      <w:r>
        <w:t>Ruehl</w:t>
      </w:r>
      <w:proofErr w:type="spellEnd"/>
      <w:r>
        <w:t>, 2025). Strategic alliances will be especially useful in support of digital transformation and the convenience of involvement.</w:t>
      </w:r>
    </w:p>
    <w:p w:rsidR="00610F6E" w:rsidRDefault="00610F6E" w:rsidP="00610F6E">
      <w:pPr>
        <w:pStyle w:val="Standard"/>
      </w:pPr>
      <w:r>
        <w:rPr>
          <w:b/>
          <w:i/>
        </w:rPr>
        <w:t xml:space="preserve">Greenfield Investment: </w:t>
      </w:r>
      <w:r>
        <w:t>The option for greenfield investment is to build a wholly owned presence and, therefore, be able to exercise full control. However, this often justifies significant investment and carries risks to Tesco if it is unfamiliar with doing business in the country or region (Le Li and Jian, 2024). Greenfield investment is a straightforward option in emerging economies where modern grocery retail practices are limited, therefore allowing Tesco to transfer an existing business model.</w:t>
      </w:r>
    </w:p>
    <w:p w:rsidR="00610F6E" w:rsidRDefault="00610F6E" w:rsidP="00610F6E">
      <w:pPr>
        <w:pStyle w:val="Standard"/>
      </w:pPr>
      <w:r>
        <w:rPr>
          <w:b/>
          <w:i/>
        </w:rPr>
        <w:t xml:space="preserve">Acquisition: </w:t>
      </w:r>
      <w:r>
        <w:t xml:space="preserve">Acquisitions bring quick access to new markets and scale. For example, in 2017, Tesco acquired the Booker Group (UK) to strengthen its wholesale and B2B operations. At an international level, in segments where retailers have fragmented </w:t>
      </w:r>
      <w:r>
        <w:lastRenderedPageBreak/>
        <w:t>market sectors, there is room for acquisitions and consolidation opportunities (Tian, 2021). The risks arise in the execution of the integration and possible overpayment.</w:t>
      </w:r>
    </w:p>
    <w:p w:rsidR="00610F6E" w:rsidRDefault="00610F6E" w:rsidP="00610F6E">
      <w:pPr>
        <w:pStyle w:val="Standard"/>
      </w:pPr>
      <w:r>
        <w:rPr>
          <w:b/>
          <w:i/>
        </w:rPr>
        <w:t xml:space="preserve">Franchising: </w:t>
      </w:r>
      <w:r>
        <w:t>It enables Tesco to grow with less investment and risk particularly in countries having strong entrepreneurial ecosystems. While not an extensive mode of entry for Tesco traditionally, it may be a plausible option in developing economies where franchise partners reconfigure the model to local market requirements.</w:t>
      </w:r>
    </w:p>
    <w:p w:rsidR="00610F6E" w:rsidRDefault="00610F6E" w:rsidP="00610F6E">
      <w:pPr>
        <w:pStyle w:val="Standard"/>
      </w:pPr>
      <w:r>
        <w:rPr>
          <w:b/>
          <w:i/>
        </w:rPr>
        <w:t>Recommended Modes of Entry:</w:t>
      </w:r>
      <w:r>
        <w:t xml:space="preserve"> For developing the business potential, a hybrid strategy is recommended for Tesco:</w:t>
      </w:r>
    </w:p>
    <w:p w:rsidR="00610F6E" w:rsidRDefault="00610F6E" w:rsidP="00610F6E">
      <w:pPr>
        <w:pStyle w:val="Standard"/>
        <w:numPr>
          <w:ilvl w:val="0"/>
          <w:numId w:val="7"/>
        </w:numPr>
      </w:pPr>
      <w:r>
        <w:t>Strategic alliances in the digital and logistics industry to enhance its omnichannel retailing.</w:t>
      </w:r>
    </w:p>
    <w:p w:rsidR="00610F6E" w:rsidRDefault="00610F6E" w:rsidP="00610F6E">
      <w:pPr>
        <w:pStyle w:val="Standard"/>
        <w:numPr>
          <w:ilvl w:val="0"/>
          <w:numId w:val="3"/>
        </w:numPr>
      </w:pPr>
      <w:r>
        <w:t>Acquisitions in mature markets with adequate opportunity for purity and deal-making (Hartfield, 2024).</w:t>
      </w:r>
    </w:p>
    <w:p w:rsidR="00610F6E" w:rsidRDefault="00610F6E" w:rsidP="00610F6E">
      <w:pPr>
        <w:pStyle w:val="Standard"/>
        <w:numPr>
          <w:ilvl w:val="0"/>
          <w:numId w:val="3"/>
        </w:numPr>
      </w:pPr>
      <w:r>
        <w:t>Franchising or joint ventures in rapidly growing but unpredictable emerging economies.</w:t>
      </w:r>
    </w:p>
    <w:p w:rsidR="00610F6E" w:rsidRDefault="00610F6E" w:rsidP="00610F6E">
      <w:pPr>
        <w:pStyle w:val="Standard"/>
        <w:numPr>
          <w:ilvl w:val="0"/>
          <w:numId w:val="3"/>
        </w:numPr>
      </w:pPr>
      <w:r>
        <w:t>This diversified mode of entry supports Tesco's needs for flexibility while reducing its exposure to geopolitical and regulatory risks.</w:t>
      </w:r>
    </w:p>
    <w:p w:rsidR="00610F6E" w:rsidRDefault="00610F6E" w:rsidP="00610F6E">
      <w:pPr>
        <w:pStyle w:val="Heading2"/>
        <w:spacing w:before="0" w:after="0"/>
      </w:pPr>
      <w:bookmarkStart w:id="28" w:name="__RefHeading__1200_1551139750"/>
      <w:bookmarkStart w:id="29" w:name="Bookmark13"/>
      <w:r>
        <w:t>3.3 Integration with the Resource-Based View (RBV)</w:t>
      </w:r>
      <w:bookmarkEnd w:id="28"/>
      <w:bookmarkEnd w:id="29"/>
    </w:p>
    <w:p w:rsidR="00610F6E" w:rsidRDefault="00610F6E" w:rsidP="00610F6E">
      <w:pPr>
        <w:pStyle w:val="Standard"/>
      </w:pPr>
      <w:r>
        <w:t>The RVB stresses the importance of using internal resources and capabilities to deliver sustainable competitive advantage. The resources leveraged by Tesco can be considered through the use of the VRIO framework (“Valuable”, “Rare”, “Inimitable”, and “Embedded within organisational processes”).</w:t>
      </w:r>
    </w:p>
    <w:p w:rsidR="00610F6E" w:rsidRDefault="00610F6E" w:rsidP="00610F6E">
      <w:pPr>
        <w:pStyle w:val="Standard"/>
      </w:pPr>
      <w:r>
        <w:rPr>
          <w:b/>
          <w:i/>
        </w:rPr>
        <w:t xml:space="preserve">Supply Chain Capabilities: </w:t>
      </w:r>
      <w:r>
        <w:t>Tesco allocated resources towards developing an integrated supply chain with effective logistics and inventory management systems. This is a valuable resource, extremely difficult to replicate, particularly by smaller competitors (Peng, 2022). Tesco’s connection with suppliers also provides opportunities for greater resilience, particularly during disruptions like COVID-19 or the effects of Brexit.</w:t>
      </w:r>
    </w:p>
    <w:p w:rsidR="00610F6E" w:rsidRDefault="00610F6E" w:rsidP="00610F6E">
      <w:pPr>
        <w:pStyle w:val="Standard"/>
      </w:pPr>
      <w:r>
        <w:rPr>
          <w:b/>
          <w:i/>
        </w:rPr>
        <w:t>Technologies and Data Analytics:</w:t>
      </w:r>
      <w:r>
        <w:t xml:space="preserve"> Tesco has dedicated significant resources to developing technology platforms with the Clubcard loyalty program that enable deep insights into customers. Utilising customer data, Tesco is capable of pursuing personalised options which provide some level of distinction and advantages in customer engagement (Meng, 2024). While competitors may also use technologies in their offerings, they can much more easily replicate this integration compared to the </w:t>
      </w:r>
      <w:r>
        <w:lastRenderedPageBreak/>
        <w:t>scale, plus the insights delivered by the data and the credibility developed by Tesco over the years.</w:t>
      </w:r>
    </w:p>
    <w:p w:rsidR="00610F6E" w:rsidRDefault="00610F6E" w:rsidP="00610F6E">
      <w:pPr>
        <w:pStyle w:val="Standard"/>
      </w:pPr>
      <w:r>
        <w:rPr>
          <w:b/>
          <w:i/>
        </w:rPr>
        <w:t>Brand Reputation and Trust:</w:t>
      </w:r>
      <w:r>
        <w:t xml:space="preserve">  With over 100 years in business, Tesco is one of the most recognised grocery brands in the UK, characterised by a high level of trust amongst its customers. This intangible resource is rare and, if managed properly, should lead to long-term loyalty from its customers and build barriers for other competitors.</w:t>
      </w:r>
    </w:p>
    <w:p w:rsidR="00610F6E" w:rsidRDefault="00610F6E" w:rsidP="00610F6E">
      <w:pPr>
        <w:pStyle w:val="Standard"/>
      </w:pPr>
      <w:r>
        <w:rPr>
          <w:b/>
          <w:i/>
        </w:rPr>
        <w:t>Financial Capacity:</w:t>
      </w:r>
      <w:r>
        <w:t xml:space="preserve"> Tesco has a significant cash flow and open access to what is likely substantial liquidity or debt capacity due to its scale of operations. The operational cash availability and potential to acquire new debt place at Tesco offers a significant advantage to be able to invest wisely in innovation, acquisition, and sustainability initiatives (Smith, 2023). This financial capacity likely leads to strategic options and flexibility.</w:t>
      </w:r>
    </w:p>
    <w:p w:rsidR="00610F6E" w:rsidRDefault="00610F6E" w:rsidP="00610F6E">
      <w:pPr>
        <w:pStyle w:val="Standard"/>
      </w:pPr>
      <w:r>
        <w:rPr>
          <w:b/>
          <w:i/>
        </w:rPr>
        <w:t xml:space="preserve">Sustainability and CSR: </w:t>
      </w:r>
      <w:r>
        <w:t>Tesco's sustainability drive (i.e., net-zero commitments, reductions in food waste) is steadily increasing the amount of differentiation. With ESG pressures on the rise, these capabilities will be important for legitimacy and competitiveness.</w:t>
      </w:r>
    </w:p>
    <w:p w:rsidR="00610F6E" w:rsidRDefault="00610F6E" w:rsidP="00610F6E">
      <w:pPr>
        <w:pStyle w:val="Standard"/>
      </w:pPr>
      <w:r>
        <w:rPr>
          <w:b/>
          <w:i/>
        </w:rPr>
        <w:t>Strategic Implications of RBV:</w:t>
      </w:r>
      <w:r>
        <w:t xml:space="preserve"> Tesco's strategy should leverage these core capabilities. For example:</w:t>
      </w:r>
    </w:p>
    <w:p w:rsidR="00610F6E" w:rsidRDefault="00610F6E" w:rsidP="00610F6E">
      <w:pPr>
        <w:pStyle w:val="Standard"/>
        <w:numPr>
          <w:ilvl w:val="0"/>
          <w:numId w:val="8"/>
        </w:numPr>
      </w:pPr>
      <w:r>
        <w:t>Leverage supply chain competence to maintain cost leadership.</w:t>
      </w:r>
    </w:p>
    <w:p w:rsidR="00610F6E" w:rsidRDefault="00610F6E" w:rsidP="00610F6E">
      <w:pPr>
        <w:pStyle w:val="Standard"/>
        <w:numPr>
          <w:ilvl w:val="0"/>
          <w:numId w:val="1"/>
        </w:numPr>
      </w:pPr>
      <w:r>
        <w:t>Utilise data analytics and Clubcard to create differentiated competencies through personalisation.</w:t>
      </w:r>
    </w:p>
    <w:p w:rsidR="00610F6E" w:rsidRDefault="00610F6E" w:rsidP="00610F6E">
      <w:pPr>
        <w:pStyle w:val="Standard"/>
        <w:numPr>
          <w:ilvl w:val="0"/>
          <w:numId w:val="1"/>
        </w:numPr>
      </w:pPr>
      <w:r>
        <w:t>Utilise financial resources for acquisitions and investments in technology.</w:t>
      </w:r>
    </w:p>
    <w:p w:rsidR="00610F6E" w:rsidRDefault="00610F6E" w:rsidP="00610F6E">
      <w:pPr>
        <w:pStyle w:val="Standard"/>
        <w:numPr>
          <w:ilvl w:val="0"/>
          <w:numId w:val="1"/>
        </w:numPr>
      </w:pPr>
      <w:r>
        <w:t>Leverage a strong reputation for brands by demonstrating leadership on sustainability.</w:t>
      </w:r>
    </w:p>
    <w:p w:rsidR="00610F6E" w:rsidRDefault="00610F6E" w:rsidP="00610F6E">
      <w:pPr>
        <w:pStyle w:val="Standard"/>
      </w:pPr>
      <w:r>
        <w:t xml:space="preserve">The RBV perspective emphasises that Tesco's long-term competitiveness rests not only on the ability to respond to external threats but also on capitalising on the value the company has internally. Tesco must account for risks for its business related to geopolitical hazards, technological disputes, competitive pricing pressure, and sustainability pressure (Kolev </w:t>
      </w:r>
      <w:r>
        <w:rPr>
          <w:i/>
        </w:rPr>
        <w:t>et al.,</w:t>
      </w:r>
      <w:r>
        <w:t xml:space="preserve"> 2023). The management needs to invest in ESG for the improvement of business potential in the international marketplace.</w:t>
      </w:r>
    </w:p>
    <w:p w:rsidR="00610F6E" w:rsidRDefault="00610F6E" w:rsidP="00610F6E">
      <w:pPr>
        <w:pStyle w:val="Heading1"/>
        <w:spacing w:after="0"/>
      </w:pPr>
      <w:bookmarkStart w:id="30" w:name="Bookmark14"/>
      <w:bookmarkStart w:id="31" w:name="__RefHeading__1202_1551139750"/>
      <w:r>
        <w:lastRenderedPageBreak/>
        <w:t>4. Performance Evaluation Framework</w:t>
      </w:r>
      <w:bookmarkEnd w:id="30"/>
      <w:r>
        <w:t xml:space="preserve">                    </w:t>
      </w:r>
      <w:bookmarkEnd w:id="31"/>
    </w:p>
    <w:tbl>
      <w:tblPr>
        <w:tblW w:w="8865" w:type="dxa"/>
        <w:tblInd w:w="-108" w:type="dxa"/>
        <w:tblLayout w:type="fixed"/>
        <w:tblCellMar>
          <w:left w:w="10" w:type="dxa"/>
          <w:right w:w="10" w:type="dxa"/>
        </w:tblCellMar>
        <w:tblLook w:val="04A0" w:firstRow="1" w:lastRow="0" w:firstColumn="1" w:lastColumn="0" w:noHBand="0" w:noVBand="1"/>
      </w:tblPr>
      <w:tblGrid>
        <w:gridCol w:w="1770"/>
        <w:gridCol w:w="1574"/>
        <w:gridCol w:w="3315"/>
        <w:gridCol w:w="2206"/>
      </w:tblGrid>
      <w:tr w:rsidR="00610F6E" w:rsidTr="007F278A">
        <w:tblPrEx>
          <w:tblCellMar>
            <w:top w:w="0" w:type="dxa"/>
            <w:bottom w:w="0" w:type="dxa"/>
          </w:tblCellMar>
        </w:tblPrEx>
        <w:trPr>
          <w:trHeight w:val="735"/>
        </w:trPr>
        <w:tc>
          <w:tcPr>
            <w:tcW w:w="176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shd w:val="clear" w:color="auto" w:fill="FFFFFF"/>
              </w:rPr>
              <w:t>Perspective</w:t>
            </w:r>
          </w:p>
        </w:tc>
        <w:tc>
          <w:tcPr>
            <w:tcW w:w="1574"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shd w:val="clear" w:color="auto" w:fill="FFFFFF"/>
              </w:rPr>
              <w:t>Strategic Objectives</w:t>
            </w:r>
          </w:p>
        </w:tc>
        <w:tc>
          <w:tcPr>
            <w:tcW w:w="3315"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shd w:val="clear" w:color="auto" w:fill="FFFFFF"/>
              </w:rPr>
              <w:t>Key Performance Indicators (KPIs)</w:t>
            </w:r>
          </w:p>
        </w:tc>
        <w:tc>
          <w:tcPr>
            <w:tcW w:w="2206"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shd w:val="clear" w:color="auto" w:fill="FFFFFF"/>
              </w:rPr>
              <w:t>Target / Success Metric</w:t>
            </w:r>
          </w:p>
        </w:tc>
      </w:tr>
      <w:tr w:rsidR="00610F6E" w:rsidTr="007F278A">
        <w:tblPrEx>
          <w:tblCellMar>
            <w:top w:w="0" w:type="dxa"/>
            <w:bottom w:w="0" w:type="dxa"/>
          </w:tblCellMar>
        </w:tblPrEx>
        <w:trPr>
          <w:trHeight w:val="735"/>
        </w:trPr>
        <w:tc>
          <w:tcPr>
            <w:tcW w:w="176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rPr>
              <w:t>Financial</w:t>
            </w:r>
          </w:p>
        </w:tc>
        <w:tc>
          <w:tcPr>
            <w:tcW w:w="1574"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Achieve profitable market entry</w:t>
            </w:r>
          </w:p>
        </w:tc>
        <w:tc>
          <w:tcPr>
            <w:tcW w:w="3315"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Revenue growth %, market share %, ROI, operating margin, same store sales</w:t>
            </w:r>
          </w:p>
        </w:tc>
        <w:tc>
          <w:tcPr>
            <w:tcW w:w="2206"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10% Year-on-Year, 5% share, ROI&gt; 12%</w:t>
            </w:r>
          </w:p>
        </w:tc>
      </w:tr>
      <w:tr w:rsidR="00610F6E" w:rsidTr="007F278A">
        <w:tblPrEx>
          <w:tblCellMar>
            <w:top w:w="0" w:type="dxa"/>
            <w:bottom w:w="0" w:type="dxa"/>
          </w:tblCellMar>
        </w:tblPrEx>
        <w:trPr>
          <w:trHeight w:val="735"/>
        </w:trPr>
        <w:tc>
          <w:tcPr>
            <w:tcW w:w="176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rPr>
              <w:t>Customer</w:t>
            </w:r>
          </w:p>
        </w:tc>
        <w:tc>
          <w:tcPr>
            <w:tcW w:w="1574"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Build trust and loyalty among South African consumers</w:t>
            </w:r>
          </w:p>
        </w:tc>
        <w:tc>
          <w:tcPr>
            <w:tcW w:w="3315"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Satisfaction, Net Promoter Score (NPS), market penetration %, Loyalty Programme membership, digital engagement</w:t>
            </w:r>
          </w:p>
        </w:tc>
        <w:tc>
          <w:tcPr>
            <w:tcW w:w="2206"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 xml:space="preserve">NPS&gt;50, 1M members/3 </w:t>
            </w:r>
            <w:proofErr w:type="spellStart"/>
            <w:r>
              <w:rPr>
                <w:shd w:val="clear" w:color="auto" w:fill="FFFFFF"/>
              </w:rPr>
              <w:t>yrs</w:t>
            </w:r>
            <w:proofErr w:type="spellEnd"/>
            <w:r>
              <w:rPr>
                <w:shd w:val="clear" w:color="auto" w:fill="FFFFFF"/>
              </w:rPr>
              <w:t>, 20% digital sales</w:t>
            </w:r>
          </w:p>
        </w:tc>
      </w:tr>
      <w:tr w:rsidR="00610F6E" w:rsidTr="007F278A">
        <w:tblPrEx>
          <w:tblCellMar>
            <w:top w:w="0" w:type="dxa"/>
            <w:bottom w:w="0" w:type="dxa"/>
          </w:tblCellMar>
        </w:tblPrEx>
        <w:trPr>
          <w:trHeight w:val="735"/>
        </w:trPr>
        <w:tc>
          <w:tcPr>
            <w:tcW w:w="176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rPr>
              <w:t>Internal</w:t>
            </w:r>
          </w:p>
        </w:tc>
        <w:tc>
          <w:tcPr>
            <w:tcW w:w="1574"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Ensure efficient and resilient operations</w:t>
            </w:r>
          </w:p>
        </w:tc>
        <w:tc>
          <w:tcPr>
            <w:tcW w:w="3315"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Supply chain lead time, on-shelf availability %, Inventory turnover, waste reduction %, e-commerce fulfilment accuracy</w:t>
            </w:r>
          </w:p>
        </w:tc>
        <w:tc>
          <w:tcPr>
            <w:tcW w:w="2206"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 xml:space="preserve">95% availability, -25% waste/ 5 </w:t>
            </w:r>
            <w:proofErr w:type="spellStart"/>
            <w:r>
              <w:rPr>
                <w:shd w:val="clear" w:color="auto" w:fill="FFFFFF"/>
              </w:rPr>
              <w:t>yrs</w:t>
            </w:r>
            <w:proofErr w:type="spellEnd"/>
            <w:r>
              <w:rPr>
                <w:shd w:val="clear" w:color="auto" w:fill="FFFFFF"/>
              </w:rPr>
              <w:t>, 98% accuracy</w:t>
            </w:r>
          </w:p>
        </w:tc>
      </w:tr>
      <w:tr w:rsidR="00610F6E" w:rsidTr="007F278A">
        <w:tblPrEx>
          <w:tblCellMar>
            <w:top w:w="0" w:type="dxa"/>
            <w:bottom w:w="0" w:type="dxa"/>
          </w:tblCellMar>
        </w:tblPrEx>
        <w:trPr>
          <w:trHeight w:val="735"/>
        </w:trPr>
        <w:tc>
          <w:tcPr>
            <w:tcW w:w="176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b/>
              </w:rPr>
              <w:t>Learning &amp; Growth</w:t>
            </w:r>
          </w:p>
        </w:tc>
        <w:tc>
          <w:tcPr>
            <w:tcW w:w="1574"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Develop workforce and foster innovation</w:t>
            </w:r>
          </w:p>
        </w:tc>
        <w:tc>
          <w:tcPr>
            <w:tcW w:w="3315"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Employee training hours, Employee Engagement Score, leadership %, development participation, innovation output %, and Digital Skill penetration</w:t>
            </w:r>
          </w:p>
        </w:tc>
        <w:tc>
          <w:tcPr>
            <w:tcW w:w="2206" w:type="dxa"/>
            <w:tcBorders>
              <w:top w:val="single" w:sz="4" w:space="0" w:color="000001"/>
              <w:bottom w:val="single" w:sz="4" w:space="0" w:color="000001"/>
              <w:right w:val="single" w:sz="4" w:space="0" w:color="000001"/>
            </w:tcBorders>
            <w:tcMar>
              <w:top w:w="0" w:type="dxa"/>
              <w:left w:w="108" w:type="dxa"/>
              <w:bottom w:w="0" w:type="dxa"/>
              <w:right w:w="108" w:type="dxa"/>
            </w:tcMar>
          </w:tcPr>
          <w:p w:rsidR="00610F6E" w:rsidRDefault="00610F6E" w:rsidP="007F278A">
            <w:pPr>
              <w:pStyle w:val="Standard"/>
            </w:pPr>
            <w:r>
              <w:rPr>
                <w:shd w:val="clear" w:color="auto" w:fill="FFFFFF"/>
              </w:rPr>
              <w:t>40hrs/</w:t>
            </w:r>
            <w:proofErr w:type="spellStart"/>
            <w:r>
              <w:rPr>
                <w:shd w:val="clear" w:color="auto" w:fill="FFFFFF"/>
              </w:rPr>
              <w:t>yr</w:t>
            </w:r>
            <w:proofErr w:type="spellEnd"/>
            <w:r>
              <w:rPr>
                <w:shd w:val="clear" w:color="auto" w:fill="FFFFFF"/>
              </w:rPr>
              <w:t>, 80% engagement, 20% new sales, 70 trained</w:t>
            </w:r>
          </w:p>
        </w:tc>
      </w:tr>
    </w:tbl>
    <w:p w:rsidR="00610F6E" w:rsidRDefault="00610F6E" w:rsidP="00610F6E">
      <w:pPr>
        <w:pStyle w:val="Standard"/>
        <w:jc w:val="center"/>
      </w:pPr>
      <w:r>
        <w:rPr>
          <w:b/>
        </w:rPr>
        <w:t>Table 1: Balance Scorecard KPI</w:t>
      </w:r>
    </w:p>
    <w:p w:rsidR="00610F6E" w:rsidRDefault="00610F6E" w:rsidP="00610F6E">
      <w:pPr>
        <w:pStyle w:val="Standard"/>
        <w:jc w:val="center"/>
      </w:pPr>
      <w:r>
        <w:t>(Source: Self-created)</w:t>
      </w:r>
    </w:p>
    <w:p w:rsidR="00610F6E" w:rsidRDefault="00610F6E" w:rsidP="00610F6E">
      <w:pPr>
        <w:pStyle w:val="Standard"/>
      </w:pPr>
      <w:r>
        <w:t xml:space="preserve">International expansion into South Africa requires a systemised framework for evaluation to convert strategy into measurable outcomes. According to </w:t>
      </w:r>
      <w:proofErr w:type="spellStart"/>
      <w:r>
        <w:rPr>
          <w:shd w:val="clear" w:color="auto" w:fill="FFFFFF"/>
        </w:rPr>
        <w:t>Muraba</w:t>
      </w:r>
      <w:proofErr w:type="spellEnd"/>
      <w:r>
        <w:rPr>
          <w:i/>
          <w:shd w:val="clear" w:color="auto" w:fill="FFFFFF"/>
        </w:rPr>
        <w:t xml:space="preserve"> et al.</w:t>
      </w:r>
      <w:r>
        <w:rPr>
          <w:shd w:val="clear" w:color="auto" w:fill="FFFFFF"/>
        </w:rPr>
        <w:t xml:space="preserve"> (2024), </w:t>
      </w:r>
      <w:r>
        <w:t>narrowing performance measures to only financial metrics is inadequate since it omits key long-term success drivers, such as customer loyalty, employees’ capability, and efficiency. Kaplan and Norton’s “Balance Scorecard” offers a multifaceted framework to performance measurement based on financial, customer, internal process and learning and growth perspectives.</w:t>
      </w:r>
    </w:p>
    <w:p w:rsidR="00610F6E" w:rsidRDefault="00610F6E" w:rsidP="00610F6E">
      <w:pPr>
        <w:pStyle w:val="Standard"/>
      </w:pPr>
      <w:r>
        <w:lastRenderedPageBreak/>
        <w:t>For Tesco, entering an extremely competitive global marketplace, like South Africa, this framework ensures goals are monitored not only but are aligned with its mission to create value for shareholders, patrons, workers and partners. The “Balanced Scorecard”, therefore, provides an integrated model relating planning with measurable outcomes and driving sustainable global growth (</w:t>
      </w:r>
      <w:proofErr w:type="spellStart"/>
      <w:r>
        <w:rPr>
          <w:shd w:val="clear" w:color="auto" w:fill="FFFFFF"/>
        </w:rPr>
        <w:t>Chmutova</w:t>
      </w:r>
      <w:proofErr w:type="spellEnd"/>
      <w:r>
        <w:rPr>
          <w:shd w:val="clear" w:color="auto" w:fill="FFFFFF"/>
        </w:rPr>
        <w:t xml:space="preserve"> </w:t>
      </w:r>
      <w:r>
        <w:rPr>
          <w:i/>
          <w:shd w:val="clear" w:color="auto" w:fill="FFFFFF"/>
        </w:rPr>
        <w:t>et al.,</w:t>
      </w:r>
      <w:r>
        <w:rPr>
          <w:shd w:val="clear" w:color="auto" w:fill="FFFFFF"/>
        </w:rPr>
        <w:t xml:space="preserve"> 2024)</w:t>
      </w:r>
      <w:r>
        <w:t>. With clearly identified KPIs for each group, Tesco can monitor progress, adapt to shifts, and retain strategic flexibility.</w:t>
      </w:r>
    </w:p>
    <w:p w:rsidR="00610F6E" w:rsidRDefault="00610F6E" w:rsidP="00610F6E">
      <w:pPr>
        <w:pStyle w:val="Heading2"/>
        <w:spacing w:before="0" w:after="0"/>
      </w:pPr>
      <w:bookmarkStart w:id="32" w:name="__RefHeading__1204_1551139750"/>
      <w:bookmarkStart w:id="33" w:name="Bookmark15"/>
      <w:r>
        <w:t>4.1 Financial Perspective</w:t>
      </w:r>
      <w:bookmarkEnd w:id="32"/>
      <w:bookmarkEnd w:id="33"/>
    </w:p>
    <w:p w:rsidR="00610F6E" w:rsidRDefault="00610F6E" w:rsidP="00610F6E">
      <w:pPr>
        <w:pStyle w:val="Standard"/>
      </w:pPr>
      <w:r>
        <w:t>The financial strategy decides if Tesco’s South African operation achieves durable economic profitability. As a new market to venture into, Initial investments will be high and will cover distribution networks, store opening and information networks. “Key performance measures” will trade off short-term costs and long-term benefits.</w:t>
      </w:r>
    </w:p>
    <w:p w:rsidR="00610F6E" w:rsidRDefault="00610F6E" w:rsidP="00610F6E">
      <w:pPr>
        <w:pStyle w:val="Standard"/>
      </w:pPr>
      <w:r>
        <w:rPr>
          <w:shd w:val="clear" w:color="auto" w:fill="FFFFFF"/>
        </w:rPr>
        <w:t>The most critical KPI is “revenue growth”, evaluating whether Tesco is meeting Milestones demonstrating success and aggressive competition strategy through attaining double-digit revenues within the first five years, proving South Africa’s retailing marketplace is garnering interest. Market penetration is also pivotal. Tesco would have to analyse the organised retail market penetration and size up its competition to “Shoprite” and “</w:t>
      </w:r>
      <w:proofErr w:type="spellStart"/>
      <w:r>
        <w:rPr>
          <w:shd w:val="clear" w:color="auto" w:fill="FFFFFF"/>
        </w:rPr>
        <w:t>Pick'n</w:t>
      </w:r>
      <w:proofErr w:type="spellEnd"/>
      <w:r>
        <w:rPr>
          <w:shd w:val="clear" w:color="auto" w:fill="FFFFFF"/>
        </w:rPr>
        <w:t xml:space="preserve"> Pay”. Within five years of capture, 5% would be a massive accomplishment.</w:t>
      </w:r>
    </w:p>
    <w:p w:rsidR="00610F6E" w:rsidRDefault="00610F6E" w:rsidP="00610F6E">
      <w:pPr>
        <w:pStyle w:val="Standard"/>
      </w:pPr>
      <w:proofErr w:type="spellStart"/>
      <w:r>
        <w:rPr>
          <w:shd w:val="clear" w:color="auto" w:fill="FFFFFF"/>
        </w:rPr>
        <w:t>Gonen</w:t>
      </w:r>
      <w:proofErr w:type="spellEnd"/>
      <w:r>
        <w:rPr>
          <w:shd w:val="clear" w:color="auto" w:fill="FFFFFF"/>
        </w:rPr>
        <w:t xml:space="preserve"> </w:t>
      </w:r>
      <w:r>
        <w:rPr>
          <w:i/>
          <w:iCs/>
          <w:shd w:val="clear" w:color="auto" w:fill="FFFFFF"/>
        </w:rPr>
        <w:t>et al.</w:t>
      </w:r>
      <w:r>
        <w:rPr>
          <w:shd w:val="clear" w:color="auto" w:fill="FFFFFF"/>
        </w:rPr>
        <w:t xml:space="preserve"> (2025) suggest profits are lost to a negative operating margin. "Managing 'operating margin' indicates Tesco has performed well with cost control and price competition,” 155.05 in 2025 would be ideal prices when accumulated in mass, as neglect is profitable to the operations in question. ROI works as the foremost </w:t>
      </w:r>
      <w:proofErr w:type="spellStart"/>
      <w:r>
        <w:rPr>
          <w:shd w:val="clear" w:color="auto" w:fill="FFFFFF"/>
        </w:rPr>
        <w:t>kpi</w:t>
      </w:r>
      <w:proofErr w:type="spellEnd"/>
      <w:r>
        <w:rPr>
          <w:shd w:val="clear" w:color="auto" w:fill="FFFFFF"/>
        </w:rPr>
        <w:t xml:space="preserve"> in the analysis of money spent in new retail constructs, integrated supply chains and e-commerce points of sales. Evidence that expansion generates savings above and beyond the cost of capital is what creditors look for.</w:t>
      </w:r>
    </w:p>
    <w:p w:rsidR="00610F6E" w:rsidRDefault="00610F6E" w:rsidP="00610F6E">
      <w:pPr>
        <w:pStyle w:val="Standard"/>
      </w:pPr>
      <w:r>
        <w:rPr>
          <w:shd w:val="clear" w:color="auto" w:fill="FFFFFF"/>
        </w:rPr>
        <w:t>After Tesco has established an outlet in South Africa, "same-store sales growth” pivots gainfully for some period. This measure confirms whether revenue post initial penetration is sustained by customer patronage (</w:t>
      </w:r>
      <w:proofErr w:type="spellStart"/>
      <w:r>
        <w:rPr>
          <w:shd w:val="clear" w:color="auto" w:fill="FFFFFF"/>
        </w:rPr>
        <w:t>Shobana</w:t>
      </w:r>
      <w:proofErr w:type="spellEnd"/>
      <w:r>
        <w:rPr>
          <w:shd w:val="clear" w:color="auto" w:fill="FFFFFF"/>
        </w:rPr>
        <w:t xml:space="preserve"> </w:t>
      </w:r>
      <w:r>
        <w:rPr>
          <w:i/>
          <w:iCs/>
          <w:shd w:val="clear" w:color="auto" w:fill="FFFFFF"/>
        </w:rPr>
        <w:t>et al,</w:t>
      </w:r>
      <w:r>
        <w:rPr>
          <w:shd w:val="clear" w:color="auto" w:fill="FFFFFF"/>
        </w:rPr>
        <w:t xml:space="preserve"> 2023). Lastly, operating cash flows ensured cash on hand for market fluctuations like the rand or fuel price volatility, as well as reinvestment for sustained expansion, which is also how the cash flows were spent.  </w:t>
      </w:r>
    </w:p>
    <w:p w:rsidR="00610F6E" w:rsidRDefault="00610F6E" w:rsidP="00610F6E">
      <w:pPr>
        <w:pStyle w:val="Standard"/>
      </w:pPr>
      <w:r>
        <w:rPr>
          <w:shd w:val="clear" w:color="auto" w:fill="FFFFFF"/>
        </w:rPr>
        <w:t xml:space="preserve">The integration of these KPIs makes the services of Tesco South Africa affordable, reliable and scalable. Financial KPIs are lagging indicators which should be utilised </w:t>
      </w:r>
      <w:r>
        <w:rPr>
          <w:shd w:val="clear" w:color="auto" w:fill="FFFFFF"/>
        </w:rPr>
        <w:lastRenderedPageBreak/>
        <w:t>simultaneously with the other balanced scorecard viewpoints to ensure long-term success.</w:t>
      </w:r>
    </w:p>
    <w:p w:rsidR="00610F6E" w:rsidRDefault="00610F6E" w:rsidP="00610F6E">
      <w:pPr>
        <w:pStyle w:val="Heading2"/>
        <w:spacing w:before="0" w:after="0"/>
      </w:pPr>
      <w:bookmarkStart w:id="34" w:name="__RefHeading__1206_1551139750"/>
      <w:bookmarkStart w:id="35" w:name="Bookmark16"/>
      <w:r>
        <w:t>4.2 Customer Perspective</w:t>
      </w:r>
      <w:bookmarkEnd w:id="34"/>
      <w:bookmarkEnd w:id="35"/>
    </w:p>
    <w:p w:rsidR="00610F6E" w:rsidRDefault="00610F6E" w:rsidP="00610F6E">
      <w:pPr>
        <w:pStyle w:val="Standard"/>
      </w:pPr>
      <w:r>
        <w:t>South African customers present challenges and prospects. The customer base is competitively valued, increasingly digital and very diverse. The customer perspective of the Balanced Scorecard ensures that Tesco builds brand recognition, trust and customer loyalty.</w:t>
      </w:r>
    </w:p>
    <w:p w:rsidR="00610F6E" w:rsidRDefault="00610F6E" w:rsidP="00610F6E">
      <w:pPr>
        <w:pStyle w:val="Standard"/>
      </w:pPr>
      <w:r>
        <w:t>“Customer satisfaction” is the main KPI and is monitored through surveys and feedback at stores and online (</w:t>
      </w:r>
      <w:r>
        <w:rPr>
          <w:shd w:val="clear" w:color="auto" w:fill="FFFFFF"/>
        </w:rPr>
        <w:t xml:space="preserve">Bilbao </w:t>
      </w:r>
      <w:proofErr w:type="spellStart"/>
      <w:r>
        <w:rPr>
          <w:shd w:val="clear" w:color="auto" w:fill="FFFFFF"/>
        </w:rPr>
        <w:t>Gato</w:t>
      </w:r>
      <w:proofErr w:type="spellEnd"/>
      <w:r>
        <w:rPr>
          <w:shd w:val="clear" w:color="auto" w:fill="FFFFFF"/>
        </w:rPr>
        <w:t>, 2023)</w:t>
      </w:r>
      <w:r>
        <w:t>. Strong satisfaction signals that Tesco is offering value through price, quality and service. “Net Promoter Score (NPS)” is especially relevant in South Africa, where “word of mouth” and “community trust” strongly influence shopping behaviour. A strong NPS would confirm that Tesco is connecting with local consumers.</w:t>
      </w:r>
    </w:p>
    <w:p w:rsidR="00610F6E" w:rsidRDefault="00610F6E" w:rsidP="00610F6E">
      <w:pPr>
        <w:pStyle w:val="Standard"/>
      </w:pPr>
      <w:r>
        <w:t>The “market penetration rate” reflects Tesco’s ability to draw South African households into its ecosystem. “Clubcard”, Tesco's loyalty scheme, can be adapted to local needs with discounts, mobile data deals or community rewards (</w:t>
      </w:r>
      <w:proofErr w:type="spellStart"/>
      <w:r>
        <w:rPr>
          <w:shd w:val="clear" w:color="auto" w:fill="FFFFFF"/>
        </w:rPr>
        <w:t>Yawson</w:t>
      </w:r>
      <w:proofErr w:type="spellEnd"/>
      <w:r>
        <w:rPr>
          <w:shd w:val="clear" w:color="auto" w:fill="FFFFFF"/>
        </w:rPr>
        <w:t xml:space="preserve"> and </w:t>
      </w:r>
      <w:proofErr w:type="spellStart"/>
      <w:r>
        <w:rPr>
          <w:shd w:val="clear" w:color="auto" w:fill="FFFFFF"/>
        </w:rPr>
        <w:t>Yamoah</w:t>
      </w:r>
      <w:proofErr w:type="spellEnd"/>
      <w:r>
        <w:rPr>
          <w:shd w:val="clear" w:color="auto" w:fill="FFFFFF"/>
        </w:rPr>
        <w:t>, 2022)</w:t>
      </w:r>
      <w:r>
        <w:t>. Tracking membership growth provides an early measure of customer engagement.</w:t>
      </w:r>
    </w:p>
    <w:p w:rsidR="00610F6E" w:rsidRDefault="00610F6E" w:rsidP="00610F6E">
      <w:pPr>
        <w:pStyle w:val="Standard"/>
      </w:pPr>
      <w:r>
        <w:t>Average basket size tracks purchasing pattern, with larger baskets showing effective gross selling and confidence in Tesco’s range. Digital engagement is also a vital KPI, given the rapid growth of mobile commerce in South Africa. Metrics such as online purchases, app downloads, and active digital accounts will indicate Tesco’s competitiveness in e-commerce.</w:t>
      </w:r>
    </w:p>
    <w:p w:rsidR="00610F6E" w:rsidRDefault="00610F6E" w:rsidP="00610F6E">
      <w:pPr>
        <w:pStyle w:val="Standard"/>
      </w:pPr>
      <w:r>
        <w:t xml:space="preserve">According to </w:t>
      </w:r>
      <w:proofErr w:type="spellStart"/>
      <w:r>
        <w:rPr>
          <w:shd w:val="clear" w:color="auto" w:fill="FFFFFF"/>
        </w:rPr>
        <w:t>Muntlin</w:t>
      </w:r>
      <w:proofErr w:type="spellEnd"/>
      <w:r>
        <w:rPr>
          <w:shd w:val="clear" w:color="auto" w:fill="FFFFFF"/>
        </w:rPr>
        <w:t xml:space="preserve"> and </w:t>
      </w:r>
      <w:proofErr w:type="spellStart"/>
      <w:r>
        <w:rPr>
          <w:shd w:val="clear" w:color="auto" w:fill="FFFFFF"/>
        </w:rPr>
        <w:t>Jangland</w:t>
      </w:r>
      <w:proofErr w:type="spellEnd"/>
      <w:r>
        <w:rPr>
          <w:shd w:val="clear" w:color="auto" w:fill="FFFFFF"/>
        </w:rPr>
        <w:t xml:space="preserve"> (2023), </w:t>
      </w:r>
      <w:r>
        <w:t>“cultural adaptation” is essential. Tesco must localise its product mix, stocking staples like maize meal, affordable protein, and popular regional brands. Monitoring customer retention will show whether Tesco is becoming part of everyday shopping routines.</w:t>
      </w:r>
    </w:p>
    <w:p w:rsidR="00610F6E" w:rsidRDefault="00610F6E" w:rsidP="00610F6E">
      <w:pPr>
        <w:pStyle w:val="Heading2"/>
        <w:spacing w:before="0" w:after="0"/>
      </w:pPr>
      <w:bookmarkStart w:id="36" w:name="__RefHeading__1208_1551139750"/>
      <w:bookmarkStart w:id="37" w:name="Bookmark17"/>
      <w:r>
        <w:t>4.3 Internal Processes Perspective</w:t>
      </w:r>
      <w:bookmarkEnd w:id="36"/>
      <w:bookmarkEnd w:id="37"/>
    </w:p>
    <w:p w:rsidR="00610F6E" w:rsidRDefault="00610F6E" w:rsidP="00610F6E">
      <w:pPr>
        <w:pStyle w:val="Standard"/>
      </w:pPr>
      <w:r>
        <w:t>Strong internal procedures will determine whether Tesco can successfully compete with embedded South African shops. The supply chain is one critical challenge with the country's infrastructural gaps, logistical delays, and import reliance for certain products.</w:t>
      </w:r>
    </w:p>
    <w:p w:rsidR="00610F6E" w:rsidRDefault="00610F6E" w:rsidP="00610F6E">
      <w:pPr>
        <w:pStyle w:val="Standard"/>
      </w:pPr>
      <w:r>
        <w:t>“Supply chain lead time” must be continuously tracked to see how quickly products move from stores to shelves (</w:t>
      </w:r>
      <w:r>
        <w:rPr>
          <w:shd w:val="clear" w:color="auto" w:fill="FFFFFF"/>
        </w:rPr>
        <w:t>Blanchard, 2021)</w:t>
      </w:r>
      <w:r>
        <w:t xml:space="preserve">. Lead times reduced to a week improve freshness and affordability, and are especially valuable for fresh food categories upon </w:t>
      </w:r>
      <w:r>
        <w:lastRenderedPageBreak/>
        <w:t>which Woolworths' rivals excel. On-shelf availability is another key performance measure to avoid out-of-stock situations, which erode consumer confidence in a price-sensitive marketplace with a multitasking facility.</w:t>
      </w:r>
    </w:p>
    <w:p w:rsidR="00610F6E" w:rsidRDefault="00610F6E" w:rsidP="00610F6E">
      <w:pPr>
        <w:pStyle w:val="Standard"/>
      </w:pPr>
      <w:r>
        <w:t>Inventory turnover gauges stock management efficiency. Strong turnover suggests alignment between consumer demand and levels of stock on hand, while weak turnover signals inefficiency (</w:t>
      </w:r>
      <w:r>
        <w:rPr>
          <w:shd w:val="clear" w:color="auto" w:fill="FFFFFF"/>
        </w:rPr>
        <w:t xml:space="preserve">Wang </w:t>
      </w:r>
      <w:r>
        <w:rPr>
          <w:i/>
          <w:shd w:val="clear" w:color="auto" w:fill="FFFFFF"/>
        </w:rPr>
        <w:t>et al.,</w:t>
      </w:r>
      <w:r>
        <w:rPr>
          <w:shd w:val="clear" w:color="auto" w:fill="FFFFFF"/>
        </w:rPr>
        <w:t xml:space="preserve"> 2022)</w:t>
      </w:r>
      <w:r>
        <w:t>. Adoption of technology will similarly be critical. Tesco will need to track digital checkout implementation, demand forecasting through AI, and blockchain traceable systems. These are technology innovations that boost efficiency and transparency.</w:t>
      </w:r>
    </w:p>
    <w:p w:rsidR="00610F6E" w:rsidRDefault="00610F6E" w:rsidP="00610F6E">
      <w:pPr>
        <w:pStyle w:val="Standard"/>
      </w:pPr>
      <w:r>
        <w:t>Waste reduction needs to be monitored, particularly for perishable items. Perishable food is wasted as an operational cost and a reputational risk. What can help mitigate waste while generating goodwill is a program like redistributing programs. E-commerce fulfilment effectiveness is another key performance indicator with measures for order fulfilment accuracy, delivery speed, and performance for last-mile logistics.</w:t>
      </w:r>
    </w:p>
    <w:p w:rsidR="00610F6E" w:rsidRDefault="00610F6E" w:rsidP="00610F6E">
      <w:pPr>
        <w:pStyle w:val="Standard"/>
      </w:pPr>
      <w:r>
        <w:t>Tesco’s historic losses overseas (e.g., in the United States with “Fresh &amp; Easy”) identify the challenge to align internal processes to local environments. Supply chain systems are required to be resilient to South African challenges like power load-shedding, transport strikes, and rural supply chain challenges. Tracking process KPIs makes Tesco’s processes efficient and responsive, and customer-driven.</w:t>
      </w:r>
    </w:p>
    <w:p w:rsidR="00610F6E" w:rsidRDefault="00610F6E" w:rsidP="00610F6E">
      <w:pPr>
        <w:pStyle w:val="Heading2"/>
        <w:spacing w:before="0" w:after="0"/>
      </w:pPr>
      <w:bookmarkStart w:id="38" w:name="__RefHeading__1210_1551139750"/>
      <w:bookmarkStart w:id="39" w:name="Bookmark18"/>
      <w:r>
        <w:t>4.4 Learning and Growth Perspective</w:t>
      </w:r>
      <w:bookmarkEnd w:id="38"/>
      <w:bookmarkEnd w:id="39"/>
    </w:p>
    <w:p w:rsidR="00610F6E" w:rsidRDefault="00610F6E" w:rsidP="00610F6E">
      <w:pPr>
        <w:pStyle w:val="Standard"/>
      </w:pPr>
      <w:r>
        <w:t>The learning and growth perspective is the basis upon which Tesco can sustain South African expansion. The success is based on workforce development, cultural fit, and innovation.</w:t>
      </w:r>
    </w:p>
    <w:p w:rsidR="00610F6E" w:rsidRDefault="00610F6E" w:rsidP="00610F6E">
      <w:pPr>
        <w:pStyle w:val="Standard"/>
      </w:pPr>
      <w:r>
        <w:t xml:space="preserve">As per </w:t>
      </w:r>
      <w:proofErr w:type="spellStart"/>
      <w:r>
        <w:rPr>
          <w:shd w:val="clear" w:color="auto" w:fill="FFFFFF"/>
        </w:rPr>
        <w:t>Untoro</w:t>
      </w:r>
      <w:proofErr w:type="spellEnd"/>
      <w:r>
        <w:rPr>
          <w:i/>
          <w:shd w:val="clear" w:color="auto" w:fill="FFFFFF"/>
        </w:rPr>
        <w:t xml:space="preserve"> et al.</w:t>
      </w:r>
      <w:r>
        <w:rPr>
          <w:shd w:val="clear" w:color="auto" w:fill="FFFFFF"/>
        </w:rPr>
        <w:t xml:space="preserve"> (2023), </w:t>
      </w:r>
      <w:r>
        <w:t>training hours for employees are a valuable KPI to make employees proficient in customer service, technology, and cultural competency. For South Africa, it is equally valuable to train employees to perform local language proficiency and community interaction to maintain confidence among different customer segments. Motivation and satisfaction can be monitored by employee engagement surveys and are vital to a labour-intensive industry. Strong employee engagement reduces high turnover and boosts quality service.</w:t>
      </w:r>
    </w:p>
    <w:p w:rsidR="00610F6E" w:rsidRDefault="00610F6E" w:rsidP="00610F6E">
      <w:pPr>
        <w:pStyle w:val="Standard"/>
      </w:pPr>
      <w:r>
        <w:t>Leader development is crucial to managing operations all over South Africa's diverse locations (</w:t>
      </w:r>
      <w:r>
        <w:rPr>
          <w:shd w:val="clear" w:color="auto" w:fill="FFFFFF"/>
        </w:rPr>
        <w:t xml:space="preserve">Mhlongo and </w:t>
      </w:r>
      <w:proofErr w:type="spellStart"/>
      <w:r>
        <w:rPr>
          <w:shd w:val="clear" w:color="auto" w:fill="FFFFFF"/>
        </w:rPr>
        <w:t>Daya</w:t>
      </w:r>
      <w:proofErr w:type="spellEnd"/>
      <w:r>
        <w:rPr>
          <w:shd w:val="clear" w:color="auto" w:fill="FFFFFF"/>
        </w:rPr>
        <w:t>, 2023)</w:t>
      </w:r>
      <w:r>
        <w:t xml:space="preserve">. The KPIs can include the percentage of managers who complete cross-cultural leadership programs successfully. Local </w:t>
      </w:r>
      <w:r>
        <w:lastRenderedPageBreak/>
        <w:t>pipelines for effective leadership avoid over-reliance on expats and allow blending with society.</w:t>
      </w:r>
    </w:p>
    <w:p w:rsidR="00610F6E" w:rsidRDefault="00610F6E" w:rsidP="00610F6E">
      <w:pPr>
        <w:pStyle w:val="Standard"/>
      </w:pPr>
      <w:r>
        <w:t>“Innovation capability” must also be tracked. KPIs can go from revenue contribution for new-product launches with local tastes, like affordable meal solutions or local brands (</w:t>
      </w:r>
      <w:r>
        <w:rPr>
          <w:shd w:val="clear" w:color="auto" w:fill="FFFFFF"/>
        </w:rPr>
        <w:t>Pichler, 2022)</w:t>
      </w:r>
      <w:r>
        <w:t>. It is to digital skills penetration across the workforce, like employees trained in e-commerce, analytics, and automation tools.</w:t>
      </w:r>
    </w:p>
    <w:p w:rsidR="00610F6E" w:rsidRDefault="00610F6E" w:rsidP="00610F6E">
      <w:pPr>
        <w:pStyle w:val="Standard"/>
      </w:pPr>
      <w:r>
        <w:t xml:space="preserve">Tesco can apply its expertise in the UK through initiatives like “Tesco Academy” and tailor them to South African employees. Tesco has yet to link social responsibility to employee development. For instance, according to </w:t>
      </w:r>
      <w:r>
        <w:rPr>
          <w:shd w:val="clear" w:color="auto" w:fill="FFFFFF"/>
        </w:rPr>
        <w:t xml:space="preserve">Tam </w:t>
      </w:r>
      <w:r>
        <w:rPr>
          <w:i/>
          <w:shd w:val="clear" w:color="auto" w:fill="FFFFFF"/>
        </w:rPr>
        <w:t>et al.</w:t>
      </w:r>
      <w:r>
        <w:rPr>
          <w:shd w:val="clear" w:color="auto" w:fill="FFFFFF"/>
        </w:rPr>
        <w:t xml:space="preserve"> (2021), </w:t>
      </w:r>
      <w:r>
        <w:t>offering career development paths to unemployed young people can improve brand image while increasing workforce capacity.</w:t>
      </w:r>
    </w:p>
    <w:p w:rsidR="00610F6E" w:rsidRDefault="00610F6E" w:rsidP="00610F6E">
      <w:pPr>
        <w:pStyle w:val="Standard"/>
      </w:pPr>
      <w:r>
        <w:t>By investing in learning and development, Tesco safeguards its supply of long-term human capital and innovation capacity to ensure long-term performance. This perspective reinforces other Balanced Scorecard aspects by linking workforce improvement to customer satisfaction, process efficiency, and financial viability.</w:t>
      </w:r>
    </w:p>
    <w:p w:rsidR="00610F6E" w:rsidRDefault="00610F6E" w:rsidP="00610F6E">
      <w:pPr>
        <w:pStyle w:val="Standard"/>
      </w:pPr>
      <w:r>
        <w:t>The “Balanced Scorecard” provides Tesco with an all-encompassing framework to examine its entry and growth in South Africa. Financial KPI such as revenue growth, market share, and return-on-investment ensure profitability and scale (</w:t>
      </w:r>
      <w:r>
        <w:rPr>
          <w:shd w:val="clear" w:color="auto" w:fill="FFFFFF"/>
        </w:rPr>
        <w:t xml:space="preserve">Swetha </w:t>
      </w:r>
      <w:r>
        <w:rPr>
          <w:i/>
          <w:shd w:val="clear" w:color="auto" w:fill="FFFFFF"/>
        </w:rPr>
        <w:t>et al</w:t>
      </w:r>
      <w:r>
        <w:rPr>
          <w:shd w:val="clear" w:color="auto" w:fill="FFFFFF"/>
        </w:rPr>
        <w:t>., 2024)</w:t>
      </w:r>
      <w:r>
        <w:t>. Customer-centric metrics such as satisfaction, loyalty, and digital interaction measure Tesco’s ability to win and retain customers. Internal process KPI, such as supply chain efficiency and wastage reduction, ensure operational efficiency. Measures of learning and growth ensure workforce capacity, leadership and innovation build long-term competitiveness.</w:t>
      </w:r>
    </w:p>
    <w:p w:rsidR="00610F6E" w:rsidRDefault="00610F6E" w:rsidP="00610F6E">
      <w:pPr>
        <w:pStyle w:val="Standard"/>
      </w:pPr>
      <w:r>
        <w:t>By integrating these perspectives, Tesco creates a system to gauge, monitor performance and adjust to South Africa's unique retail environment. Outcomes are measured by the “Balanced Scorecard” while creating early signals to maintain strategic alignment and stability.</w:t>
      </w:r>
    </w:p>
    <w:p w:rsidR="00610F6E" w:rsidRDefault="00610F6E" w:rsidP="00610F6E">
      <w:pPr>
        <w:pStyle w:val="Heading1"/>
        <w:spacing w:after="0"/>
      </w:pPr>
      <w:bookmarkStart w:id="40" w:name="_7pmk4o2ln83n"/>
      <w:bookmarkStart w:id="41" w:name="Bookmark19"/>
      <w:bookmarkStart w:id="42" w:name="__RefHeading__1212_1551139750"/>
      <w:bookmarkEnd w:id="40"/>
      <w:bookmarkEnd w:id="41"/>
      <w:r>
        <w:t>5. Conclusion</w:t>
      </w:r>
      <w:bookmarkEnd w:id="42"/>
    </w:p>
    <w:p w:rsidR="00610F6E" w:rsidRDefault="00610F6E" w:rsidP="00610F6E">
      <w:pPr>
        <w:pStyle w:val="Standard"/>
      </w:pPr>
      <w:bookmarkStart w:id="43" w:name="Bookmark20"/>
      <w:bookmarkEnd w:id="43"/>
      <w:r>
        <w:t xml:space="preserve">In conclusion, it can be stated that Tesco's move into South Africa should be accomplished using the joint venture and strategic alliance option in order to leverage local knowledge while mitigating risk. It would also require a hybrid cost leadership-differentiation strategy to maintain some aspects of the global supply chain efficiencies while providing relevant, tailored local offerings to meet consumer needs. Tesco's </w:t>
      </w:r>
      <w:r>
        <w:lastRenderedPageBreak/>
        <w:t>competitive abilities hinge, potentially, on its capability to offer differentiated value-creating propositions. Based on the RBV, the firm's capabilities in procurement and logistics, its brand, and commitment to sustainability are all capabilities leveraged as noted above. Future success would depend on localisation, technological advancement, and creating engagement approaches to leverage all stakeholders to build a robust and sustainable position in the retail competition context in South Africa.</w:t>
      </w:r>
    </w:p>
    <w:p w:rsidR="00610F6E" w:rsidRDefault="00610F6E" w:rsidP="00610F6E">
      <w:pPr>
        <w:pStyle w:val="Heading1"/>
        <w:keepNext w:val="0"/>
        <w:keepLines w:val="0"/>
        <w:pageBreakBefore/>
        <w:spacing w:after="0"/>
      </w:pPr>
      <w:bookmarkStart w:id="44" w:name="Bookmark21"/>
      <w:bookmarkStart w:id="45" w:name="__RefHeading__1214_1551139750"/>
      <w:bookmarkStart w:id="46" w:name="_l4ouz913uwil"/>
      <w:bookmarkEnd w:id="44"/>
      <w:r>
        <w:lastRenderedPageBreak/>
        <w:t>Reference list</w:t>
      </w:r>
      <w:bookmarkEnd w:id="45"/>
      <w:bookmarkEnd w:id="46"/>
    </w:p>
    <w:p w:rsidR="00610F6E" w:rsidRDefault="00610F6E" w:rsidP="00610F6E">
      <w:pPr>
        <w:pStyle w:val="Standard"/>
        <w:ind w:left="720"/>
      </w:pPr>
    </w:p>
    <w:p w:rsidR="00610F6E" w:rsidRDefault="00610F6E" w:rsidP="00610F6E">
      <w:pPr>
        <w:pStyle w:val="Standard"/>
      </w:pPr>
    </w:p>
    <w:p w:rsidR="00610F6E" w:rsidRDefault="00610F6E" w:rsidP="00610F6E">
      <w:pPr>
        <w:pStyle w:val="Standard"/>
      </w:pPr>
      <w:r>
        <w:rPr>
          <w:shd w:val="clear" w:color="auto" w:fill="FFFFFF"/>
        </w:rPr>
        <w:t xml:space="preserve">Bilbao </w:t>
      </w:r>
      <w:proofErr w:type="spellStart"/>
      <w:r>
        <w:rPr>
          <w:shd w:val="clear" w:color="auto" w:fill="FFFFFF"/>
        </w:rPr>
        <w:t>Gato</w:t>
      </w:r>
      <w:proofErr w:type="spellEnd"/>
      <w:r>
        <w:rPr>
          <w:shd w:val="clear" w:color="auto" w:fill="FFFFFF"/>
        </w:rPr>
        <w:t>, N. (2023). How to improve customer satisfaction with customer surveys and lean for retail.</w:t>
      </w:r>
    </w:p>
    <w:p w:rsidR="00610F6E" w:rsidRDefault="00610F6E" w:rsidP="00610F6E">
      <w:pPr>
        <w:pStyle w:val="Standard"/>
      </w:pPr>
      <w:r>
        <w:rPr>
          <w:shd w:val="clear" w:color="auto" w:fill="FFFFFF"/>
        </w:rPr>
        <w:t xml:space="preserve">Blanchard, D. (2021). </w:t>
      </w:r>
      <w:r>
        <w:rPr>
          <w:i/>
          <w:shd w:val="clear" w:color="auto" w:fill="FFFFFF"/>
        </w:rPr>
        <w:t>Supply chain management best practices</w:t>
      </w:r>
      <w:r>
        <w:rPr>
          <w:shd w:val="clear" w:color="auto" w:fill="FFFFFF"/>
        </w:rPr>
        <w:t>. John Wiley and Sons.</w:t>
      </w:r>
    </w:p>
    <w:p w:rsidR="00610F6E" w:rsidRDefault="00610F6E" w:rsidP="00610F6E">
      <w:pPr>
        <w:pStyle w:val="Standard"/>
      </w:pPr>
      <w:r>
        <w:t xml:space="preserve">Bloomberg. (2025, 27 May). “South Africa Has Too Many Retail Stores, </w:t>
      </w:r>
      <w:proofErr w:type="gramStart"/>
      <w:r>
        <w:t>Pick</w:t>
      </w:r>
      <w:proofErr w:type="gramEnd"/>
      <w:r>
        <w:t xml:space="preserve"> n Pay CEO Says.” Available at:</w:t>
      </w:r>
      <w:hyperlink r:id="rId27" w:history="1">
        <w:r>
          <w:t xml:space="preserve"> </w:t>
        </w:r>
      </w:hyperlink>
      <w:hyperlink r:id="rId28" w:history="1">
        <w:r>
          <w:rPr>
            <w:u w:val="single"/>
          </w:rPr>
          <w:t>https://www.bloomberg.com/news/articles/2025-05-26/south-africa-has-too-many-retail-stores-pick-n-pay-ceo-says</w:t>
        </w:r>
      </w:hyperlink>
      <w:r>
        <w:t>? (Accessed 19 September 2025)</w:t>
      </w:r>
    </w:p>
    <w:p w:rsidR="00610F6E" w:rsidRDefault="00610F6E" w:rsidP="00610F6E">
      <w:pPr>
        <w:pStyle w:val="Standard"/>
      </w:pPr>
      <w:proofErr w:type="spellStart"/>
      <w:r>
        <w:rPr>
          <w:shd w:val="clear" w:color="auto" w:fill="FFFFFF"/>
        </w:rPr>
        <w:t>Chmutova</w:t>
      </w:r>
      <w:proofErr w:type="spellEnd"/>
      <w:r>
        <w:rPr>
          <w:shd w:val="clear" w:color="auto" w:fill="FFFFFF"/>
        </w:rPr>
        <w:t xml:space="preserve">, I., Guo, X., Zhang, Q., </w:t>
      </w:r>
      <w:proofErr w:type="spellStart"/>
      <w:r>
        <w:rPr>
          <w:shd w:val="clear" w:color="auto" w:fill="FFFFFF"/>
        </w:rPr>
        <w:t>Mazhuta</w:t>
      </w:r>
      <w:proofErr w:type="spellEnd"/>
      <w:r>
        <w:rPr>
          <w:shd w:val="clear" w:color="auto" w:fill="FFFFFF"/>
        </w:rPr>
        <w:t xml:space="preserve">, V., and </w:t>
      </w:r>
      <w:proofErr w:type="spellStart"/>
      <w:r>
        <w:rPr>
          <w:shd w:val="clear" w:color="auto" w:fill="FFFFFF"/>
        </w:rPr>
        <w:t>Nimets</w:t>
      </w:r>
      <w:proofErr w:type="spellEnd"/>
      <w:r>
        <w:rPr>
          <w:shd w:val="clear" w:color="auto" w:fill="FFFFFF"/>
        </w:rPr>
        <w:t xml:space="preserve">, A. (2024). Formulating Key Performance Indicators </w:t>
      </w:r>
      <w:proofErr w:type="gramStart"/>
      <w:r>
        <w:rPr>
          <w:shd w:val="clear" w:color="auto" w:fill="FFFFFF"/>
        </w:rPr>
        <w:t>For</w:t>
      </w:r>
      <w:proofErr w:type="gramEnd"/>
      <w:r>
        <w:rPr>
          <w:shd w:val="clear" w:color="auto" w:fill="FFFFFF"/>
        </w:rPr>
        <w:t xml:space="preserve"> An Integrated Enterprise Management System Using A Sustainable Development Balanced Scorecard.</w:t>
      </w:r>
    </w:p>
    <w:p w:rsidR="00610F6E" w:rsidRDefault="00610F6E" w:rsidP="00610F6E">
      <w:pPr>
        <w:pStyle w:val="Standard"/>
      </w:pPr>
      <w:r>
        <w:t xml:space="preserve">Deloitte. (2024). </w:t>
      </w:r>
      <w:r>
        <w:rPr>
          <w:i/>
        </w:rPr>
        <w:t>Global Powers of Retailing 2024</w:t>
      </w:r>
      <w:r>
        <w:t>. Deloitte. Available at: https://www2.deloitte.com (Accessed: 18 September 2025).</w:t>
      </w:r>
    </w:p>
    <w:p w:rsidR="00610F6E" w:rsidRDefault="00610F6E" w:rsidP="00610F6E">
      <w:pPr>
        <w:pStyle w:val="Standard"/>
      </w:pPr>
      <w:r>
        <w:t xml:space="preserve">DTIC (2021). </w:t>
      </w:r>
      <w:r>
        <w:rPr>
          <w:i/>
        </w:rPr>
        <w:t>Broad-Based Black Economic Empowerment - The Department of Trade Industry, and Competition</w:t>
      </w:r>
      <w:r>
        <w:t>. [online] www.thedtic.gov.za. Available at: https://www.thedtic.gov.za/financial-and-non-financial-support/b-bbee/broad-based-black-economic-empowerment/ [Accessed 19 September. 2025].</w:t>
      </w:r>
    </w:p>
    <w:p w:rsidR="00610F6E" w:rsidRDefault="00610F6E" w:rsidP="00610F6E">
      <w:pPr>
        <w:pStyle w:val="Standard"/>
      </w:pPr>
      <w:r>
        <w:t xml:space="preserve">Euromonitor International. (2023). </w:t>
      </w:r>
      <w:r>
        <w:rPr>
          <w:i/>
        </w:rPr>
        <w:t>Retailing in South Africa</w:t>
      </w:r>
      <w:r>
        <w:t>. Euromonitor. Available at: https://www.euromonitor.com (Accessed: 18 September 2025).</w:t>
      </w:r>
    </w:p>
    <w:p w:rsidR="00610F6E" w:rsidRDefault="00610F6E" w:rsidP="00610F6E">
      <w:pPr>
        <w:pStyle w:val="Standard"/>
      </w:pPr>
      <w:proofErr w:type="spellStart"/>
      <w:r>
        <w:rPr>
          <w:shd w:val="clear" w:color="auto" w:fill="FFFFFF"/>
        </w:rPr>
        <w:t>Gonen</w:t>
      </w:r>
      <w:proofErr w:type="spellEnd"/>
      <w:r>
        <w:rPr>
          <w:shd w:val="clear" w:color="auto" w:fill="FFFFFF"/>
        </w:rPr>
        <w:t xml:space="preserve">, L. D., </w:t>
      </w:r>
      <w:proofErr w:type="spellStart"/>
      <w:r>
        <w:rPr>
          <w:shd w:val="clear" w:color="auto" w:fill="FFFFFF"/>
        </w:rPr>
        <w:t>Tavor</w:t>
      </w:r>
      <w:proofErr w:type="spellEnd"/>
      <w:r>
        <w:rPr>
          <w:shd w:val="clear" w:color="auto" w:fill="FFFFFF"/>
        </w:rPr>
        <w:t xml:space="preserve">, T., and Spiegel, U. (2024). Unlocking market potential: strategic consumer segmentation and dynamic pricing for balancing loyalty and deal seeking. </w:t>
      </w:r>
      <w:r>
        <w:rPr>
          <w:i/>
          <w:shd w:val="clear" w:color="auto" w:fill="FFFFFF"/>
        </w:rPr>
        <w:t>Mathematics</w:t>
      </w:r>
      <w:r>
        <w:rPr>
          <w:shd w:val="clear" w:color="auto" w:fill="FFFFFF"/>
        </w:rPr>
        <w:t xml:space="preserve">, </w:t>
      </w:r>
      <w:r>
        <w:rPr>
          <w:i/>
          <w:shd w:val="clear" w:color="auto" w:fill="FFFFFF"/>
        </w:rPr>
        <w:t>12</w:t>
      </w:r>
      <w:r>
        <w:rPr>
          <w:shd w:val="clear" w:color="auto" w:fill="FFFFFF"/>
        </w:rPr>
        <w:t>(21), 3364.</w:t>
      </w:r>
    </w:p>
    <w:p w:rsidR="00610F6E" w:rsidRDefault="00610F6E" w:rsidP="00610F6E">
      <w:pPr>
        <w:pStyle w:val="Standard"/>
      </w:pPr>
      <w:r>
        <w:t xml:space="preserve">Hartfield, T. R. (2024). Overcoming Data Barriers: Strategies for New Entrants to Achieve Differentiation in the UK Food Retail Market. </w:t>
      </w:r>
      <w:r>
        <w:rPr>
          <w:i/>
        </w:rPr>
        <w:t>Journal of World Economy</w:t>
      </w:r>
      <w:r>
        <w:t xml:space="preserve">, </w:t>
      </w:r>
      <w:r>
        <w:rPr>
          <w:i/>
        </w:rPr>
        <w:t>3</w:t>
      </w:r>
      <w:r>
        <w:t>(3), 68-83.</w:t>
      </w:r>
    </w:p>
    <w:p w:rsidR="00610F6E" w:rsidRDefault="00610F6E" w:rsidP="00610F6E">
      <w:pPr>
        <w:pStyle w:val="Standard"/>
      </w:pPr>
      <w:proofErr w:type="spellStart"/>
      <w:r>
        <w:t>Hoskisson</w:t>
      </w:r>
      <w:proofErr w:type="spellEnd"/>
      <w:r>
        <w:t xml:space="preserve">, R.E., </w:t>
      </w:r>
      <w:proofErr w:type="spellStart"/>
      <w:r>
        <w:t>Hitt</w:t>
      </w:r>
      <w:proofErr w:type="spellEnd"/>
      <w:r>
        <w:t xml:space="preserve">, M.A., Ireland, R.D. and Harrison, J.S. (2021). </w:t>
      </w:r>
      <w:r>
        <w:rPr>
          <w:i/>
        </w:rPr>
        <w:t>Competing for Advantage</w:t>
      </w:r>
      <w:r>
        <w:t xml:space="preserve">. 6th </w:t>
      </w:r>
      <w:proofErr w:type="spellStart"/>
      <w:r>
        <w:t>edn</w:t>
      </w:r>
      <w:proofErr w:type="spellEnd"/>
      <w:r>
        <w:t>. Cengage Learning.</w:t>
      </w:r>
    </w:p>
    <w:p w:rsidR="00610F6E" w:rsidRDefault="00610F6E" w:rsidP="00610F6E">
      <w:pPr>
        <w:pStyle w:val="Standard"/>
      </w:pPr>
      <w:r>
        <w:t xml:space="preserve">Imray, G. (2023). </w:t>
      </w:r>
      <w:r>
        <w:rPr>
          <w:i/>
        </w:rPr>
        <w:t>The World Bank approved a $1B loan to help blackout-hit South Africa’s energy sector</w:t>
      </w:r>
      <w:r>
        <w:t>. [online] AP News. Available at: https://apnews.com/article/south-africa-world-bank-loan-energy-crisis-fa6297667b47ca51a210da6b74ceb9a2 [Accessed 19 September. 2025].</w:t>
      </w:r>
    </w:p>
    <w:p w:rsidR="00610F6E" w:rsidRDefault="00610F6E" w:rsidP="00610F6E">
      <w:pPr>
        <w:pStyle w:val="Standard"/>
      </w:pPr>
      <w:r>
        <w:lastRenderedPageBreak/>
        <w:t xml:space="preserve">Kolev, A., Hart, R., and </w:t>
      </w:r>
      <w:proofErr w:type="spellStart"/>
      <w:r>
        <w:t>Arafailova</w:t>
      </w:r>
      <w:proofErr w:type="spellEnd"/>
      <w:r>
        <w:t xml:space="preserve">, E. (2023). Tesco: Reduced to clear. </w:t>
      </w:r>
      <w:r>
        <w:rPr>
          <w:i/>
        </w:rPr>
        <w:t>Impact</w:t>
      </w:r>
      <w:r>
        <w:t xml:space="preserve">, </w:t>
      </w:r>
      <w:r>
        <w:rPr>
          <w:i/>
        </w:rPr>
        <w:t>2023</w:t>
      </w:r>
      <w:r>
        <w:t>(1), 7-10.</w:t>
      </w:r>
    </w:p>
    <w:p w:rsidR="00610F6E" w:rsidRDefault="00610F6E" w:rsidP="00610F6E">
      <w:pPr>
        <w:pStyle w:val="Standard"/>
      </w:pPr>
      <w:r>
        <w:t xml:space="preserve">Le Li, and Jian Hua Zeng. (2024). </w:t>
      </w:r>
      <w:r>
        <w:rPr>
          <w:i/>
        </w:rPr>
        <w:t>Strategic Analysis of Tesco’s International Purchasing and Supply Chain Management: Challenges, Opportunities, and Future Directions</w:t>
      </w:r>
      <w:r>
        <w:t xml:space="preserve">. </w:t>
      </w:r>
      <w:r>
        <w:rPr>
          <w:i/>
        </w:rPr>
        <w:t>International Journal of Science and Business</w:t>
      </w:r>
      <w:r>
        <w:t>, 35(1), pp.132-143.</w:t>
      </w:r>
    </w:p>
    <w:p w:rsidR="00610F6E" w:rsidRDefault="00610F6E" w:rsidP="00610F6E">
      <w:pPr>
        <w:pStyle w:val="Standard"/>
      </w:pPr>
      <w:r>
        <w:t xml:space="preserve">Mastercard (2025). </w:t>
      </w:r>
      <w:r>
        <w:rPr>
          <w:i/>
        </w:rPr>
        <w:t>South Africa’s Online Retail Set to Surpass R130 Billion in 2025</w:t>
      </w:r>
      <w:r>
        <w:t>. [online] Mastercard.com. Available at: https://www.mastercard.com/news/eemea/en/newsroom/press-releases/en/2025-1/september/south-africa-s-online-retail-set-to-surpass-r130-billion-in-2025/ [Accessed 19 September. 2025].</w:t>
      </w:r>
    </w:p>
    <w:p w:rsidR="00610F6E" w:rsidRDefault="00610F6E" w:rsidP="00610F6E">
      <w:pPr>
        <w:pStyle w:val="Standard"/>
      </w:pPr>
      <w:r>
        <w:t xml:space="preserve">Meng, S. (2024). Operation Management of Grocery Retailer in the UK: A Case of Tesco. </w:t>
      </w:r>
      <w:r>
        <w:rPr>
          <w:i/>
        </w:rPr>
        <w:t>Pacific International Journal</w:t>
      </w:r>
      <w:r>
        <w:t xml:space="preserve">, </w:t>
      </w:r>
      <w:r>
        <w:rPr>
          <w:i/>
        </w:rPr>
        <w:t>7</w:t>
      </w:r>
      <w:r>
        <w:t>(2), 136-142.</w:t>
      </w:r>
    </w:p>
    <w:p w:rsidR="00610F6E" w:rsidRDefault="00610F6E" w:rsidP="00610F6E">
      <w:pPr>
        <w:pStyle w:val="Standard"/>
      </w:pPr>
      <w:r>
        <w:rPr>
          <w:shd w:val="clear" w:color="auto" w:fill="FFFFFF"/>
        </w:rPr>
        <w:t xml:space="preserve">Mhlongo, T., and </w:t>
      </w:r>
      <w:proofErr w:type="spellStart"/>
      <w:r>
        <w:rPr>
          <w:shd w:val="clear" w:color="auto" w:fill="FFFFFF"/>
        </w:rPr>
        <w:t>Daya</w:t>
      </w:r>
      <w:proofErr w:type="spellEnd"/>
      <w:r>
        <w:rPr>
          <w:shd w:val="clear" w:color="auto" w:fill="FFFFFF"/>
        </w:rPr>
        <w:t xml:space="preserve">, P. (2023). Challenges faced by small, medium and micro enterprises in Gauteng: A case for entrepreneurial leadership as an essential tool for success. </w:t>
      </w:r>
      <w:r>
        <w:rPr>
          <w:i/>
          <w:shd w:val="clear" w:color="auto" w:fill="FFFFFF"/>
        </w:rPr>
        <w:t>The Southern African Journal of Entrepreneurship and Small Business Management</w:t>
      </w:r>
      <w:r>
        <w:rPr>
          <w:shd w:val="clear" w:color="auto" w:fill="FFFFFF"/>
        </w:rPr>
        <w:t xml:space="preserve">, </w:t>
      </w:r>
      <w:r>
        <w:rPr>
          <w:i/>
          <w:shd w:val="clear" w:color="auto" w:fill="FFFFFF"/>
        </w:rPr>
        <w:t>15</w:t>
      </w:r>
      <w:r>
        <w:rPr>
          <w:shd w:val="clear" w:color="auto" w:fill="FFFFFF"/>
        </w:rPr>
        <w:t>(1), 591.</w:t>
      </w:r>
    </w:p>
    <w:p w:rsidR="00610F6E" w:rsidRDefault="00610F6E" w:rsidP="00610F6E">
      <w:pPr>
        <w:pStyle w:val="Standard"/>
      </w:pPr>
      <w:proofErr w:type="spellStart"/>
      <w:r>
        <w:rPr>
          <w:shd w:val="clear" w:color="auto" w:fill="FFFFFF"/>
        </w:rPr>
        <w:t>Muntlin</w:t>
      </w:r>
      <w:proofErr w:type="spellEnd"/>
      <w:r>
        <w:rPr>
          <w:shd w:val="clear" w:color="auto" w:fill="FFFFFF"/>
        </w:rPr>
        <w:t xml:space="preserve">, Å., and </w:t>
      </w:r>
      <w:proofErr w:type="spellStart"/>
      <w:r>
        <w:rPr>
          <w:shd w:val="clear" w:color="auto" w:fill="FFFFFF"/>
        </w:rPr>
        <w:t>Jangland</w:t>
      </w:r>
      <w:proofErr w:type="spellEnd"/>
      <w:r>
        <w:rPr>
          <w:shd w:val="clear" w:color="auto" w:fill="FFFFFF"/>
        </w:rPr>
        <w:t xml:space="preserve">, E. (2023). Translation and cultural adaptation of the fundamentals of care framework: Are we there </w:t>
      </w:r>
      <w:proofErr w:type="gramStart"/>
      <w:r>
        <w:rPr>
          <w:shd w:val="clear" w:color="auto" w:fill="FFFFFF"/>
        </w:rPr>
        <w:t>yet?.</w:t>
      </w:r>
      <w:proofErr w:type="gramEnd"/>
      <w:r>
        <w:rPr>
          <w:shd w:val="clear" w:color="auto" w:fill="FFFFFF"/>
        </w:rPr>
        <w:t xml:space="preserve"> </w:t>
      </w:r>
      <w:r>
        <w:rPr>
          <w:i/>
          <w:shd w:val="clear" w:color="auto" w:fill="FFFFFF"/>
        </w:rPr>
        <w:t>Journal of advanced nursing</w:t>
      </w:r>
      <w:r>
        <w:rPr>
          <w:shd w:val="clear" w:color="auto" w:fill="FFFFFF"/>
        </w:rPr>
        <w:t xml:space="preserve">, </w:t>
      </w:r>
      <w:r>
        <w:rPr>
          <w:i/>
          <w:shd w:val="clear" w:color="auto" w:fill="FFFFFF"/>
        </w:rPr>
        <w:t>79</w:t>
      </w:r>
      <w:r>
        <w:rPr>
          <w:shd w:val="clear" w:color="auto" w:fill="FFFFFF"/>
        </w:rPr>
        <w:t>(3), 1107-1118.</w:t>
      </w:r>
    </w:p>
    <w:p w:rsidR="00610F6E" w:rsidRDefault="00610F6E" w:rsidP="00610F6E">
      <w:pPr>
        <w:pStyle w:val="Standard"/>
      </w:pPr>
      <w:proofErr w:type="spellStart"/>
      <w:r>
        <w:rPr>
          <w:shd w:val="clear" w:color="auto" w:fill="FFFFFF"/>
        </w:rPr>
        <w:t>Muraba</w:t>
      </w:r>
      <w:proofErr w:type="spellEnd"/>
      <w:r>
        <w:rPr>
          <w:shd w:val="clear" w:color="auto" w:fill="FFFFFF"/>
        </w:rPr>
        <w:t xml:space="preserve">, J., </w:t>
      </w:r>
      <w:proofErr w:type="spellStart"/>
      <w:r>
        <w:rPr>
          <w:shd w:val="clear" w:color="auto" w:fill="FFFFFF"/>
        </w:rPr>
        <w:t>Mamogobo</w:t>
      </w:r>
      <w:proofErr w:type="spellEnd"/>
      <w:r>
        <w:rPr>
          <w:shd w:val="clear" w:color="auto" w:fill="FFFFFF"/>
        </w:rPr>
        <w:t xml:space="preserve">, M. K., and </w:t>
      </w:r>
      <w:proofErr w:type="spellStart"/>
      <w:r>
        <w:rPr>
          <w:shd w:val="clear" w:color="auto" w:fill="FFFFFF"/>
        </w:rPr>
        <w:t>Thango</w:t>
      </w:r>
      <w:proofErr w:type="spellEnd"/>
      <w:r>
        <w:rPr>
          <w:shd w:val="clear" w:color="auto" w:fill="FFFFFF"/>
        </w:rPr>
        <w:t xml:space="preserve">, B. (2024). The Balanced Scorecard methodology: Performance metrics and strategy execution in SMEs: A systematic review. </w:t>
      </w:r>
      <w:r>
        <w:rPr>
          <w:i/>
          <w:shd w:val="clear" w:color="auto" w:fill="FFFFFF"/>
        </w:rPr>
        <w:t>Available at SSRN 4996929</w:t>
      </w:r>
      <w:r>
        <w:rPr>
          <w:shd w:val="clear" w:color="auto" w:fill="FFFFFF"/>
        </w:rPr>
        <w:t>.</w:t>
      </w:r>
    </w:p>
    <w:p w:rsidR="00610F6E" w:rsidRDefault="00610F6E" w:rsidP="00610F6E">
      <w:pPr>
        <w:pStyle w:val="Standard"/>
      </w:pPr>
      <w:r>
        <w:t xml:space="preserve">Peng, L. (2022). The research about organizational management adaptability in the process of localization in China: the case study of Tesco. In </w:t>
      </w:r>
      <w:r>
        <w:rPr>
          <w:i/>
        </w:rPr>
        <w:t>2nd International Conference on Management Science and Industrial Economy Development (MSIED 2022)</w:t>
      </w:r>
      <w:r>
        <w:t>.</w:t>
      </w:r>
    </w:p>
    <w:p w:rsidR="00610F6E" w:rsidRDefault="00610F6E" w:rsidP="00610F6E">
      <w:pPr>
        <w:pStyle w:val="Standard"/>
      </w:pPr>
      <w:r>
        <w:rPr>
          <w:shd w:val="clear" w:color="auto" w:fill="FFFFFF"/>
        </w:rPr>
        <w:t xml:space="preserve">Pichler, R. (2022). </w:t>
      </w:r>
      <w:r>
        <w:rPr>
          <w:i/>
          <w:shd w:val="clear" w:color="auto" w:fill="FFFFFF"/>
        </w:rPr>
        <w:t>Strategize: product strategy and product roadmap practices for the digital age</w:t>
      </w:r>
      <w:r>
        <w:rPr>
          <w:shd w:val="clear" w:color="auto" w:fill="FFFFFF"/>
        </w:rPr>
        <w:t xml:space="preserve"> (Vol. 2). Pichler Consulting.</w:t>
      </w:r>
    </w:p>
    <w:p w:rsidR="00610F6E" w:rsidRDefault="00610F6E" w:rsidP="00610F6E">
      <w:pPr>
        <w:pStyle w:val="Standard"/>
      </w:pPr>
      <w:r>
        <w:t xml:space="preserve">Rashid, C. A. (2023). PESTEL Analysis and Porter’s Five Forces as marketing tools to evaluate Morrison’s performance and strategy. </w:t>
      </w:r>
      <w:r>
        <w:rPr>
          <w:i/>
        </w:rPr>
        <w:t>Journal of Global Social Sciences</w:t>
      </w:r>
      <w:r>
        <w:t xml:space="preserve">, </w:t>
      </w:r>
      <w:r>
        <w:rPr>
          <w:i/>
        </w:rPr>
        <w:t>4</w:t>
      </w:r>
      <w:r>
        <w:t>(15), 75-83.</w:t>
      </w:r>
    </w:p>
    <w:p w:rsidR="00610F6E" w:rsidRDefault="00610F6E" w:rsidP="00610F6E">
      <w:pPr>
        <w:pStyle w:val="Standard"/>
      </w:pPr>
      <w:r>
        <w:t xml:space="preserve">Reuters Staff (2024). Shoprite’s Checkers extends on-demand delivery to general merchandise. </w:t>
      </w:r>
      <w:r>
        <w:rPr>
          <w:i/>
        </w:rPr>
        <w:t>Reuters</w:t>
      </w:r>
      <w:r>
        <w:t xml:space="preserve">. [online] 17 May. Available at: </w:t>
      </w:r>
      <w:r>
        <w:lastRenderedPageBreak/>
        <w:t>https://www.reuters.com/business/retail-consumer/shoprites-checkers-extends-on-demand-delivery-general-merchandise-2024-05-17/ [Accessed 19 September. 2025].</w:t>
      </w:r>
    </w:p>
    <w:p w:rsidR="00610F6E" w:rsidRDefault="00610F6E" w:rsidP="00610F6E">
      <w:pPr>
        <w:pStyle w:val="Standard"/>
      </w:pPr>
      <w:r>
        <w:t xml:space="preserve">Reuters Staff (2025). South Africa’s online retail sales to exceed $7.42 billion this year, study forecasts. </w:t>
      </w:r>
      <w:r>
        <w:rPr>
          <w:i/>
        </w:rPr>
        <w:t>Reuters</w:t>
      </w:r>
      <w:r>
        <w:t>. [online] 11 September. Available at: https://www.reuters.com/world/africa/south-africas-online-retail-sales-exceed-742-billion-this-year-study-forecasts-2025-09-11/ [Accessed 19 September. 2025].</w:t>
      </w:r>
    </w:p>
    <w:p w:rsidR="00610F6E" w:rsidRDefault="00610F6E" w:rsidP="00610F6E">
      <w:pPr>
        <w:pStyle w:val="Standard"/>
      </w:pPr>
      <w:r>
        <w:t>Reuters. (2024, 30 July). “South African grocery retailer Shoprite’s annual sales jump 12%.” Available at:</w:t>
      </w:r>
      <w:hyperlink r:id="rId29" w:history="1">
        <w:r>
          <w:t xml:space="preserve"> </w:t>
        </w:r>
      </w:hyperlink>
      <w:hyperlink r:id="rId30" w:history="1">
        <w:r>
          <w:rPr>
            <w:u w:val="single"/>
          </w:rPr>
          <w:t>https://www.reuters.com/business/retail-consumer/south-africas-takealot-bets-townships-fend-off-global-rivals-2024-12-16/</w:t>
        </w:r>
      </w:hyperlink>
      <w:r>
        <w:t xml:space="preserve"> (Accessed: 19 September)</w:t>
      </w:r>
    </w:p>
    <w:p w:rsidR="00610F6E" w:rsidRDefault="00610F6E" w:rsidP="00610F6E">
      <w:pPr>
        <w:pStyle w:val="Standard"/>
      </w:pPr>
      <w:r>
        <w:t>Reuters. (2025, 11 September). “South Africa's online retail sales to exceed $7.42 billion this year, study forecasts.” Available at:</w:t>
      </w:r>
      <w:hyperlink r:id="rId31" w:history="1">
        <w:r>
          <w:t xml:space="preserve"> </w:t>
        </w:r>
      </w:hyperlink>
      <w:hyperlink r:id="rId32" w:history="1">
        <w:r>
          <w:rPr>
            <w:u w:val="single"/>
          </w:rPr>
          <w:t>https://www.reuters.com/world/africa/south-africas-online-retail-sales-exceed-742-billion-this-year-study-forecasts-2025-09-11/</w:t>
        </w:r>
      </w:hyperlink>
      <w:r>
        <w:t xml:space="preserve"> (Accessed 19 September 2025)</w:t>
      </w:r>
    </w:p>
    <w:p w:rsidR="00610F6E" w:rsidRDefault="00610F6E" w:rsidP="00610F6E">
      <w:pPr>
        <w:pStyle w:val="Standard"/>
      </w:pPr>
      <w:proofErr w:type="spellStart"/>
      <w:r>
        <w:t>Roele</w:t>
      </w:r>
      <w:proofErr w:type="spellEnd"/>
      <w:r>
        <w:t xml:space="preserve">, I., and </w:t>
      </w:r>
      <w:proofErr w:type="spellStart"/>
      <w:r>
        <w:t>Ruehl</w:t>
      </w:r>
      <w:proofErr w:type="spellEnd"/>
      <w:r>
        <w:t xml:space="preserve">, S. (2025). What is Edith Penrose's legacy for the theory of the </w:t>
      </w:r>
      <w:proofErr w:type="gramStart"/>
      <w:r>
        <w:t>firm?.</w:t>
      </w:r>
      <w:proofErr w:type="gramEnd"/>
      <w:r>
        <w:t xml:space="preserve"> In </w:t>
      </w:r>
      <w:r>
        <w:rPr>
          <w:i/>
        </w:rPr>
        <w:t>Edith Penrose’s Legacy</w:t>
      </w:r>
      <w:r>
        <w:t xml:space="preserve"> (pp. 223-241). Routledge.</w:t>
      </w:r>
    </w:p>
    <w:p w:rsidR="00610F6E" w:rsidRDefault="00610F6E" w:rsidP="00610F6E">
      <w:pPr>
        <w:pStyle w:val="Standard"/>
      </w:pPr>
      <w:proofErr w:type="spellStart"/>
      <w:r>
        <w:rPr>
          <w:shd w:val="clear" w:color="auto" w:fill="FFFFFF"/>
        </w:rPr>
        <w:t>Shobana</w:t>
      </w:r>
      <w:proofErr w:type="spellEnd"/>
      <w:r>
        <w:rPr>
          <w:shd w:val="clear" w:color="auto" w:fill="FFFFFF"/>
        </w:rPr>
        <w:t xml:space="preserve">, J., Gangadhar, C., Arora, R. K., </w:t>
      </w:r>
      <w:proofErr w:type="spellStart"/>
      <w:r>
        <w:rPr>
          <w:shd w:val="clear" w:color="auto" w:fill="FFFFFF"/>
        </w:rPr>
        <w:t>Renjith</w:t>
      </w:r>
      <w:proofErr w:type="spellEnd"/>
      <w:r>
        <w:rPr>
          <w:shd w:val="clear" w:color="auto" w:fill="FFFFFF"/>
        </w:rPr>
        <w:t xml:space="preserve">, P. N., </w:t>
      </w:r>
      <w:proofErr w:type="spellStart"/>
      <w:r>
        <w:rPr>
          <w:shd w:val="clear" w:color="auto" w:fill="FFFFFF"/>
        </w:rPr>
        <w:t>Bamini</w:t>
      </w:r>
      <w:proofErr w:type="spellEnd"/>
      <w:r>
        <w:rPr>
          <w:shd w:val="clear" w:color="auto" w:fill="FFFFFF"/>
        </w:rPr>
        <w:t xml:space="preserve">, J., and </w:t>
      </w:r>
      <w:proofErr w:type="spellStart"/>
      <w:r>
        <w:rPr>
          <w:shd w:val="clear" w:color="auto" w:fill="FFFFFF"/>
        </w:rPr>
        <w:t>devidas</w:t>
      </w:r>
      <w:proofErr w:type="spellEnd"/>
      <w:r>
        <w:rPr>
          <w:shd w:val="clear" w:color="auto" w:fill="FFFFFF"/>
        </w:rPr>
        <w:t xml:space="preserve"> </w:t>
      </w:r>
      <w:proofErr w:type="spellStart"/>
      <w:r>
        <w:rPr>
          <w:shd w:val="clear" w:color="auto" w:fill="FFFFFF"/>
        </w:rPr>
        <w:t>Chincholkar</w:t>
      </w:r>
      <w:proofErr w:type="spellEnd"/>
      <w:r>
        <w:rPr>
          <w:shd w:val="clear" w:color="auto" w:fill="FFFFFF"/>
        </w:rPr>
        <w:t xml:space="preserve">, Y. (2023). E-commerce customer churn prevention using machine learning-based business intelligence strategy. </w:t>
      </w:r>
      <w:r>
        <w:rPr>
          <w:i/>
          <w:shd w:val="clear" w:color="auto" w:fill="FFFFFF"/>
        </w:rPr>
        <w:t>Measurement: Sensors</w:t>
      </w:r>
      <w:r>
        <w:rPr>
          <w:shd w:val="clear" w:color="auto" w:fill="FFFFFF"/>
        </w:rPr>
        <w:t xml:space="preserve">, </w:t>
      </w:r>
      <w:r>
        <w:rPr>
          <w:i/>
          <w:shd w:val="clear" w:color="auto" w:fill="FFFFFF"/>
        </w:rPr>
        <w:t>27</w:t>
      </w:r>
      <w:r>
        <w:rPr>
          <w:shd w:val="clear" w:color="auto" w:fill="FFFFFF"/>
        </w:rPr>
        <w:t>, 100728.</w:t>
      </w:r>
    </w:p>
    <w:p w:rsidR="00610F6E" w:rsidRDefault="00610F6E" w:rsidP="00610F6E">
      <w:pPr>
        <w:pStyle w:val="Standard"/>
      </w:pPr>
      <w:r>
        <w:t xml:space="preserve">Smith, D. (2023). Logistics in Tesco: past, present and future. In </w:t>
      </w:r>
      <w:r>
        <w:rPr>
          <w:i/>
        </w:rPr>
        <w:t xml:space="preserve">Logistics </w:t>
      </w:r>
      <w:proofErr w:type="gramStart"/>
      <w:r>
        <w:rPr>
          <w:i/>
        </w:rPr>
        <w:t>And</w:t>
      </w:r>
      <w:proofErr w:type="gramEnd"/>
      <w:r>
        <w:rPr>
          <w:i/>
        </w:rPr>
        <w:t xml:space="preserve"> Retail Management insights Into Current Practice And Trends From Leading Experts</w:t>
      </w:r>
      <w:r>
        <w:t xml:space="preserve"> (pp. 154-183). CRC Press.</w:t>
      </w:r>
    </w:p>
    <w:p w:rsidR="00610F6E" w:rsidRDefault="00610F6E" w:rsidP="00610F6E">
      <w:pPr>
        <w:pStyle w:val="Standard"/>
      </w:pPr>
      <w:r>
        <w:t xml:space="preserve">Statista. (2024). </w:t>
      </w:r>
      <w:r>
        <w:rPr>
          <w:i/>
        </w:rPr>
        <w:t>Internet penetration rate in South Africa from 2010 to 2024</w:t>
      </w:r>
      <w:r>
        <w:t>. Statista. Available at: https://www.statista.com (Accessed: 18 September 2025).</w:t>
      </w:r>
    </w:p>
    <w:p w:rsidR="00610F6E" w:rsidRDefault="00610F6E" w:rsidP="00610F6E">
      <w:pPr>
        <w:pStyle w:val="Standard"/>
      </w:pPr>
      <w:r>
        <w:rPr>
          <w:shd w:val="clear" w:color="auto" w:fill="FFFFFF"/>
        </w:rPr>
        <w:t xml:space="preserve">Swetha, N., </w:t>
      </w:r>
      <w:proofErr w:type="spellStart"/>
      <w:r>
        <w:rPr>
          <w:shd w:val="clear" w:color="auto" w:fill="FFFFFF"/>
        </w:rPr>
        <w:t>Harshavardhan</w:t>
      </w:r>
      <w:proofErr w:type="spellEnd"/>
      <w:r>
        <w:rPr>
          <w:shd w:val="clear" w:color="auto" w:fill="FFFFFF"/>
        </w:rPr>
        <w:t xml:space="preserve">, P., Kusuma, T., and Raja, M. C. (2024). Measuring Marketing Effectiveness and Return on Investment. In </w:t>
      </w:r>
      <w:r>
        <w:rPr>
          <w:i/>
          <w:shd w:val="clear" w:color="auto" w:fill="FFFFFF"/>
        </w:rPr>
        <w:t>Predictive Analytics and Generative AI for Data-Driven Marketing Strategies</w:t>
      </w:r>
      <w:r>
        <w:rPr>
          <w:shd w:val="clear" w:color="auto" w:fill="FFFFFF"/>
        </w:rPr>
        <w:t xml:space="preserve"> (pp. 216-224). Chapman and Hall/CRC.</w:t>
      </w:r>
    </w:p>
    <w:p w:rsidR="00610F6E" w:rsidRDefault="00610F6E" w:rsidP="00610F6E">
      <w:pPr>
        <w:pStyle w:val="Standard"/>
      </w:pPr>
      <w:r>
        <w:rPr>
          <w:shd w:val="clear" w:color="auto" w:fill="FFFFFF"/>
        </w:rPr>
        <w:t xml:space="preserve">Tam, H. L., Asamoah, E., and Chan, A. Y. F. (2021). Developing social entrepreneurship as an intervention to enhance disadvantaged young people’s sense of self-worth and career competence in Hong Kong. </w:t>
      </w:r>
      <w:r>
        <w:rPr>
          <w:i/>
          <w:shd w:val="clear" w:color="auto" w:fill="FFFFFF"/>
        </w:rPr>
        <w:t>Applied Research in Quality of Life</w:t>
      </w:r>
      <w:r>
        <w:rPr>
          <w:shd w:val="clear" w:color="auto" w:fill="FFFFFF"/>
        </w:rPr>
        <w:t xml:space="preserve">, </w:t>
      </w:r>
      <w:r>
        <w:rPr>
          <w:i/>
          <w:shd w:val="clear" w:color="auto" w:fill="FFFFFF"/>
        </w:rPr>
        <w:t>16</w:t>
      </w:r>
      <w:r>
        <w:rPr>
          <w:shd w:val="clear" w:color="auto" w:fill="FFFFFF"/>
        </w:rPr>
        <w:t>(6), 2497-2526.</w:t>
      </w:r>
    </w:p>
    <w:p w:rsidR="00610F6E" w:rsidRDefault="00610F6E" w:rsidP="00610F6E">
      <w:pPr>
        <w:pStyle w:val="Standard"/>
      </w:pPr>
      <w:r>
        <w:t xml:space="preserve">Tesco PLC (2023). </w:t>
      </w:r>
      <w:r>
        <w:rPr>
          <w:i/>
        </w:rPr>
        <w:t>Annual Report and Financial Statements 2023</w:t>
      </w:r>
      <w:r>
        <w:t>. [online] Tesco plc. Available at: https://www.tescoplc.com [Accessed 19 September 2025].</w:t>
      </w:r>
    </w:p>
    <w:p w:rsidR="00610F6E" w:rsidRDefault="00610F6E" w:rsidP="00610F6E">
      <w:pPr>
        <w:pStyle w:val="Standard"/>
      </w:pPr>
      <w:r>
        <w:lastRenderedPageBreak/>
        <w:t xml:space="preserve">Tesco PLC (2024). </w:t>
      </w:r>
      <w:r>
        <w:rPr>
          <w:i/>
        </w:rPr>
        <w:t>Sustainability and ESG Report 2024</w:t>
      </w:r>
      <w:r>
        <w:t>. [online] Tesco plc. Available at: https://www.tescoplc.com [Accessed 19 September 2025].</w:t>
      </w:r>
    </w:p>
    <w:p w:rsidR="00610F6E" w:rsidRDefault="00610F6E" w:rsidP="00610F6E">
      <w:pPr>
        <w:pStyle w:val="Standard"/>
      </w:pPr>
      <w:r>
        <w:t xml:space="preserve">Tesco plc (2024). </w:t>
      </w:r>
      <w:r>
        <w:rPr>
          <w:i/>
        </w:rPr>
        <w:t>Tesco PLC Annual Report and Financial Statements 2024</w:t>
      </w:r>
      <w:r>
        <w:t>. [online] pp.1–240. Available at: https://www.tescoplc.com/media/zgvhd0dn/tescos_ar24.pdf [Accessed 19 September. 2025].</w:t>
      </w:r>
    </w:p>
    <w:p w:rsidR="00610F6E" w:rsidRDefault="00610F6E" w:rsidP="00610F6E">
      <w:pPr>
        <w:pStyle w:val="Standard"/>
      </w:pPr>
      <w:r>
        <w:t xml:space="preserve">The Buzz at Hive Digital Media (2025). </w:t>
      </w:r>
      <w:r>
        <w:rPr>
          <w:i/>
        </w:rPr>
        <w:t>School Manager by Family Zone</w:t>
      </w:r>
      <w:r>
        <w:t>. [online] Linkedin.com. Available at: https://www.linkedin.com/pulse/south-african-consumer-trends-what-retailers-need-zkoaf [Accessed 19 September. 2025].</w:t>
      </w:r>
    </w:p>
    <w:p w:rsidR="00610F6E" w:rsidRDefault="00610F6E" w:rsidP="00610F6E">
      <w:pPr>
        <w:pStyle w:val="Standard"/>
      </w:pPr>
      <w:r>
        <w:t xml:space="preserve">Tian, Q. (2021). Analysis on the Business Strategy of Tesco in the Chinese Market. In </w:t>
      </w:r>
      <w:r>
        <w:rPr>
          <w:i/>
        </w:rPr>
        <w:t>Modern Economics &amp; Management Forum</w:t>
      </w:r>
      <w:r>
        <w:t xml:space="preserve"> (Vol. 2, No. 1, pp. 33-36).</w:t>
      </w:r>
    </w:p>
    <w:p w:rsidR="00610F6E" w:rsidRDefault="00610F6E" w:rsidP="00610F6E">
      <w:pPr>
        <w:pStyle w:val="Standard"/>
      </w:pPr>
      <w:r>
        <w:t xml:space="preserve">Transparency International. (2024). </w:t>
      </w:r>
      <w:r>
        <w:rPr>
          <w:i/>
        </w:rPr>
        <w:t>Corruption Perceptions Index 2024</w:t>
      </w:r>
      <w:r>
        <w:t>. Transparency International. Available at: https://www.transparency.org (Accessed: 18 September 2025).</w:t>
      </w:r>
    </w:p>
    <w:p w:rsidR="00610F6E" w:rsidRDefault="00610F6E" w:rsidP="00610F6E">
      <w:pPr>
        <w:pStyle w:val="Standard"/>
      </w:pPr>
      <w:proofErr w:type="spellStart"/>
      <w:r>
        <w:rPr>
          <w:shd w:val="clear" w:color="auto" w:fill="FFFFFF"/>
        </w:rPr>
        <w:t>Untoro</w:t>
      </w:r>
      <w:proofErr w:type="spellEnd"/>
      <w:r>
        <w:rPr>
          <w:shd w:val="clear" w:color="auto" w:fill="FFFFFF"/>
        </w:rPr>
        <w:t xml:space="preserve">, W., Jannah, M., and </w:t>
      </w:r>
      <w:proofErr w:type="spellStart"/>
      <w:r>
        <w:rPr>
          <w:shd w:val="clear" w:color="auto" w:fill="FFFFFF"/>
        </w:rPr>
        <w:t>Sampurno</w:t>
      </w:r>
      <w:proofErr w:type="spellEnd"/>
      <w:r>
        <w:rPr>
          <w:shd w:val="clear" w:color="auto" w:fill="FFFFFF"/>
        </w:rPr>
        <w:t xml:space="preserve">, B. (2023). Job enrichment on key performance indicators (KPI) as a measurement of increasing staff competency and performance appraisal. </w:t>
      </w:r>
      <w:r>
        <w:rPr>
          <w:i/>
          <w:shd w:val="clear" w:color="auto" w:fill="FFFFFF"/>
        </w:rPr>
        <w:t>International Journal of Applied Finance and Business Studies</w:t>
      </w:r>
      <w:r>
        <w:rPr>
          <w:shd w:val="clear" w:color="auto" w:fill="FFFFFF"/>
        </w:rPr>
        <w:t xml:space="preserve">, </w:t>
      </w:r>
      <w:r>
        <w:rPr>
          <w:i/>
          <w:shd w:val="clear" w:color="auto" w:fill="FFFFFF"/>
        </w:rPr>
        <w:t>11</w:t>
      </w:r>
      <w:r>
        <w:rPr>
          <w:shd w:val="clear" w:color="auto" w:fill="FFFFFF"/>
        </w:rPr>
        <w:t>(3), 345-355.</w:t>
      </w:r>
    </w:p>
    <w:p w:rsidR="00610F6E" w:rsidRDefault="00610F6E" w:rsidP="00610F6E">
      <w:pPr>
        <w:pStyle w:val="Standard"/>
      </w:pPr>
      <w:r>
        <w:rPr>
          <w:shd w:val="clear" w:color="auto" w:fill="FFFFFF"/>
        </w:rPr>
        <w:t xml:space="preserve">Wang, J., Hou, K., and Zhu, X. (2022). Does sticky inventory management improve </w:t>
      </w:r>
      <w:proofErr w:type="gramStart"/>
      <w:r>
        <w:rPr>
          <w:shd w:val="clear" w:color="auto" w:fill="FFFFFF"/>
        </w:rPr>
        <w:t>productivity?.</w:t>
      </w:r>
      <w:proofErr w:type="gramEnd"/>
      <w:r>
        <w:rPr>
          <w:shd w:val="clear" w:color="auto" w:fill="FFFFFF"/>
        </w:rPr>
        <w:t xml:space="preserve"> </w:t>
      </w:r>
      <w:r>
        <w:rPr>
          <w:i/>
          <w:shd w:val="clear" w:color="auto" w:fill="FFFFFF"/>
        </w:rPr>
        <w:t>Journal of Manufacturing Technology Management</w:t>
      </w:r>
      <w:r>
        <w:rPr>
          <w:shd w:val="clear" w:color="auto" w:fill="FFFFFF"/>
        </w:rPr>
        <w:t xml:space="preserve">, </w:t>
      </w:r>
      <w:r>
        <w:rPr>
          <w:i/>
          <w:shd w:val="clear" w:color="auto" w:fill="FFFFFF"/>
        </w:rPr>
        <w:t>33</w:t>
      </w:r>
      <w:r>
        <w:rPr>
          <w:shd w:val="clear" w:color="auto" w:fill="FFFFFF"/>
        </w:rPr>
        <w:t>(2), 355-377.</w:t>
      </w:r>
    </w:p>
    <w:p w:rsidR="00610F6E" w:rsidRDefault="00610F6E" w:rsidP="00610F6E">
      <w:pPr>
        <w:pStyle w:val="Standard"/>
      </w:pPr>
      <w:r>
        <w:t xml:space="preserve">Wang, Y. and Zhou, L., (2022). Digital transformation in retail: Opportunities and challenges for incumbents. </w:t>
      </w:r>
      <w:r>
        <w:rPr>
          <w:i/>
        </w:rPr>
        <w:t>Journal of Retailing and Consumer Services</w:t>
      </w:r>
      <w:r>
        <w:t>, 68, p.103061.</w:t>
      </w:r>
    </w:p>
    <w:p w:rsidR="00610F6E" w:rsidRDefault="00610F6E" w:rsidP="00610F6E">
      <w:pPr>
        <w:pStyle w:val="Standard"/>
      </w:pPr>
      <w:r>
        <w:t xml:space="preserve">World Bank (2025). </w:t>
      </w:r>
      <w:r>
        <w:rPr>
          <w:i/>
        </w:rPr>
        <w:t>The World Bank in South Africa</w:t>
      </w:r>
      <w:r>
        <w:t>. [online] The World Bank. Available at: https://www.worldbank.org/en/country/southafrica/overview [Accessed 19 September. 2025].</w:t>
      </w:r>
    </w:p>
    <w:p w:rsidR="00610F6E" w:rsidRDefault="00610F6E" w:rsidP="00610F6E">
      <w:pPr>
        <w:pStyle w:val="Standard"/>
      </w:pPr>
      <w:r>
        <w:t xml:space="preserve">World Bank. (2024). </w:t>
      </w:r>
      <w:r>
        <w:rPr>
          <w:i/>
        </w:rPr>
        <w:t>South Africa: Overview</w:t>
      </w:r>
      <w:r>
        <w:t>. World Bank. Available at:</w:t>
      </w:r>
      <w:hyperlink r:id="rId33" w:history="1">
        <w:r>
          <w:t xml:space="preserve"> </w:t>
        </w:r>
      </w:hyperlink>
      <w:hyperlink r:id="rId34" w:history="1">
        <w:r>
          <w:rPr>
            <w:u w:val="single"/>
          </w:rPr>
          <w:t>https://www.worldbank.org</w:t>
        </w:r>
      </w:hyperlink>
      <w:r>
        <w:t xml:space="preserve"> (Accessed: 18 September 2025).</w:t>
      </w:r>
    </w:p>
    <w:p w:rsidR="00610F6E" w:rsidRDefault="00610F6E" w:rsidP="00610F6E">
      <w:pPr>
        <w:pStyle w:val="Standard"/>
      </w:pPr>
      <w:proofErr w:type="spellStart"/>
      <w:r>
        <w:rPr>
          <w:shd w:val="clear" w:color="auto" w:fill="FFFFFF"/>
        </w:rPr>
        <w:t>Yawson</w:t>
      </w:r>
      <w:proofErr w:type="spellEnd"/>
      <w:r>
        <w:rPr>
          <w:shd w:val="clear" w:color="auto" w:fill="FFFFFF"/>
        </w:rPr>
        <w:t xml:space="preserve">, D. E., and </w:t>
      </w:r>
      <w:proofErr w:type="spellStart"/>
      <w:r>
        <w:rPr>
          <w:shd w:val="clear" w:color="auto" w:fill="FFFFFF"/>
        </w:rPr>
        <w:t>Yamoah</w:t>
      </w:r>
      <w:proofErr w:type="spellEnd"/>
      <w:r>
        <w:rPr>
          <w:shd w:val="clear" w:color="auto" w:fill="FFFFFF"/>
        </w:rPr>
        <w:t xml:space="preserve">, F. A. (2022). The TESCO Club Card Loyalty Programme: The Gold Standard. In </w:t>
      </w:r>
      <w:r>
        <w:rPr>
          <w:i/>
          <w:shd w:val="clear" w:color="auto" w:fill="FFFFFF"/>
        </w:rPr>
        <w:t>Contemporary Retail Marketing in Emerging Economies: The Case of Ghana’s Supermarket Chains</w:t>
      </w:r>
      <w:r>
        <w:rPr>
          <w:shd w:val="clear" w:color="auto" w:fill="FFFFFF"/>
        </w:rPr>
        <w:t xml:space="preserve"> (pp. 77-87). Cham: Springer International Publishing.</w:t>
      </w:r>
    </w:p>
    <w:p w:rsidR="00610F6E" w:rsidRDefault="00610F6E" w:rsidP="00610F6E">
      <w:pPr>
        <w:pStyle w:val="Standard"/>
      </w:pPr>
      <w:r>
        <w:t xml:space="preserve">Zhou, M. (2023, June). Analysis of the Internet Industry Based on SWOT Model and Porter’s Five Forces Model—Taking Amazon as an Example. In </w:t>
      </w:r>
      <w:r>
        <w:rPr>
          <w:i/>
        </w:rPr>
        <w:t xml:space="preserve">Proceedings of the </w:t>
      </w:r>
      <w:r>
        <w:rPr>
          <w:i/>
        </w:rPr>
        <w:lastRenderedPageBreak/>
        <w:t>6th International Conference on Economic Management and Green Development</w:t>
      </w:r>
      <w:r>
        <w:t xml:space="preserve"> (pp. 247-254). Singapore: Springer Nature Singapore.</w:t>
      </w:r>
    </w:p>
    <w:p w:rsidR="00763519" w:rsidRDefault="00763519"/>
    <w:sectPr w:rsidR="00763519">
      <w:footerReference w:type="default" r:id="rId35"/>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F">
    <w:panose1 w:val="020B0604020202020204"/>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pStyle w:val="Footer"/>
    </w:pPr>
    <w:r>
      <w:fldChar w:fldCharType="begin"/>
    </w:r>
    <w:r>
      <w:instrText xml:space="preserve"> PAGE </w:instrText>
    </w:r>
    <w:r>
      <w:fldChar w:fldCharType="separate"/>
    </w:r>
    <w:r>
      <w:t>23</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137C"/>
    <w:multiLevelType w:val="multilevel"/>
    <w:tmpl w:val="5846D18C"/>
    <w:styleLink w:val="WWNum1"/>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3DB05BDD"/>
    <w:multiLevelType w:val="multilevel"/>
    <w:tmpl w:val="0386631A"/>
    <w:styleLink w:val="WWNum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49697773"/>
    <w:multiLevelType w:val="multilevel"/>
    <w:tmpl w:val="83F2582A"/>
    <w:styleLink w:val="WWNum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 w15:restartNumberingAfterBreak="0">
    <w:nsid w:val="61082851"/>
    <w:multiLevelType w:val="multilevel"/>
    <w:tmpl w:val="C7EC61AC"/>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924999140">
    <w:abstractNumId w:val="0"/>
  </w:num>
  <w:num w:numId="2" w16cid:durableId="461921691">
    <w:abstractNumId w:val="1"/>
  </w:num>
  <w:num w:numId="3" w16cid:durableId="1336542700">
    <w:abstractNumId w:val="2"/>
  </w:num>
  <w:num w:numId="4" w16cid:durableId="793183036">
    <w:abstractNumId w:val="3"/>
  </w:num>
  <w:num w:numId="5" w16cid:durableId="453868562">
    <w:abstractNumId w:val="3"/>
    <w:lvlOverride w:ilvl="0">
      <w:startOverride w:val="1"/>
    </w:lvlOverride>
  </w:num>
  <w:num w:numId="6" w16cid:durableId="467207966">
    <w:abstractNumId w:val="1"/>
    <w:lvlOverride w:ilvl="0"/>
  </w:num>
  <w:num w:numId="7" w16cid:durableId="2002848286">
    <w:abstractNumId w:val="2"/>
    <w:lvlOverride w:ilvl="0"/>
  </w:num>
  <w:num w:numId="8" w16cid:durableId="167600404">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F6E"/>
    <w:rsid w:val="00090AD7"/>
    <w:rsid w:val="00610F6E"/>
    <w:rsid w:val="00763519"/>
    <w:rsid w:val="00F90542"/>
    <w:rsid w:val="00F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7C5CD"/>
  <w15:chartTrackingRefBased/>
  <w15:docId w15:val="{D3138BCC-16B7-D742-B8CD-143352A19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F6E"/>
    <w:pPr>
      <w:widowControl w:val="0"/>
      <w:suppressAutoHyphens/>
      <w:autoSpaceDN w:val="0"/>
      <w:spacing w:line="360" w:lineRule="auto"/>
      <w:jc w:val="both"/>
      <w:textAlignment w:val="baseline"/>
    </w:pPr>
    <w:rPr>
      <w:rFonts w:ascii="Arial" w:eastAsia="Arial" w:hAnsi="Arial" w:cs="Arial"/>
      <w:kern w:val="3"/>
      <w:lang w:eastAsia="en-IN"/>
    </w:rPr>
  </w:style>
  <w:style w:type="paragraph" w:styleId="Heading1">
    <w:name w:val="heading 1"/>
    <w:basedOn w:val="Standard"/>
    <w:next w:val="Normal"/>
    <w:link w:val="Heading1Char"/>
    <w:uiPriority w:val="9"/>
    <w:qFormat/>
    <w:rsid w:val="00610F6E"/>
    <w:pPr>
      <w:keepNext/>
      <w:keepLines/>
      <w:spacing w:after="360"/>
      <w:outlineLvl w:val="0"/>
    </w:pPr>
    <w:rPr>
      <w:b/>
      <w:sz w:val="28"/>
      <w:szCs w:val="28"/>
    </w:rPr>
  </w:style>
  <w:style w:type="paragraph" w:styleId="Heading2">
    <w:name w:val="heading 2"/>
    <w:basedOn w:val="Standard"/>
    <w:next w:val="Normal"/>
    <w:link w:val="Heading2Char"/>
    <w:uiPriority w:val="9"/>
    <w:unhideWhenUsed/>
    <w:qFormat/>
    <w:rsid w:val="00610F6E"/>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F6E"/>
    <w:rPr>
      <w:rFonts w:ascii="Arial" w:eastAsia="Arial" w:hAnsi="Arial" w:cs="Arial"/>
      <w:b/>
      <w:kern w:val="3"/>
      <w:sz w:val="28"/>
      <w:szCs w:val="28"/>
      <w:lang w:eastAsia="en-IN"/>
    </w:rPr>
  </w:style>
  <w:style w:type="character" w:customStyle="1" w:styleId="Heading2Char">
    <w:name w:val="Heading 2 Char"/>
    <w:basedOn w:val="DefaultParagraphFont"/>
    <w:link w:val="Heading2"/>
    <w:uiPriority w:val="9"/>
    <w:rsid w:val="00610F6E"/>
    <w:rPr>
      <w:rFonts w:ascii="Arial" w:eastAsia="Arial" w:hAnsi="Arial" w:cs="Arial"/>
      <w:b/>
      <w:kern w:val="3"/>
      <w:szCs w:val="32"/>
      <w:lang w:eastAsia="en-IN"/>
    </w:rPr>
  </w:style>
  <w:style w:type="paragraph" w:customStyle="1" w:styleId="Standard">
    <w:name w:val="Standard"/>
    <w:rsid w:val="00610F6E"/>
    <w:pPr>
      <w:suppressAutoHyphens/>
      <w:autoSpaceDN w:val="0"/>
      <w:spacing w:line="360" w:lineRule="auto"/>
      <w:jc w:val="both"/>
      <w:textAlignment w:val="baseline"/>
    </w:pPr>
    <w:rPr>
      <w:rFonts w:ascii="Arial" w:eastAsia="Arial" w:hAnsi="Arial" w:cs="Arial"/>
      <w:kern w:val="3"/>
      <w:lang w:eastAsia="en-IN"/>
    </w:rPr>
  </w:style>
  <w:style w:type="paragraph" w:styleId="Footer">
    <w:name w:val="footer"/>
    <w:basedOn w:val="Standard"/>
    <w:link w:val="FooterChar"/>
    <w:rsid w:val="00610F6E"/>
    <w:pPr>
      <w:suppressLineNumbers/>
      <w:tabs>
        <w:tab w:val="center" w:pos="4513"/>
        <w:tab w:val="right" w:pos="9026"/>
      </w:tabs>
      <w:spacing w:line="240" w:lineRule="auto"/>
    </w:pPr>
  </w:style>
  <w:style w:type="character" w:customStyle="1" w:styleId="FooterChar">
    <w:name w:val="Footer Char"/>
    <w:basedOn w:val="DefaultParagraphFont"/>
    <w:link w:val="Footer"/>
    <w:rsid w:val="00610F6E"/>
    <w:rPr>
      <w:rFonts w:ascii="Arial" w:eastAsia="Arial" w:hAnsi="Arial" w:cs="Arial"/>
      <w:kern w:val="3"/>
      <w:lang w:eastAsia="en-IN"/>
    </w:rPr>
  </w:style>
  <w:style w:type="paragraph" w:customStyle="1" w:styleId="ContentsHeading">
    <w:name w:val="Contents Heading"/>
    <w:basedOn w:val="Heading1"/>
    <w:rsid w:val="00610F6E"/>
    <w:pPr>
      <w:suppressLineNumbers/>
      <w:spacing w:before="240" w:after="0" w:line="259" w:lineRule="auto"/>
      <w:jc w:val="left"/>
    </w:pPr>
    <w:rPr>
      <w:rFonts w:ascii="Calibri" w:hAnsi="Calibri" w:cs="F"/>
      <w:b w:val="0"/>
      <w:bCs/>
      <w:color w:val="365F91"/>
      <w:sz w:val="32"/>
      <w:szCs w:val="32"/>
      <w:lang w:val="en-US" w:eastAsia="en-US"/>
    </w:rPr>
  </w:style>
  <w:style w:type="paragraph" w:customStyle="1" w:styleId="Contents1">
    <w:name w:val="Contents 1"/>
    <w:basedOn w:val="Standard"/>
    <w:rsid w:val="00610F6E"/>
    <w:pPr>
      <w:tabs>
        <w:tab w:val="right" w:leader="dot" w:pos="9638"/>
      </w:tabs>
      <w:spacing w:after="100"/>
    </w:pPr>
  </w:style>
  <w:style w:type="paragraph" w:customStyle="1" w:styleId="Contents2">
    <w:name w:val="Contents 2"/>
    <w:basedOn w:val="Standard"/>
    <w:rsid w:val="00610F6E"/>
    <w:pPr>
      <w:tabs>
        <w:tab w:val="right" w:leader="dot" w:pos="9595"/>
      </w:tabs>
      <w:spacing w:after="100"/>
      <w:ind w:left="240"/>
    </w:pPr>
  </w:style>
  <w:style w:type="numbering" w:customStyle="1" w:styleId="WWNum1">
    <w:name w:val="WWNum1"/>
    <w:basedOn w:val="NoList"/>
    <w:rsid w:val="00610F6E"/>
    <w:pPr>
      <w:numPr>
        <w:numId w:val="1"/>
      </w:numPr>
    </w:pPr>
  </w:style>
  <w:style w:type="numbering" w:customStyle="1" w:styleId="WWNum2">
    <w:name w:val="WWNum2"/>
    <w:basedOn w:val="NoList"/>
    <w:rsid w:val="00610F6E"/>
    <w:pPr>
      <w:numPr>
        <w:numId w:val="2"/>
      </w:numPr>
    </w:pPr>
  </w:style>
  <w:style w:type="numbering" w:customStyle="1" w:styleId="WWNum4">
    <w:name w:val="WWNum4"/>
    <w:basedOn w:val="NoList"/>
    <w:rsid w:val="00610F6E"/>
    <w:pPr>
      <w:numPr>
        <w:numId w:val="3"/>
      </w:numPr>
    </w:pPr>
  </w:style>
  <w:style w:type="numbering" w:customStyle="1" w:styleId="WWNum5">
    <w:name w:val="WWNum5"/>
    <w:basedOn w:val="NoList"/>
    <w:rsid w:val="00610F6E"/>
    <w:pPr>
      <w:numPr>
        <w:numId w:val="4"/>
      </w:numPr>
    </w:pPr>
  </w:style>
  <w:style w:type="character" w:styleId="Strong">
    <w:name w:val="Strong"/>
    <w:basedOn w:val="DefaultParagraphFont"/>
    <w:uiPriority w:val="22"/>
    <w:qFormat/>
    <w:rsid w:val="00610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__RefHeading__1190_1551139750" TargetMode="External"/><Relationship Id="rId18" Type="http://schemas.openxmlformats.org/officeDocument/2006/relationships/hyperlink" Target="#__RefHeading__1200_1551139750" TargetMode="External"/><Relationship Id="rId26" Type="http://schemas.openxmlformats.org/officeDocument/2006/relationships/hyperlink" Target="#_Toc209191808" TargetMode="External"/><Relationship Id="rId21" Type="http://schemas.openxmlformats.org/officeDocument/2006/relationships/hyperlink" Target="#__RefHeading__1206_1551139750" TargetMode="External"/><Relationship Id="rId34" Type="http://schemas.openxmlformats.org/officeDocument/2006/relationships/hyperlink" Target="https://www.worldbank.org" TargetMode="External"/><Relationship Id="rId7" Type="http://schemas.openxmlformats.org/officeDocument/2006/relationships/hyperlink" Target="#__RefHeading__1178_1551139750" TargetMode="External"/><Relationship Id="rId12" Type="http://schemas.openxmlformats.org/officeDocument/2006/relationships/hyperlink" Target="#__RefHeading__1188_1551139750" TargetMode="External"/><Relationship Id="rId17" Type="http://schemas.openxmlformats.org/officeDocument/2006/relationships/hyperlink" Target="#__RefHeading__1198_1551139750" TargetMode="External"/><Relationship Id="rId25" Type="http://schemas.openxmlformats.org/officeDocument/2006/relationships/hyperlink" Target="#__RefHeading__1214_1551139750" TargetMode="External"/><Relationship Id="rId33" Type="http://schemas.openxmlformats.org/officeDocument/2006/relationships/hyperlink" Target="https://www.worldbank.org" TargetMode="External"/><Relationship Id="rId2" Type="http://schemas.openxmlformats.org/officeDocument/2006/relationships/styles" Target="styles.xml"/><Relationship Id="rId16" Type="http://schemas.openxmlformats.org/officeDocument/2006/relationships/hyperlink" Target="#__RefHeading__1196_1551139750" TargetMode="External"/><Relationship Id="rId20" Type="http://schemas.openxmlformats.org/officeDocument/2006/relationships/hyperlink" Target="#__RefHeading__1204_1551139750" TargetMode="External"/><Relationship Id="rId29" Type="http://schemas.openxmlformats.org/officeDocument/2006/relationships/hyperlink" Target="https://www.reuters.com/business/retail-consumer/south-africas-takealot-bets-townships-fend-off-global-rivals-2024-12-16/" TargetMode="External"/><Relationship Id="rId1" Type="http://schemas.openxmlformats.org/officeDocument/2006/relationships/numbering" Target="numbering.xml"/><Relationship Id="rId6" Type="http://schemas.openxmlformats.org/officeDocument/2006/relationships/hyperlink" Target="#__RefHeading__1176_1551139750" TargetMode="External"/><Relationship Id="rId11" Type="http://schemas.openxmlformats.org/officeDocument/2006/relationships/hyperlink" Target="#__RefHeading__1186_1551139750" TargetMode="External"/><Relationship Id="rId24" Type="http://schemas.openxmlformats.org/officeDocument/2006/relationships/hyperlink" Target="#__RefHeading__1212_1551139750" TargetMode="External"/><Relationship Id="rId32" Type="http://schemas.openxmlformats.org/officeDocument/2006/relationships/hyperlink" Target="https://www.reuters.com/world/africa/south-africas-online-retail-sales-exceed-742-billion-this-year-study-forecasts-2025-09-11/"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__RefHeading__1194_1551139750" TargetMode="External"/><Relationship Id="rId23" Type="http://schemas.openxmlformats.org/officeDocument/2006/relationships/hyperlink" Target="#__RefHeading__1210_1551139750" TargetMode="External"/><Relationship Id="rId28" Type="http://schemas.openxmlformats.org/officeDocument/2006/relationships/hyperlink" Target="https://www.bloomberg.com/news/articles/2025-05-26/south-africa-has-too-many-retail-stores-pick-n-pay-ceo-says" TargetMode="External"/><Relationship Id="rId36" Type="http://schemas.openxmlformats.org/officeDocument/2006/relationships/fontTable" Target="fontTable.xml"/><Relationship Id="rId10" Type="http://schemas.openxmlformats.org/officeDocument/2006/relationships/hyperlink" Target="#__RefHeading__1184_1551139750" TargetMode="External"/><Relationship Id="rId19" Type="http://schemas.openxmlformats.org/officeDocument/2006/relationships/hyperlink" Target="#__RefHeading__1202_1551139750" TargetMode="External"/><Relationship Id="rId31" Type="http://schemas.openxmlformats.org/officeDocument/2006/relationships/hyperlink" Target="https://www.reuters.com/world/africa/south-africas-online-retail-sales-exceed-742-billion-this-year-study-forecasts-2025-09-11/" TargetMode="External"/><Relationship Id="rId4" Type="http://schemas.openxmlformats.org/officeDocument/2006/relationships/webSettings" Target="webSettings.xml"/><Relationship Id="rId9" Type="http://schemas.openxmlformats.org/officeDocument/2006/relationships/hyperlink" Target="#__RefHeading__1182_1551139750" TargetMode="External"/><Relationship Id="rId14" Type="http://schemas.openxmlformats.org/officeDocument/2006/relationships/hyperlink" Target="#__RefHeading__1192_1551139750" TargetMode="External"/><Relationship Id="rId22" Type="http://schemas.openxmlformats.org/officeDocument/2006/relationships/hyperlink" Target="#__RefHeading__1208_1551139750" TargetMode="External"/><Relationship Id="rId27" Type="http://schemas.openxmlformats.org/officeDocument/2006/relationships/hyperlink" Target="https://www.bloomberg.com/news/articles/2025-05-26/south-africa-has-too-many-retail-stores-pick-n-pay-ceo-says" TargetMode="External"/><Relationship Id="rId30" Type="http://schemas.openxmlformats.org/officeDocument/2006/relationships/hyperlink" Target="https://www.reuters.com/business/retail-consumer/south-africas-takealot-bets-townships-fend-off-global-rivals-2024-12-16/" TargetMode="External"/><Relationship Id="rId35" Type="http://schemas.openxmlformats.org/officeDocument/2006/relationships/footer" Target="footer1.xml"/><Relationship Id="rId8" Type="http://schemas.openxmlformats.org/officeDocument/2006/relationships/hyperlink" Target="#__RefHeading__1180_155113975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7171</Words>
  <Characters>40879</Characters>
  <Application>Microsoft Office Word</Application>
  <DocSecurity>0</DocSecurity>
  <Lines>340</Lines>
  <Paragraphs>95</Paragraphs>
  <ScaleCrop>false</ScaleCrop>
  <Company/>
  <LinksUpToDate>false</LinksUpToDate>
  <CharactersWithSpaces>47955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Liviu Nassiri Basti (2112789)</dc:creator>
  <cp:keywords/>
  <dc:description/>
  <cp:lastModifiedBy>Elvis Liviu Nassiri Basti (2112789)</cp:lastModifiedBy>
  <cp:revision>2</cp:revision>
  <dcterms:created xsi:type="dcterms:W3CDTF">2025-11-29T10:59:00Z</dcterms:created>
  <dcterms:modified xsi:type="dcterms:W3CDTF">2025-11-29T10:59:00Z</dcterms:modified>
</cp:coreProperties>
</file>