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58C4" w:rsidRDefault="00C258C4" w:rsidP="00C258C4">
      <w:pPr>
        <w:jc w:val="center"/>
      </w:pPr>
      <w:hyperlink r:id="rId7" w:tgtFrame="_blank" w:history="1">
        <w:r w:rsidRPr="00C258C4">
          <w:rPr>
            <w:rStyle w:val="Hyperlink"/>
            <w:rFonts w:ascii="Arial" w:hAnsi="Arial" w:cs="Arial"/>
            <w:color w:val="167AC6"/>
            <w:bdr w:val="none" w:sz="0" w:space="0" w:color="auto" w:frame="1"/>
          </w:rPr>
          <w:t>https://youtu.be/gM3oEgcPYl8</w:t>
        </w:r>
      </w:hyperlink>
    </w:p>
    <w:p w:rsidR="00C258C4" w:rsidRPr="00C258C4" w:rsidRDefault="00C258C4" w:rsidP="00C258C4">
      <w:pPr>
        <w:jc w:val="center"/>
      </w:pPr>
    </w:p>
    <w:p w:rsidR="0013283F" w:rsidRPr="009A35FA" w:rsidRDefault="0013283F" w:rsidP="009A35FA">
      <w:pPr>
        <w:pStyle w:val="fixed"/>
        <w:spacing w:line="360" w:lineRule="auto"/>
        <w:ind w:left="0" w:firstLine="0"/>
        <w:jc w:val="center"/>
        <w:rPr>
          <w:rFonts w:ascii="Arial" w:hAnsi="Arial" w:cs="Arial"/>
          <w:u w:val="single"/>
        </w:rPr>
      </w:pPr>
      <w:r w:rsidRPr="009A35FA">
        <w:rPr>
          <w:rFonts w:ascii="Arial" w:hAnsi="Arial" w:cs="Arial"/>
          <w:u w:val="single"/>
        </w:rPr>
        <w:t>Ystyriwch sut y gallech ddatblygu sgiliau mentergarwch neu greadigol eich dysgwyr trwy eich addysgeg chi eich hun.</w:t>
      </w:r>
    </w:p>
    <w:p w:rsidR="0013283F" w:rsidRPr="009A35FA" w:rsidRDefault="0013283F" w:rsidP="009A35FA">
      <w:pPr>
        <w:spacing w:line="360" w:lineRule="auto"/>
        <w:rPr>
          <w:rFonts w:ascii="Arial" w:hAnsi="Arial" w:cs="Arial"/>
        </w:rPr>
      </w:pPr>
    </w:p>
    <w:p w:rsidR="00243F31" w:rsidRDefault="00243F31" w:rsidP="00243F31">
      <w:pPr>
        <w:autoSpaceDE w:val="0"/>
        <w:autoSpaceDN w:val="0"/>
        <w:adjustRightInd w:val="0"/>
        <w:spacing w:line="360" w:lineRule="auto"/>
        <w:rPr>
          <w:rFonts w:ascii="Arial" w:eastAsiaTheme="minorHAnsi" w:hAnsi="Arial" w:cs="Arial"/>
          <w:lang w:eastAsia="en-US"/>
        </w:rPr>
      </w:pPr>
      <w:r>
        <w:rPr>
          <w:rFonts w:ascii="Arial" w:eastAsiaTheme="minorHAnsi" w:hAnsi="Arial" w:cs="Arial"/>
          <w:color w:val="252525"/>
          <w:lang w:eastAsia="en-US"/>
        </w:rPr>
        <w:t xml:space="preserve">Diffinnir creadigrwydd fel </w:t>
      </w:r>
      <w:r>
        <w:rPr>
          <w:rFonts w:ascii="Arial" w:eastAsiaTheme="minorHAnsi" w:hAnsi="Arial" w:cs="Arial"/>
          <w:lang w:eastAsia="en-US"/>
        </w:rPr>
        <w:t>“Creativity is the process of having original ideas that have value.” (Robinson, 2015)</w:t>
      </w:r>
    </w:p>
    <w:p w:rsidR="00243F31" w:rsidRDefault="00243F31" w:rsidP="00243F31">
      <w:pPr>
        <w:autoSpaceDE w:val="0"/>
        <w:autoSpaceDN w:val="0"/>
        <w:adjustRightInd w:val="0"/>
        <w:spacing w:line="360" w:lineRule="auto"/>
        <w:rPr>
          <w:rFonts w:ascii="Arial" w:eastAsiaTheme="minorHAnsi" w:hAnsi="Arial" w:cs="Arial"/>
          <w:lang w:eastAsia="en-US"/>
        </w:rPr>
      </w:pPr>
      <w:r>
        <w:rPr>
          <w:rFonts w:ascii="Arial" w:eastAsiaTheme="minorHAnsi" w:hAnsi="Arial" w:cs="Arial"/>
          <w:lang w:eastAsia="en-US"/>
        </w:rPr>
        <w:t xml:space="preserve">Ychwanegir Robinson bod angen yr allu o sgiliau a dealltwriaeth sylfaenol i fod yn greadigol, ond nid yw’n proses llinol, felly ddim yn hanfodol i lwyddiant. Dadlau Gove trwy ddefnyddio mathemateg fel enghraifft, heb i blant cael y ddealltwriaeth o sut i ddefnyddio rhifau, sut i luosi, rhannu hir, ac i hyn i fod yn broses naturiol iddynt, nid oes siawns i ddefnyddio mathemateg yn greadigol. Cytunir Mavity gyda Robinson, wrth ddweud petai addysg heddiw yn dilyn yr un steil traddodiadol, hen ffasiwn fyddai Gove yn iawn. Yn awr mae addysg mewn cyfeiriad newydd, ble bod rhan hanfodol gan greadigrwydd a syniadau. </w:t>
      </w:r>
    </w:p>
    <w:p w:rsidR="00243F31" w:rsidRDefault="00243F31" w:rsidP="00243F31">
      <w:pPr>
        <w:autoSpaceDE w:val="0"/>
        <w:autoSpaceDN w:val="0"/>
        <w:adjustRightInd w:val="0"/>
        <w:spacing w:line="360" w:lineRule="auto"/>
        <w:rPr>
          <w:rFonts w:ascii="Arial" w:eastAsiaTheme="minorHAnsi" w:hAnsi="Arial" w:cs="Arial"/>
          <w:color w:val="252525"/>
          <w:lang w:eastAsia="en-US"/>
        </w:rPr>
      </w:pPr>
    </w:p>
    <w:p w:rsidR="00243F31" w:rsidRDefault="00243F31" w:rsidP="00243F31">
      <w:pPr>
        <w:widowControl w:val="0"/>
        <w:autoSpaceDE w:val="0"/>
        <w:autoSpaceDN w:val="0"/>
        <w:adjustRightInd w:val="0"/>
        <w:spacing w:after="240" w:line="360" w:lineRule="auto"/>
        <w:rPr>
          <w:rFonts w:ascii="Arial" w:eastAsiaTheme="minorHAnsi" w:hAnsi="Arial" w:cs="Arial"/>
          <w:lang w:eastAsia="en-US"/>
        </w:rPr>
      </w:pPr>
      <w:r>
        <w:rPr>
          <w:rFonts w:ascii="Arial" w:eastAsiaTheme="minorHAnsi" w:hAnsi="Arial" w:cs="Arial"/>
          <w:lang w:eastAsia="en-US"/>
        </w:rPr>
        <w:t>Ychwanegir Seltzer a Bentley at y diffiniad o greadigrwydd trwy ddweud:</w:t>
      </w:r>
      <w:r w:rsidR="00C258C4">
        <w:rPr>
          <w:rFonts w:ascii="Arial" w:eastAsiaTheme="minorHAnsi" w:hAnsi="Arial" w:cs="Arial"/>
          <w:lang w:eastAsia="en-US"/>
        </w:rPr>
        <w:t xml:space="preserve">                </w:t>
      </w:r>
      <w:bookmarkStart w:id="0" w:name="_GoBack"/>
      <w:bookmarkEnd w:id="0"/>
      <w:r>
        <w:rPr>
          <w:rFonts w:ascii="Arial" w:eastAsiaTheme="minorHAnsi" w:hAnsi="Arial" w:cs="Arial"/>
          <w:i/>
          <w:iCs/>
          <w:lang w:eastAsia="en-US"/>
        </w:rPr>
        <w:t>“The most important misconception about creativity is that it involves artistic sensibility’. They go on to clarify that creativity is not equivalent to brilliance nor does it imply talent.”</w:t>
      </w:r>
      <w:r>
        <w:rPr>
          <w:rFonts w:ascii="Arial" w:eastAsiaTheme="minorHAnsi" w:hAnsi="Arial" w:cs="Arial"/>
          <w:lang w:eastAsia="en-US"/>
        </w:rPr>
        <w:t xml:space="preserve"> (Seltzer a Bentley, 1999)</w:t>
      </w:r>
    </w:p>
    <w:p w:rsidR="00243F31" w:rsidRDefault="00243F31" w:rsidP="00243F31">
      <w:pPr>
        <w:autoSpaceDE w:val="0"/>
        <w:autoSpaceDN w:val="0"/>
        <w:adjustRightInd w:val="0"/>
        <w:spacing w:line="360" w:lineRule="auto"/>
        <w:rPr>
          <w:rFonts w:ascii="Arial" w:eastAsiaTheme="minorHAnsi" w:hAnsi="Arial" w:cs="Arial"/>
          <w:lang w:eastAsia="en-US"/>
        </w:rPr>
      </w:pPr>
      <w:r>
        <w:rPr>
          <w:rFonts w:ascii="Arial" w:eastAsiaTheme="minorHAnsi" w:hAnsi="Arial" w:cs="Arial"/>
          <w:lang w:eastAsia="en-US"/>
        </w:rPr>
        <w:t xml:space="preserve">Mae’n amlwg bod datrys problemau yn rhan o fywyd pob dydd ac yn hanfodol i lwyddo a pharhau trwy’r dydd. Wrth ystyried yr holl broblemau mae disgyblion yn datrys o ddydd i ddydd yn yr ysgol rhaid ystyried y ‘creative problem solving’ model. </w:t>
      </w:r>
      <w:r>
        <w:rPr>
          <w:rFonts w:ascii="Arial" w:eastAsiaTheme="minorHAnsi" w:hAnsi="Arial" w:cs="Arial"/>
          <w:i/>
          <w:iCs/>
          <w:color w:val="002060"/>
          <w:lang w:eastAsia="en-US"/>
        </w:rPr>
        <w:t xml:space="preserve">Treffinger, D. J. </w:t>
      </w:r>
      <w:r>
        <w:rPr>
          <w:rFonts w:ascii="Arial" w:eastAsiaTheme="minorHAnsi" w:hAnsi="Arial" w:cs="Arial"/>
          <w:i/>
          <w:iCs/>
          <w:color w:val="000000"/>
          <w:lang w:eastAsia="en-US"/>
        </w:rPr>
        <w:t>(1995)</w:t>
      </w:r>
      <w:r>
        <w:rPr>
          <w:rFonts w:ascii="Arial" w:eastAsiaTheme="minorHAnsi" w:hAnsi="Arial" w:cs="Arial"/>
          <w:color w:val="000000"/>
          <w:lang w:eastAsia="en-US"/>
        </w:rPr>
        <w:t>. Gall hyn fod yn berthnasol i ddisgyblion er mwyn parhau i ddatrys problemau o ddydd i ddydd.</w:t>
      </w:r>
    </w:p>
    <w:p w:rsidR="00243F31" w:rsidRDefault="00243F31" w:rsidP="00243F31">
      <w:pPr>
        <w:autoSpaceDE w:val="0"/>
        <w:autoSpaceDN w:val="0"/>
        <w:adjustRightInd w:val="0"/>
        <w:spacing w:line="360" w:lineRule="auto"/>
        <w:rPr>
          <w:rFonts w:ascii="Arial" w:eastAsiaTheme="minorHAnsi" w:hAnsi="Arial" w:cs="Arial"/>
          <w:color w:val="252525"/>
          <w:lang w:eastAsia="en-US"/>
        </w:rPr>
      </w:pPr>
    </w:p>
    <w:p w:rsidR="00243F31" w:rsidRDefault="00243F31" w:rsidP="00243F31">
      <w:pPr>
        <w:autoSpaceDE w:val="0"/>
        <w:autoSpaceDN w:val="0"/>
        <w:adjustRightInd w:val="0"/>
        <w:spacing w:line="360" w:lineRule="auto"/>
        <w:rPr>
          <w:rFonts w:ascii="Arial" w:eastAsiaTheme="minorHAnsi" w:hAnsi="Arial" w:cs="Arial"/>
          <w:color w:val="252525"/>
          <w:u w:val="single"/>
          <w:lang w:eastAsia="en-US"/>
        </w:rPr>
      </w:pPr>
      <w:r>
        <w:rPr>
          <w:rFonts w:ascii="Arial" w:eastAsiaTheme="minorHAnsi" w:hAnsi="Arial" w:cs="Arial"/>
          <w:lang w:eastAsia="en-US"/>
        </w:rPr>
        <w:t>Dechreua creadigrwydd yn y blynyddoedd cynnar, ble penderfynwyd ar y cyfleoedd i ddatblygu creadigrwydd disgyblion. Nododd DfES (2002) pwysigrwydd hyrwyddo creadigrwydd plant ifanc yn eu blynyddoedd mwyaf cynnar. Wrth ystyried bod creadigrwydd yn broses unigryw sy’n parhau i ddatblygu trwy eich oes, rhaid cofio gyda phlant ifanc a disgyblion ysgol gynradd bod y pwyslais ar y broses o greadigrwydd ac nid y canlyniad bob tro. Cefnogir hyn gan Craft, A. (2003), Tegano, D.W., Moran, J.D. a Sawyers, J.K. (1991).</w:t>
      </w:r>
    </w:p>
    <w:p w:rsidR="00243F31" w:rsidRDefault="00243F31" w:rsidP="00243F31">
      <w:pPr>
        <w:autoSpaceDE w:val="0"/>
        <w:autoSpaceDN w:val="0"/>
        <w:adjustRightInd w:val="0"/>
        <w:spacing w:line="360" w:lineRule="auto"/>
        <w:rPr>
          <w:rFonts w:ascii="Arial" w:eastAsiaTheme="minorHAnsi" w:hAnsi="Arial" w:cs="Arial"/>
          <w:color w:val="252525"/>
          <w:u w:val="single"/>
          <w:lang w:eastAsia="en-US"/>
        </w:rPr>
      </w:pPr>
    </w:p>
    <w:p w:rsidR="00243F31" w:rsidRDefault="00243F31" w:rsidP="00243F31">
      <w:pPr>
        <w:autoSpaceDE w:val="0"/>
        <w:autoSpaceDN w:val="0"/>
        <w:adjustRightInd w:val="0"/>
        <w:spacing w:line="360" w:lineRule="auto"/>
        <w:rPr>
          <w:rFonts w:ascii="Arial" w:eastAsiaTheme="minorHAnsi" w:hAnsi="Arial" w:cs="Arial"/>
          <w:lang w:eastAsia="en-US"/>
        </w:rPr>
      </w:pPr>
      <w:r>
        <w:rPr>
          <w:rFonts w:ascii="Arial" w:eastAsiaTheme="minorHAnsi" w:hAnsi="Arial" w:cs="Arial"/>
          <w:lang w:eastAsia="en-US"/>
        </w:rPr>
        <w:lastRenderedPageBreak/>
        <w:t xml:space="preserve">Yn ogystal dywed (Sharp, C. o’r NFER, 2004) i fod yn greadigol, mae’n rhaid ymateb i brofiadau trwy gyfathrebu am y syniadau. Cefnogir hyn gan Skinner (2007) trwy ddweud bod angen i blant a phobl ifanc datrys y problemau gyda’i chyd-ddisgyblion, mae’n fantais i weithio ag eraill mewn sefyllfaoedd ymarferol i ddatblygu’n gorfforol. I ychwanegu at hyn cytunir Malaguzzi a Vygotsky bod datrys problemau yn fwy effeithiol gyda chyfoed neu dan arweiniad person mwy abl/gwybodus. </w:t>
      </w:r>
      <w:r>
        <w:rPr>
          <w:rFonts w:ascii="Arial" w:eastAsiaTheme="minorHAnsi" w:hAnsi="Arial" w:cs="Arial"/>
          <w:color w:val="252525"/>
          <w:lang w:eastAsia="en-US"/>
        </w:rPr>
        <w:t xml:space="preserve">Sylwir bod Vygotsky (1978) yn ategu a chefnogi </w:t>
      </w:r>
      <w:r>
        <w:rPr>
          <w:rFonts w:ascii="Arial" w:eastAsiaTheme="minorHAnsi" w:hAnsi="Arial" w:cs="Arial"/>
          <w:lang w:eastAsia="en-US"/>
        </w:rPr>
        <w:t>Malaguzzi (1993), Sharp (2004) a Skinner (2007).</w:t>
      </w:r>
    </w:p>
    <w:p w:rsidR="00243F31" w:rsidRDefault="00243F31" w:rsidP="00243F31">
      <w:pPr>
        <w:autoSpaceDE w:val="0"/>
        <w:autoSpaceDN w:val="0"/>
        <w:adjustRightInd w:val="0"/>
        <w:spacing w:line="360" w:lineRule="auto"/>
        <w:rPr>
          <w:rFonts w:ascii="Arial" w:eastAsiaTheme="minorHAnsi" w:hAnsi="Arial" w:cs="Arial"/>
          <w:lang w:eastAsia="en-US"/>
        </w:rPr>
      </w:pPr>
    </w:p>
    <w:p w:rsidR="00243F31" w:rsidRDefault="00243F31" w:rsidP="00243F31">
      <w:pPr>
        <w:autoSpaceDE w:val="0"/>
        <w:autoSpaceDN w:val="0"/>
        <w:adjustRightInd w:val="0"/>
        <w:spacing w:line="360" w:lineRule="auto"/>
        <w:rPr>
          <w:rFonts w:ascii="Arial" w:eastAsiaTheme="minorHAnsi" w:hAnsi="Arial" w:cs="Arial"/>
          <w:color w:val="252525"/>
          <w:lang w:eastAsia="en-US"/>
        </w:rPr>
      </w:pPr>
      <w:r>
        <w:rPr>
          <w:rFonts w:ascii="Arial" w:eastAsiaTheme="minorHAnsi" w:hAnsi="Arial" w:cs="Arial"/>
          <w:color w:val="252525"/>
          <w:lang w:eastAsia="en-US"/>
        </w:rPr>
        <w:t xml:space="preserve">Gwelir bod amrywiaeth o gyfleoedd gan ddisgyblion yn y Cyfnod Sylfaen i arbrofi a chwarae i gymharu â Chyfnod Allweddol 2, oherwydd bod y pwyslais yn trosglwyddo at ganlyniadau profion, a sut caiff hyn effaith ar yr ysgol gyfan. </w:t>
      </w:r>
    </w:p>
    <w:p w:rsidR="00243F31" w:rsidRDefault="00243F31" w:rsidP="00243F31">
      <w:pPr>
        <w:autoSpaceDE w:val="0"/>
        <w:autoSpaceDN w:val="0"/>
        <w:adjustRightInd w:val="0"/>
        <w:spacing w:line="360" w:lineRule="auto"/>
        <w:rPr>
          <w:rFonts w:ascii="Arial" w:eastAsiaTheme="minorHAnsi" w:hAnsi="Arial" w:cs="Arial"/>
          <w:lang w:eastAsia="en-US"/>
        </w:rPr>
      </w:pPr>
      <w:r>
        <w:rPr>
          <w:rFonts w:ascii="Arial" w:eastAsiaTheme="minorHAnsi" w:hAnsi="Arial" w:cs="Arial"/>
          <w:color w:val="252525"/>
          <w:lang w:eastAsia="en-US"/>
        </w:rPr>
        <w:t xml:space="preserve">Mewn cyfres o wersi yn seiliedig ar ‘Yr Ail Ryfel Byd’ byddaf yn pori mewn i’r wahanol adrannau yn fras i ddechrau, e.e. Y Blits, Rôl Menywod a Dogni Bwyd i ddarparu cyfleoedd creadigol i’r disgyblion dysgu ac ennyn dealltwriaeth ddyfnach. Un strategaeth byddaf yn defnyddio yw dysgu fflip. Yn ôl </w:t>
      </w:r>
      <w:r>
        <w:rPr>
          <w:rFonts w:ascii="Arial" w:eastAsiaTheme="minorHAnsi" w:hAnsi="Arial" w:cs="Arial"/>
          <w:lang w:eastAsia="en-US"/>
        </w:rPr>
        <w:t>(Gannod, Berge &amp; Helmick, 2008) mae dysgu fflip yn gwneud y cyfleoedd dysgu yn fwy gweithredol. Yn ogystal bod pwyslais ar athrawon i wneud cymaint gyda’i hamser yn y dosbarth, cynnigyr dysgu fflip y cyfle i ddefnyddio’r amser yn fwy effeithiol. (Cole, 2009)</w:t>
      </w:r>
    </w:p>
    <w:p w:rsidR="00243F31" w:rsidRDefault="00243F31" w:rsidP="00243F31">
      <w:pPr>
        <w:autoSpaceDE w:val="0"/>
        <w:autoSpaceDN w:val="0"/>
        <w:adjustRightInd w:val="0"/>
        <w:spacing w:line="360" w:lineRule="auto"/>
        <w:rPr>
          <w:rFonts w:ascii="Arial" w:eastAsiaTheme="minorHAnsi" w:hAnsi="Arial" w:cs="Arial"/>
          <w:color w:val="252525"/>
          <w:lang w:eastAsia="en-US"/>
        </w:rPr>
      </w:pPr>
    </w:p>
    <w:p w:rsidR="00243F31" w:rsidRDefault="00243F31" w:rsidP="00243F31">
      <w:pPr>
        <w:autoSpaceDE w:val="0"/>
        <w:autoSpaceDN w:val="0"/>
        <w:adjustRightInd w:val="0"/>
        <w:spacing w:line="360" w:lineRule="auto"/>
        <w:rPr>
          <w:rFonts w:ascii="Arial" w:eastAsiaTheme="minorHAnsi" w:hAnsi="Arial" w:cs="Arial"/>
          <w:color w:val="252525"/>
          <w:lang w:eastAsia="en-US"/>
        </w:rPr>
      </w:pPr>
      <w:r>
        <w:rPr>
          <w:rFonts w:ascii="Arial" w:eastAsiaTheme="minorHAnsi" w:hAnsi="Arial" w:cs="Arial"/>
          <w:color w:val="252525"/>
          <w:lang w:eastAsia="en-US"/>
        </w:rPr>
        <w:t xml:space="preserve">Bydd ffocws y wers ar sgiliau meddwl a chyfathrebu, eu creadigrwydd, yn ogystal â gweithio mewn grŵp. Gwna'r wers yn drawsgwricwlaidd wrth ddefnyddio elfennau o D.T a Hanes. Pwrpas y dasg fyddai i ail-greu cysgod Anderson o ddefnyddiau sydd wedi ailgylchu, sy’n dod ac elfennau ADCDF i’r wers, oherwydd bod pwyslais enfawr ar gynaliadwyedd, gynhesu byd-eang ac i gadw’r amgylchedd yn lân. I sicrhau'r cyfle gorau i fanteisio ar gyfle i ail-greu cysgod Anderson, byddaf yn gosod ardal benodol tu hwnt i’r ystafell ddosbarth yn yr awyr agored, fel petai'r cysgod go iawn, nôl yn y pedwardegau. </w:t>
      </w:r>
    </w:p>
    <w:p w:rsidR="00243F31" w:rsidRDefault="00243F31" w:rsidP="00243F31">
      <w:pPr>
        <w:autoSpaceDE w:val="0"/>
        <w:autoSpaceDN w:val="0"/>
        <w:adjustRightInd w:val="0"/>
        <w:spacing w:line="360" w:lineRule="auto"/>
        <w:rPr>
          <w:rFonts w:ascii="Arial" w:eastAsiaTheme="minorHAnsi" w:hAnsi="Arial" w:cs="Arial"/>
          <w:color w:val="252525"/>
          <w:u w:val="single"/>
          <w:lang w:eastAsia="en-US"/>
        </w:rPr>
      </w:pPr>
    </w:p>
    <w:p w:rsidR="00243F31" w:rsidRDefault="00243F31" w:rsidP="00243F31">
      <w:pPr>
        <w:autoSpaceDE w:val="0"/>
        <w:autoSpaceDN w:val="0"/>
        <w:adjustRightInd w:val="0"/>
        <w:spacing w:line="360" w:lineRule="auto"/>
        <w:rPr>
          <w:rFonts w:ascii="Arial" w:eastAsiaTheme="minorHAnsi" w:hAnsi="Arial" w:cs="Arial"/>
          <w:color w:val="252525"/>
          <w:lang w:eastAsia="en-US"/>
        </w:rPr>
      </w:pPr>
      <w:r>
        <w:rPr>
          <w:rFonts w:ascii="Arial" w:eastAsiaTheme="minorHAnsi" w:hAnsi="Arial" w:cs="Arial"/>
          <w:color w:val="252525"/>
          <w:lang w:eastAsia="en-US"/>
        </w:rPr>
        <w:t xml:space="preserve">Mewn eu grwpiau, bydd y disgyblion yn creu cwestiynau i ofyn i aelod o grŵp arall tra bod nhw ar y gadair goch. Pan ddaw’r amser i unigolion fod yn y gadair goch byddaf wedi llogi gwisgoedd ac arteffactau o’r rhyfel iddyn nhw ddefnyddio. Trwy logi'r gwisgoedd ac arteffactau cysylltir hyn gyda’r gymuned ehangach, yn ychwanegol i ymarfer eu sgiliau llafaredd. </w:t>
      </w:r>
    </w:p>
    <w:p w:rsidR="003731DE" w:rsidRPr="009A35FA" w:rsidRDefault="003731DE" w:rsidP="009A35FA">
      <w:pPr>
        <w:spacing w:line="360" w:lineRule="auto"/>
        <w:rPr>
          <w:rFonts w:ascii="Arial" w:hAnsi="Arial" w:cs="Arial"/>
          <w:color w:val="252525"/>
          <w:u w:val="single"/>
          <w:shd w:val="clear" w:color="auto" w:fill="FFFFFF"/>
        </w:rPr>
      </w:pPr>
      <w:r w:rsidRPr="009A35FA">
        <w:rPr>
          <w:rFonts w:ascii="Arial" w:hAnsi="Arial" w:cs="Arial"/>
          <w:color w:val="252525"/>
          <w:u w:val="single"/>
          <w:shd w:val="clear" w:color="auto" w:fill="FFFFFF"/>
        </w:rPr>
        <w:lastRenderedPageBreak/>
        <w:t>Llyfryddiaeth</w:t>
      </w:r>
    </w:p>
    <w:p w:rsidR="003731DE" w:rsidRPr="009A35FA" w:rsidRDefault="003731DE" w:rsidP="009A35FA">
      <w:pPr>
        <w:spacing w:line="360" w:lineRule="auto"/>
        <w:rPr>
          <w:rFonts w:ascii="Arial" w:hAnsi="Arial" w:cs="Arial"/>
          <w:color w:val="252525"/>
          <w:u w:val="single"/>
          <w:shd w:val="clear" w:color="auto" w:fill="FFFFFF"/>
        </w:rPr>
      </w:pPr>
    </w:p>
    <w:p w:rsidR="003731DE" w:rsidRPr="009A35FA" w:rsidRDefault="003731DE" w:rsidP="009A35FA">
      <w:pPr>
        <w:spacing w:line="360" w:lineRule="auto"/>
        <w:rPr>
          <w:rFonts w:ascii="Arial" w:hAnsi="Arial" w:cs="Arial"/>
        </w:rPr>
      </w:pPr>
      <w:r w:rsidRPr="009A35FA">
        <w:rPr>
          <w:rFonts w:ascii="Arial" w:hAnsi="Arial" w:cs="Arial"/>
        </w:rPr>
        <w:t>Cole, J. E., &amp; Kritzer, J. B. (2009). Strategies for success: Teaching an online course. Rural Special Education Quarterly, 28(4), 36-40.</w:t>
      </w:r>
    </w:p>
    <w:p w:rsidR="003731DE" w:rsidRPr="009A35FA" w:rsidRDefault="003731DE" w:rsidP="009A35FA">
      <w:pPr>
        <w:spacing w:line="360" w:lineRule="auto"/>
        <w:rPr>
          <w:rFonts w:ascii="Arial" w:hAnsi="Arial" w:cs="Arial"/>
          <w:u w:val="single"/>
        </w:rPr>
      </w:pPr>
    </w:p>
    <w:p w:rsidR="003731DE" w:rsidRPr="009A35FA" w:rsidRDefault="003731DE" w:rsidP="009A35FA">
      <w:pPr>
        <w:spacing w:line="360" w:lineRule="auto"/>
        <w:rPr>
          <w:rFonts w:ascii="Arial" w:hAnsi="Arial" w:cs="Arial"/>
        </w:rPr>
      </w:pPr>
      <w:r w:rsidRPr="009A35FA">
        <w:rPr>
          <w:rFonts w:ascii="Arial" w:hAnsi="Arial" w:cs="Arial"/>
        </w:rPr>
        <w:t>Craft</w:t>
      </w:r>
      <w:r w:rsidRPr="002130B4">
        <w:rPr>
          <w:rFonts w:ascii="Arial" w:hAnsi="Arial" w:cs="Arial"/>
        </w:rPr>
        <w:t>, A. (2003). ‘Creative thinking in the early years of education’</w:t>
      </w:r>
      <w:r w:rsidRPr="009A35FA">
        <w:rPr>
          <w:rFonts w:ascii="Arial" w:hAnsi="Arial" w:cs="Arial"/>
        </w:rPr>
        <w:t xml:space="preserve">, Early Years. </w:t>
      </w:r>
    </w:p>
    <w:p w:rsidR="003731DE" w:rsidRPr="009A35FA" w:rsidRDefault="003731DE" w:rsidP="009A35FA">
      <w:pPr>
        <w:spacing w:line="360" w:lineRule="auto"/>
        <w:rPr>
          <w:rFonts w:ascii="Arial" w:hAnsi="Arial" w:cs="Arial"/>
        </w:rPr>
      </w:pPr>
    </w:p>
    <w:p w:rsidR="003731DE" w:rsidRPr="009A35FA" w:rsidRDefault="003731DE" w:rsidP="009A35FA">
      <w:pPr>
        <w:spacing w:line="360" w:lineRule="auto"/>
        <w:rPr>
          <w:rFonts w:ascii="Arial" w:hAnsi="Arial" w:cs="Arial"/>
        </w:rPr>
      </w:pPr>
      <w:r w:rsidRPr="009A35FA">
        <w:rPr>
          <w:rFonts w:ascii="Arial" w:hAnsi="Arial" w:cs="Arial"/>
        </w:rPr>
        <w:t xml:space="preserve">Donaldson, G (2015). Dyfodol Llwyddiannus: Adolygiad Annibynnol o’r Cwricwlwm. Caerdydd: Llywodraeth Cynulliad Cymru.      </w:t>
      </w:r>
      <w:hyperlink r:id="rId8" w:history="1">
        <w:r w:rsidRPr="009A35FA">
          <w:rPr>
            <w:rStyle w:val="Hyperlink"/>
            <w:rFonts w:ascii="Arial" w:hAnsi="Arial" w:cs="Arial"/>
          </w:rPr>
          <w:t>http://gov.wales/docs/dcells/publications/150225-successful-futures-cy.pdf</w:t>
        </w:r>
      </w:hyperlink>
      <w:r w:rsidRPr="009A35FA">
        <w:rPr>
          <w:rFonts w:ascii="Arial" w:hAnsi="Arial" w:cs="Arial"/>
        </w:rPr>
        <w:t xml:space="preserve"> </w:t>
      </w:r>
    </w:p>
    <w:p w:rsidR="003731DE" w:rsidRPr="009A35FA" w:rsidRDefault="003731DE" w:rsidP="009A35FA">
      <w:pPr>
        <w:spacing w:line="360" w:lineRule="auto"/>
        <w:rPr>
          <w:rFonts w:ascii="Arial" w:eastAsiaTheme="minorHAnsi" w:hAnsi="Arial" w:cs="Arial"/>
          <w:lang w:val="en-US" w:eastAsia="en-US"/>
        </w:rPr>
      </w:pPr>
    </w:p>
    <w:p w:rsidR="003731DE" w:rsidRPr="009A35FA" w:rsidRDefault="003731DE" w:rsidP="009A35FA">
      <w:pPr>
        <w:spacing w:line="360" w:lineRule="auto"/>
        <w:rPr>
          <w:rFonts w:ascii="Arial" w:hAnsi="Arial" w:cs="Arial"/>
        </w:rPr>
      </w:pPr>
      <w:r w:rsidRPr="009A35FA">
        <w:rPr>
          <w:rFonts w:ascii="Arial" w:hAnsi="Arial" w:cs="Arial"/>
        </w:rPr>
        <w:t>Gannod, G. C., Burge, J. E., &amp; Helmick, M. T. (2008). Proceedings of the 30th International Conference on Software Engineering: Using the inverted classroom to teach software engineering. New York, NY: ACM.</w:t>
      </w:r>
    </w:p>
    <w:p w:rsidR="003731DE" w:rsidRPr="009A35FA" w:rsidRDefault="003731DE" w:rsidP="009A35FA">
      <w:pPr>
        <w:spacing w:line="360" w:lineRule="auto"/>
        <w:rPr>
          <w:rFonts w:ascii="Arial" w:hAnsi="Arial" w:cs="Arial"/>
        </w:rPr>
      </w:pPr>
    </w:p>
    <w:p w:rsidR="003731DE" w:rsidRPr="009A35FA" w:rsidRDefault="003731DE" w:rsidP="009A35FA">
      <w:pPr>
        <w:spacing w:line="360" w:lineRule="auto"/>
        <w:rPr>
          <w:rFonts w:ascii="Arial" w:eastAsiaTheme="minorHAnsi" w:hAnsi="Arial" w:cs="Arial"/>
          <w:lang w:val="en-US" w:eastAsia="en-US"/>
        </w:rPr>
      </w:pPr>
      <w:r w:rsidRPr="009A35FA">
        <w:rPr>
          <w:rFonts w:ascii="Arial" w:hAnsi="Arial" w:cs="Arial"/>
        </w:rPr>
        <w:t xml:space="preserve">DfES (2002). a QCA, (2000:b) Dyfynnir o </w:t>
      </w:r>
      <w:r w:rsidRPr="009A35FA">
        <w:rPr>
          <w:rFonts w:ascii="Arial" w:hAnsi="Arial" w:cs="Arial"/>
          <w:color w:val="000000" w:themeColor="text1"/>
          <w:shd w:val="clear" w:color="auto" w:fill="FFFFFF"/>
        </w:rPr>
        <w:t>Duffy, B.</w:t>
      </w:r>
      <w:r w:rsidRPr="00D77E37">
        <w:rPr>
          <w:rFonts w:ascii="Arial" w:hAnsi="Arial" w:cs="Arial"/>
          <w:color w:val="000000" w:themeColor="text1"/>
          <w:shd w:val="clear" w:color="auto" w:fill="FFFFFF"/>
        </w:rPr>
        <w:t xml:space="preserve"> </w:t>
      </w:r>
      <w:r w:rsidRPr="009A35FA">
        <w:rPr>
          <w:rFonts w:ascii="Arial" w:hAnsi="Arial" w:cs="Arial"/>
          <w:color w:val="000000" w:themeColor="text1"/>
          <w:shd w:val="clear" w:color="auto" w:fill="FFFFFF"/>
        </w:rPr>
        <w:t>(</w:t>
      </w:r>
      <w:r w:rsidRPr="00D77E37">
        <w:rPr>
          <w:rFonts w:ascii="Arial" w:hAnsi="Arial" w:cs="Arial"/>
          <w:color w:val="000000" w:themeColor="text1"/>
          <w:shd w:val="clear" w:color="auto" w:fill="FFFFFF"/>
        </w:rPr>
        <w:t>2006</w:t>
      </w:r>
      <w:r w:rsidRPr="009A35FA">
        <w:rPr>
          <w:rFonts w:ascii="Arial" w:hAnsi="Arial" w:cs="Arial"/>
          <w:color w:val="000000" w:themeColor="text1"/>
          <w:shd w:val="clear" w:color="auto" w:fill="FFFFFF"/>
        </w:rPr>
        <w:t>)</w:t>
      </w:r>
      <w:r w:rsidRPr="00D77E37">
        <w:rPr>
          <w:rFonts w:ascii="Arial" w:hAnsi="Arial" w:cs="Arial"/>
          <w:color w:val="000000" w:themeColor="text1"/>
          <w:shd w:val="clear" w:color="auto" w:fill="FFFFFF"/>
        </w:rPr>
        <w:t>. </w:t>
      </w:r>
      <w:r w:rsidRPr="00D77E37">
        <w:rPr>
          <w:rFonts w:ascii="Arial" w:hAnsi="Arial" w:cs="Arial"/>
          <w:i/>
          <w:iCs/>
          <w:color w:val="000000" w:themeColor="text1"/>
          <w:shd w:val="clear" w:color="auto" w:fill="FFFFFF"/>
        </w:rPr>
        <w:t>Supporting creativity and imagination in the early years</w:t>
      </w:r>
      <w:r w:rsidRPr="00D77E37">
        <w:rPr>
          <w:rFonts w:ascii="Arial" w:hAnsi="Arial" w:cs="Arial"/>
          <w:color w:val="000000" w:themeColor="text1"/>
          <w:shd w:val="clear" w:color="auto" w:fill="FFFFFF"/>
        </w:rPr>
        <w:t>. McGraw-Hill Education (UK).</w:t>
      </w:r>
      <w:r w:rsidRPr="009A35FA">
        <w:rPr>
          <w:rFonts w:ascii="Arial" w:hAnsi="Arial" w:cs="Arial"/>
          <w:b/>
          <w:color w:val="000000" w:themeColor="text1"/>
        </w:rPr>
        <w:t xml:space="preserve"> </w:t>
      </w:r>
    </w:p>
    <w:p w:rsidR="003731DE" w:rsidRPr="009A35FA" w:rsidRDefault="003731DE" w:rsidP="009A35FA">
      <w:pPr>
        <w:spacing w:line="360" w:lineRule="auto"/>
        <w:rPr>
          <w:rFonts w:ascii="Arial" w:hAnsi="Arial" w:cs="Arial"/>
        </w:rPr>
      </w:pPr>
    </w:p>
    <w:p w:rsidR="003731DE" w:rsidRPr="00441AAB" w:rsidRDefault="003731DE" w:rsidP="009A35FA">
      <w:pPr>
        <w:spacing w:line="360" w:lineRule="auto"/>
        <w:rPr>
          <w:rFonts w:ascii="Arial" w:hAnsi="Arial" w:cs="Arial"/>
        </w:rPr>
      </w:pPr>
      <w:r w:rsidRPr="009A35FA">
        <w:rPr>
          <w:rFonts w:ascii="Arial" w:hAnsi="Arial" w:cs="Arial"/>
          <w:color w:val="222222"/>
          <w:shd w:val="clear" w:color="auto" w:fill="FFFFFF"/>
        </w:rPr>
        <w:t xml:space="preserve">Robinson, K. </w:t>
      </w:r>
      <w:r w:rsidRPr="009A35FA">
        <w:rPr>
          <w:rFonts w:ascii="Arial" w:hAnsi="Arial" w:cs="Arial"/>
        </w:rPr>
        <w:t xml:space="preserve">Dyfynnir o </w:t>
      </w:r>
      <w:r w:rsidRPr="009A35FA">
        <w:rPr>
          <w:rFonts w:ascii="Arial" w:hAnsi="Arial" w:cs="Arial"/>
          <w:color w:val="222222"/>
          <w:shd w:val="clear" w:color="auto" w:fill="FFFFFF"/>
        </w:rPr>
        <w:t>Grigg, R.</w:t>
      </w:r>
      <w:r w:rsidRPr="00441AAB">
        <w:rPr>
          <w:rFonts w:ascii="Arial" w:hAnsi="Arial" w:cs="Arial"/>
          <w:color w:val="222222"/>
          <w:shd w:val="clear" w:color="auto" w:fill="FFFFFF"/>
        </w:rPr>
        <w:t xml:space="preserve"> </w:t>
      </w:r>
      <w:r w:rsidRPr="009A35FA">
        <w:rPr>
          <w:rFonts w:ascii="Arial" w:hAnsi="Arial" w:cs="Arial"/>
          <w:color w:val="222222"/>
          <w:shd w:val="clear" w:color="auto" w:fill="FFFFFF"/>
        </w:rPr>
        <w:t>(</w:t>
      </w:r>
      <w:r w:rsidRPr="00441AAB">
        <w:rPr>
          <w:rFonts w:ascii="Arial" w:hAnsi="Arial" w:cs="Arial"/>
          <w:color w:val="222222"/>
          <w:shd w:val="clear" w:color="auto" w:fill="FFFFFF"/>
        </w:rPr>
        <w:t>2014</w:t>
      </w:r>
      <w:r w:rsidRPr="009A35FA">
        <w:rPr>
          <w:rFonts w:ascii="Arial" w:hAnsi="Arial" w:cs="Arial"/>
          <w:color w:val="222222"/>
          <w:shd w:val="clear" w:color="auto" w:fill="FFFFFF"/>
        </w:rPr>
        <w:t>)</w:t>
      </w:r>
      <w:r w:rsidRPr="00441AAB">
        <w:rPr>
          <w:rFonts w:ascii="Arial" w:hAnsi="Arial" w:cs="Arial"/>
          <w:color w:val="222222"/>
          <w:shd w:val="clear" w:color="auto" w:fill="FFFFFF"/>
        </w:rPr>
        <w:t>. </w:t>
      </w:r>
      <w:r w:rsidRPr="00441AAB">
        <w:rPr>
          <w:rFonts w:ascii="Arial" w:hAnsi="Arial" w:cs="Arial"/>
          <w:i/>
          <w:iCs/>
          <w:color w:val="222222"/>
          <w:shd w:val="clear" w:color="auto" w:fill="FFFFFF"/>
        </w:rPr>
        <w:t>Becoming an outstanding primary school teacher</w:t>
      </w:r>
      <w:r w:rsidRPr="00441AAB">
        <w:rPr>
          <w:rFonts w:ascii="Arial" w:hAnsi="Arial" w:cs="Arial"/>
          <w:color w:val="222222"/>
          <w:shd w:val="clear" w:color="auto" w:fill="FFFFFF"/>
        </w:rPr>
        <w:t>. Routledge.</w:t>
      </w:r>
    </w:p>
    <w:p w:rsidR="003731DE" w:rsidRPr="009A35FA" w:rsidRDefault="003731DE" w:rsidP="009A35FA">
      <w:pPr>
        <w:spacing w:line="360" w:lineRule="auto"/>
        <w:rPr>
          <w:rFonts w:ascii="Arial" w:hAnsi="Arial" w:cs="Arial"/>
        </w:rPr>
      </w:pPr>
    </w:p>
    <w:p w:rsidR="003731DE" w:rsidRPr="009A35FA" w:rsidRDefault="003731DE" w:rsidP="009A35FA">
      <w:pPr>
        <w:spacing w:line="360" w:lineRule="auto"/>
        <w:rPr>
          <w:rFonts w:ascii="Arial" w:hAnsi="Arial" w:cs="Arial"/>
        </w:rPr>
      </w:pPr>
      <w:r w:rsidRPr="009A35FA">
        <w:rPr>
          <w:rFonts w:ascii="Arial" w:hAnsi="Arial" w:cs="Arial"/>
        </w:rPr>
        <w:t xml:space="preserve">Llywodraeth Cymru. (2015) </w:t>
      </w:r>
      <w:r w:rsidRPr="009A35FA">
        <w:rPr>
          <w:rFonts w:ascii="Arial" w:hAnsi="Arial" w:cs="Arial"/>
          <w:bCs/>
          <w:color w:val="333333"/>
          <w:shd w:val="clear" w:color="auto" w:fill="FFFFFF"/>
        </w:rPr>
        <w:t xml:space="preserve">Fframwaith y Cyfnod Sylfaen. Dysgu Cymru. </w:t>
      </w:r>
      <w:hyperlink r:id="rId9" w:history="1">
        <w:r w:rsidRPr="009A35FA">
          <w:rPr>
            <w:rStyle w:val="Hyperlink"/>
            <w:rFonts w:ascii="Arial" w:hAnsi="Arial" w:cs="Arial"/>
            <w:bCs/>
            <w:shd w:val="clear" w:color="auto" w:fill="FFFFFF"/>
          </w:rPr>
          <w:t>http://learning.gov.wales/resources/browse-all/foundation-phase-framework/?lang=cy</w:t>
        </w:r>
      </w:hyperlink>
      <w:r w:rsidRPr="009A35FA">
        <w:rPr>
          <w:rFonts w:ascii="Arial" w:hAnsi="Arial" w:cs="Arial"/>
          <w:bCs/>
          <w:color w:val="333333"/>
          <w:shd w:val="clear" w:color="auto" w:fill="FFFFFF"/>
        </w:rPr>
        <w:t xml:space="preserve"> </w:t>
      </w:r>
    </w:p>
    <w:p w:rsidR="003731DE" w:rsidRPr="009A35FA" w:rsidRDefault="003731DE" w:rsidP="009A35FA">
      <w:pPr>
        <w:spacing w:line="360" w:lineRule="auto"/>
        <w:rPr>
          <w:rFonts w:ascii="Arial" w:hAnsi="Arial" w:cs="Arial"/>
        </w:rPr>
      </w:pPr>
    </w:p>
    <w:p w:rsidR="003731DE" w:rsidRPr="009A35FA" w:rsidRDefault="003731DE" w:rsidP="009A35FA">
      <w:pPr>
        <w:spacing w:line="360" w:lineRule="auto"/>
        <w:rPr>
          <w:rFonts w:ascii="Arial" w:hAnsi="Arial" w:cs="Arial"/>
        </w:rPr>
      </w:pPr>
      <w:r w:rsidRPr="009A35FA">
        <w:rPr>
          <w:rFonts w:ascii="Arial" w:hAnsi="Arial" w:cs="Arial"/>
        </w:rPr>
        <w:t>Malaguzzi</w:t>
      </w:r>
      <w:r w:rsidRPr="00821225">
        <w:rPr>
          <w:rFonts w:ascii="Arial" w:hAnsi="Arial" w:cs="Arial"/>
        </w:rPr>
        <w:t>, L. (1993). ‘History, ideas, and basic philosophy: an interview with Lella Gandini.’ In: EDWARDS, C., GANDINI, L. and FORMAN, G. (Eds) The Hundred Languages of Children: The Reggio Emilia Approach – Advanced Reflections. Second edn. Greenwich, CT: Ablex Publishing</w:t>
      </w:r>
    </w:p>
    <w:p w:rsidR="003731DE" w:rsidRPr="009A35FA" w:rsidRDefault="003731DE" w:rsidP="009A35FA">
      <w:pPr>
        <w:spacing w:line="360" w:lineRule="auto"/>
        <w:rPr>
          <w:rFonts w:ascii="Arial" w:hAnsi="Arial" w:cs="Arial"/>
        </w:rPr>
      </w:pPr>
    </w:p>
    <w:p w:rsidR="003731DE" w:rsidRPr="009A35FA" w:rsidRDefault="003731DE" w:rsidP="009A35FA">
      <w:pPr>
        <w:spacing w:line="360" w:lineRule="auto"/>
        <w:rPr>
          <w:rFonts w:ascii="Arial" w:hAnsi="Arial" w:cs="Arial"/>
        </w:rPr>
      </w:pPr>
      <w:r w:rsidRPr="009A35FA">
        <w:rPr>
          <w:rFonts w:ascii="Arial" w:hAnsi="Arial" w:cs="Arial"/>
        </w:rPr>
        <w:t>Mellou, E. (1996). ‘Can creativity be nurtured in young children?’ Early Child Development and Care, 119, 119–30.</w:t>
      </w:r>
    </w:p>
    <w:p w:rsidR="003731DE" w:rsidRPr="009A35FA" w:rsidRDefault="003731DE" w:rsidP="009A35FA">
      <w:pPr>
        <w:spacing w:line="360" w:lineRule="auto"/>
        <w:rPr>
          <w:rFonts w:ascii="Arial" w:hAnsi="Arial" w:cs="Arial"/>
        </w:rPr>
      </w:pPr>
    </w:p>
    <w:p w:rsidR="003731DE" w:rsidRPr="009A35FA" w:rsidRDefault="003731DE" w:rsidP="009A35FA">
      <w:pPr>
        <w:spacing w:line="360" w:lineRule="auto"/>
        <w:rPr>
          <w:rFonts w:ascii="Arial" w:hAnsi="Arial" w:cs="Arial"/>
        </w:rPr>
      </w:pPr>
      <w:r w:rsidRPr="009A35FA">
        <w:rPr>
          <w:rFonts w:ascii="Arial" w:hAnsi="Arial" w:cs="Arial"/>
        </w:rPr>
        <w:lastRenderedPageBreak/>
        <w:t>Prentice, R. (2000). ‘Creativity: a reaffirmation of its place in early childhood education’, Curriculum Journal, 11, 2, 145–58.</w:t>
      </w:r>
    </w:p>
    <w:p w:rsidR="003731DE" w:rsidRPr="009A35FA" w:rsidRDefault="003731DE" w:rsidP="009A35FA">
      <w:pPr>
        <w:spacing w:line="360" w:lineRule="auto"/>
        <w:rPr>
          <w:rFonts w:ascii="Arial" w:hAnsi="Arial" w:cs="Arial"/>
        </w:rPr>
      </w:pPr>
    </w:p>
    <w:p w:rsidR="003731DE" w:rsidRPr="009A35FA" w:rsidRDefault="003731DE" w:rsidP="009A35FA">
      <w:pPr>
        <w:spacing w:line="360" w:lineRule="auto"/>
        <w:rPr>
          <w:rFonts w:ascii="Arial" w:hAnsi="Arial" w:cs="Arial"/>
        </w:rPr>
      </w:pPr>
      <w:r w:rsidRPr="009A35FA">
        <w:rPr>
          <w:rFonts w:ascii="Arial" w:hAnsi="Arial" w:cs="Arial"/>
        </w:rPr>
        <w:t xml:space="preserve">Qualifications and Curriculum Authority </w:t>
      </w:r>
      <w:r w:rsidRPr="00821225">
        <w:rPr>
          <w:rFonts w:ascii="Arial" w:hAnsi="Arial" w:cs="Arial"/>
        </w:rPr>
        <w:t>(1999). The National Curriculum: Handbook for Primary Teachers in England Key Stages 1 and 2. London: DfEE and QCA.</w:t>
      </w:r>
    </w:p>
    <w:p w:rsidR="003731DE" w:rsidRPr="009A35FA" w:rsidRDefault="003731DE" w:rsidP="009A35FA">
      <w:pPr>
        <w:spacing w:line="360" w:lineRule="auto"/>
        <w:rPr>
          <w:rFonts w:ascii="Arial" w:hAnsi="Arial" w:cs="Arial"/>
        </w:rPr>
      </w:pPr>
    </w:p>
    <w:p w:rsidR="003731DE" w:rsidRPr="009A35FA" w:rsidRDefault="003731DE" w:rsidP="009A35FA">
      <w:pPr>
        <w:spacing w:line="360" w:lineRule="auto"/>
        <w:rPr>
          <w:rFonts w:ascii="Arial" w:hAnsi="Arial" w:cs="Arial"/>
        </w:rPr>
      </w:pPr>
      <w:r w:rsidRPr="009A35FA">
        <w:rPr>
          <w:rFonts w:ascii="Arial" w:hAnsi="Arial" w:cs="Arial"/>
        </w:rPr>
        <w:t>Robinson, K, Aronica, L. (2015). Creative Schools. Revolutionizing Education from the Ground Up. London.</w:t>
      </w:r>
    </w:p>
    <w:p w:rsidR="003731DE" w:rsidRPr="009A35FA" w:rsidRDefault="003731DE" w:rsidP="009A35FA">
      <w:pPr>
        <w:spacing w:line="360" w:lineRule="auto"/>
        <w:rPr>
          <w:rFonts w:ascii="Arial" w:hAnsi="Arial" w:cs="Arial"/>
        </w:rPr>
      </w:pPr>
    </w:p>
    <w:p w:rsidR="003731DE" w:rsidRPr="009A35FA" w:rsidRDefault="003731DE" w:rsidP="009A35FA">
      <w:pPr>
        <w:spacing w:line="360" w:lineRule="auto"/>
        <w:rPr>
          <w:rFonts w:ascii="Arial" w:hAnsi="Arial" w:cs="Arial"/>
        </w:rPr>
      </w:pPr>
      <w:r w:rsidRPr="009A35FA">
        <w:rPr>
          <w:rFonts w:ascii="Arial" w:hAnsi="Arial" w:cs="Arial"/>
        </w:rPr>
        <w:t>Runco</w:t>
      </w:r>
      <w:r w:rsidRPr="00821225">
        <w:rPr>
          <w:rFonts w:ascii="Arial" w:hAnsi="Arial" w:cs="Arial"/>
        </w:rPr>
        <w:t>, M.A. (2003). ‘Education for creative potential’, Scandinavian Journal of Educational Research, 47, 3, 317–24.</w:t>
      </w:r>
    </w:p>
    <w:p w:rsidR="003731DE" w:rsidRPr="009A35FA" w:rsidRDefault="003731DE" w:rsidP="009A35FA">
      <w:pPr>
        <w:spacing w:line="360" w:lineRule="auto"/>
        <w:rPr>
          <w:rFonts w:ascii="Arial" w:hAnsi="Arial" w:cs="Arial"/>
        </w:rPr>
      </w:pPr>
    </w:p>
    <w:p w:rsidR="003731DE" w:rsidRPr="009A35FA" w:rsidRDefault="003731DE" w:rsidP="009A35FA">
      <w:pPr>
        <w:widowControl w:val="0"/>
        <w:autoSpaceDE w:val="0"/>
        <w:autoSpaceDN w:val="0"/>
        <w:adjustRightInd w:val="0"/>
        <w:spacing w:after="240" w:line="360" w:lineRule="auto"/>
        <w:rPr>
          <w:rFonts w:ascii="Arial" w:hAnsi="Arial" w:cs="Arial"/>
        </w:rPr>
      </w:pPr>
      <w:r w:rsidRPr="009A35FA">
        <w:rPr>
          <w:rFonts w:ascii="Arial" w:hAnsi="Arial" w:cs="Arial"/>
        </w:rPr>
        <w:t xml:space="preserve">Seltzer, K., Bentley, T. (1999). The Creative Age: Knowledge and Skills for the New Economy. London: Demos. </w:t>
      </w:r>
    </w:p>
    <w:p w:rsidR="003731DE" w:rsidRPr="009A35FA" w:rsidRDefault="003731DE" w:rsidP="009A35FA">
      <w:pPr>
        <w:spacing w:line="360" w:lineRule="auto"/>
        <w:rPr>
          <w:rFonts w:ascii="Arial" w:hAnsi="Arial" w:cs="Arial"/>
        </w:rPr>
      </w:pPr>
      <w:r w:rsidRPr="009A35FA">
        <w:rPr>
          <w:rFonts w:ascii="Arial" w:hAnsi="Arial" w:cs="Arial"/>
        </w:rPr>
        <w:t xml:space="preserve">Sharp, C. (2004). </w:t>
      </w:r>
      <w:r w:rsidRPr="00821225">
        <w:rPr>
          <w:rFonts w:ascii="Arial" w:hAnsi="Arial" w:cs="Arial"/>
        </w:rPr>
        <w:t>Developing young children’s creativity: what can we learn from research?</w:t>
      </w:r>
    </w:p>
    <w:p w:rsidR="003731DE" w:rsidRPr="009A35FA" w:rsidRDefault="003731DE" w:rsidP="009A35FA">
      <w:pPr>
        <w:spacing w:line="360" w:lineRule="auto"/>
        <w:rPr>
          <w:rFonts w:ascii="Arial" w:hAnsi="Arial" w:cs="Arial"/>
        </w:rPr>
      </w:pPr>
    </w:p>
    <w:p w:rsidR="003731DE" w:rsidRPr="009A35FA" w:rsidRDefault="003731DE" w:rsidP="009A35FA">
      <w:pPr>
        <w:spacing w:line="360" w:lineRule="auto"/>
        <w:rPr>
          <w:rFonts w:ascii="Arial" w:hAnsi="Arial" w:cs="Arial"/>
        </w:rPr>
      </w:pPr>
      <w:r w:rsidRPr="009A35FA">
        <w:rPr>
          <w:rFonts w:ascii="Arial" w:hAnsi="Arial" w:cs="Arial"/>
          <w:color w:val="000000" w:themeColor="text1"/>
        </w:rPr>
        <w:t>Skinner, S. (2007). Creative Activities for the Early Years</w:t>
      </w:r>
      <w:r w:rsidRPr="009A35FA">
        <w:rPr>
          <w:rFonts w:ascii="Arial" w:hAnsi="Arial" w:cs="Arial"/>
          <w:bCs/>
          <w:color w:val="000000" w:themeColor="text1"/>
        </w:rPr>
        <w:t xml:space="preserve">. </w:t>
      </w:r>
      <w:r w:rsidRPr="009A35FA">
        <w:rPr>
          <w:rFonts w:ascii="Arial" w:hAnsi="Arial" w:cs="Arial"/>
        </w:rPr>
        <w:t xml:space="preserve">An approach to creative learning in the early years. </w:t>
      </w:r>
    </w:p>
    <w:p w:rsidR="003731DE" w:rsidRPr="009A35FA" w:rsidRDefault="003731DE" w:rsidP="009A35FA">
      <w:pPr>
        <w:spacing w:line="360" w:lineRule="auto"/>
        <w:rPr>
          <w:rFonts w:ascii="Arial" w:hAnsi="Arial" w:cs="Arial"/>
        </w:rPr>
      </w:pPr>
    </w:p>
    <w:p w:rsidR="003731DE" w:rsidRPr="009A35FA" w:rsidRDefault="003731DE" w:rsidP="009A35FA">
      <w:pPr>
        <w:spacing w:line="360" w:lineRule="auto"/>
        <w:rPr>
          <w:rFonts w:ascii="Arial" w:hAnsi="Arial" w:cs="Arial"/>
        </w:rPr>
      </w:pPr>
      <w:r w:rsidRPr="009A35FA">
        <w:rPr>
          <w:rFonts w:ascii="Arial" w:hAnsi="Arial" w:cs="Arial"/>
        </w:rPr>
        <w:t>Tegano, D.W., Moran, J.D. and Sawyers</w:t>
      </w:r>
      <w:r w:rsidRPr="002130B4">
        <w:rPr>
          <w:rFonts w:ascii="Arial" w:hAnsi="Arial" w:cs="Arial"/>
        </w:rPr>
        <w:t>, J.K. (1991). Creativity in Early Childhood Classrooms (NEA Early Childhood Education Series). West Haven, CT: National Education Association.</w:t>
      </w:r>
    </w:p>
    <w:p w:rsidR="003731DE" w:rsidRPr="009A35FA" w:rsidRDefault="003731DE" w:rsidP="009A35FA">
      <w:pPr>
        <w:spacing w:line="360" w:lineRule="auto"/>
        <w:rPr>
          <w:rFonts w:ascii="Arial" w:hAnsi="Arial" w:cs="Arial"/>
          <w:bCs/>
          <w:color w:val="002060"/>
          <w:shd w:val="clear" w:color="auto" w:fill="FFFFFF"/>
        </w:rPr>
      </w:pPr>
    </w:p>
    <w:p w:rsidR="003731DE" w:rsidRPr="009A35FA" w:rsidRDefault="003731DE" w:rsidP="009A35FA">
      <w:pPr>
        <w:spacing w:line="360" w:lineRule="auto"/>
        <w:rPr>
          <w:rFonts w:ascii="Arial" w:hAnsi="Arial" w:cs="Arial"/>
        </w:rPr>
      </w:pPr>
      <w:r w:rsidRPr="009A35FA">
        <w:rPr>
          <w:rFonts w:ascii="Arial" w:hAnsi="Arial" w:cs="Arial"/>
          <w:bCs/>
          <w:color w:val="002060"/>
          <w:shd w:val="clear" w:color="auto" w:fill="FFFFFF"/>
        </w:rPr>
        <w:t>Treffinger, D. J.</w:t>
      </w:r>
      <w:r w:rsidRPr="00B6330C">
        <w:rPr>
          <w:rFonts w:ascii="Arial" w:hAnsi="Arial" w:cs="Arial"/>
          <w:bCs/>
          <w:color w:val="002060"/>
          <w:shd w:val="clear" w:color="auto" w:fill="FFFFFF"/>
        </w:rPr>
        <w:t> </w:t>
      </w:r>
      <w:r w:rsidRPr="009A35FA">
        <w:rPr>
          <w:rFonts w:ascii="Arial" w:hAnsi="Arial" w:cs="Arial"/>
          <w:bCs/>
          <w:color w:val="000000" w:themeColor="text1"/>
          <w:shd w:val="clear" w:color="auto" w:fill="FFFFFF"/>
        </w:rPr>
        <w:t xml:space="preserve">(1995). Creative problem solving: Overview and education implications. </w:t>
      </w:r>
      <w:r w:rsidRPr="00B6330C">
        <w:rPr>
          <w:rFonts w:ascii="Arial" w:hAnsi="Arial" w:cs="Arial"/>
          <w:bCs/>
          <w:color w:val="000000" w:themeColor="text1"/>
          <w:bdr w:val="none" w:sz="0" w:space="0" w:color="auto" w:frame="1"/>
          <w:shd w:val="clear" w:color="auto" w:fill="FFFFFF"/>
        </w:rPr>
        <w:t>Educational Psychology Review</w:t>
      </w:r>
      <w:r w:rsidRPr="009A35FA">
        <w:rPr>
          <w:rFonts w:ascii="Arial" w:hAnsi="Arial" w:cs="Arial"/>
          <w:bCs/>
          <w:color w:val="000000" w:themeColor="text1"/>
          <w:bdr w:val="none" w:sz="0" w:space="0" w:color="auto" w:frame="1"/>
          <w:shd w:val="clear" w:color="auto" w:fill="FFFFFF"/>
        </w:rPr>
        <w:t>, Vol 7, No. 3</w:t>
      </w:r>
      <w:r w:rsidRPr="009A35FA">
        <w:rPr>
          <w:rFonts w:ascii="Arial" w:hAnsi="Arial" w:cs="Arial"/>
          <w:bCs/>
          <w:i/>
          <w:color w:val="000000" w:themeColor="text1"/>
          <w:bdr w:val="none" w:sz="0" w:space="0" w:color="auto" w:frame="1"/>
          <w:shd w:val="clear" w:color="auto" w:fill="FFFFFF"/>
        </w:rPr>
        <w:t>.</w:t>
      </w:r>
      <w:r w:rsidRPr="009A35FA">
        <w:rPr>
          <w:rFonts w:ascii="Arial" w:hAnsi="Arial" w:cs="Arial"/>
        </w:rPr>
        <w:t xml:space="preserve"> Center for Creative Learning, Sarasota, Florida.</w:t>
      </w:r>
    </w:p>
    <w:p w:rsidR="003731DE" w:rsidRPr="009A35FA" w:rsidRDefault="003731DE" w:rsidP="009A35FA">
      <w:pPr>
        <w:spacing w:line="360" w:lineRule="auto"/>
        <w:rPr>
          <w:rFonts w:ascii="Arial" w:hAnsi="Arial" w:cs="Arial"/>
          <w:color w:val="252525"/>
          <w:shd w:val="clear" w:color="auto" w:fill="FFFFFF"/>
        </w:rPr>
      </w:pPr>
    </w:p>
    <w:p w:rsidR="003731DE" w:rsidRPr="009A35FA" w:rsidRDefault="003731DE" w:rsidP="009A35FA">
      <w:pPr>
        <w:spacing w:line="360" w:lineRule="auto"/>
        <w:rPr>
          <w:rFonts w:ascii="Arial" w:hAnsi="Arial" w:cs="Arial"/>
          <w:color w:val="252525"/>
          <w:shd w:val="clear" w:color="auto" w:fill="FFFFFF"/>
        </w:rPr>
      </w:pPr>
      <w:r w:rsidRPr="009A35FA">
        <w:rPr>
          <w:rFonts w:ascii="Arial" w:hAnsi="Arial" w:cs="Arial"/>
          <w:color w:val="252525"/>
          <w:shd w:val="clear" w:color="auto" w:fill="FFFFFF"/>
        </w:rPr>
        <w:t xml:space="preserve">Wilmot, H. Creative Teaching &amp; Learning – Change School Case Study. </w:t>
      </w:r>
      <w:hyperlink r:id="rId10" w:history="1">
        <w:r w:rsidRPr="009A35FA">
          <w:rPr>
            <w:rStyle w:val="Hyperlink"/>
            <w:rFonts w:ascii="Arial" w:hAnsi="Arial" w:cs="Arial"/>
            <w:shd w:val="clear" w:color="auto" w:fill="FFFFFF"/>
          </w:rPr>
          <w:t>file:///Users/natburrell/Downloads/Creative%20Teaching%20&amp;%20Learning%20-%20Change%20School%20Case%20Study%20(2).pdf</w:t>
        </w:r>
      </w:hyperlink>
      <w:r w:rsidRPr="009A35FA">
        <w:rPr>
          <w:rFonts w:ascii="Arial" w:hAnsi="Arial" w:cs="Arial"/>
          <w:color w:val="252525"/>
          <w:shd w:val="clear" w:color="auto" w:fill="FFFFFF"/>
        </w:rPr>
        <w:t xml:space="preserve"> </w:t>
      </w:r>
    </w:p>
    <w:p w:rsidR="003731DE" w:rsidRPr="009A35FA" w:rsidRDefault="003731DE" w:rsidP="009A35FA">
      <w:pPr>
        <w:spacing w:line="360" w:lineRule="auto"/>
        <w:rPr>
          <w:rFonts w:ascii="Arial" w:hAnsi="Arial" w:cs="Arial"/>
          <w:color w:val="252525"/>
          <w:shd w:val="clear" w:color="auto" w:fill="FFFFFF"/>
        </w:rPr>
      </w:pPr>
    </w:p>
    <w:p w:rsidR="003731DE" w:rsidRPr="009A35FA" w:rsidRDefault="003731DE" w:rsidP="009A35FA">
      <w:pPr>
        <w:spacing w:line="360" w:lineRule="auto"/>
        <w:rPr>
          <w:rFonts w:ascii="Arial" w:hAnsi="Arial" w:cs="Arial"/>
          <w:color w:val="252525"/>
          <w:u w:val="single"/>
          <w:shd w:val="clear" w:color="auto" w:fill="FFFFFF"/>
        </w:rPr>
      </w:pPr>
      <w:r w:rsidRPr="009A35FA">
        <w:rPr>
          <w:rFonts w:ascii="Arial" w:hAnsi="Arial" w:cs="Arial"/>
          <w:color w:val="252525"/>
          <w:shd w:val="clear" w:color="auto" w:fill="FFFFFF"/>
        </w:rPr>
        <w:lastRenderedPageBreak/>
        <w:t>Vygotsky, L. S. (1978). </w:t>
      </w:r>
      <w:r w:rsidRPr="009A35FA">
        <w:rPr>
          <w:rFonts w:ascii="Arial" w:hAnsi="Arial" w:cs="Arial"/>
          <w:i/>
          <w:iCs/>
          <w:color w:val="252525"/>
        </w:rPr>
        <w:t>Mind in society: The development of higher psychological processes</w:t>
      </w:r>
      <w:r w:rsidRPr="009A35FA">
        <w:rPr>
          <w:rFonts w:ascii="Arial" w:hAnsi="Arial" w:cs="Arial"/>
          <w:color w:val="252525"/>
          <w:shd w:val="clear" w:color="auto" w:fill="FFFFFF"/>
        </w:rPr>
        <w:t>. Cambridge, MA: Harvard University Press.</w:t>
      </w:r>
    </w:p>
    <w:p w:rsidR="0013283F" w:rsidRPr="0013283F" w:rsidRDefault="0013283F">
      <w:pPr>
        <w:rPr>
          <w:rFonts w:ascii="Arial" w:hAnsi="Arial" w:cs="Arial"/>
        </w:rPr>
      </w:pPr>
    </w:p>
    <w:sectPr w:rsidR="0013283F" w:rsidRPr="0013283F" w:rsidSect="00A143CC">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23AC" w:rsidRDefault="00B123AC" w:rsidP="0013283F">
      <w:r>
        <w:separator/>
      </w:r>
    </w:p>
  </w:endnote>
  <w:endnote w:type="continuationSeparator" w:id="0">
    <w:p w:rsidR="00B123AC" w:rsidRDefault="00B123AC" w:rsidP="001328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3849162"/>
      <w:docPartObj>
        <w:docPartGallery w:val="Page Numbers (Bottom of Page)"/>
        <w:docPartUnique/>
      </w:docPartObj>
    </w:sdtPr>
    <w:sdtEndPr>
      <w:rPr>
        <w:rStyle w:val="PageNumber"/>
      </w:rPr>
    </w:sdtEndPr>
    <w:sdtContent>
      <w:p w:rsidR="009A35FA" w:rsidRDefault="009A35FA" w:rsidP="00E915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A35FA" w:rsidRDefault="009A35FA" w:rsidP="009A35F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75328227"/>
      <w:docPartObj>
        <w:docPartGallery w:val="Page Numbers (Bottom of Page)"/>
        <w:docPartUnique/>
      </w:docPartObj>
    </w:sdtPr>
    <w:sdtEndPr>
      <w:rPr>
        <w:rStyle w:val="PageNumber"/>
      </w:rPr>
    </w:sdtEndPr>
    <w:sdtContent>
      <w:p w:rsidR="009A35FA" w:rsidRDefault="009A35FA" w:rsidP="00E915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43F31">
          <w:rPr>
            <w:rStyle w:val="PageNumber"/>
            <w:noProof/>
          </w:rPr>
          <w:t>3</w:t>
        </w:r>
        <w:r>
          <w:rPr>
            <w:rStyle w:val="PageNumber"/>
          </w:rPr>
          <w:fldChar w:fldCharType="end"/>
        </w:r>
      </w:p>
    </w:sdtContent>
  </w:sdt>
  <w:p w:rsidR="009A35FA" w:rsidRDefault="009A35FA" w:rsidP="009A35F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23AC" w:rsidRDefault="00B123AC" w:rsidP="0013283F">
      <w:r>
        <w:separator/>
      </w:r>
    </w:p>
  </w:footnote>
  <w:footnote w:type="continuationSeparator" w:id="0">
    <w:p w:rsidR="00B123AC" w:rsidRDefault="00B123AC" w:rsidP="001328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283F" w:rsidRPr="0013283F" w:rsidRDefault="0013283F">
    <w:pPr>
      <w:pStyle w:val="Header"/>
      <w:rPr>
        <w:rFonts w:ascii="Arial" w:hAnsi="Arial" w:cs="Arial"/>
      </w:rPr>
    </w:pPr>
    <w:r w:rsidRPr="0013283F">
      <w:rPr>
        <w:rFonts w:ascii="Arial" w:hAnsi="Arial" w:cs="Arial"/>
      </w:rPr>
      <w:t>1500436</w:t>
    </w:r>
    <w:r w:rsidRPr="0013283F">
      <w:rPr>
        <w:rFonts w:ascii="Arial" w:hAnsi="Arial" w:cs="Arial"/>
      </w:rPr>
      <w:tab/>
    </w:r>
    <w:r w:rsidRPr="0013283F">
      <w:rPr>
        <w:rFonts w:ascii="Arial" w:hAnsi="Arial" w:cs="Arial"/>
      </w:rPr>
      <w:tab/>
      <w:t>3A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283F"/>
    <w:rsid w:val="000D34F3"/>
    <w:rsid w:val="0013283F"/>
    <w:rsid w:val="00243F31"/>
    <w:rsid w:val="003731DE"/>
    <w:rsid w:val="003A0485"/>
    <w:rsid w:val="004324CD"/>
    <w:rsid w:val="00776AE2"/>
    <w:rsid w:val="00834324"/>
    <w:rsid w:val="008A1D83"/>
    <w:rsid w:val="009A35FA"/>
    <w:rsid w:val="00A143CC"/>
    <w:rsid w:val="00A70296"/>
    <w:rsid w:val="00AF225D"/>
    <w:rsid w:val="00B123AC"/>
    <w:rsid w:val="00C258C4"/>
    <w:rsid w:val="00CA59DF"/>
    <w:rsid w:val="00DE67B8"/>
    <w:rsid w:val="00DF3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64D56"/>
  <w15:chartTrackingRefBased/>
  <w15:docId w15:val="{21116921-9D1B-8143-823D-7771C12E3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31D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283F"/>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3283F"/>
  </w:style>
  <w:style w:type="paragraph" w:styleId="Footer">
    <w:name w:val="footer"/>
    <w:basedOn w:val="Normal"/>
    <w:link w:val="FooterChar"/>
    <w:uiPriority w:val="99"/>
    <w:unhideWhenUsed/>
    <w:rsid w:val="0013283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3283F"/>
  </w:style>
  <w:style w:type="paragraph" w:customStyle="1" w:styleId="fixed">
    <w:name w:val="fixed"/>
    <w:link w:val="fixedChar"/>
    <w:rsid w:val="0013283F"/>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customStyle="1" w:styleId="fixedChar">
    <w:name w:val="fixed Char"/>
    <w:link w:val="fixed"/>
    <w:rsid w:val="0013283F"/>
    <w:rPr>
      <w:rFonts w:ascii="Times New Roman" w:eastAsia="Times New Roman" w:hAnsi="Times New Roman" w:cs="Times New Roman"/>
      <w:b/>
      <w:lang w:eastAsia="en-GB"/>
    </w:rPr>
  </w:style>
  <w:style w:type="character" w:styleId="Hyperlink">
    <w:name w:val="Hyperlink"/>
    <w:basedOn w:val="DefaultParagraphFont"/>
    <w:uiPriority w:val="99"/>
    <w:unhideWhenUsed/>
    <w:rsid w:val="003731DE"/>
    <w:rPr>
      <w:color w:val="0563C1" w:themeColor="hyperlink"/>
      <w:u w:val="single"/>
    </w:rPr>
  </w:style>
  <w:style w:type="character" w:styleId="FollowedHyperlink">
    <w:name w:val="FollowedHyperlink"/>
    <w:basedOn w:val="DefaultParagraphFont"/>
    <w:uiPriority w:val="99"/>
    <w:semiHidden/>
    <w:unhideWhenUsed/>
    <w:rsid w:val="003731DE"/>
    <w:rPr>
      <w:color w:val="954F72" w:themeColor="followedHyperlink"/>
      <w:u w:val="single"/>
    </w:rPr>
  </w:style>
  <w:style w:type="character" w:styleId="PageNumber">
    <w:name w:val="page number"/>
    <w:basedOn w:val="DefaultParagraphFont"/>
    <w:uiPriority w:val="99"/>
    <w:semiHidden/>
    <w:unhideWhenUsed/>
    <w:rsid w:val="009A35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8705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225-successful-futures-cy.pdf"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youtu.be/gM3oEgcPYl8"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file:///Users/natburrell/Downloads/Creative%20Teaching%20&amp;%20Learning%20-%20Change%20School%20Case%20Study%20(2).pdf" TargetMode="External"/><Relationship Id="rId4" Type="http://schemas.openxmlformats.org/officeDocument/2006/relationships/webSettings" Target="webSettings.xml"/><Relationship Id="rId9" Type="http://schemas.openxmlformats.org/officeDocument/2006/relationships/hyperlink" Target="http://learning.gov.wales/resources/browse-all/foundation-phase-framework/?lang=c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DFCCF7-0658-194A-8E88-D25A5D0C5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5</Pages>
  <Words>1150</Words>
  <Characters>6557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Burrell (1500436)</dc:creator>
  <cp:keywords/>
  <dc:description/>
  <cp:lastModifiedBy>Tomos Burrell (1500436)</cp:lastModifiedBy>
  <cp:revision>14</cp:revision>
  <dcterms:created xsi:type="dcterms:W3CDTF">2018-03-09T15:32:00Z</dcterms:created>
  <dcterms:modified xsi:type="dcterms:W3CDTF">2018-03-13T19:22:00Z</dcterms:modified>
</cp:coreProperties>
</file>