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5303F" w14:textId="6484692B" w:rsidR="00B40467" w:rsidRDefault="00B40467" w:rsidP="00B40467">
      <w:pPr>
        <w:pStyle w:val="Title"/>
        <w:jc w:val="center"/>
      </w:pPr>
      <w:r>
        <w:t xml:space="preserve">Assessment 2 </w:t>
      </w:r>
      <w:r w:rsidR="00D737C2">
        <w:t xml:space="preserve">- </w:t>
      </w:r>
      <w:r>
        <w:t>Environmental Analysis of an industry</w:t>
      </w:r>
    </w:p>
    <w:p w14:paraId="31117F59" w14:textId="074F45B0" w:rsidR="00B40467" w:rsidRDefault="00B40467" w:rsidP="00B40467"/>
    <w:p w14:paraId="073127F0" w14:textId="77777777" w:rsidR="00B40467" w:rsidRPr="00B40467" w:rsidRDefault="00B40467" w:rsidP="00B40467"/>
    <w:p w14:paraId="4354C5D4" w14:textId="277A9C61" w:rsidR="005324F1" w:rsidRDefault="005324F1" w:rsidP="00B40467">
      <w:pPr>
        <w:jc w:val="center"/>
      </w:pPr>
      <w:r>
        <w:t>Student’s name</w:t>
      </w:r>
      <w:r w:rsidR="00B40467">
        <w:t>: Stanislava Boneva</w:t>
      </w:r>
    </w:p>
    <w:p w14:paraId="55AEDAD9" w14:textId="77777777" w:rsidR="00B40467" w:rsidRDefault="00B40467" w:rsidP="00B40467">
      <w:pPr>
        <w:jc w:val="center"/>
      </w:pPr>
      <w:r>
        <w:t>Programme: BA Business Management</w:t>
      </w:r>
    </w:p>
    <w:p w14:paraId="300E9C49" w14:textId="77777777" w:rsidR="00B40467" w:rsidRDefault="00B40467" w:rsidP="00B40467">
      <w:pPr>
        <w:jc w:val="center"/>
      </w:pPr>
      <w:r>
        <w:t>Module: The Global Business Environment</w:t>
      </w:r>
    </w:p>
    <w:p w14:paraId="3B8E741C" w14:textId="6A2C73D5" w:rsidR="00B40467" w:rsidRDefault="00B40467" w:rsidP="00B40467">
      <w:pPr>
        <w:jc w:val="center"/>
      </w:pPr>
      <w:r>
        <w:t>Module code: LCCB4005</w:t>
      </w:r>
    </w:p>
    <w:p w14:paraId="30F51B89" w14:textId="40F3C66A" w:rsidR="005324F1" w:rsidRDefault="00B40467" w:rsidP="00B40467">
      <w:pPr>
        <w:jc w:val="center"/>
      </w:pPr>
      <w:r>
        <w:t>Module Coordinator/Lecturer: Dr Molly Jack</w:t>
      </w:r>
    </w:p>
    <w:p w14:paraId="462E2B24" w14:textId="77777777" w:rsidR="005324F1" w:rsidRDefault="005324F1" w:rsidP="005324F1">
      <w:pPr>
        <w:jc w:val="center"/>
      </w:pPr>
    </w:p>
    <w:p w14:paraId="7439CBC8" w14:textId="77777777" w:rsidR="005324F1" w:rsidRDefault="005324F1" w:rsidP="005324F1">
      <w:pPr>
        <w:jc w:val="center"/>
      </w:pPr>
    </w:p>
    <w:p w14:paraId="684BB156" w14:textId="77777777" w:rsidR="005324F1" w:rsidRDefault="005324F1" w:rsidP="005324F1">
      <w:pPr>
        <w:jc w:val="center"/>
      </w:pPr>
    </w:p>
    <w:p w14:paraId="3ADF2FD9" w14:textId="77777777" w:rsidR="005324F1" w:rsidRDefault="005324F1" w:rsidP="005324F1">
      <w:pPr>
        <w:jc w:val="center"/>
      </w:pPr>
    </w:p>
    <w:p w14:paraId="1F3B581F" w14:textId="77777777" w:rsidR="005324F1" w:rsidRDefault="005324F1" w:rsidP="005324F1">
      <w:pPr>
        <w:jc w:val="center"/>
      </w:pPr>
    </w:p>
    <w:p w14:paraId="42B07142" w14:textId="77777777" w:rsidR="005324F1" w:rsidRDefault="005324F1" w:rsidP="005324F1">
      <w:pPr>
        <w:jc w:val="center"/>
      </w:pPr>
    </w:p>
    <w:p w14:paraId="05F5BC35" w14:textId="77777777" w:rsidR="005324F1" w:rsidRDefault="005324F1" w:rsidP="005324F1">
      <w:pPr>
        <w:jc w:val="center"/>
      </w:pPr>
    </w:p>
    <w:p w14:paraId="3F41FED1" w14:textId="77777777" w:rsidR="005324F1" w:rsidRDefault="005324F1" w:rsidP="005324F1">
      <w:pPr>
        <w:jc w:val="center"/>
      </w:pPr>
    </w:p>
    <w:p w14:paraId="61D96F4A" w14:textId="77777777" w:rsidR="005324F1" w:rsidRDefault="005324F1" w:rsidP="005324F1">
      <w:pPr>
        <w:jc w:val="center"/>
      </w:pPr>
    </w:p>
    <w:p w14:paraId="6D8F6224" w14:textId="77777777" w:rsidR="005324F1" w:rsidRDefault="005324F1" w:rsidP="005324F1">
      <w:pPr>
        <w:jc w:val="center"/>
      </w:pPr>
    </w:p>
    <w:p w14:paraId="1F64488A" w14:textId="77777777" w:rsidR="005324F1" w:rsidRDefault="005324F1" w:rsidP="00B40467"/>
    <w:sdt>
      <w:sdtPr>
        <w:rPr>
          <w:rFonts w:ascii="Times New Roman" w:eastAsiaTheme="minorHAnsi" w:hAnsi="Times New Roman" w:cs="Times New Roman"/>
          <w:color w:val="auto"/>
          <w:sz w:val="24"/>
          <w:szCs w:val="24"/>
          <w:lang w:val="en-GB"/>
        </w:rPr>
        <w:id w:val="1575154278"/>
        <w:docPartObj>
          <w:docPartGallery w:val="Table of Contents"/>
          <w:docPartUnique/>
        </w:docPartObj>
      </w:sdtPr>
      <w:sdtEndPr>
        <w:rPr>
          <w:b/>
          <w:bCs/>
          <w:noProof/>
        </w:rPr>
      </w:sdtEndPr>
      <w:sdtContent>
        <w:p w14:paraId="653F978B" w14:textId="77777777" w:rsidR="00CC73E3" w:rsidRDefault="00CC73E3">
          <w:pPr>
            <w:pStyle w:val="TOCHeading"/>
          </w:pPr>
          <w:r>
            <w:t>Table of Contents</w:t>
          </w:r>
        </w:p>
        <w:p w14:paraId="53A59F4A" w14:textId="77777777" w:rsidR="00CC73E3" w:rsidRDefault="00AD13EA">
          <w:pPr>
            <w:pStyle w:val="TOC2"/>
            <w:tabs>
              <w:tab w:val="right" w:leader="dot" w:pos="9016"/>
            </w:tabs>
            <w:rPr>
              <w:noProof/>
            </w:rPr>
          </w:pPr>
          <w:hyperlink w:anchor="_Toc90303957" w:history="1">
            <w:r w:rsidR="00CC73E3" w:rsidRPr="00C967B4">
              <w:rPr>
                <w:rStyle w:val="Hyperlink"/>
                <w:noProof/>
              </w:rPr>
              <w:t>Introduction</w:t>
            </w:r>
            <w:r w:rsidR="00CC73E3">
              <w:rPr>
                <w:noProof/>
                <w:webHidden/>
              </w:rPr>
              <w:tab/>
            </w:r>
            <w:r w:rsidR="00CC73E3">
              <w:rPr>
                <w:noProof/>
                <w:webHidden/>
              </w:rPr>
              <w:fldChar w:fldCharType="begin"/>
            </w:r>
            <w:r w:rsidR="00CC73E3">
              <w:rPr>
                <w:noProof/>
                <w:webHidden/>
              </w:rPr>
              <w:instrText xml:space="preserve"> PAGEREF _Toc90303957 \h </w:instrText>
            </w:r>
            <w:r w:rsidR="00CC73E3">
              <w:rPr>
                <w:noProof/>
                <w:webHidden/>
              </w:rPr>
            </w:r>
            <w:r w:rsidR="00CC73E3">
              <w:rPr>
                <w:noProof/>
                <w:webHidden/>
              </w:rPr>
              <w:fldChar w:fldCharType="separate"/>
            </w:r>
            <w:r w:rsidR="00CC73E3">
              <w:rPr>
                <w:noProof/>
                <w:webHidden/>
              </w:rPr>
              <w:t>3</w:t>
            </w:r>
            <w:r w:rsidR="00CC73E3">
              <w:rPr>
                <w:noProof/>
                <w:webHidden/>
              </w:rPr>
              <w:fldChar w:fldCharType="end"/>
            </w:r>
          </w:hyperlink>
        </w:p>
        <w:p w14:paraId="13DCB406" w14:textId="77777777" w:rsidR="00CC73E3" w:rsidRDefault="00AD13EA">
          <w:pPr>
            <w:pStyle w:val="TOC2"/>
            <w:tabs>
              <w:tab w:val="right" w:leader="dot" w:pos="9016"/>
            </w:tabs>
            <w:rPr>
              <w:noProof/>
            </w:rPr>
          </w:pPr>
          <w:hyperlink w:anchor="_Toc90303958" w:history="1">
            <w:r w:rsidR="00CC73E3" w:rsidRPr="00C967B4">
              <w:rPr>
                <w:rStyle w:val="Hyperlink"/>
                <w:noProof/>
              </w:rPr>
              <w:t>Impact of the pandemic on the automobile industry</w:t>
            </w:r>
            <w:r w:rsidR="00CC73E3">
              <w:rPr>
                <w:noProof/>
                <w:webHidden/>
              </w:rPr>
              <w:tab/>
              <w:t>3</w:t>
            </w:r>
          </w:hyperlink>
        </w:p>
        <w:p w14:paraId="14F3115D" w14:textId="77777777" w:rsidR="00CC73E3" w:rsidRDefault="00AD13EA">
          <w:pPr>
            <w:pStyle w:val="TOC2"/>
            <w:tabs>
              <w:tab w:val="right" w:leader="dot" w:pos="9016"/>
            </w:tabs>
            <w:rPr>
              <w:noProof/>
            </w:rPr>
          </w:pPr>
          <w:hyperlink w:anchor="_Toc90303959" w:history="1">
            <w:r w:rsidR="00CC73E3" w:rsidRPr="00C967B4">
              <w:rPr>
                <w:rStyle w:val="Hyperlink"/>
                <w:noProof/>
              </w:rPr>
              <w:t>Developing the survival and success factors to the industry in consideration to the megatrends</w:t>
            </w:r>
            <w:r w:rsidR="00CC73E3">
              <w:rPr>
                <w:noProof/>
                <w:webHidden/>
              </w:rPr>
              <w:tab/>
              <w:t>7</w:t>
            </w:r>
          </w:hyperlink>
        </w:p>
        <w:p w14:paraId="4BEDE5B1" w14:textId="77777777" w:rsidR="00CC73E3" w:rsidRDefault="00AD13EA">
          <w:pPr>
            <w:pStyle w:val="TOC2"/>
            <w:tabs>
              <w:tab w:val="right" w:leader="dot" w:pos="9016"/>
            </w:tabs>
            <w:rPr>
              <w:noProof/>
            </w:rPr>
          </w:pPr>
          <w:hyperlink w:anchor="_Toc90303960" w:history="1">
            <w:r w:rsidR="00CC73E3" w:rsidRPr="00C967B4">
              <w:rPr>
                <w:rStyle w:val="Hyperlink"/>
                <w:noProof/>
              </w:rPr>
              <w:t>Conclusion</w:t>
            </w:r>
            <w:r w:rsidR="00CC73E3">
              <w:rPr>
                <w:noProof/>
                <w:webHidden/>
              </w:rPr>
              <w:tab/>
              <w:t>10</w:t>
            </w:r>
          </w:hyperlink>
        </w:p>
        <w:p w14:paraId="00918707" w14:textId="77777777" w:rsidR="00CC73E3" w:rsidRDefault="00AD13EA">
          <w:pPr>
            <w:pStyle w:val="TOC2"/>
            <w:tabs>
              <w:tab w:val="right" w:leader="dot" w:pos="9016"/>
            </w:tabs>
            <w:rPr>
              <w:noProof/>
            </w:rPr>
          </w:pPr>
          <w:hyperlink w:anchor="_Toc90303961" w:history="1">
            <w:r w:rsidR="00CC73E3" w:rsidRPr="00C967B4">
              <w:rPr>
                <w:rStyle w:val="Hyperlink"/>
                <w:noProof/>
              </w:rPr>
              <w:t>References</w:t>
            </w:r>
            <w:r w:rsidR="00CC73E3">
              <w:rPr>
                <w:noProof/>
                <w:webHidden/>
              </w:rPr>
              <w:tab/>
              <w:t>12</w:t>
            </w:r>
          </w:hyperlink>
        </w:p>
        <w:p w14:paraId="69F5D535" w14:textId="77777777" w:rsidR="00CC73E3" w:rsidRDefault="00AD13EA"/>
      </w:sdtContent>
    </w:sdt>
    <w:p w14:paraId="17013EE7" w14:textId="77777777" w:rsidR="005324F1" w:rsidRDefault="005324F1" w:rsidP="00CC73E3"/>
    <w:p w14:paraId="25D6F165" w14:textId="77777777" w:rsidR="005324F1" w:rsidRDefault="005324F1" w:rsidP="005324F1">
      <w:pPr>
        <w:jc w:val="center"/>
      </w:pPr>
    </w:p>
    <w:p w14:paraId="41F7827D" w14:textId="77777777" w:rsidR="005324F1" w:rsidRDefault="005324F1" w:rsidP="005324F1">
      <w:pPr>
        <w:jc w:val="center"/>
      </w:pPr>
    </w:p>
    <w:p w14:paraId="4F55C43C" w14:textId="77777777" w:rsidR="005324F1" w:rsidRDefault="005324F1" w:rsidP="005324F1">
      <w:pPr>
        <w:jc w:val="center"/>
      </w:pPr>
    </w:p>
    <w:p w14:paraId="28560EEF" w14:textId="77777777" w:rsidR="005324F1" w:rsidRDefault="005324F1" w:rsidP="005324F1">
      <w:pPr>
        <w:jc w:val="center"/>
      </w:pPr>
    </w:p>
    <w:p w14:paraId="0887B833" w14:textId="77777777" w:rsidR="005324F1" w:rsidRDefault="005324F1" w:rsidP="005324F1">
      <w:pPr>
        <w:jc w:val="center"/>
      </w:pPr>
    </w:p>
    <w:p w14:paraId="59B23A0B" w14:textId="77777777" w:rsidR="005324F1" w:rsidRDefault="005324F1" w:rsidP="005324F1">
      <w:pPr>
        <w:jc w:val="center"/>
      </w:pPr>
    </w:p>
    <w:p w14:paraId="256996B5" w14:textId="77777777" w:rsidR="005324F1" w:rsidRDefault="005324F1" w:rsidP="005324F1">
      <w:pPr>
        <w:jc w:val="center"/>
      </w:pPr>
    </w:p>
    <w:p w14:paraId="5EC76802" w14:textId="77777777" w:rsidR="005324F1" w:rsidRDefault="005324F1" w:rsidP="005324F1">
      <w:pPr>
        <w:jc w:val="center"/>
      </w:pPr>
    </w:p>
    <w:p w14:paraId="22EDEECB" w14:textId="77777777" w:rsidR="005324F1" w:rsidRDefault="005324F1" w:rsidP="005324F1">
      <w:pPr>
        <w:jc w:val="center"/>
      </w:pPr>
    </w:p>
    <w:p w14:paraId="1CEEA1F6" w14:textId="77777777" w:rsidR="005324F1" w:rsidRDefault="005324F1" w:rsidP="005324F1">
      <w:pPr>
        <w:jc w:val="center"/>
      </w:pPr>
    </w:p>
    <w:p w14:paraId="09C82766" w14:textId="77777777" w:rsidR="005324F1" w:rsidRDefault="005324F1" w:rsidP="005324F1">
      <w:pPr>
        <w:jc w:val="center"/>
      </w:pPr>
    </w:p>
    <w:p w14:paraId="5E9C1D0A" w14:textId="77777777" w:rsidR="005324F1" w:rsidRDefault="005324F1" w:rsidP="00CC73E3"/>
    <w:p w14:paraId="2612F030" w14:textId="77777777" w:rsidR="005324F1" w:rsidRDefault="005324F1" w:rsidP="005324F1">
      <w:pPr>
        <w:pStyle w:val="Heading2"/>
      </w:pPr>
      <w:bookmarkStart w:id="0" w:name="_Toc90303957"/>
      <w:r>
        <w:lastRenderedPageBreak/>
        <w:t>Introduction</w:t>
      </w:r>
      <w:bookmarkEnd w:id="0"/>
      <w:r>
        <w:t xml:space="preserve"> </w:t>
      </w:r>
    </w:p>
    <w:p w14:paraId="3F9515F6" w14:textId="3D7CFDCE" w:rsidR="005D2535" w:rsidRPr="005D2535" w:rsidRDefault="004E7952" w:rsidP="005D2535">
      <w:r>
        <w:t xml:space="preserve">The impact of Covid-19 on the current global automobile industry has been swift and vital. The exogenous shock caused by the pandemic </w:t>
      </w:r>
      <w:r w:rsidR="00094FFC">
        <w:t xml:space="preserve">has exacerbated the current downshift in the global demand. This is likely to increase merger and acquisition activities as the opportunities for consolidation within the industry emerge for private equity investors. </w:t>
      </w:r>
      <w:r w:rsidR="005D2535">
        <w:t xml:space="preserve">The assignment seeks to outline the impact of the pandemic on the automobile industry </w:t>
      </w:r>
      <w:r w:rsidR="00BD540E">
        <w:t xml:space="preserve">while developing the survival and success factors in consideration to the megatrends within the industry. </w:t>
      </w:r>
    </w:p>
    <w:p w14:paraId="557864DE" w14:textId="77777777" w:rsidR="005324F1" w:rsidRDefault="005324F1" w:rsidP="005324F1">
      <w:pPr>
        <w:pStyle w:val="Heading2"/>
      </w:pPr>
      <w:bookmarkStart w:id="1" w:name="_Toc90303958"/>
      <w:r>
        <w:t>Impact of the pandemic on the automobile industry</w:t>
      </w:r>
      <w:bookmarkEnd w:id="1"/>
      <w:r>
        <w:t xml:space="preserve"> </w:t>
      </w:r>
    </w:p>
    <w:p w14:paraId="06C28513" w14:textId="6AF17703" w:rsidR="00036B6E" w:rsidRDefault="00B724FF" w:rsidP="00B724FF">
      <w:r>
        <w:t xml:space="preserve">The Covid-19 pandemic has caused </w:t>
      </w:r>
      <w:r w:rsidR="006F22C0">
        <w:t xml:space="preserve">economic hardships and disruptions across the globe. From North America to Asia to Europe to South America no country has been spared the economic fallout and the effects that result from the virus. </w:t>
      </w:r>
      <w:r w:rsidR="009D7291">
        <w:t>Likewise,</w:t>
      </w:r>
      <w:r w:rsidR="006F22C0">
        <w:t xml:space="preserve"> almost all the sectors across the globe have been influenced by the pandemic and the global automobile industry is no different. Supply chain disruptions, factory closure </w:t>
      </w:r>
      <w:r w:rsidR="005E631F">
        <w:t xml:space="preserve">and diminishing demand all having taken a toll on the automobile </w:t>
      </w:r>
      <w:r w:rsidR="005E631F" w:rsidRPr="00FA57DF">
        <w:t>industry</w:t>
      </w:r>
      <w:r w:rsidR="00FA57DF">
        <w:t xml:space="preserve"> (Klein et al., 2021)</w:t>
      </w:r>
      <w:r w:rsidR="005E631F">
        <w:t>. The automobile industry has been influenced by the pandemic in a wide range of ways which entail the following:</w:t>
      </w:r>
      <w:r w:rsidR="00036B6E">
        <w:t xml:space="preserve"> </w:t>
      </w:r>
    </w:p>
    <w:p w14:paraId="6F77D702" w14:textId="77777777" w:rsidR="005E631F" w:rsidRPr="005D2535" w:rsidRDefault="005E631F" w:rsidP="00B724FF">
      <w:pPr>
        <w:rPr>
          <w:b/>
          <w:i/>
        </w:rPr>
      </w:pPr>
      <w:r w:rsidRPr="005D2535">
        <w:rPr>
          <w:b/>
          <w:i/>
        </w:rPr>
        <w:t>A decline in demand for vehicles</w:t>
      </w:r>
    </w:p>
    <w:p w14:paraId="63804EE7" w14:textId="51BFA617" w:rsidR="005D2535" w:rsidRDefault="00C00AB1" w:rsidP="00B724FF">
      <w:r>
        <w:t>A wide range of measures have been put in place by various countries to contain the spread of the virus. This measures entail; implementing of curfews and closure of factories, dealerships and offices which have led to</w:t>
      </w:r>
      <w:r w:rsidR="0047102F">
        <w:t xml:space="preserve"> the</w:t>
      </w:r>
      <w:r>
        <w:t xml:space="preserve"> dismissal of </w:t>
      </w:r>
      <w:r w:rsidR="009D7291">
        <w:t>short-term</w:t>
      </w:r>
      <w:r>
        <w:t xml:space="preserve"> workers. More so the </w:t>
      </w:r>
      <w:r w:rsidR="005E631F">
        <w:t xml:space="preserve">automobile industry has been majorly influenced by the </w:t>
      </w:r>
      <w:r>
        <w:t xml:space="preserve">measures as most of the workforce has adopted </w:t>
      </w:r>
      <w:r w:rsidR="005E631F">
        <w:t>remote</w:t>
      </w:r>
      <w:r>
        <w:t xml:space="preserve"> working</w:t>
      </w:r>
      <w:r w:rsidR="005E631F">
        <w:t xml:space="preserve">. This has led to a wider implication of diminishing demand for vehicles since there are fewer individuals driving to and from work. As a </w:t>
      </w:r>
      <w:r w:rsidR="009D7291">
        <w:t>result,</w:t>
      </w:r>
      <w:r w:rsidR="005E631F">
        <w:t xml:space="preserve"> a decline in the sales of vehicles has been realised across the </w:t>
      </w:r>
      <w:r w:rsidR="005E631F" w:rsidRPr="00400C6D">
        <w:t>globe</w:t>
      </w:r>
      <w:r w:rsidR="00400C6D" w:rsidRPr="00400C6D">
        <w:t xml:space="preserve"> (Nayak et al., 2021)</w:t>
      </w:r>
      <w:r w:rsidR="005E631F">
        <w:t xml:space="preserve">. </w:t>
      </w:r>
    </w:p>
    <w:p w14:paraId="4C5FD267" w14:textId="77777777" w:rsidR="00C00AB1" w:rsidRDefault="005E631F" w:rsidP="00B724FF">
      <w:r>
        <w:lastRenderedPageBreak/>
        <w:t xml:space="preserve">The decline in sales of vehicles was first realised in China in February 2020 </w:t>
      </w:r>
      <w:r w:rsidR="00C00AB1">
        <w:t>where they plunged to 71%. The</w:t>
      </w:r>
      <w:r>
        <w:t xml:space="preserve"> United States and Europe </w:t>
      </w:r>
      <w:r w:rsidR="00C00AB1">
        <w:t xml:space="preserve">also </w:t>
      </w:r>
      <w:r>
        <w:t xml:space="preserve">realised a decline in sales in April 2020 where the sales dropped to 80% in Europe and 47% in the United </w:t>
      </w:r>
      <w:r w:rsidRPr="005D2535">
        <w:t>States</w:t>
      </w:r>
      <w:r>
        <w:t xml:space="preserve">. </w:t>
      </w:r>
      <w:r w:rsidR="005D2535">
        <w:t xml:space="preserve">Generally, a decline of 13.8% in the sales of vehicles was forecasted for the period of </w:t>
      </w:r>
      <w:r w:rsidR="005D2535" w:rsidRPr="005C7433">
        <w:t>2019-2022</w:t>
      </w:r>
      <w:r w:rsidR="005C7433">
        <w:t xml:space="preserve"> (FAIST, 2021)</w:t>
      </w:r>
      <w:r w:rsidR="005D2535">
        <w:t>. This has been illustrated in the diagram below:</w:t>
      </w:r>
    </w:p>
    <w:p w14:paraId="13179522" w14:textId="77777777" w:rsidR="005D2535" w:rsidRDefault="005D2535" w:rsidP="00B724FF">
      <w:r w:rsidRPr="005D2535">
        <w:rPr>
          <w:noProof/>
        </w:rPr>
        <w:drawing>
          <wp:inline distT="0" distB="0" distL="0" distR="0" wp14:anchorId="7E5655EE" wp14:editId="512B74CF">
            <wp:extent cx="5391150" cy="3343275"/>
            <wp:effectExtent l="0" t="0" r="0" b="9525"/>
            <wp:docPr id="3" name="Picture 3" descr="Statistic: Worldwide motor vehicle sales growth between 2015 and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istic: Worldwide motor vehicle sales growth between 2015 and 2020 | Statista"/>
                    <pic:cNvPicPr>
                      <a:picLocks noChangeAspect="1" noChangeArrowheads="1"/>
                    </pic:cNvPicPr>
                  </pic:nvPicPr>
                  <pic:blipFill rotWithShape="1">
                    <a:blip r:embed="rId7">
                      <a:extLst>
                        <a:ext uri="{28A0092B-C50C-407E-A947-70E740481C1C}">
                          <a14:useLocalDpi xmlns:a14="http://schemas.microsoft.com/office/drawing/2010/main" val="0"/>
                        </a:ext>
                      </a:extLst>
                    </a:blip>
                    <a:srcRect l="2992" r="2926" b="13212"/>
                    <a:stretch/>
                  </pic:blipFill>
                  <pic:spPr bwMode="auto">
                    <a:xfrm>
                      <a:off x="0" y="0"/>
                      <a:ext cx="5392336" cy="3344010"/>
                    </a:xfrm>
                    <a:prstGeom prst="rect">
                      <a:avLst/>
                    </a:prstGeom>
                    <a:noFill/>
                    <a:ln>
                      <a:noFill/>
                    </a:ln>
                    <a:extLst>
                      <a:ext uri="{53640926-AAD7-44D8-BBD7-CCE9431645EC}">
                        <a14:shadowObscured xmlns:a14="http://schemas.microsoft.com/office/drawing/2010/main"/>
                      </a:ext>
                    </a:extLst>
                  </pic:spPr>
                </pic:pic>
              </a:graphicData>
            </a:graphic>
          </wp:inline>
        </w:drawing>
      </w:r>
    </w:p>
    <w:p w14:paraId="0AC0F96B" w14:textId="77777777" w:rsidR="005C7433" w:rsidRDefault="005C7433" w:rsidP="005C7433">
      <w:pPr>
        <w:jc w:val="center"/>
      </w:pPr>
      <w:r>
        <w:t>(Source: FAIST, 2021)</w:t>
      </w:r>
    </w:p>
    <w:p w14:paraId="282D3CF6" w14:textId="77777777" w:rsidR="00C60CA5" w:rsidRDefault="00C60CA5" w:rsidP="00B724FF">
      <w:pPr>
        <w:rPr>
          <w:b/>
          <w:i/>
        </w:rPr>
      </w:pPr>
      <w:r>
        <w:rPr>
          <w:b/>
          <w:i/>
        </w:rPr>
        <w:t>Limited supply of vehicle parts</w:t>
      </w:r>
    </w:p>
    <w:p w14:paraId="6A8880F5" w14:textId="4E511568" w:rsidR="00C60CA5" w:rsidRDefault="009934A4" w:rsidP="006545BA">
      <w:r>
        <w:t xml:space="preserve">The Covid-19 pandemic influenced the development of various measures to curb the spread of the virus that had an impact on the global automobile industry. </w:t>
      </w:r>
      <w:r w:rsidR="006545BA">
        <w:t>More so the</w:t>
      </w:r>
      <w:r w:rsidR="00174FD1">
        <w:t xml:space="preserve"> delays with shipments due to an increase in the health and safety measures across various borders along with most production sites having to close their operations due to workforce protection and low demand from original equipment manufacturers also influenced the limited distribution of supplies</w:t>
      </w:r>
      <w:r w:rsidR="00AF094E">
        <w:t xml:space="preserve"> within the automobile industry</w:t>
      </w:r>
      <w:r w:rsidR="00E95C0F" w:rsidRPr="00E95C0F">
        <w:t xml:space="preserve"> </w:t>
      </w:r>
      <w:r w:rsidR="00E95C0F">
        <w:t>(</w:t>
      </w:r>
      <w:r w:rsidR="00E95C0F" w:rsidRPr="00E95C0F">
        <w:t>Nguyen</w:t>
      </w:r>
      <w:r w:rsidR="00E95C0F">
        <w:t>, 2021)</w:t>
      </w:r>
      <w:r w:rsidR="00174FD1">
        <w:t>. The</w:t>
      </w:r>
      <w:r w:rsidR="006545BA">
        <w:t xml:space="preserve"> virus started in China where suppliers across the globe had to place their production lines in quarantine or shut them </w:t>
      </w:r>
      <w:r w:rsidR="006545BA">
        <w:lastRenderedPageBreak/>
        <w:t xml:space="preserve">completely. This led to an economic trade impact being realised on various countries operating within the automobile industry across the globe. For instance, the European Union experienced a decline of $2.5 billion due to a decline in the parts and automobile exports from </w:t>
      </w:r>
      <w:r w:rsidR="006545BA" w:rsidRPr="007A3397">
        <w:t>China</w:t>
      </w:r>
      <w:r w:rsidR="007A3397">
        <w:t xml:space="preserve"> (Statista, 2021)</w:t>
      </w:r>
      <w:r w:rsidR="006545BA">
        <w:t>. This has been illustrated in the diagram below:</w:t>
      </w:r>
    </w:p>
    <w:p w14:paraId="11C81DCF" w14:textId="77777777" w:rsidR="006545BA" w:rsidRDefault="006545BA" w:rsidP="006545BA">
      <w:r>
        <w:rPr>
          <w:noProof/>
          <w:lang w:eastAsia="en-GB"/>
        </w:rPr>
        <w:drawing>
          <wp:inline distT="0" distB="0" distL="0" distR="0" wp14:anchorId="0B2D1207" wp14:editId="5B194E70">
            <wp:extent cx="4383405" cy="25787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3405" cy="2578735"/>
                    </a:xfrm>
                    <a:prstGeom prst="rect">
                      <a:avLst/>
                    </a:prstGeom>
                    <a:noFill/>
                  </pic:spPr>
                </pic:pic>
              </a:graphicData>
            </a:graphic>
          </wp:inline>
        </w:drawing>
      </w:r>
    </w:p>
    <w:p w14:paraId="452C49C4" w14:textId="77777777" w:rsidR="007A3397" w:rsidRDefault="007A3397" w:rsidP="007A3397">
      <w:pPr>
        <w:jc w:val="center"/>
      </w:pPr>
      <w:r>
        <w:t>(Source: Statista, 2021)</w:t>
      </w:r>
    </w:p>
    <w:p w14:paraId="4F16CD8D" w14:textId="77777777" w:rsidR="002F7A3E" w:rsidRDefault="002F7A3E" w:rsidP="006545BA">
      <w:r>
        <w:t>The global auto production heavily depends on China and with the shutting down of some of the production plants in the country, the assembling of original equipment manufacturers in Asia, Europe and North America was strongly influenced. This is because 2/3 of auto production in China was heavily influenced by shut down thus hav</w:t>
      </w:r>
      <w:r w:rsidR="007B60C6">
        <w:t>ing a huge impact on the country</w:t>
      </w:r>
      <w:r>
        <w:t xml:space="preserve">’s suppliers. </w:t>
      </w:r>
      <w:r w:rsidR="007B60C6">
        <w:t xml:space="preserve">For instance, Hubei province in China that accounts for 9% of the country’s auto production and it had to disrupt supply chain until the recovery of the </w:t>
      </w:r>
      <w:r w:rsidR="007B60C6" w:rsidRPr="005955AD">
        <w:t>operations</w:t>
      </w:r>
      <w:r w:rsidR="005955AD">
        <w:t xml:space="preserve"> (Accenture, 2020)</w:t>
      </w:r>
      <w:r w:rsidR="007B60C6">
        <w:t>. The diagram below illustrates the Chinese exports for accessories and vehicle parts:</w:t>
      </w:r>
    </w:p>
    <w:p w14:paraId="38D882E6" w14:textId="77777777" w:rsidR="007B60C6" w:rsidRDefault="00BB21C4" w:rsidP="006545BA">
      <w:r>
        <w:rPr>
          <w:noProof/>
          <w:lang w:eastAsia="en-GB"/>
        </w:rPr>
        <w:lastRenderedPageBreak/>
        <w:drawing>
          <wp:inline distT="0" distB="0" distL="0" distR="0" wp14:anchorId="74E30BDB" wp14:editId="454AC359">
            <wp:extent cx="3981450" cy="2066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81450" cy="2066925"/>
                    </a:xfrm>
                    <a:prstGeom prst="rect">
                      <a:avLst/>
                    </a:prstGeom>
                  </pic:spPr>
                </pic:pic>
              </a:graphicData>
            </a:graphic>
          </wp:inline>
        </w:drawing>
      </w:r>
    </w:p>
    <w:p w14:paraId="652281E0" w14:textId="77777777" w:rsidR="005955AD" w:rsidRPr="00C60CA5" w:rsidRDefault="005955AD" w:rsidP="005955AD">
      <w:pPr>
        <w:jc w:val="center"/>
      </w:pPr>
      <w:r>
        <w:t>(Source: Accenture, 2020)</w:t>
      </w:r>
    </w:p>
    <w:p w14:paraId="77DD63C9" w14:textId="77777777" w:rsidR="0047102F" w:rsidRPr="005D2535" w:rsidRDefault="0047102F" w:rsidP="00B724FF">
      <w:pPr>
        <w:rPr>
          <w:b/>
          <w:i/>
        </w:rPr>
      </w:pPr>
      <w:r w:rsidRPr="005D2535">
        <w:rPr>
          <w:b/>
          <w:i/>
        </w:rPr>
        <w:t xml:space="preserve">Shutting down of manufacturing </w:t>
      </w:r>
    </w:p>
    <w:p w14:paraId="034A0810" w14:textId="761AF372" w:rsidR="0047102F" w:rsidRDefault="00547C3F" w:rsidP="00B724FF">
      <w:r>
        <w:t>The pandemic has influenced the shutting down of production plants for original equipment manufacturers. This follows the decline in demand for vehicles, the challenges with parts supply and the safety of the workers.</w:t>
      </w:r>
      <w:r w:rsidR="005D2535">
        <w:t xml:space="preserve"> For instance, in China, most of the production plants were </w:t>
      </w:r>
      <w:r w:rsidR="009D7291">
        <w:t>closed</w:t>
      </w:r>
      <w:r w:rsidR="005D2535">
        <w:t xml:space="preserve"> following the outbreak of the virus and there were no vehicles allowed to exit the assembly lines in Wuhan.</w:t>
      </w:r>
      <w:r>
        <w:t xml:space="preserve"> As a </w:t>
      </w:r>
      <w:r w:rsidR="009D7291">
        <w:t>result,</w:t>
      </w:r>
      <w:r>
        <w:t xml:space="preserve"> </w:t>
      </w:r>
      <w:r w:rsidR="00DF66BC">
        <w:t xml:space="preserve">the country experienced a contraction of 2% in its automobile manufacturing sector as </w:t>
      </w:r>
      <w:r w:rsidR="009D7291">
        <w:t>of</w:t>
      </w:r>
      <w:r w:rsidR="00DF66BC">
        <w:t xml:space="preserve"> February 2020. Generally, a </w:t>
      </w:r>
      <w:r>
        <w:t xml:space="preserve">decline in the production of vehicles </w:t>
      </w:r>
      <w:r w:rsidR="00DF66BC">
        <w:t xml:space="preserve">globally </w:t>
      </w:r>
      <w:r>
        <w:t xml:space="preserve">was realised in 2020 by </w:t>
      </w:r>
      <w:r w:rsidRPr="008126ED">
        <w:t>16%</w:t>
      </w:r>
      <w:r w:rsidR="008126ED" w:rsidRPr="008126ED">
        <w:t xml:space="preserve"> (Nayak et al., 2021)</w:t>
      </w:r>
      <w:r>
        <w:t xml:space="preserve">. </w:t>
      </w:r>
      <w:r w:rsidR="00DF66BC">
        <w:t>This has been illustrated in the diagram below:</w:t>
      </w:r>
    </w:p>
    <w:p w14:paraId="4A2412F9" w14:textId="77777777" w:rsidR="00DF66BC" w:rsidRDefault="00DF66BC" w:rsidP="00B724FF">
      <w:r>
        <w:rPr>
          <w:noProof/>
          <w:lang w:eastAsia="en-GB"/>
        </w:rPr>
        <w:lastRenderedPageBreak/>
        <w:drawing>
          <wp:inline distT="0" distB="0" distL="0" distR="0" wp14:anchorId="603511A9" wp14:editId="6EF3628C">
            <wp:extent cx="5229225" cy="29813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29225" cy="2981325"/>
                    </a:xfrm>
                    <a:prstGeom prst="rect">
                      <a:avLst/>
                    </a:prstGeom>
                    <a:noFill/>
                  </pic:spPr>
                </pic:pic>
              </a:graphicData>
            </a:graphic>
          </wp:inline>
        </w:drawing>
      </w:r>
    </w:p>
    <w:p w14:paraId="64F8A709" w14:textId="77777777" w:rsidR="008126ED" w:rsidRPr="0047102F" w:rsidRDefault="008126ED" w:rsidP="008126ED">
      <w:pPr>
        <w:jc w:val="center"/>
      </w:pPr>
      <w:r>
        <w:t xml:space="preserve">(Source: </w:t>
      </w:r>
      <w:r w:rsidRPr="008126ED">
        <w:t>Nayak et al., 2021)</w:t>
      </w:r>
    </w:p>
    <w:p w14:paraId="322CE72D" w14:textId="77777777" w:rsidR="005324F1" w:rsidRDefault="002F7A3E" w:rsidP="005324F1">
      <w:pPr>
        <w:rPr>
          <w:b/>
          <w:i/>
        </w:rPr>
      </w:pPr>
      <w:r>
        <w:rPr>
          <w:b/>
          <w:i/>
        </w:rPr>
        <w:t>Decline in working capital</w:t>
      </w:r>
    </w:p>
    <w:p w14:paraId="7FAD7A31" w14:textId="1D9F0120" w:rsidR="002F7A3E" w:rsidRPr="002F7A3E" w:rsidRDefault="002F7A3E" w:rsidP="005324F1">
      <w:r>
        <w:t>Companies within the global automobile industry have experienced a decline in the working capital following the Covid-19 pandemic. This is because the dro</w:t>
      </w:r>
      <w:r w:rsidR="00B839F0">
        <w:t>p in the demand for vehicles le</w:t>
      </w:r>
      <w:r>
        <w:t xml:space="preserve">d to a decline in the cash </w:t>
      </w:r>
      <w:r w:rsidR="009D7291">
        <w:t>flows,</w:t>
      </w:r>
      <w:r>
        <w:t xml:space="preserve"> yet salaries and </w:t>
      </w:r>
      <w:r w:rsidR="009D7291">
        <w:t>short-term</w:t>
      </w:r>
      <w:r>
        <w:t xml:space="preserve"> liabilities still needed to be settled by the companies. </w:t>
      </w:r>
      <w:r w:rsidR="00B839F0">
        <w:t xml:space="preserve">Therefore, cash reserves are likely to be exhausted as the companies survive the crisis. This leads to most companies within the industry having to bargain for higher credit lines with their banks for them to effectively survive the </w:t>
      </w:r>
      <w:r w:rsidR="00B839F0" w:rsidRPr="00FA57DF">
        <w:t>crisis</w:t>
      </w:r>
      <w:r w:rsidR="00FA57DF">
        <w:t xml:space="preserve"> (Klein et al., 2021)</w:t>
      </w:r>
      <w:r w:rsidR="00B839F0">
        <w:t xml:space="preserve">. </w:t>
      </w:r>
    </w:p>
    <w:p w14:paraId="3D35A9A1" w14:textId="77777777" w:rsidR="005324F1" w:rsidRDefault="00BD540E" w:rsidP="00BD540E">
      <w:pPr>
        <w:pStyle w:val="Heading2"/>
      </w:pPr>
      <w:bookmarkStart w:id="2" w:name="_Toc90303959"/>
      <w:r>
        <w:t>Developing the survival and success factors to the industry in consideration to the megatrends</w:t>
      </w:r>
      <w:bookmarkEnd w:id="2"/>
      <w:r>
        <w:t xml:space="preserve"> </w:t>
      </w:r>
    </w:p>
    <w:p w14:paraId="4EB95AD5" w14:textId="29236404" w:rsidR="005324F1" w:rsidRDefault="002D2A12" w:rsidP="00DF16B2">
      <w:r>
        <w:t xml:space="preserve">The current economic slowdown has hit the automobile industry fast and hard thus paving way to key industry trends like digitalisation and connectivity which are essential for the survival of businesses within the industry. They emphasize on the need to have easy to use and seamless human machine interface vehicles which has increasingly become significant as </w:t>
      </w:r>
      <w:r>
        <w:lastRenderedPageBreak/>
        <w:t xml:space="preserve">the new ecosystem </w:t>
      </w:r>
      <w:r w:rsidRPr="008126ED">
        <w:t>evolves</w:t>
      </w:r>
      <w:r w:rsidR="008126ED" w:rsidRPr="008126ED">
        <w:t xml:space="preserve"> (Nayak et al., 2021)</w:t>
      </w:r>
      <w:r>
        <w:t>. The survival and success factors of the automobile industry with regards to connectivity and digitisation entail the following:</w:t>
      </w:r>
      <w:r w:rsidR="00036B6E">
        <w:t xml:space="preserve"> </w:t>
      </w:r>
    </w:p>
    <w:p w14:paraId="37DE72F3" w14:textId="77777777" w:rsidR="002D2A12" w:rsidRDefault="003B4DD8" w:rsidP="00DF16B2">
      <w:pPr>
        <w:rPr>
          <w:b/>
        </w:rPr>
      </w:pPr>
      <w:r>
        <w:rPr>
          <w:b/>
        </w:rPr>
        <w:t>Embracing e-commerce</w:t>
      </w:r>
    </w:p>
    <w:p w14:paraId="6BEC9863" w14:textId="1562D3C1" w:rsidR="008E3D13" w:rsidRDefault="003B4DD8" w:rsidP="00DF16B2">
      <w:r>
        <w:t xml:space="preserve">Businesses within the automobile industry were among the few businesses across the globe that had restricted the gravitational pull for online buying amid the </w:t>
      </w:r>
      <w:r w:rsidR="009D7291">
        <w:t>pre-Covid</w:t>
      </w:r>
      <w:r>
        <w:t>-19 period.</w:t>
      </w:r>
      <w:r w:rsidR="008E3D13">
        <w:t xml:space="preserve"> However, the Covid-19 pandemic led to stay at home and lockdown orders being initiated in a wide range of countries to help curb the spread of the virus. This led to a shift in the behaviour of customers as more individuals had to focus on online purchases. As a </w:t>
      </w:r>
      <w:r w:rsidR="009D7291">
        <w:t>result,</w:t>
      </w:r>
      <w:r w:rsidR="008E3D13">
        <w:t xml:space="preserve"> a vital opportunity was presented to the businesses within the industry to shift towards </w:t>
      </w:r>
      <w:r w:rsidR="008E3D13" w:rsidRPr="00E95C0F">
        <w:t>e-commerce</w:t>
      </w:r>
      <w:r w:rsidR="00E95C0F">
        <w:t xml:space="preserve"> </w:t>
      </w:r>
      <w:r w:rsidR="00E95C0F" w:rsidRPr="00E95C0F">
        <w:t>(Nguyen, 2021)</w:t>
      </w:r>
      <w:r w:rsidR="008E3D13">
        <w:t xml:space="preserve">. </w:t>
      </w:r>
    </w:p>
    <w:p w14:paraId="6E9EEC12" w14:textId="69D5486C" w:rsidR="004F03F2" w:rsidRDefault="008424BB" w:rsidP="00DF16B2">
      <w:r>
        <w:t xml:space="preserve">As a </w:t>
      </w:r>
      <w:r w:rsidR="006511F4">
        <w:t>result,</w:t>
      </w:r>
      <w:r>
        <w:t xml:space="preserve"> consumers will be able to browse vehicles online while they visit the brick and motor dealerships for making their final purchases. This is an opportunity for the automobile industry to ramp up its </w:t>
      </w:r>
      <w:r w:rsidR="00F10F59">
        <w:t>digital</w:t>
      </w:r>
      <w:r>
        <w:t xml:space="preserve"> selling capabilities towards matching the current conditions within the automobile </w:t>
      </w:r>
      <w:r w:rsidRPr="005955AD">
        <w:t>market</w:t>
      </w:r>
      <w:r w:rsidR="005955AD">
        <w:t xml:space="preserve"> (Accenture, 2020)</w:t>
      </w:r>
      <w:r>
        <w:t xml:space="preserve">. </w:t>
      </w:r>
    </w:p>
    <w:p w14:paraId="61D37422" w14:textId="77777777" w:rsidR="0054054D" w:rsidRDefault="0054054D" w:rsidP="00DF16B2">
      <w:pPr>
        <w:rPr>
          <w:b/>
        </w:rPr>
      </w:pPr>
      <w:r>
        <w:rPr>
          <w:b/>
        </w:rPr>
        <w:t>Driving efficiency</w:t>
      </w:r>
    </w:p>
    <w:p w14:paraId="081B3776" w14:textId="77777777" w:rsidR="0054054D" w:rsidRDefault="0054054D" w:rsidP="00DF16B2">
      <w:r>
        <w:t xml:space="preserve">Driving efficiency focuses on the development of better and more digital communication channels within the automobile industry. This is aimed at allowing the consumers to remotely access the pricing details, schedule home deliveries and arrange financing. Chatbots have a key role to play as digital communication channels. They are aimed at increasingly handling complex interactions within businesses in the automobile industry while they allow a lot of tasks to be handled within the businesses with fewer </w:t>
      </w:r>
      <w:r w:rsidRPr="00A12C55">
        <w:t>resources</w:t>
      </w:r>
      <w:r w:rsidR="00A12C55">
        <w:t xml:space="preserve"> </w:t>
      </w:r>
      <w:r w:rsidR="00A12C55" w:rsidRPr="00A12C55">
        <w:t>(Wedeniwski, 2015)</w:t>
      </w:r>
      <w:r>
        <w:t xml:space="preserve">.  </w:t>
      </w:r>
    </w:p>
    <w:p w14:paraId="172B6E0E" w14:textId="77777777" w:rsidR="004F03F2" w:rsidRDefault="004F03F2" w:rsidP="00DF16B2">
      <w:r>
        <w:t>The adoption of digital communication channels will play a vital role in enabling businesses within the automobile industry to keep in contact with their home</w:t>
      </w:r>
      <w:r w:rsidR="004205BF">
        <w:t xml:space="preserve">bound customers thus minimising the closure of the businesses. This is because the utilisation of the digital </w:t>
      </w:r>
      <w:r w:rsidR="004205BF">
        <w:lastRenderedPageBreak/>
        <w:t xml:space="preserve">communication channels such as live broadcasts will help in compensating the trade fairs that have been cancelled within the industry. More so they will also reinforce the perception of the brands as they outline their commitment towards solving the global </w:t>
      </w:r>
      <w:r w:rsidR="004205BF" w:rsidRPr="0076463D">
        <w:t>pandemic</w:t>
      </w:r>
      <w:r w:rsidR="0076463D">
        <w:t xml:space="preserve"> </w:t>
      </w:r>
      <w:r w:rsidR="0076463D" w:rsidRPr="0076463D">
        <w:t>(Irawati, 2011)</w:t>
      </w:r>
      <w:r w:rsidR="004205BF">
        <w:t xml:space="preserve">. </w:t>
      </w:r>
    </w:p>
    <w:p w14:paraId="7829CDCC" w14:textId="52ED6F87" w:rsidR="0054054D" w:rsidRPr="0054054D" w:rsidRDefault="0054054D" w:rsidP="00DF16B2">
      <w:r>
        <w:t xml:space="preserve">Process automation is </w:t>
      </w:r>
      <w:r w:rsidR="00E10F22">
        <w:t xml:space="preserve">also a vital aspect in driving efficiency within the industry through enabling businesses to execute difficult tasks within their remote environment. These tasks entail; ticket requests, contract reviews and on boarding of new employees. For instance, the adoption of the e-Signature products within the automobile industry is increasingly rising thus enhancing the </w:t>
      </w:r>
      <w:r w:rsidR="005E471C">
        <w:t xml:space="preserve">completion of the sale of end-to-end cars at home. This is a vital opportunity for the industry to make touch less experiences a norm while developing an easier and </w:t>
      </w:r>
      <w:r w:rsidR="009D7291">
        <w:t>user-friendly</w:t>
      </w:r>
      <w:r w:rsidR="005E471C">
        <w:t xml:space="preserve"> process for the </w:t>
      </w:r>
      <w:r w:rsidR="005E471C" w:rsidRPr="00A12C55">
        <w:t>buyers</w:t>
      </w:r>
      <w:r w:rsidR="00A12C55">
        <w:t xml:space="preserve"> </w:t>
      </w:r>
      <w:r w:rsidR="00A12C55" w:rsidRPr="00A12C55">
        <w:t>(Wedeniwski, 2015)</w:t>
      </w:r>
      <w:r w:rsidR="005E471C">
        <w:t xml:space="preserve">.  </w:t>
      </w:r>
    </w:p>
    <w:p w14:paraId="76C90C95" w14:textId="77777777" w:rsidR="003B4DD8" w:rsidRDefault="005E471C" w:rsidP="00DF16B2">
      <w:pPr>
        <w:rPr>
          <w:b/>
        </w:rPr>
      </w:pPr>
      <w:r>
        <w:rPr>
          <w:b/>
        </w:rPr>
        <w:t>Upgrading the underwriting process</w:t>
      </w:r>
    </w:p>
    <w:p w14:paraId="19F4AB8A" w14:textId="6E397ED9" w:rsidR="003A7855" w:rsidRDefault="005E471C" w:rsidP="00DF16B2">
      <w:r>
        <w:t xml:space="preserve">The current economic climate has led to the need for developing a data driven approach for the </w:t>
      </w:r>
      <w:r w:rsidR="003A7855">
        <w:t xml:space="preserve">lenders to new loans for businesses within the automobile industry. Therefore, touch </w:t>
      </w:r>
      <w:r w:rsidR="009D7291">
        <w:t>fewer</w:t>
      </w:r>
      <w:r w:rsidR="003A7855">
        <w:t xml:space="preserve"> underwriting processes </w:t>
      </w:r>
      <w:r w:rsidR="009D7291">
        <w:t>must</w:t>
      </w:r>
      <w:r w:rsidR="003A7855">
        <w:t xml:space="preserve"> be introduced on a large scale to aid in the processing of more loan applications within a short period of time and with less human intervention. This makes it essential for the lenders to employ tools that use predictive analytics and AI for segmenting the borrowers above specific risk thresholds and with greater accuracy to continue the issuing of credit with </w:t>
      </w:r>
      <w:r w:rsidR="003A7855" w:rsidRPr="0076463D">
        <w:t>responsibility</w:t>
      </w:r>
      <w:r w:rsidR="0076463D">
        <w:t xml:space="preserve"> </w:t>
      </w:r>
      <w:r w:rsidR="0076463D" w:rsidRPr="0076463D">
        <w:t>(Irawati, 2011)</w:t>
      </w:r>
      <w:r w:rsidR="003A7855">
        <w:t xml:space="preserve">. </w:t>
      </w:r>
    </w:p>
    <w:p w14:paraId="5A6586E7" w14:textId="384F0EBF" w:rsidR="005E471C" w:rsidRPr="005E471C" w:rsidRDefault="000B5AA1" w:rsidP="00DF16B2">
      <w:r>
        <w:t>Furthermore, o</w:t>
      </w:r>
      <w:r w:rsidR="003A7855">
        <w:t xml:space="preserve">pen banking along with access to data will also have the potential to influence the auto loan underwriting process. For instance, having access to the transaction history of the borrowers grants the lenders the ability to determine whether they can offer credit or not. As a </w:t>
      </w:r>
      <w:r w:rsidR="009D7291">
        <w:t>result,</w:t>
      </w:r>
      <w:r w:rsidR="003A7855" w:rsidRPr="009D7291">
        <w:rPr>
          <w:bCs/>
        </w:rPr>
        <w:t xml:space="preserve"> they</w:t>
      </w:r>
      <w:r w:rsidR="003A7855">
        <w:t xml:space="preserve"> </w:t>
      </w:r>
      <w:r w:rsidR="009D7291">
        <w:t>can</w:t>
      </w:r>
      <w:r w:rsidR="003A7855">
        <w:t xml:space="preserve"> extend credit for customers within the automobile industry for a long </w:t>
      </w:r>
      <w:r w:rsidR="009D7291">
        <w:t>time</w:t>
      </w:r>
      <w:r w:rsidR="008126ED">
        <w:t xml:space="preserve"> (Klein et al., 2021)</w:t>
      </w:r>
      <w:r w:rsidR="003A7855">
        <w:t xml:space="preserve">.  </w:t>
      </w:r>
      <w:r w:rsidR="005E471C">
        <w:t xml:space="preserve"> </w:t>
      </w:r>
    </w:p>
    <w:p w14:paraId="03F5277C" w14:textId="77777777" w:rsidR="002D2A12" w:rsidRDefault="00F43067" w:rsidP="00DF16B2">
      <w:pPr>
        <w:rPr>
          <w:b/>
        </w:rPr>
      </w:pPr>
      <w:r>
        <w:rPr>
          <w:b/>
        </w:rPr>
        <w:lastRenderedPageBreak/>
        <w:t>Maximising virtual interactions</w:t>
      </w:r>
    </w:p>
    <w:p w14:paraId="6EF8722C" w14:textId="2F4F486E" w:rsidR="00F43067" w:rsidRPr="00FC1485" w:rsidRDefault="00FC1485" w:rsidP="00DF16B2">
      <w:r>
        <w:t xml:space="preserve">The Covid-19 pandemic influenced the cancellation of auto shows and conferences as a measure to curb the spread of the virus. This paved way for vehicles being launched online with businesses such as Hyundai unveiling their auto shows through Livestream. This led to </w:t>
      </w:r>
      <w:r w:rsidR="009D7291">
        <w:t>many</w:t>
      </w:r>
      <w:r>
        <w:t xml:space="preserve"> customers viewing the company’s online video campaign without having to be exposed to the </w:t>
      </w:r>
      <w:r w:rsidRPr="00A12C55">
        <w:t>virus</w:t>
      </w:r>
      <w:r w:rsidR="00A12C55">
        <w:t xml:space="preserve"> </w:t>
      </w:r>
      <w:r w:rsidR="00A12C55" w:rsidRPr="00A12C55">
        <w:t>(Wedeniwski, 2015)</w:t>
      </w:r>
      <w:r>
        <w:t xml:space="preserve">. </w:t>
      </w:r>
    </w:p>
    <w:p w14:paraId="4C40EFAE" w14:textId="33AE0098" w:rsidR="005324F1" w:rsidRDefault="00FC1485" w:rsidP="00DF16B2">
      <w:r>
        <w:t xml:space="preserve">The maximisation of virtual interactions poses an opportunity for businesses within the automobile industry to undertake their auto shows and conferences through Livestream. This presents an opportunity for </w:t>
      </w:r>
      <w:r w:rsidR="009D7291">
        <w:t>many</w:t>
      </w:r>
      <w:r>
        <w:t xml:space="preserve"> individuals to view the online videos displayed by the businesses at the comfort of their homes or workplaces without having to physically access the physical showrooms of the businesses. It promotes convenience while helping in the curbing of the spread of the </w:t>
      </w:r>
      <w:r w:rsidRPr="008126ED">
        <w:t>virus</w:t>
      </w:r>
      <w:r w:rsidR="008126ED" w:rsidRPr="008126ED">
        <w:t xml:space="preserve"> (Nayak et al., 2021)</w:t>
      </w:r>
      <w:r>
        <w:t xml:space="preserve">.  </w:t>
      </w:r>
    </w:p>
    <w:p w14:paraId="7237BD0D" w14:textId="77777777" w:rsidR="005324F1" w:rsidRDefault="00036B6E" w:rsidP="00036B6E">
      <w:pPr>
        <w:pStyle w:val="Heading2"/>
      </w:pPr>
      <w:bookmarkStart w:id="3" w:name="_Toc90303960"/>
      <w:r>
        <w:t>Conclusion</w:t>
      </w:r>
      <w:bookmarkEnd w:id="3"/>
      <w:r>
        <w:t xml:space="preserve"> </w:t>
      </w:r>
    </w:p>
    <w:p w14:paraId="5F5C8991" w14:textId="4BF582DD" w:rsidR="00036B6E" w:rsidRDefault="00036B6E" w:rsidP="00036B6E">
      <w:r w:rsidRPr="00036B6E">
        <w:t xml:space="preserve">The Covid-19 pandemic has led to companies within the automobile industry having to rethink their </w:t>
      </w:r>
      <w:r w:rsidR="009D7291" w:rsidRPr="00036B6E">
        <w:t>short-term</w:t>
      </w:r>
      <w:r w:rsidRPr="00036B6E">
        <w:t xml:space="preserve"> playbook on the redefinition of mobility at the present and in the future. The pandemic has influenced the industry in a wide range of ways which </w:t>
      </w:r>
      <w:r w:rsidR="009D7291" w:rsidRPr="00036B6E">
        <w:t>entail,</w:t>
      </w:r>
      <w:r w:rsidRPr="00036B6E">
        <w:t xml:space="preserve"> declining the demand for vehicles, shutting down of manufacturing, declining the working capital and limiting the supply of vehicle parts. The influences have placed pressure on the industry to shift its gears towards effectively navigating the bumpy road developed by the pandemic while being </w:t>
      </w:r>
      <w:r w:rsidR="009D7291" w:rsidRPr="00036B6E">
        <w:t>able</w:t>
      </w:r>
      <w:r w:rsidRPr="00036B6E">
        <w:t xml:space="preserve"> to face what lies in the future. As a </w:t>
      </w:r>
      <w:r w:rsidR="009D7291" w:rsidRPr="00036B6E">
        <w:t>result,</w:t>
      </w:r>
      <w:r w:rsidRPr="00036B6E">
        <w:t xml:space="preserve"> various factors have been outlined in consideration to the mega trends within the industry for the success and survival of the industry. These factors </w:t>
      </w:r>
      <w:r w:rsidR="009D7291" w:rsidRPr="00036B6E">
        <w:t>entail,</w:t>
      </w:r>
      <w:r w:rsidRPr="00036B6E">
        <w:t xml:space="preserve"> embracing e-commerce, driving efficiency,</w:t>
      </w:r>
      <w:r>
        <w:t xml:space="preserve"> upgrading the underwriting </w:t>
      </w:r>
      <w:r w:rsidR="009D7291">
        <w:t>process,</w:t>
      </w:r>
      <w:r>
        <w:t xml:space="preserve"> and maximising virtual </w:t>
      </w:r>
      <w:r w:rsidR="004E7952">
        <w:t>interactions</w:t>
      </w:r>
      <w:r>
        <w:t xml:space="preserve">. </w:t>
      </w:r>
      <w:r w:rsidRPr="00036B6E">
        <w:t xml:space="preserve"> </w:t>
      </w:r>
    </w:p>
    <w:p w14:paraId="5A94717A" w14:textId="4E7CA647" w:rsidR="007A3397" w:rsidRDefault="007A3397" w:rsidP="007A3397">
      <w:pPr>
        <w:pStyle w:val="Heading2"/>
      </w:pPr>
      <w:bookmarkStart w:id="4" w:name="_Toc90303961"/>
      <w:r>
        <w:lastRenderedPageBreak/>
        <w:t>References</w:t>
      </w:r>
      <w:bookmarkEnd w:id="4"/>
    </w:p>
    <w:p w14:paraId="0BD231DC" w14:textId="77777777" w:rsidR="00A12C55" w:rsidRPr="00A12C55" w:rsidRDefault="00A12C55" w:rsidP="00CC73E3">
      <w:pPr>
        <w:ind w:left="720" w:hanging="720"/>
      </w:pPr>
      <w:r>
        <w:t xml:space="preserve">Accenture. (2020). </w:t>
      </w:r>
      <w:r w:rsidRPr="00A12C55">
        <w:rPr>
          <w:i/>
        </w:rPr>
        <w:t>Impact on the Automotive Industry: Navigating the Human and Business Impact of COVID-19</w:t>
      </w:r>
      <w:r>
        <w:t xml:space="preserve">. </w:t>
      </w:r>
    </w:p>
    <w:p w14:paraId="19CF84EA" w14:textId="77777777" w:rsidR="005C7433" w:rsidRDefault="005C7433" w:rsidP="00CC73E3">
      <w:pPr>
        <w:ind w:left="720" w:hanging="720"/>
      </w:pPr>
      <w:r>
        <w:t xml:space="preserve">FAIST. (2021). </w:t>
      </w:r>
      <w:r w:rsidRPr="005C7433">
        <w:rPr>
          <w:i/>
        </w:rPr>
        <w:t>Covid-19’s impact on the automotive industry worldwide</w:t>
      </w:r>
      <w:r>
        <w:t xml:space="preserve">. Available at: </w:t>
      </w:r>
      <w:hyperlink r:id="rId11" w:history="1">
        <w:r w:rsidRPr="00FA2610">
          <w:rPr>
            <w:rStyle w:val="Hyperlink"/>
          </w:rPr>
          <w:t>https://www.faistgroup.com/news/covid-19-impact-automotive-industry/</w:t>
        </w:r>
      </w:hyperlink>
      <w:r>
        <w:t xml:space="preserve">  [Accessed 13 December 2021]. </w:t>
      </w:r>
    </w:p>
    <w:p w14:paraId="492ABD21" w14:textId="77777777" w:rsidR="00CC73E3" w:rsidRPr="005C7433" w:rsidRDefault="00CC73E3" w:rsidP="00CC73E3">
      <w:pPr>
        <w:ind w:left="720" w:hanging="720"/>
      </w:pPr>
      <w:r>
        <w:t>Irawati, D. (</w:t>
      </w:r>
      <w:r w:rsidRPr="00CC73E3">
        <w:t>2011</w:t>
      </w:r>
      <w:r>
        <w:t>)</w:t>
      </w:r>
      <w:r w:rsidRPr="00CC73E3">
        <w:t xml:space="preserve">. </w:t>
      </w:r>
      <w:r w:rsidRPr="00CC73E3">
        <w:rPr>
          <w:i/>
          <w:iCs/>
        </w:rPr>
        <w:t>Knowledge Transfer in the Automobile Industry</w:t>
      </w:r>
      <w:r w:rsidRPr="00CC73E3">
        <w:t>. Hoboken: Taylor &amp; Francis.</w:t>
      </w:r>
    </w:p>
    <w:p w14:paraId="07A676B4" w14:textId="77777777" w:rsidR="00FA57DF" w:rsidRDefault="00FA57DF" w:rsidP="00CC73E3">
      <w:pPr>
        <w:ind w:left="720" w:hanging="720"/>
      </w:pPr>
      <w:r>
        <w:t>Klein, C. et al. (2021).</w:t>
      </w:r>
      <w:r w:rsidRPr="00FA57DF">
        <w:t xml:space="preserve"> </w:t>
      </w:r>
      <w:r w:rsidRPr="00FA57DF">
        <w:rPr>
          <w:i/>
        </w:rPr>
        <w:t>The impacts of the COVID-19 crisis on the automotive sector in Central and Eastern European Countries</w:t>
      </w:r>
      <w:r>
        <w:t>. OECD Economics Department Working Papers No. 1658.</w:t>
      </w:r>
    </w:p>
    <w:p w14:paraId="18249775" w14:textId="77777777" w:rsidR="00E95C0F" w:rsidRDefault="00E95C0F" w:rsidP="00CC73E3">
      <w:pPr>
        <w:ind w:left="720" w:hanging="720"/>
        <w:rPr>
          <w:rStyle w:val="selectable"/>
          <w:color w:val="000000"/>
        </w:rPr>
      </w:pPr>
      <w:r>
        <w:rPr>
          <w:rStyle w:val="selectable"/>
          <w:color w:val="000000"/>
        </w:rPr>
        <w:t xml:space="preserve">Nguyen, A. (2021). </w:t>
      </w:r>
      <w:r>
        <w:rPr>
          <w:rStyle w:val="selectable"/>
          <w:i/>
          <w:iCs/>
          <w:color w:val="000000"/>
        </w:rPr>
        <w:t>Impact of good supplier relationship during the COVID-19 crisis. A case study of the German automotive industry</w:t>
      </w:r>
      <w:r>
        <w:rPr>
          <w:rStyle w:val="selectable"/>
          <w:color w:val="000000"/>
        </w:rPr>
        <w:t>.</w:t>
      </w:r>
    </w:p>
    <w:p w14:paraId="4ED32298" w14:textId="77777777" w:rsidR="00A12C55" w:rsidRDefault="00A12C55" w:rsidP="00CC73E3">
      <w:pPr>
        <w:ind w:left="720" w:hanging="720"/>
      </w:pPr>
      <w:r>
        <w:t xml:space="preserve">Nayak, J. et al. (2021). </w:t>
      </w:r>
      <w:r w:rsidRPr="00A12C55">
        <w:t xml:space="preserve">An impact study of COVID ‐19 on six different industries: Automobile, energy and power, agriculture, education, travel and tourism and consumer electronics. </w:t>
      </w:r>
      <w:r w:rsidRPr="00A12C55">
        <w:rPr>
          <w:i/>
          <w:iCs/>
        </w:rPr>
        <w:t>Expert Systems</w:t>
      </w:r>
      <w:r>
        <w:t xml:space="preserve">. </w:t>
      </w:r>
    </w:p>
    <w:p w14:paraId="14E2F8D0" w14:textId="77777777" w:rsidR="007A3397" w:rsidRDefault="007A3397" w:rsidP="00CC73E3">
      <w:pPr>
        <w:ind w:left="720" w:hanging="720"/>
      </w:pPr>
      <w:r>
        <w:t xml:space="preserve">Statista. (2021). </w:t>
      </w:r>
      <w:r w:rsidRPr="007A3397">
        <w:rPr>
          <w:i/>
        </w:rPr>
        <w:t xml:space="preserve">Estimated trade impact of the coronavirus (COVID-19) epidemic on the automotive sector as of February 2020, by market. </w:t>
      </w:r>
      <w:r>
        <w:t>Available at:</w:t>
      </w:r>
      <w:r w:rsidRPr="007A3397">
        <w:t xml:space="preserve"> </w:t>
      </w:r>
      <w:hyperlink r:id="rId12" w:history="1">
        <w:r w:rsidRPr="00FA2610">
          <w:rPr>
            <w:rStyle w:val="Hyperlink"/>
          </w:rPr>
          <w:t>https://www.statista.com/statistics/1103657/economic-trade-impact-of-covid-19-on-the-auto-industry-by-market/</w:t>
        </w:r>
      </w:hyperlink>
      <w:r>
        <w:t xml:space="preserve"> [Accessed 13 December 2021].  </w:t>
      </w:r>
    </w:p>
    <w:p w14:paraId="62700400" w14:textId="77777777" w:rsidR="0076463D" w:rsidRPr="007A3397" w:rsidRDefault="0076463D" w:rsidP="00CC73E3">
      <w:pPr>
        <w:ind w:left="720" w:hanging="720"/>
      </w:pPr>
      <w:r>
        <w:t>Wedeniwski, D. (</w:t>
      </w:r>
      <w:r w:rsidRPr="0076463D">
        <w:t>2015</w:t>
      </w:r>
      <w:r>
        <w:t>)</w:t>
      </w:r>
      <w:r w:rsidRPr="0076463D">
        <w:t xml:space="preserve">. </w:t>
      </w:r>
      <w:r w:rsidRPr="0076463D">
        <w:rPr>
          <w:i/>
          <w:iCs/>
        </w:rPr>
        <w:t>The Mobility Revolution in the Automotive Industry</w:t>
      </w:r>
      <w:r w:rsidRPr="0076463D">
        <w:t>. Berlin, Heidelberg: Springer Berlin Heidelberg.</w:t>
      </w:r>
    </w:p>
    <w:sectPr w:rsidR="0076463D" w:rsidRPr="007A33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D9778" w14:textId="77777777" w:rsidR="00AD13EA" w:rsidRDefault="00AD13EA" w:rsidP="005324F1">
      <w:pPr>
        <w:spacing w:after="0" w:line="240" w:lineRule="auto"/>
      </w:pPr>
      <w:r>
        <w:separator/>
      </w:r>
    </w:p>
  </w:endnote>
  <w:endnote w:type="continuationSeparator" w:id="0">
    <w:p w14:paraId="119641CD" w14:textId="77777777" w:rsidR="00AD13EA" w:rsidRDefault="00AD13EA" w:rsidP="00532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291BE" w14:textId="77777777" w:rsidR="00AD13EA" w:rsidRDefault="00AD13EA" w:rsidP="005324F1">
      <w:pPr>
        <w:spacing w:after="0" w:line="240" w:lineRule="auto"/>
      </w:pPr>
      <w:r>
        <w:separator/>
      </w:r>
    </w:p>
  </w:footnote>
  <w:footnote w:type="continuationSeparator" w:id="0">
    <w:p w14:paraId="145D2D49" w14:textId="77777777" w:rsidR="00AD13EA" w:rsidRDefault="00AD13EA" w:rsidP="005324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24F1"/>
    <w:rsid w:val="00036B6E"/>
    <w:rsid w:val="00094FFC"/>
    <w:rsid w:val="000B5AA1"/>
    <w:rsid w:val="00174FD1"/>
    <w:rsid w:val="002D2A12"/>
    <w:rsid w:val="002F74BD"/>
    <w:rsid w:val="002F7A3E"/>
    <w:rsid w:val="00313483"/>
    <w:rsid w:val="003A7855"/>
    <w:rsid w:val="003B4DD8"/>
    <w:rsid w:val="00400C6D"/>
    <w:rsid w:val="004205BF"/>
    <w:rsid w:val="0047102F"/>
    <w:rsid w:val="004E7952"/>
    <w:rsid w:val="004F03F2"/>
    <w:rsid w:val="00511B36"/>
    <w:rsid w:val="005324F1"/>
    <w:rsid w:val="0054054D"/>
    <w:rsid w:val="00547C3F"/>
    <w:rsid w:val="005955AD"/>
    <w:rsid w:val="005C7433"/>
    <w:rsid w:val="005D2535"/>
    <w:rsid w:val="005E471C"/>
    <w:rsid w:val="005E631F"/>
    <w:rsid w:val="00632633"/>
    <w:rsid w:val="00646050"/>
    <w:rsid w:val="006511F4"/>
    <w:rsid w:val="006545BA"/>
    <w:rsid w:val="006F22C0"/>
    <w:rsid w:val="007369BD"/>
    <w:rsid w:val="0076463D"/>
    <w:rsid w:val="007A3397"/>
    <w:rsid w:val="007B60C6"/>
    <w:rsid w:val="007C6464"/>
    <w:rsid w:val="008126ED"/>
    <w:rsid w:val="008424BB"/>
    <w:rsid w:val="008E3D13"/>
    <w:rsid w:val="009934A4"/>
    <w:rsid w:val="009C2172"/>
    <w:rsid w:val="009D7291"/>
    <w:rsid w:val="00A12C55"/>
    <w:rsid w:val="00AB2D8F"/>
    <w:rsid w:val="00AD13EA"/>
    <w:rsid w:val="00AF094E"/>
    <w:rsid w:val="00B40467"/>
    <w:rsid w:val="00B724FF"/>
    <w:rsid w:val="00B839F0"/>
    <w:rsid w:val="00BB21C4"/>
    <w:rsid w:val="00BD540E"/>
    <w:rsid w:val="00BF6ADB"/>
    <w:rsid w:val="00C00AB1"/>
    <w:rsid w:val="00C60CA5"/>
    <w:rsid w:val="00CC73E3"/>
    <w:rsid w:val="00D737C2"/>
    <w:rsid w:val="00DF16B2"/>
    <w:rsid w:val="00DF66BC"/>
    <w:rsid w:val="00E10F22"/>
    <w:rsid w:val="00E15C43"/>
    <w:rsid w:val="00E95C0F"/>
    <w:rsid w:val="00EA3AA4"/>
    <w:rsid w:val="00F10F59"/>
    <w:rsid w:val="00F24579"/>
    <w:rsid w:val="00F43067"/>
    <w:rsid w:val="00FA57DF"/>
    <w:rsid w:val="00FC1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EE17D"/>
  <w15:chartTrackingRefBased/>
  <w15:docId w15:val="{B6913C35-EFDE-41AF-92B1-F8427BF77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73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24F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24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4F1"/>
  </w:style>
  <w:style w:type="paragraph" w:styleId="Footer">
    <w:name w:val="footer"/>
    <w:basedOn w:val="Normal"/>
    <w:link w:val="FooterChar"/>
    <w:uiPriority w:val="99"/>
    <w:unhideWhenUsed/>
    <w:rsid w:val="00532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4F1"/>
  </w:style>
  <w:style w:type="character" w:customStyle="1" w:styleId="Heading2Char">
    <w:name w:val="Heading 2 Char"/>
    <w:basedOn w:val="DefaultParagraphFont"/>
    <w:link w:val="Heading2"/>
    <w:uiPriority w:val="9"/>
    <w:rsid w:val="005324F1"/>
    <w:rPr>
      <w:rFonts w:eastAsiaTheme="majorEastAsia" w:cstheme="majorBidi"/>
      <w:b/>
      <w:szCs w:val="26"/>
    </w:rPr>
  </w:style>
  <w:style w:type="character" w:styleId="Hyperlink">
    <w:name w:val="Hyperlink"/>
    <w:basedOn w:val="DefaultParagraphFont"/>
    <w:uiPriority w:val="99"/>
    <w:unhideWhenUsed/>
    <w:rsid w:val="007A3397"/>
    <w:rPr>
      <w:color w:val="0563C1" w:themeColor="hyperlink"/>
      <w:u w:val="single"/>
    </w:rPr>
  </w:style>
  <w:style w:type="character" w:customStyle="1" w:styleId="selectable">
    <w:name w:val="selectable"/>
    <w:basedOn w:val="DefaultParagraphFont"/>
    <w:rsid w:val="00E95C0F"/>
  </w:style>
  <w:style w:type="character" w:customStyle="1" w:styleId="Heading1Char">
    <w:name w:val="Heading 1 Char"/>
    <w:basedOn w:val="DefaultParagraphFont"/>
    <w:link w:val="Heading1"/>
    <w:uiPriority w:val="9"/>
    <w:rsid w:val="00CC73E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C73E3"/>
    <w:pPr>
      <w:spacing w:line="259" w:lineRule="auto"/>
      <w:outlineLvl w:val="9"/>
    </w:pPr>
    <w:rPr>
      <w:lang w:val="en-US"/>
    </w:rPr>
  </w:style>
  <w:style w:type="paragraph" w:styleId="TOC2">
    <w:name w:val="toc 2"/>
    <w:basedOn w:val="Normal"/>
    <w:next w:val="Normal"/>
    <w:autoRedefine/>
    <w:uiPriority w:val="39"/>
    <w:unhideWhenUsed/>
    <w:rsid w:val="00CC73E3"/>
    <w:pPr>
      <w:spacing w:after="100"/>
      <w:ind w:left="240"/>
    </w:pPr>
  </w:style>
  <w:style w:type="paragraph" w:styleId="Title">
    <w:name w:val="Title"/>
    <w:basedOn w:val="Normal"/>
    <w:next w:val="Normal"/>
    <w:link w:val="TitleChar"/>
    <w:uiPriority w:val="10"/>
    <w:qFormat/>
    <w:rsid w:val="00B404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046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7F19F-A25E-4F97-8C80-125DB7572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3277</TotalTime>
  <Pages>1</Pages>
  <Words>2021</Words>
  <Characters>11521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Momchil Kostadinov (2028013)</cp:lastModifiedBy>
  <cp:revision>44</cp:revision>
  <dcterms:created xsi:type="dcterms:W3CDTF">2021-12-11T06:51:00Z</dcterms:created>
  <dcterms:modified xsi:type="dcterms:W3CDTF">2022-01-02T16:28:00Z</dcterms:modified>
</cp:coreProperties>
</file>