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ED25F3" w14:textId="77777777" w:rsidR="008D5865" w:rsidRPr="00CB01D6" w:rsidRDefault="00665DFB" w:rsidP="008D5865">
      <w:pPr>
        <w:spacing w:line="360" w:lineRule="auto"/>
        <w:jc w:val="center"/>
        <w:rPr>
          <w:b/>
          <w:bCs/>
          <w:sz w:val="30"/>
          <w:szCs w:val="30"/>
        </w:rPr>
      </w:pPr>
      <w:r w:rsidRPr="00ED27A5">
        <w:rPr>
          <w:rFonts w:ascii="Arial" w:eastAsia="Times New Roman" w:hAnsi="Arial" w:cs="Arial"/>
          <w:b/>
          <w:bCs/>
          <w:kern w:val="0"/>
          <w:lang w:eastAsia="en-GB"/>
          <w14:ligatures w14:val="none"/>
        </w:rPr>
        <w:tab/>
      </w:r>
      <w:r w:rsidR="008D5865" w:rsidRPr="00CB01D6">
        <w:rPr>
          <w:b/>
          <w:bCs/>
          <w:noProof/>
          <w:sz w:val="30"/>
          <w:szCs w:val="30"/>
        </w:rPr>
        <w:drawing>
          <wp:inline distT="114300" distB="114300" distL="114300" distR="114300" wp14:anchorId="10E6CF37" wp14:editId="01A81972">
            <wp:extent cx="3314700" cy="1228725"/>
            <wp:effectExtent l="0" t="0" r="0"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8"/>
                    <a:srcRect t="18690"/>
                    <a:stretch>
                      <a:fillRect/>
                    </a:stretch>
                  </pic:blipFill>
                  <pic:spPr bwMode="auto">
                    <a:xfrm>
                      <a:off x="0" y="0"/>
                      <a:ext cx="3315677" cy="1229087"/>
                    </a:xfrm>
                    <a:prstGeom prst="rect">
                      <a:avLst/>
                    </a:prstGeom>
                    <a:ln>
                      <a:noFill/>
                    </a:ln>
                    <a:extLst>
                      <a:ext uri="{53640926-AAD7-44D8-BBD7-CCE9431645EC}">
                        <a14:shadowObscured xmlns:a14="http://schemas.microsoft.com/office/drawing/2010/main"/>
                      </a:ext>
                    </a:extLst>
                  </pic:spPr>
                </pic:pic>
              </a:graphicData>
            </a:graphic>
          </wp:inline>
        </w:drawing>
      </w:r>
    </w:p>
    <w:p w14:paraId="58D5C0CE" w14:textId="77777777" w:rsidR="008D5865" w:rsidRPr="00CB01D6" w:rsidRDefault="008D5865" w:rsidP="008D5865">
      <w:pPr>
        <w:spacing w:line="360" w:lineRule="auto"/>
        <w:rPr>
          <w:b/>
          <w:bCs/>
          <w:sz w:val="30"/>
          <w:szCs w:val="30"/>
        </w:rPr>
      </w:pPr>
    </w:p>
    <w:p w14:paraId="1B527D66" w14:textId="77777777" w:rsidR="008D5865" w:rsidRPr="00CB01D6" w:rsidRDefault="008D5865" w:rsidP="008D5865">
      <w:pPr>
        <w:spacing w:line="360" w:lineRule="auto"/>
        <w:jc w:val="center"/>
        <w:rPr>
          <w:b/>
          <w:bCs/>
          <w:sz w:val="32"/>
          <w:szCs w:val="32"/>
        </w:rPr>
      </w:pPr>
      <w:r w:rsidRPr="00CB01D6">
        <w:rPr>
          <w:b/>
          <w:bCs/>
          <w:sz w:val="32"/>
          <w:szCs w:val="32"/>
        </w:rPr>
        <w:t>Programme: Master of Business Administration</w:t>
      </w:r>
    </w:p>
    <w:p w14:paraId="46A16E5F" w14:textId="77777777" w:rsidR="008D5865" w:rsidRPr="00CB01D6" w:rsidRDefault="008D5865" w:rsidP="008D5865">
      <w:pPr>
        <w:spacing w:line="360" w:lineRule="auto"/>
        <w:jc w:val="center"/>
        <w:rPr>
          <w:b/>
          <w:bCs/>
          <w:sz w:val="32"/>
          <w:szCs w:val="32"/>
        </w:rPr>
      </w:pPr>
    </w:p>
    <w:p w14:paraId="1B3F5792" w14:textId="67C205FC" w:rsidR="000E4866" w:rsidRDefault="000E4866" w:rsidP="000E4866">
      <w:pPr>
        <w:pStyle w:val="p1"/>
      </w:pPr>
      <w:r>
        <w:rPr>
          <w:b/>
          <w:bCs/>
          <w:sz w:val="32"/>
          <w:szCs w:val="32"/>
        </w:rPr>
        <w:t xml:space="preserve">                        </w:t>
      </w:r>
      <w:r w:rsidR="008D5865" w:rsidRPr="00CB01D6">
        <w:rPr>
          <w:b/>
          <w:bCs/>
          <w:sz w:val="32"/>
          <w:szCs w:val="32"/>
        </w:rPr>
        <w:t xml:space="preserve">Module: </w:t>
      </w:r>
      <w:r w:rsidRPr="000E4866">
        <w:rPr>
          <w:b/>
          <w:bCs/>
          <w:sz w:val="32"/>
          <w:szCs w:val="32"/>
        </w:rPr>
        <w:t>Strategic Management</w:t>
      </w:r>
    </w:p>
    <w:p w14:paraId="3A1414D1" w14:textId="680F4E29" w:rsidR="008D5865" w:rsidRPr="00CB01D6" w:rsidRDefault="008D5865" w:rsidP="008D5865">
      <w:pPr>
        <w:spacing w:line="360" w:lineRule="auto"/>
        <w:jc w:val="center"/>
        <w:rPr>
          <w:b/>
          <w:bCs/>
          <w:sz w:val="32"/>
          <w:szCs w:val="32"/>
        </w:rPr>
      </w:pPr>
    </w:p>
    <w:p w14:paraId="2F6F7BC1" w14:textId="52FF448C" w:rsidR="008D5865" w:rsidRPr="00CB01D6" w:rsidRDefault="008D5865" w:rsidP="008D5865">
      <w:pPr>
        <w:spacing w:line="360" w:lineRule="auto"/>
        <w:jc w:val="center"/>
        <w:rPr>
          <w:b/>
          <w:bCs/>
          <w:sz w:val="32"/>
          <w:szCs w:val="32"/>
        </w:rPr>
      </w:pPr>
      <w:r w:rsidRPr="00CB01D6">
        <w:rPr>
          <w:b/>
          <w:bCs/>
          <w:sz w:val="32"/>
          <w:szCs w:val="32"/>
        </w:rPr>
        <w:t>Module code: LCMB70</w:t>
      </w:r>
      <w:r w:rsidR="000E4866">
        <w:rPr>
          <w:b/>
          <w:bCs/>
          <w:sz w:val="32"/>
          <w:szCs w:val="32"/>
        </w:rPr>
        <w:t>03</w:t>
      </w:r>
    </w:p>
    <w:p w14:paraId="62EB6F2E" w14:textId="77777777" w:rsidR="008D5865" w:rsidRPr="00CB01D6" w:rsidRDefault="008D5865" w:rsidP="008D5865">
      <w:pPr>
        <w:spacing w:line="360" w:lineRule="auto"/>
        <w:jc w:val="center"/>
        <w:rPr>
          <w:b/>
          <w:bCs/>
          <w:sz w:val="32"/>
          <w:szCs w:val="32"/>
        </w:rPr>
      </w:pPr>
    </w:p>
    <w:p w14:paraId="7D153044" w14:textId="59759695" w:rsidR="008D5865" w:rsidRPr="00CB01D6" w:rsidRDefault="008D5865" w:rsidP="008D5865">
      <w:pPr>
        <w:spacing w:line="360" w:lineRule="auto"/>
        <w:jc w:val="center"/>
        <w:rPr>
          <w:b/>
          <w:bCs/>
          <w:sz w:val="32"/>
          <w:szCs w:val="32"/>
        </w:rPr>
      </w:pPr>
      <w:r w:rsidRPr="00CB01D6">
        <w:rPr>
          <w:b/>
          <w:bCs/>
          <w:sz w:val="32"/>
          <w:szCs w:val="32"/>
        </w:rPr>
        <w:t xml:space="preserve">Assignment Title: Assessment </w:t>
      </w:r>
      <w:r w:rsidR="000E4866">
        <w:rPr>
          <w:b/>
          <w:bCs/>
          <w:sz w:val="32"/>
          <w:szCs w:val="32"/>
        </w:rPr>
        <w:t>C</w:t>
      </w:r>
      <w:r w:rsidRPr="00CB01D6">
        <w:rPr>
          <w:b/>
          <w:bCs/>
          <w:sz w:val="32"/>
          <w:szCs w:val="32"/>
        </w:rPr>
        <w:t>omponent 1</w:t>
      </w:r>
    </w:p>
    <w:p w14:paraId="30E9AADF" w14:textId="77777777" w:rsidR="008D5865" w:rsidRPr="00CB01D6" w:rsidRDefault="008D5865" w:rsidP="008D5865">
      <w:pPr>
        <w:spacing w:line="360" w:lineRule="auto"/>
        <w:jc w:val="center"/>
        <w:rPr>
          <w:b/>
          <w:bCs/>
          <w:sz w:val="32"/>
          <w:szCs w:val="32"/>
        </w:rPr>
      </w:pPr>
      <w:r w:rsidRPr="00CB01D6">
        <w:rPr>
          <w:b/>
          <w:bCs/>
          <w:sz w:val="32"/>
          <w:szCs w:val="32"/>
        </w:rPr>
        <w:t>Individual report</w:t>
      </w:r>
    </w:p>
    <w:p w14:paraId="0F4D04C2" w14:textId="77777777" w:rsidR="008D5865" w:rsidRPr="00CB01D6" w:rsidRDefault="008D5865" w:rsidP="008D5865">
      <w:pPr>
        <w:spacing w:line="360" w:lineRule="auto"/>
        <w:jc w:val="center"/>
        <w:rPr>
          <w:b/>
          <w:bCs/>
          <w:sz w:val="32"/>
          <w:szCs w:val="32"/>
        </w:rPr>
      </w:pPr>
    </w:p>
    <w:p w14:paraId="18BC2E7E" w14:textId="0FB6462B" w:rsidR="008D5865" w:rsidRPr="000E4866" w:rsidRDefault="008D5865" w:rsidP="008D5865">
      <w:pPr>
        <w:spacing w:line="360" w:lineRule="auto"/>
        <w:jc w:val="center"/>
        <w:rPr>
          <w:b/>
          <w:bCs/>
          <w:i/>
          <w:iCs/>
          <w:sz w:val="32"/>
          <w:szCs w:val="32"/>
        </w:rPr>
      </w:pPr>
      <w:r w:rsidRPr="00247BDE">
        <w:rPr>
          <w:b/>
          <w:bCs/>
          <w:i/>
          <w:iCs/>
          <w:sz w:val="28"/>
          <w:szCs w:val="28"/>
        </w:rPr>
        <w:t>Topic</w:t>
      </w:r>
      <w:r w:rsidR="000E4866">
        <w:rPr>
          <w:b/>
          <w:bCs/>
          <w:i/>
          <w:iCs/>
          <w:sz w:val="28"/>
          <w:szCs w:val="28"/>
        </w:rPr>
        <w:t xml:space="preserve">: </w:t>
      </w:r>
      <w:r w:rsidR="000E4866" w:rsidRPr="000E4866">
        <w:rPr>
          <w:b/>
          <w:bCs/>
          <w:sz w:val="32"/>
          <w:szCs w:val="32"/>
        </w:rPr>
        <w:t>Tesco’s Strategic Position: Delivering Personalised Sustainable Value in the UK Grocery Market</w:t>
      </w:r>
    </w:p>
    <w:p w14:paraId="06504B1A" w14:textId="6B4C65D9" w:rsidR="008D5865" w:rsidRPr="00CB01D6" w:rsidRDefault="008D5865" w:rsidP="008D5865">
      <w:pPr>
        <w:spacing w:line="360" w:lineRule="auto"/>
        <w:jc w:val="center"/>
        <w:rPr>
          <w:b/>
          <w:bCs/>
          <w:sz w:val="30"/>
          <w:szCs w:val="30"/>
        </w:rPr>
      </w:pPr>
      <w:r w:rsidRPr="00CC7BEF">
        <w:rPr>
          <w:rFonts w:asciiTheme="minorBidi" w:hAnsiTheme="minorBidi"/>
          <w:b/>
          <w:bCs/>
          <w:sz w:val="32"/>
          <w:szCs w:val="32"/>
        </w:rPr>
        <w:t>Lecturer’s Name</w:t>
      </w:r>
      <w:r w:rsidRPr="00CC7BEF">
        <w:rPr>
          <w:b/>
          <w:bCs/>
          <w:sz w:val="32"/>
          <w:szCs w:val="32"/>
        </w:rPr>
        <w:t>:</w:t>
      </w:r>
      <w:r w:rsidRPr="00CC7BEF">
        <w:rPr>
          <w:sz w:val="32"/>
          <w:szCs w:val="32"/>
        </w:rPr>
        <w:t xml:space="preserve"> </w:t>
      </w:r>
      <w:r w:rsidR="00CC7BEF" w:rsidRPr="00CC7BEF">
        <w:rPr>
          <w:b/>
          <w:bCs/>
          <w:sz w:val="32"/>
          <w:szCs w:val="32"/>
        </w:rPr>
        <w:t>Gladius Kulothungan</w:t>
      </w:r>
      <w:r>
        <w:rPr>
          <w:b/>
          <w:bCs/>
          <w:sz w:val="30"/>
          <w:szCs w:val="30"/>
        </w:rPr>
        <w:br/>
      </w:r>
      <w:r w:rsidRPr="00CB01D6">
        <w:rPr>
          <w:b/>
          <w:bCs/>
          <w:sz w:val="30"/>
          <w:szCs w:val="30"/>
        </w:rPr>
        <w:t>Name:</w:t>
      </w:r>
      <w:r>
        <w:rPr>
          <w:b/>
          <w:bCs/>
          <w:sz w:val="30"/>
          <w:szCs w:val="30"/>
        </w:rPr>
        <w:t xml:space="preserve"> Tirth G Patel</w:t>
      </w:r>
    </w:p>
    <w:p w14:paraId="515DE82E" w14:textId="77777777" w:rsidR="008D5865" w:rsidRPr="00CB01D6" w:rsidRDefault="008D5865" w:rsidP="008D5865">
      <w:pPr>
        <w:spacing w:line="360" w:lineRule="auto"/>
        <w:jc w:val="center"/>
        <w:rPr>
          <w:b/>
          <w:bCs/>
          <w:sz w:val="30"/>
          <w:szCs w:val="30"/>
        </w:rPr>
      </w:pPr>
      <w:r w:rsidRPr="00CB01D6">
        <w:rPr>
          <w:b/>
          <w:bCs/>
          <w:sz w:val="30"/>
          <w:szCs w:val="30"/>
        </w:rPr>
        <w:t>Student ID:</w:t>
      </w:r>
      <w:r>
        <w:rPr>
          <w:b/>
          <w:bCs/>
          <w:sz w:val="30"/>
          <w:szCs w:val="30"/>
        </w:rPr>
        <w:t xml:space="preserve"> 2522415</w:t>
      </w:r>
    </w:p>
    <w:p w14:paraId="1AA10E58" w14:textId="77777777" w:rsidR="008D5865" w:rsidRDefault="008D5865" w:rsidP="008D5865"/>
    <w:p w14:paraId="030ABA94" w14:textId="2FB01372" w:rsidR="00665DFB" w:rsidRPr="00ED27A5" w:rsidRDefault="00665DFB" w:rsidP="00ED27A5">
      <w:pPr>
        <w:tabs>
          <w:tab w:val="left" w:pos="2263"/>
        </w:tabs>
        <w:spacing w:line="360" w:lineRule="auto"/>
        <w:rPr>
          <w:rFonts w:ascii="Arial" w:eastAsia="Times New Roman" w:hAnsi="Arial" w:cs="Arial"/>
          <w:b/>
          <w:bCs/>
          <w:kern w:val="0"/>
          <w:lang w:eastAsia="en-GB"/>
          <w14:ligatures w14:val="none"/>
        </w:rPr>
      </w:pPr>
    </w:p>
    <w:p w14:paraId="083CEC00" w14:textId="2BE1939F" w:rsidR="004B1D63" w:rsidRPr="00ED27A5" w:rsidRDefault="00392DD3" w:rsidP="00ED27A5">
      <w:pPr>
        <w:spacing w:line="360" w:lineRule="auto"/>
        <w:rPr>
          <w:rFonts w:ascii="Arial" w:eastAsia="Times New Roman" w:hAnsi="Arial" w:cs="Arial"/>
          <w:b/>
          <w:bCs/>
          <w:kern w:val="0"/>
          <w:lang w:eastAsia="en-GB"/>
          <w14:ligatures w14:val="none"/>
        </w:rPr>
      </w:pPr>
      <w:r w:rsidRPr="00ED27A5">
        <w:rPr>
          <w:rFonts w:ascii="Arial" w:eastAsia="Times New Roman" w:hAnsi="Arial" w:cs="Arial"/>
          <w:lang w:eastAsia="en-GB"/>
        </w:rPr>
        <w:br w:type="page"/>
      </w:r>
      <w:r w:rsidR="00665DFB" w:rsidRPr="00ED27A5">
        <w:rPr>
          <w:rFonts w:ascii="Arial" w:eastAsia="Times New Roman" w:hAnsi="Arial" w:cs="Arial"/>
          <w:b/>
          <w:bCs/>
          <w:kern w:val="0"/>
          <w:lang w:eastAsia="en-GB"/>
          <w14:ligatures w14:val="none"/>
        </w:rPr>
        <w:lastRenderedPageBreak/>
        <w:t xml:space="preserve"> </w:t>
      </w:r>
      <w:r w:rsidR="00A900C6">
        <w:rPr>
          <w:rFonts w:ascii="Arial" w:eastAsia="Times New Roman" w:hAnsi="Arial" w:cs="Arial"/>
          <w:b/>
          <w:bCs/>
          <w:kern w:val="0"/>
          <w:lang w:eastAsia="en-GB"/>
          <w14:ligatures w14:val="none"/>
        </w:rPr>
        <w:br/>
      </w:r>
    </w:p>
    <w:p w14:paraId="75DB9689" w14:textId="229D5119" w:rsidR="00A900C6" w:rsidRPr="00ED27A5" w:rsidRDefault="00A900C6" w:rsidP="00ED27A5">
      <w:pPr>
        <w:spacing w:line="360" w:lineRule="auto"/>
        <w:rPr>
          <w:rFonts w:ascii="Arial" w:eastAsia="Times New Roman" w:hAnsi="Arial" w:cs="Arial"/>
          <w:b/>
          <w:bCs/>
          <w:kern w:val="0"/>
          <w:lang w:eastAsia="en-GB"/>
          <w14:ligatures w14:val="none"/>
        </w:rPr>
      </w:pPr>
    </w:p>
    <w:sdt>
      <w:sdtPr>
        <w:id w:val="149429574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052B955" w14:textId="473738BE" w:rsidR="00E3265C" w:rsidRDefault="00E3265C">
          <w:pPr>
            <w:pStyle w:val="TOCHeading"/>
          </w:pPr>
          <w:r>
            <w:t>Table of Contents</w:t>
          </w:r>
        </w:p>
        <w:p w14:paraId="2E0C59E8" w14:textId="5D9A97D5" w:rsidR="00E3265C" w:rsidRDefault="00E3265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7395722" w:history="1">
            <w:r w:rsidRPr="0042276B">
              <w:rPr>
                <w:rStyle w:val="Hyperlink"/>
                <w:rFonts w:eastAsia="Times New Roman"/>
                <w:noProof/>
                <w:lang w:eastAsia="en-GB"/>
              </w:rPr>
              <w:t>Organisational Context and Industry Overview</w:t>
            </w:r>
            <w:r>
              <w:rPr>
                <w:noProof/>
                <w:webHidden/>
              </w:rPr>
              <w:tab/>
            </w:r>
            <w:r>
              <w:rPr>
                <w:noProof/>
                <w:webHidden/>
              </w:rPr>
              <w:fldChar w:fldCharType="begin"/>
            </w:r>
            <w:r>
              <w:rPr>
                <w:noProof/>
                <w:webHidden/>
              </w:rPr>
              <w:instrText xml:space="preserve"> PAGEREF _Toc237395722 \h </w:instrText>
            </w:r>
            <w:r>
              <w:rPr>
                <w:noProof/>
                <w:webHidden/>
              </w:rPr>
            </w:r>
            <w:r>
              <w:rPr>
                <w:noProof/>
                <w:webHidden/>
              </w:rPr>
              <w:fldChar w:fldCharType="separate"/>
            </w:r>
            <w:r>
              <w:rPr>
                <w:noProof/>
                <w:webHidden/>
              </w:rPr>
              <w:t>3</w:t>
            </w:r>
            <w:r>
              <w:rPr>
                <w:noProof/>
                <w:webHidden/>
              </w:rPr>
              <w:fldChar w:fldCharType="end"/>
            </w:r>
          </w:hyperlink>
        </w:p>
        <w:p w14:paraId="2AE1EC27" w14:textId="6A7A9E9B" w:rsidR="00E3265C" w:rsidRDefault="00E3265C">
          <w:pPr>
            <w:pStyle w:val="TOC2"/>
            <w:tabs>
              <w:tab w:val="right" w:leader="dot" w:pos="9016"/>
            </w:tabs>
            <w:rPr>
              <w:rFonts w:eastAsiaTheme="minorEastAsia"/>
              <w:b w:val="0"/>
              <w:bCs w:val="0"/>
              <w:noProof/>
              <w:sz w:val="24"/>
              <w:szCs w:val="24"/>
              <w:lang w:eastAsia="en-GB"/>
            </w:rPr>
          </w:pPr>
          <w:hyperlink w:anchor="_Toc237395723" w:history="1">
            <w:r w:rsidRPr="0042276B">
              <w:rPr>
                <w:rStyle w:val="Hyperlink"/>
                <w:noProof/>
              </w:rPr>
              <w:t>Tesco: History, Purpose and Business Model</w:t>
            </w:r>
            <w:r>
              <w:rPr>
                <w:noProof/>
                <w:webHidden/>
              </w:rPr>
              <w:tab/>
            </w:r>
            <w:r>
              <w:rPr>
                <w:noProof/>
                <w:webHidden/>
              </w:rPr>
              <w:fldChar w:fldCharType="begin"/>
            </w:r>
            <w:r>
              <w:rPr>
                <w:noProof/>
                <w:webHidden/>
              </w:rPr>
              <w:instrText xml:space="preserve"> PAGEREF _Toc237395723 \h </w:instrText>
            </w:r>
            <w:r>
              <w:rPr>
                <w:noProof/>
                <w:webHidden/>
              </w:rPr>
            </w:r>
            <w:r>
              <w:rPr>
                <w:noProof/>
                <w:webHidden/>
              </w:rPr>
              <w:fldChar w:fldCharType="separate"/>
            </w:r>
            <w:r>
              <w:rPr>
                <w:noProof/>
                <w:webHidden/>
              </w:rPr>
              <w:t>3</w:t>
            </w:r>
            <w:r>
              <w:rPr>
                <w:noProof/>
                <w:webHidden/>
              </w:rPr>
              <w:fldChar w:fldCharType="end"/>
            </w:r>
          </w:hyperlink>
        </w:p>
        <w:p w14:paraId="382D69F6" w14:textId="5833D165" w:rsidR="00E3265C" w:rsidRDefault="00E3265C">
          <w:pPr>
            <w:pStyle w:val="TOC2"/>
            <w:tabs>
              <w:tab w:val="right" w:leader="dot" w:pos="9016"/>
            </w:tabs>
            <w:rPr>
              <w:rFonts w:eastAsiaTheme="minorEastAsia"/>
              <w:b w:val="0"/>
              <w:bCs w:val="0"/>
              <w:noProof/>
              <w:sz w:val="24"/>
              <w:szCs w:val="24"/>
              <w:lang w:eastAsia="en-GB"/>
            </w:rPr>
          </w:pPr>
          <w:hyperlink w:anchor="_Toc237395724" w:history="1">
            <w:r w:rsidRPr="0042276B">
              <w:rPr>
                <w:rStyle w:val="Hyperlink"/>
                <w:rFonts w:eastAsia="Times New Roman"/>
                <w:noProof/>
                <w:lang w:eastAsia="en-GB"/>
              </w:rPr>
              <w:t>Industry, Competitors and Market Position</w:t>
            </w:r>
            <w:r>
              <w:rPr>
                <w:noProof/>
                <w:webHidden/>
              </w:rPr>
              <w:tab/>
            </w:r>
            <w:r>
              <w:rPr>
                <w:noProof/>
                <w:webHidden/>
              </w:rPr>
              <w:fldChar w:fldCharType="begin"/>
            </w:r>
            <w:r>
              <w:rPr>
                <w:noProof/>
                <w:webHidden/>
              </w:rPr>
              <w:instrText xml:space="preserve"> PAGEREF _Toc237395724 \h </w:instrText>
            </w:r>
            <w:r>
              <w:rPr>
                <w:noProof/>
                <w:webHidden/>
              </w:rPr>
            </w:r>
            <w:r>
              <w:rPr>
                <w:noProof/>
                <w:webHidden/>
              </w:rPr>
              <w:fldChar w:fldCharType="separate"/>
            </w:r>
            <w:r>
              <w:rPr>
                <w:noProof/>
                <w:webHidden/>
              </w:rPr>
              <w:t>3</w:t>
            </w:r>
            <w:r>
              <w:rPr>
                <w:noProof/>
                <w:webHidden/>
              </w:rPr>
              <w:fldChar w:fldCharType="end"/>
            </w:r>
          </w:hyperlink>
        </w:p>
        <w:p w14:paraId="4146DB62" w14:textId="0CCC96CA" w:rsidR="00E3265C" w:rsidRDefault="00E3265C">
          <w:pPr>
            <w:pStyle w:val="TOC3"/>
            <w:tabs>
              <w:tab w:val="right" w:leader="dot" w:pos="9016"/>
            </w:tabs>
            <w:rPr>
              <w:rFonts w:eastAsiaTheme="minorEastAsia"/>
              <w:noProof/>
              <w:sz w:val="24"/>
              <w:szCs w:val="24"/>
              <w:lang w:eastAsia="en-GB"/>
            </w:rPr>
          </w:pPr>
          <w:hyperlink w:anchor="_Toc237395725" w:history="1">
            <w:r w:rsidRPr="0042276B">
              <w:rPr>
                <w:rStyle w:val="Hyperlink"/>
                <w:noProof/>
              </w:rPr>
              <w:t>Economic Factors</w:t>
            </w:r>
            <w:r>
              <w:rPr>
                <w:noProof/>
                <w:webHidden/>
              </w:rPr>
              <w:tab/>
            </w:r>
            <w:r>
              <w:rPr>
                <w:noProof/>
                <w:webHidden/>
              </w:rPr>
              <w:fldChar w:fldCharType="begin"/>
            </w:r>
            <w:r>
              <w:rPr>
                <w:noProof/>
                <w:webHidden/>
              </w:rPr>
              <w:instrText xml:space="preserve"> PAGEREF _Toc237395725 \h </w:instrText>
            </w:r>
            <w:r>
              <w:rPr>
                <w:noProof/>
                <w:webHidden/>
              </w:rPr>
            </w:r>
            <w:r>
              <w:rPr>
                <w:noProof/>
                <w:webHidden/>
              </w:rPr>
              <w:fldChar w:fldCharType="separate"/>
            </w:r>
            <w:r>
              <w:rPr>
                <w:noProof/>
                <w:webHidden/>
              </w:rPr>
              <w:t>5</w:t>
            </w:r>
            <w:r>
              <w:rPr>
                <w:noProof/>
                <w:webHidden/>
              </w:rPr>
              <w:fldChar w:fldCharType="end"/>
            </w:r>
          </w:hyperlink>
        </w:p>
        <w:p w14:paraId="565B1059" w14:textId="5B7B2D48" w:rsidR="00E3265C" w:rsidRDefault="00E3265C">
          <w:pPr>
            <w:pStyle w:val="TOC3"/>
            <w:tabs>
              <w:tab w:val="right" w:leader="dot" w:pos="9016"/>
            </w:tabs>
            <w:rPr>
              <w:rFonts w:eastAsiaTheme="minorEastAsia"/>
              <w:noProof/>
              <w:sz w:val="24"/>
              <w:szCs w:val="24"/>
              <w:lang w:eastAsia="en-GB"/>
            </w:rPr>
          </w:pPr>
          <w:hyperlink w:anchor="_Toc237395726" w:history="1">
            <w:r w:rsidRPr="0042276B">
              <w:rPr>
                <w:rStyle w:val="Hyperlink"/>
                <w:noProof/>
              </w:rPr>
              <w:t>Social Factors</w:t>
            </w:r>
            <w:r>
              <w:rPr>
                <w:noProof/>
                <w:webHidden/>
              </w:rPr>
              <w:tab/>
            </w:r>
            <w:r>
              <w:rPr>
                <w:noProof/>
                <w:webHidden/>
              </w:rPr>
              <w:fldChar w:fldCharType="begin"/>
            </w:r>
            <w:r>
              <w:rPr>
                <w:noProof/>
                <w:webHidden/>
              </w:rPr>
              <w:instrText xml:space="preserve"> PAGEREF _Toc237395726 \h </w:instrText>
            </w:r>
            <w:r>
              <w:rPr>
                <w:noProof/>
                <w:webHidden/>
              </w:rPr>
            </w:r>
            <w:r>
              <w:rPr>
                <w:noProof/>
                <w:webHidden/>
              </w:rPr>
              <w:fldChar w:fldCharType="separate"/>
            </w:r>
            <w:r>
              <w:rPr>
                <w:noProof/>
                <w:webHidden/>
              </w:rPr>
              <w:t>5</w:t>
            </w:r>
            <w:r>
              <w:rPr>
                <w:noProof/>
                <w:webHidden/>
              </w:rPr>
              <w:fldChar w:fldCharType="end"/>
            </w:r>
          </w:hyperlink>
        </w:p>
        <w:p w14:paraId="7E8F06B0" w14:textId="5006A4FA" w:rsidR="00E3265C" w:rsidRDefault="00E3265C">
          <w:pPr>
            <w:pStyle w:val="TOC3"/>
            <w:tabs>
              <w:tab w:val="right" w:leader="dot" w:pos="9016"/>
            </w:tabs>
            <w:rPr>
              <w:rFonts w:eastAsiaTheme="minorEastAsia"/>
              <w:noProof/>
              <w:sz w:val="24"/>
              <w:szCs w:val="24"/>
              <w:lang w:eastAsia="en-GB"/>
            </w:rPr>
          </w:pPr>
          <w:hyperlink w:anchor="_Toc237395727" w:history="1">
            <w:r w:rsidRPr="0042276B">
              <w:rPr>
                <w:rStyle w:val="Hyperlink"/>
                <w:noProof/>
              </w:rPr>
              <w:t>Technological Factors</w:t>
            </w:r>
            <w:r>
              <w:rPr>
                <w:noProof/>
                <w:webHidden/>
              </w:rPr>
              <w:tab/>
            </w:r>
            <w:r>
              <w:rPr>
                <w:noProof/>
                <w:webHidden/>
              </w:rPr>
              <w:fldChar w:fldCharType="begin"/>
            </w:r>
            <w:r>
              <w:rPr>
                <w:noProof/>
                <w:webHidden/>
              </w:rPr>
              <w:instrText xml:space="preserve"> PAGEREF _Toc237395727 \h </w:instrText>
            </w:r>
            <w:r>
              <w:rPr>
                <w:noProof/>
                <w:webHidden/>
              </w:rPr>
            </w:r>
            <w:r>
              <w:rPr>
                <w:noProof/>
                <w:webHidden/>
              </w:rPr>
              <w:fldChar w:fldCharType="separate"/>
            </w:r>
            <w:r>
              <w:rPr>
                <w:noProof/>
                <w:webHidden/>
              </w:rPr>
              <w:t>6</w:t>
            </w:r>
            <w:r>
              <w:rPr>
                <w:noProof/>
                <w:webHidden/>
              </w:rPr>
              <w:fldChar w:fldCharType="end"/>
            </w:r>
          </w:hyperlink>
        </w:p>
        <w:p w14:paraId="50007E67" w14:textId="0AB50ECC" w:rsidR="00E3265C" w:rsidRDefault="00E3265C">
          <w:pPr>
            <w:pStyle w:val="TOC3"/>
            <w:tabs>
              <w:tab w:val="right" w:leader="dot" w:pos="9016"/>
            </w:tabs>
            <w:rPr>
              <w:rFonts w:eastAsiaTheme="minorEastAsia"/>
              <w:noProof/>
              <w:sz w:val="24"/>
              <w:szCs w:val="24"/>
              <w:lang w:eastAsia="en-GB"/>
            </w:rPr>
          </w:pPr>
          <w:hyperlink w:anchor="_Toc237395728" w:history="1">
            <w:r w:rsidRPr="0042276B">
              <w:rPr>
                <w:rStyle w:val="Hyperlink"/>
                <w:noProof/>
              </w:rPr>
              <w:t>Environmental Factors</w:t>
            </w:r>
            <w:r>
              <w:rPr>
                <w:noProof/>
                <w:webHidden/>
              </w:rPr>
              <w:tab/>
            </w:r>
            <w:r>
              <w:rPr>
                <w:noProof/>
                <w:webHidden/>
              </w:rPr>
              <w:fldChar w:fldCharType="begin"/>
            </w:r>
            <w:r>
              <w:rPr>
                <w:noProof/>
                <w:webHidden/>
              </w:rPr>
              <w:instrText xml:space="preserve"> PAGEREF _Toc237395728 \h </w:instrText>
            </w:r>
            <w:r>
              <w:rPr>
                <w:noProof/>
                <w:webHidden/>
              </w:rPr>
            </w:r>
            <w:r>
              <w:rPr>
                <w:noProof/>
                <w:webHidden/>
              </w:rPr>
              <w:fldChar w:fldCharType="separate"/>
            </w:r>
            <w:r>
              <w:rPr>
                <w:noProof/>
                <w:webHidden/>
              </w:rPr>
              <w:t>6</w:t>
            </w:r>
            <w:r>
              <w:rPr>
                <w:noProof/>
                <w:webHidden/>
              </w:rPr>
              <w:fldChar w:fldCharType="end"/>
            </w:r>
          </w:hyperlink>
        </w:p>
        <w:p w14:paraId="3DFE27FC" w14:textId="6BCB18D5" w:rsidR="00E3265C" w:rsidRDefault="00E3265C">
          <w:pPr>
            <w:pStyle w:val="TOC3"/>
            <w:tabs>
              <w:tab w:val="right" w:leader="dot" w:pos="9016"/>
            </w:tabs>
            <w:rPr>
              <w:rFonts w:eastAsiaTheme="minorEastAsia"/>
              <w:noProof/>
              <w:sz w:val="24"/>
              <w:szCs w:val="24"/>
              <w:lang w:eastAsia="en-GB"/>
            </w:rPr>
          </w:pPr>
          <w:hyperlink w:anchor="_Toc237395729" w:history="1">
            <w:r w:rsidRPr="0042276B">
              <w:rPr>
                <w:rStyle w:val="Hyperlink"/>
                <w:noProof/>
              </w:rPr>
              <w:t>Legal Factors</w:t>
            </w:r>
            <w:r>
              <w:rPr>
                <w:noProof/>
                <w:webHidden/>
              </w:rPr>
              <w:tab/>
            </w:r>
            <w:r>
              <w:rPr>
                <w:noProof/>
                <w:webHidden/>
              </w:rPr>
              <w:fldChar w:fldCharType="begin"/>
            </w:r>
            <w:r>
              <w:rPr>
                <w:noProof/>
                <w:webHidden/>
              </w:rPr>
              <w:instrText xml:space="preserve"> PAGEREF _Toc237395729 \h </w:instrText>
            </w:r>
            <w:r>
              <w:rPr>
                <w:noProof/>
                <w:webHidden/>
              </w:rPr>
            </w:r>
            <w:r>
              <w:rPr>
                <w:noProof/>
                <w:webHidden/>
              </w:rPr>
              <w:fldChar w:fldCharType="separate"/>
            </w:r>
            <w:r>
              <w:rPr>
                <w:noProof/>
                <w:webHidden/>
              </w:rPr>
              <w:t>7</w:t>
            </w:r>
            <w:r>
              <w:rPr>
                <w:noProof/>
                <w:webHidden/>
              </w:rPr>
              <w:fldChar w:fldCharType="end"/>
            </w:r>
          </w:hyperlink>
        </w:p>
        <w:p w14:paraId="5A50BDF8" w14:textId="20D4D942" w:rsidR="00E3265C" w:rsidRDefault="00E3265C">
          <w:pPr>
            <w:pStyle w:val="TOC3"/>
            <w:tabs>
              <w:tab w:val="right" w:leader="dot" w:pos="9016"/>
            </w:tabs>
            <w:rPr>
              <w:rFonts w:eastAsiaTheme="minorEastAsia"/>
              <w:noProof/>
              <w:sz w:val="24"/>
              <w:szCs w:val="24"/>
              <w:lang w:eastAsia="en-GB"/>
            </w:rPr>
          </w:pPr>
          <w:hyperlink w:anchor="_Toc237395730" w:history="1">
            <w:r w:rsidRPr="0042276B">
              <w:rPr>
                <w:rStyle w:val="Hyperlink"/>
                <w:noProof/>
              </w:rPr>
              <w:t>PESTEL Evaluation</w:t>
            </w:r>
            <w:r>
              <w:rPr>
                <w:noProof/>
                <w:webHidden/>
              </w:rPr>
              <w:tab/>
            </w:r>
            <w:r>
              <w:rPr>
                <w:noProof/>
                <w:webHidden/>
              </w:rPr>
              <w:fldChar w:fldCharType="begin"/>
            </w:r>
            <w:r>
              <w:rPr>
                <w:noProof/>
                <w:webHidden/>
              </w:rPr>
              <w:instrText xml:space="preserve"> PAGEREF _Toc237395730 \h </w:instrText>
            </w:r>
            <w:r>
              <w:rPr>
                <w:noProof/>
                <w:webHidden/>
              </w:rPr>
            </w:r>
            <w:r>
              <w:rPr>
                <w:noProof/>
                <w:webHidden/>
              </w:rPr>
              <w:fldChar w:fldCharType="separate"/>
            </w:r>
            <w:r>
              <w:rPr>
                <w:noProof/>
                <w:webHidden/>
              </w:rPr>
              <w:t>7</w:t>
            </w:r>
            <w:r>
              <w:rPr>
                <w:noProof/>
                <w:webHidden/>
              </w:rPr>
              <w:fldChar w:fldCharType="end"/>
            </w:r>
          </w:hyperlink>
        </w:p>
        <w:p w14:paraId="6694C19C" w14:textId="1FFF0515" w:rsidR="00E3265C" w:rsidRDefault="00E3265C">
          <w:pPr>
            <w:pStyle w:val="TOC3"/>
            <w:tabs>
              <w:tab w:val="right" w:leader="dot" w:pos="9016"/>
            </w:tabs>
            <w:rPr>
              <w:rFonts w:eastAsiaTheme="minorEastAsia"/>
              <w:noProof/>
              <w:sz w:val="24"/>
              <w:szCs w:val="24"/>
              <w:lang w:eastAsia="en-GB"/>
            </w:rPr>
          </w:pPr>
          <w:hyperlink w:anchor="_Toc237395731" w:history="1">
            <w:r w:rsidRPr="0042276B">
              <w:rPr>
                <w:rStyle w:val="Hyperlink"/>
                <w:noProof/>
              </w:rPr>
              <w:t>Clubcard Data and Customer Relationships</w:t>
            </w:r>
            <w:r>
              <w:rPr>
                <w:noProof/>
                <w:webHidden/>
              </w:rPr>
              <w:tab/>
            </w:r>
            <w:r>
              <w:rPr>
                <w:noProof/>
                <w:webHidden/>
              </w:rPr>
              <w:fldChar w:fldCharType="begin"/>
            </w:r>
            <w:r>
              <w:rPr>
                <w:noProof/>
                <w:webHidden/>
              </w:rPr>
              <w:instrText xml:space="preserve"> PAGEREF _Toc237395731 \h </w:instrText>
            </w:r>
            <w:r>
              <w:rPr>
                <w:noProof/>
                <w:webHidden/>
              </w:rPr>
            </w:r>
            <w:r>
              <w:rPr>
                <w:noProof/>
                <w:webHidden/>
              </w:rPr>
              <w:fldChar w:fldCharType="separate"/>
            </w:r>
            <w:r>
              <w:rPr>
                <w:noProof/>
                <w:webHidden/>
              </w:rPr>
              <w:t>10</w:t>
            </w:r>
            <w:r>
              <w:rPr>
                <w:noProof/>
                <w:webHidden/>
              </w:rPr>
              <w:fldChar w:fldCharType="end"/>
            </w:r>
          </w:hyperlink>
        </w:p>
        <w:p w14:paraId="73D47ACD" w14:textId="6B5EFAB1" w:rsidR="00E3265C" w:rsidRDefault="00E3265C">
          <w:pPr>
            <w:pStyle w:val="TOC3"/>
            <w:tabs>
              <w:tab w:val="right" w:leader="dot" w:pos="9016"/>
            </w:tabs>
            <w:rPr>
              <w:rFonts w:eastAsiaTheme="minorEastAsia"/>
              <w:noProof/>
              <w:sz w:val="24"/>
              <w:szCs w:val="24"/>
              <w:lang w:eastAsia="en-GB"/>
            </w:rPr>
          </w:pPr>
          <w:hyperlink w:anchor="_Toc237395732" w:history="1">
            <w:r w:rsidRPr="0042276B">
              <w:rPr>
                <w:rStyle w:val="Hyperlink"/>
                <w:noProof/>
              </w:rPr>
              <w:t>Brand, Own-Label Range and Buying Power</w:t>
            </w:r>
            <w:r>
              <w:rPr>
                <w:noProof/>
                <w:webHidden/>
              </w:rPr>
              <w:tab/>
            </w:r>
            <w:r>
              <w:rPr>
                <w:noProof/>
                <w:webHidden/>
              </w:rPr>
              <w:fldChar w:fldCharType="begin"/>
            </w:r>
            <w:r>
              <w:rPr>
                <w:noProof/>
                <w:webHidden/>
              </w:rPr>
              <w:instrText xml:space="preserve"> PAGEREF _Toc237395732 \h </w:instrText>
            </w:r>
            <w:r>
              <w:rPr>
                <w:noProof/>
                <w:webHidden/>
              </w:rPr>
            </w:r>
            <w:r>
              <w:rPr>
                <w:noProof/>
                <w:webHidden/>
              </w:rPr>
              <w:fldChar w:fldCharType="separate"/>
            </w:r>
            <w:r>
              <w:rPr>
                <w:noProof/>
                <w:webHidden/>
              </w:rPr>
              <w:t>10</w:t>
            </w:r>
            <w:r>
              <w:rPr>
                <w:noProof/>
                <w:webHidden/>
              </w:rPr>
              <w:fldChar w:fldCharType="end"/>
            </w:r>
          </w:hyperlink>
        </w:p>
        <w:p w14:paraId="3977F15A" w14:textId="48983DA1" w:rsidR="00E3265C" w:rsidRDefault="00E3265C">
          <w:pPr>
            <w:pStyle w:val="TOC3"/>
            <w:tabs>
              <w:tab w:val="right" w:leader="dot" w:pos="9016"/>
            </w:tabs>
            <w:rPr>
              <w:rFonts w:eastAsiaTheme="minorEastAsia"/>
              <w:noProof/>
              <w:sz w:val="24"/>
              <w:szCs w:val="24"/>
              <w:lang w:eastAsia="en-GB"/>
            </w:rPr>
          </w:pPr>
          <w:hyperlink w:anchor="_Toc237395733" w:history="1">
            <w:r w:rsidRPr="0042276B">
              <w:rPr>
                <w:rStyle w:val="Hyperlink"/>
                <w:noProof/>
              </w:rPr>
              <w:t>VRIO Evaluation: Key Strengths and Weaknesses</w:t>
            </w:r>
            <w:r>
              <w:rPr>
                <w:noProof/>
                <w:webHidden/>
              </w:rPr>
              <w:tab/>
            </w:r>
            <w:r>
              <w:rPr>
                <w:noProof/>
                <w:webHidden/>
              </w:rPr>
              <w:fldChar w:fldCharType="begin"/>
            </w:r>
            <w:r>
              <w:rPr>
                <w:noProof/>
                <w:webHidden/>
              </w:rPr>
              <w:instrText xml:space="preserve"> PAGEREF _Toc237395733 \h </w:instrText>
            </w:r>
            <w:r>
              <w:rPr>
                <w:noProof/>
                <w:webHidden/>
              </w:rPr>
            </w:r>
            <w:r>
              <w:rPr>
                <w:noProof/>
                <w:webHidden/>
              </w:rPr>
              <w:fldChar w:fldCharType="separate"/>
            </w:r>
            <w:r>
              <w:rPr>
                <w:noProof/>
                <w:webHidden/>
              </w:rPr>
              <w:t>11</w:t>
            </w:r>
            <w:r>
              <w:rPr>
                <w:noProof/>
                <w:webHidden/>
              </w:rPr>
              <w:fldChar w:fldCharType="end"/>
            </w:r>
          </w:hyperlink>
        </w:p>
        <w:p w14:paraId="4972CC4E" w14:textId="5D90EF8A" w:rsidR="00E3265C" w:rsidRDefault="00E3265C">
          <w:pPr>
            <w:pStyle w:val="TOC2"/>
            <w:tabs>
              <w:tab w:val="right" w:leader="dot" w:pos="9016"/>
            </w:tabs>
            <w:rPr>
              <w:rFonts w:eastAsiaTheme="minorEastAsia"/>
              <w:b w:val="0"/>
              <w:bCs w:val="0"/>
              <w:noProof/>
              <w:sz w:val="24"/>
              <w:szCs w:val="24"/>
              <w:lang w:eastAsia="en-GB"/>
            </w:rPr>
          </w:pPr>
          <w:hyperlink w:anchor="_Toc237395734" w:history="1">
            <w:r w:rsidRPr="0042276B">
              <w:rPr>
                <w:rStyle w:val="Hyperlink"/>
                <w:noProof/>
              </w:rPr>
              <w:t>Tesco’s Current CSR Strategy</w:t>
            </w:r>
            <w:r>
              <w:rPr>
                <w:noProof/>
                <w:webHidden/>
              </w:rPr>
              <w:tab/>
            </w:r>
            <w:r>
              <w:rPr>
                <w:noProof/>
                <w:webHidden/>
              </w:rPr>
              <w:fldChar w:fldCharType="begin"/>
            </w:r>
            <w:r>
              <w:rPr>
                <w:noProof/>
                <w:webHidden/>
              </w:rPr>
              <w:instrText xml:space="preserve"> PAGEREF _Toc237395734 \h </w:instrText>
            </w:r>
            <w:r>
              <w:rPr>
                <w:noProof/>
                <w:webHidden/>
              </w:rPr>
            </w:r>
            <w:r>
              <w:rPr>
                <w:noProof/>
                <w:webHidden/>
              </w:rPr>
              <w:fldChar w:fldCharType="separate"/>
            </w:r>
            <w:r>
              <w:rPr>
                <w:noProof/>
                <w:webHidden/>
              </w:rPr>
              <w:t>15</w:t>
            </w:r>
            <w:r>
              <w:rPr>
                <w:noProof/>
                <w:webHidden/>
              </w:rPr>
              <w:fldChar w:fldCharType="end"/>
            </w:r>
          </w:hyperlink>
        </w:p>
        <w:p w14:paraId="5414B888" w14:textId="389A74C7" w:rsidR="00E3265C" w:rsidRDefault="00E3265C">
          <w:pPr>
            <w:pStyle w:val="TOC3"/>
            <w:tabs>
              <w:tab w:val="right" w:leader="dot" w:pos="9016"/>
            </w:tabs>
            <w:rPr>
              <w:rFonts w:eastAsiaTheme="minorEastAsia"/>
              <w:noProof/>
              <w:sz w:val="24"/>
              <w:szCs w:val="24"/>
              <w:lang w:eastAsia="en-GB"/>
            </w:rPr>
          </w:pPr>
          <w:hyperlink w:anchor="_Toc237395735" w:history="1">
            <w:r w:rsidRPr="0042276B">
              <w:rPr>
                <w:rStyle w:val="Hyperlink"/>
                <w:noProof/>
              </w:rPr>
              <w:t>3.5 Financial Perspective</w:t>
            </w:r>
            <w:r>
              <w:rPr>
                <w:noProof/>
                <w:webHidden/>
              </w:rPr>
              <w:tab/>
            </w:r>
            <w:r>
              <w:rPr>
                <w:noProof/>
                <w:webHidden/>
              </w:rPr>
              <w:fldChar w:fldCharType="begin"/>
            </w:r>
            <w:r>
              <w:rPr>
                <w:noProof/>
                <w:webHidden/>
              </w:rPr>
              <w:instrText xml:space="preserve"> PAGEREF _Toc237395735 \h </w:instrText>
            </w:r>
            <w:r>
              <w:rPr>
                <w:noProof/>
                <w:webHidden/>
              </w:rPr>
            </w:r>
            <w:r>
              <w:rPr>
                <w:noProof/>
                <w:webHidden/>
              </w:rPr>
              <w:fldChar w:fldCharType="separate"/>
            </w:r>
            <w:r>
              <w:rPr>
                <w:noProof/>
                <w:webHidden/>
              </w:rPr>
              <w:t>16</w:t>
            </w:r>
            <w:r>
              <w:rPr>
                <w:noProof/>
                <w:webHidden/>
              </w:rPr>
              <w:fldChar w:fldCharType="end"/>
            </w:r>
          </w:hyperlink>
        </w:p>
        <w:p w14:paraId="39F81E56" w14:textId="5148F973" w:rsidR="00E3265C" w:rsidRDefault="00E3265C">
          <w:pPr>
            <w:pStyle w:val="TOC3"/>
            <w:tabs>
              <w:tab w:val="right" w:leader="dot" w:pos="9016"/>
            </w:tabs>
            <w:rPr>
              <w:rFonts w:eastAsiaTheme="minorEastAsia"/>
              <w:noProof/>
              <w:sz w:val="24"/>
              <w:szCs w:val="24"/>
              <w:lang w:eastAsia="en-GB"/>
            </w:rPr>
          </w:pPr>
          <w:hyperlink w:anchor="_Toc237395736" w:history="1">
            <w:r w:rsidRPr="0042276B">
              <w:rPr>
                <w:rStyle w:val="Hyperlink"/>
                <w:noProof/>
              </w:rPr>
              <w:t>Customer Perspective</w:t>
            </w:r>
            <w:r>
              <w:rPr>
                <w:noProof/>
                <w:webHidden/>
              </w:rPr>
              <w:tab/>
            </w:r>
            <w:r>
              <w:rPr>
                <w:noProof/>
                <w:webHidden/>
              </w:rPr>
              <w:fldChar w:fldCharType="begin"/>
            </w:r>
            <w:r>
              <w:rPr>
                <w:noProof/>
                <w:webHidden/>
              </w:rPr>
              <w:instrText xml:space="preserve"> PAGEREF _Toc237395736 \h </w:instrText>
            </w:r>
            <w:r>
              <w:rPr>
                <w:noProof/>
                <w:webHidden/>
              </w:rPr>
            </w:r>
            <w:r>
              <w:rPr>
                <w:noProof/>
                <w:webHidden/>
              </w:rPr>
              <w:fldChar w:fldCharType="separate"/>
            </w:r>
            <w:r>
              <w:rPr>
                <w:noProof/>
                <w:webHidden/>
              </w:rPr>
              <w:t>17</w:t>
            </w:r>
            <w:r>
              <w:rPr>
                <w:noProof/>
                <w:webHidden/>
              </w:rPr>
              <w:fldChar w:fldCharType="end"/>
            </w:r>
          </w:hyperlink>
        </w:p>
        <w:p w14:paraId="7EB0966A" w14:textId="65D7BAFD" w:rsidR="00E3265C" w:rsidRDefault="00E3265C">
          <w:pPr>
            <w:pStyle w:val="TOC3"/>
            <w:tabs>
              <w:tab w:val="right" w:leader="dot" w:pos="9016"/>
            </w:tabs>
            <w:rPr>
              <w:rFonts w:eastAsiaTheme="minorEastAsia"/>
              <w:noProof/>
              <w:sz w:val="24"/>
              <w:szCs w:val="24"/>
              <w:lang w:eastAsia="en-GB"/>
            </w:rPr>
          </w:pPr>
          <w:hyperlink w:anchor="_Toc237395737" w:history="1">
            <w:r w:rsidRPr="0042276B">
              <w:rPr>
                <w:rStyle w:val="Hyperlink"/>
                <w:noProof/>
              </w:rPr>
              <w:t>Internal Business-Process Perspective</w:t>
            </w:r>
            <w:r>
              <w:rPr>
                <w:noProof/>
                <w:webHidden/>
              </w:rPr>
              <w:tab/>
            </w:r>
            <w:r>
              <w:rPr>
                <w:noProof/>
                <w:webHidden/>
              </w:rPr>
              <w:fldChar w:fldCharType="begin"/>
            </w:r>
            <w:r>
              <w:rPr>
                <w:noProof/>
                <w:webHidden/>
              </w:rPr>
              <w:instrText xml:space="preserve"> PAGEREF _Toc237395737 \h </w:instrText>
            </w:r>
            <w:r>
              <w:rPr>
                <w:noProof/>
                <w:webHidden/>
              </w:rPr>
            </w:r>
            <w:r>
              <w:rPr>
                <w:noProof/>
                <w:webHidden/>
              </w:rPr>
              <w:fldChar w:fldCharType="separate"/>
            </w:r>
            <w:r>
              <w:rPr>
                <w:noProof/>
                <w:webHidden/>
              </w:rPr>
              <w:t>18</w:t>
            </w:r>
            <w:r>
              <w:rPr>
                <w:noProof/>
                <w:webHidden/>
              </w:rPr>
              <w:fldChar w:fldCharType="end"/>
            </w:r>
          </w:hyperlink>
        </w:p>
        <w:p w14:paraId="57876428" w14:textId="0BA8FA17" w:rsidR="00E3265C" w:rsidRDefault="00E3265C">
          <w:pPr>
            <w:pStyle w:val="TOC3"/>
            <w:tabs>
              <w:tab w:val="right" w:leader="dot" w:pos="9016"/>
            </w:tabs>
            <w:rPr>
              <w:rFonts w:eastAsiaTheme="minorEastAsia"/>
              <w:noProof/>
              <w:sz w:val="24"/>
              <w:szCs w:val="24"/>
              <w:lang w:eastAsia="en-GB"/>
            </w:rPr>
          </w:pPr>
          <w:hyperlink w:anchor="_Toc237395738" w:history="1">
            <w:r w:rsidRPr="0042276B">
              <w:rPr>
                <w:rStyle w:val="Hyperlink"/>
                <w:noProof/>
              </w:rPr>
              <w:t>Learning and Growth Perspective</w:t>
            </w:r>
            <w:r>
              <w:rPr>
                <w:noProof/>
                <w:webHidden/>
              </w:rPr>
              <w:tab/>
            </w:r>
            <w:r>
              <w:rPr>
                <w:noProof/>
                <w:webHidden/>
              </w:rPr>
              <w:fldChar w:fldCharType="begin"/>
            </w:r>
            <w:r>
              <w:rPr>
                <w:noProof/>
                <w:webHidden/>
              </w:rPr>
              <w:instrText xml:space="preserve"> PAGEREF _Toc237395738 \h </w:instrText>
            </w:r>
            <w:r>
              <w:rPr>
                <w:noProof/>
                <w:webHidden/>
              </w:rPr>
            </w:r>
            <w:r>
              <w:rPr>
                <w:noProof/>
                <w:webHidden/>
              </w:rPr>
              <w:fldChar w:fldCharType="separate"/>
            </w:r>
            <w:r>
              <w:rPr>
                <w:noProof/>
                <w:webHidden/>
              </w:rPr>
              <w:t>19</w:t>
            </w:r>
            <w:r>
              <w:rPr>
                <w:noProof/>
                <w:webHidden/>
              </w:rPr>
              <w:fldChar w:fldCharType="end"/>
            </w:r>
          </w:hyperlink>
        </w:p>
        <w:p w14:paraId="001A31EB" w14:textId="44FCEA15" w:rsidR="00E3265C" w:rsidRDefault="00E3265C">
          <w:pPr>
            <w:pStyle w:val="TOC3"/>
            <w:tabs>
              <w:tab w:val="right" w:leader="dot" w:pos="9016"/>
            </w:tabs>
            <w:rPr>
              <w:rFonts w:eastAsiaTheme="minorEastAsia"/>
              <w:noProof/>
              <w:sz w:val="24"/>
              <w:szCs w:val="24"/>
              <w:lang w:eastAsia="en-GB"/>
            </w:rPr>
          </w:pPr>
          <w:hyperlink w:anchor="_Toc237395739" w:history="1">
            <w:r w:rsidRPr="0042276B">
              <w:rPr>
                <w:rStyle w:val="Hyperlink"/>
                <w:noProof/>
              </w:rPr>
              <w:t>Section Conclusion</w:t>
            </w:r>
            <w:r>
              <w:rPr>
                <w:noProof/>
                <w:webHidden/>
              </w:rPr>
              <w:tab/>
            </w:r>
            <w:r>
              <w:rPr>
                <w:noProof/>
                <w:webHidden/>
              </w:rPr>
              <w:fldChar w:fldCharType="begin"/>
            </w:r>
            <w:r>
              <w:rPr>
                <w:noProof/>
                <w:webHidden/>
              </w:rPr>
              <w:instrText xml:space="preserve"> PAGEREF _Toc237395739 \h </w:instrText>
            </w:r>
            <w:r>
              <w:rPr>
                <w:noProof/>
                <w:webHidden/>
              </w:rPr>
            </w:r>
            <w:r>
              <w:rPr>
                <w:noProof/>
                <w:webHidden/>
              </w:rPr>
              <w:fldChar w:fldCharType="separate"/>
            </w:r>
            <w:r>
              <w:rPr>
                <w:noProof/>
                <w:webHidden/>
              </w:rPr>
              <w:t>20</w:t>
            </w:r>
            <w:r>
              <w:rPr>
                <w:noProof/>
                <w:webHidden/>
              </w:rPr>
              <w:fldChar w:fldCharType="end"/>
            </w:r>
          </w:hyperlink>
        </w:p>
        <w:p w14:paraId="07F9C09E" w14:textId="4B5750A9" w:rsidR="00E3265C" w:rsidRDefault="00E3265C">
          <w:pPr>
            <w:pStyle w:val="TOC1"/>
            <w:tabs>
              <w:tab w:val="right" w:leader="dot" w:pos="9016"/>
            </w:tabs>
            <w:rPr>
              <w:rFonts w:eastAsiaTheme="minorEastAsia"/>
              <w:b w:val="0"/>
              <w:bCs w:val="0"/>
              <w:i w:val="0"/>
              <w:iCs w:val="0"/>
              <w:noProof/>
              <w:lang w:eastAsia="en-GB"/>
            </w:rPr>
          </w:pPr>
          <w:hyperlink w:anchor="_Toc237395740" w:history="1">
            <w:r w:rsidRPr="0042276B">
              <w:rPr>
                <w:rStyle w:val="Hyperlink"/>
                <w:noProof/>
              </w:rPr>
              <w:t>4.0 Strategic Choices and Implementation</w:t>
            </w:r>
            <w:r>
              <w:rPr>
                <w:noProof/>
                <w:webHidden/>
              </w:rPr>
              <w:tab/>
            </w:r>
            <w:r>
              <w:rPr>
                <w:noProof/>
                <w:webHidden/>
              </w:rPr>
              <w:fldChar w:fldCharType="begin"/>
            </w:r>
            <w:r>
              <w:rPr>
                <w:noProof/>
                <w:webHidden/>
              </w:rPr>
              <w:instrText xml:space="preserve"> PAGEREF _Toc237395740 \h </w:instrText>
            </w:r>
            <w:r>
              <w:rPr>
                <w:noProof/>
                <w:webHidden/>
              </w:rPr>
            </w:r>
            <w:r>
              <w:rPr>
                <w:noProof/>
                <w:webHidden/>
              </w:rPr>
              <w:fldChar w:fldCharType="separate"/>
            </w:r>
            <w:r>
              <w:rPr>
                <w:noProof/>
                <w:webHidden/>
              </w:rPr>
              <w:t>20</w:t>
            </w:r>
            <w:r>
              <w:rPr>
                <w:noProof/>
                <w:webHidden/>
              </w:rPr>
              <w:fldChar w:fldCharType="end"/>
            </w:r>
          </w:hyperlink>
        </w:p>
        <w:p w14:paraId="135F2261" w14:textId="6EA20B17" w:rsidR="00E3265C" w:rsidRDefault="00E3265C">
          <w:pPr>
            <w:pStyle w:val="TOC2"/>
            <w:tabs>
              <w:tab w:val="right" w:leader="dot" w:pos="9016"/>
            </w:tabs>
            <w:rPr>
              <w:rFonts w:eastAsiaTheme="minorEastAsia"/>
              <w:b w:val="0"/>
              <w:bCs w:val="0"/>
              <w:noProof/>
              <w:sz w:val="24"/>
              <w:szCs w:val="24"/>
              <w:lang w:eastAsia="en-GB"/>
            </w:rPr>
          </w:pPr>
          <w:hyperlink w:anchor="_Toc237395741" w:history="1">
            <w:r w:rsidRPr="0042276B">
              <w:rPr>
                <w:rStyle w:val="Hyperlink"/>
                <w:noProof/>
              </w:rPr>
              <w:t>4.1 Strategic Choices Available to Tesco</w:t>
            </w:r>
            <w:r>
              <w:rPr>
                <w:noProof/>
                <w:webHidden/>
              </w:rPr>
              <w:tab/>
            </w:r>
            <w:r>
              <w:rPr>
                <w:noProof/>
                <w:webHidden/>
              </w:rPr>
              <w:fldChar w:fldCharType="begin"/>
            </w:r>
            <w:r>
              <w:rPr>
                <w:noProof/>
                <w:webHidden/>
              </w:rPr>
              <w:instrText xml:space="preserve"> PAGEREF _Toc237395741 \h </w:instrText>
            </w:r>
            <w:r>
              <w:rPr>
                <w:noProof/>
                <w:webHidden/>
              </w:rPr>
            </w:r>
            <w:r>
              <w:rPr>
                <w:noProof/>
                <w:webHidden/>
              </w:rPr>
              <w:fldChar w:fldCharType="separate"/>
            </w:r>
            <w:r>
              <w:rPr>
                <w:noProof/>
                <w:webHidden/>
              </w:rPr>
              <w:t>21</w:t>
            </w:r>
            <w:r>
              <w:rPr>
                <w:noProof/>
                <w:webHidden/>
              </w:rPr>
              <w:fldChar w:fldCharType="end"/>
            </w:r>
          </w:hyperlink>
        </w:p>
        <w:p w14:paraId="43B68ED6" w14:textId="124230A7" w:rsidR="00E3265C" w:rsidRDefault="00E3265C">
          <w:pPr>
            <w:pStyle w:val="TOC2"/>
            <w:tabs>
              <w:tab w:val="right" w:leader="dot" w:pos="9016"/>
            </w:tabs>
            <w:rPr>
              <w:rFonts w:eastAsiaTheme="minorEastAsia"/>
              <w:b w:val="0"/>
              <w:bCs w:val="0"/>
              <w:noProof/>
              <w:sz w:val="24"/>
              <w:szCs w:val="24"/>
              <w:lang w:eastAsia="en-GB"/>
            </w:rPr>
          </w:pPr>
          <w:hyperlink w:anchor="_Toc237395742" w:history="1">
            <w:r w:rsidRPr="0042276B">
              <w:rPr>
                <w:rStyle w:val="Hyperlink"/>
                <w:noProof/>
              </w:rPr>
              <w:t>Recommended Strategy: Personalised Sustainable Value</w:t>
            </w:r>
            <w:r>
              <w:rPr>
                <w:noProof/>
                <w:webHidden/>
              </w:rPr>
              <w:tab/>
            </w:r>
            <w:r>
              <w:rPr>
                <w:noProof/>
                <w:webHidden/>
              </w:rPr>
              <w:fldChar w:fldCharType="begin"/>
            </w:r>
            <w:r>
              <w:rPr>
                <w:noProof/>
                <w:webHidden/>
              </w:rPr>
              <w:instrText xml:space="preserve"> PAGEREF _Toc237395742 \h </w:instrText>
            </w:r>
            <w:r>
              <w:rPr>
                <w:noProof/>
                <w:webHidden/>
              </w:rPr>
            </w:r>
            <w:r>
              <w:rPr>
                <w:noProof/>
                <w:webHidden/>
              </w:rPr>
              <w:fldChar w:fldCharType="separate"/>
            </w:r>
            <w:r>
              <w:rPr>
                <w:noProof/>
                <w:webHidden/>
              </w:rPr>
              <w:t>22</w:t>
            </w:r>
            <w:r>
              <w:rPr>
                <w:noProof/>
                <w:webHidden/>
              </w:rPr>
              <w:fldChar w:fldCharType="end"/>
            </w:r>
          </w:hyperlink>
        </w:p>
        <w:p w14:paraId="4D928DC2" w14:textId="14FB7CEB" w:rsidR="00E3265C" w:rsidRDefault="00E3265C">
          <w:pPr>
            <w:pStyle w:val="TOC3"/>
            <w:tabs>
              <w:tab w:val="right" w:leader="dot" w:pos="9016"/>
            </w:tabs>
            <w:rPr>
              <w:rFonts w:eastAsiaTheme="minorEastAsia"/>
              <w:noProof/>
              <w:sz w:val="24"/>
              <w:szCs w:val="24"/>
              <w:lang w:eastAsia="en-GB"/>
            </w:rPr>
          </w:pPr>
          <w:hyperlink w:anchor="_Toc237395743" w:history="1">
            <w:r w:rsidRPr="0042276B">
              <w:rPr>
                <w:rStyle w:val="Hyperlink"/>
                <w:noProof/>
              </w:rPr>
              <w:t>Strategy Validation: Ansoff Matrix and SAFe Framework</w:t>
            </w:r>
            <w:r>
              <w:rPr>
                <w:noProof/>
                <w:webHidden/>
              </w:rPr>
              <w:tab/>
            </w:r>
            <w:r>
              <w:rPr>
                <w:noProof/>
                <w:webHidden/>
              </w:rPr>
              <w:fldChar w:fldCharType="begin"/>
            </w:r>
            <w:r>
              <w:rPr>
                <w:noProof/>
                <w:webHidden/>
              </w:rPr>
              <w:instrText xml:space="preserve"> PAGEREF _Toc237395743 \h </w:instrText>
            </w:r>
            <w:r>
              <w:rPr>
                <w:noProof/>
                <w:webHidden/>
              </w:rPr>
            </w:r>
            <w:r>
              <w:rPr>
                <w:noProof/>
                <w:webHidden/>
              </w:rPr>
              <w:fldChar w:fldCharType="separate"/>
            </w:r>
            <w:r>
              <w:rPr>
                <w:noProof/>
                <w:webHidden/>
              </w:rPr>
              <w:t>22</w:t>
            </w:r>
            <w:r>
              <w:rPr>
                <w:noProof/>
                <w:webHidden/>
              </w:rPr>
              <w:fldChar w:fldCharType="end"/>
            </w:r>
          </w:hyperlink>
        </w:p>
        <w:p w14:paraId="0A551DD4" w14:textId="414049C5" w:rsidR="00E3265C" w:rsidRDefault="00E3265C">
          <w:pPr>
            <w:pStyle w:val="TOC1"/>
            <w:tabs>
              <w:tab w:val="right" w:leader="dot" w:pos="9016"/>
            </w:tabs>
            <w:rPr>
              <w:rFonts w:eastAsiaTheme="minorEastAsia"/>
              <w:b w:val="0"/>
              <w:bCs w:val="0"/>
              <w:i w:val="0"/>
              <w:iCs w:val="0"/>
              <w:noProof/>
              <w:lang w:eastAsia="en-GB"/>
            </w:rPr>
          </w:pPr>
          <w:hyperlink w:anchor="_Toc237395744" w:history="1">
            <w:r w:rsidRPr="0042276B">
              <w:rPr>
                <w:rStyle w:val="Hyperlink"/>
                <w:noProof/>
              </w:rPr>
              <w:t>Delivering Optimum Performance and Competitive Advantage</w:t>
            </w:r>
            <w:r>
              <w:rPr>
                <w:noProof/>
                <w:webHidden/>
              </w:rPr>
              <w:tab/>
            </w:r>
            <w:r>
              <w:rPr>
                <w:noProof/>
                <w:webHidden/>
              </w:rPr>
              <w:fldChar w:fldCharType="begin"/>
            </w:r>
            <w:r>
              <w:rPr>
                <w:noProof/>
                <w:webHidden/>
              </w:rPr>
              <w:instrText xml:space="preserve"> PAGEREF _Toc237395744 \h </w:instrText>
            </w:r>
            <w:r>
              <w:rPr>
                <w:noProof/>
                <w:webHidden/>
              </w:rPr>
            </w:r>
            <w:r>
              <w:rPr>
                <w:noProof/>
                <w:webHidden/>
              </w:rPr>
              <w:fldChar w:fldCharType="separate"/>
            </w:r>
            <w:r>
              <w:rPr>
                <w:noProof/>
                <w:webHidden/>
              </w:rPr>
              <w:t>23</w:t>
            </w:r>
            <w:r>
              <w:rPr>
                <w:noProof/>
                <w:webHidden/>
              </w:rPr>
              <w:fldChar w:fldCharType="end"/>
            </w:r>
          </w:hyperlink>
        </w:p>
        <w:p w14:paraId="7E65F307" w14:textId="6C6396AA" w:rsidR="00E3265C" w:rsidRDefault="00E3265C">
          <w:pPr>
            <w:pStyle w:val="TOC2"/>
            <w:tabs>
              <w:tab w:val="right" w:leader="dot" w:pos="9016"/>
            </w:tabs>
            <w:rPr>
              <w:rFonts w:eastAsiaTheme="minorEastAsia"/>
              <w:b w:val="0"/>
              <w:bCs w:val="0"/>
              <w:noProof/>
              <w:sz w:val="24"/>
              <w:szCs w:val="24"/>
              <w:lang w:eastAsia="en-GB"/>
            </w:rPr>
          </w:pPr>
          <w:hyperlink w:anchor="_Toc237395745" w:history="1">
            <w:r w:rsidRPr="0042276B">
              <w:rPr>
                <w:rStyle w:val="Hyperlink"/>
                <w:rFonts w:eastAsia="Times New Roman"/>
                <w:noProof/>
                <w:lang w:eastAsia="en-GB"/>
              </w:rPr>
              <w:t>Implementation Challenges and Mitigation</w:t>
            </w:r>
            <w:r>
              <w:rPr>
                <w:noProof/>
                <w:webHidden/>
              </w:rPr>
              <w:tab/>
            </w:r>
            <w:r>
              <w:rPr>
                <w:noProof/>
                <w:webHidden/>
              </w:rPr>
              <w:fldChar w:fldCharType="begin"/>
            </w:r>
            <w:r>
              <w:rPr>
                <w:noProof/>
                <w:webHidden/>
              </w:rPr>
              <w:instrText xml:space="preserve"> PAGEREF _Toc237395745 \h </w:instrText>
            </w:r>
            <w:r>
              <w:rPr>
                <w:noProof/>
                <w:webHidden/>
              </w:rPr>
            </w:r>
            <w:r>
              <w:rPr>
                <w:noProof/>
                <w:webHidden/>
              </w:rPr>
              <w:fldChar w:fldCharType="separate"/>
            </w:r>
            <w:r>
              <w:rPr>
                <w:noProof/>
                <w:webHidden/>
              </w:rPr>
              <w:t>24</w:t>
            </w:r>
            <w:r>
              <w:rPr>
                <w:noProof/>
                <w:webHidden/>
              </w:rPr>
              <w:fldChar w:fldCharType="end"/>
            </w:r>
          </w:hyperlink>
        </w:p>
        <w:p w14:paraId="28294968" w14:textId="38248922" w:rsidR="00E3265C" w:rsidRDefault="00E3265C">
          <w:pPr>
            <w:pStyle w:val="TOC3"/>
            <w:tabs>
              <w:tab w:val="right" w:leader="dot" w:pos="9016"/>
            </w:tabs>
            <w:rPr>
              <w:rFonts w:eastAsiaTheme="minorEastAsia"/>
              <w:noProof/>
              <w:sz w:val="24"/>
              <w:szCs w:val="24"/>
              <w:lang w:eastAsia="en-GB"/>
            </w:rPr>
          </w:pPr>
          <w:hyperlink w:anchor="_Toc237395746" w:history="1">
            <w:r w:rsidRPr="0042276B">
              <w:rPr>
                <w:rStyle w:val="Hyperlink"/>
                <w:noProof/>
              </w:rPr>
              <w:t>Section Conclusion</w:t>
            </w:r>
            <w:r>
              <w:rPr>
                <w:noProof/>
                <w:webHidden/>
              </w:rPr>
              <w:tab/>
            </w:r>
            <w:r>
              <w:rPr>
                <w:noProof/>
                <w:webHidden/>
              </w:rPr>
              <w:fldChar w:fldCharType="begin"/>
            </w:r>
            <w:r>
              <w:rPr>
                <w:noProof/>
                <w:webHidden/>
              </w:rPr>
              <w:instrText xml:space="preserve"> PAGEREF _Toc237395746 \h </w:instrText>
            </w:r>
            <w:r>
              <w:rPr>
                <w:noProof/>
                <w:webHidden/>
              </w:rPr>
            </w:r>
            <w:r>
              <w:rPr>
                <w:noProof/>
                <w:webHidden/>
              </w:rPr>
              <w:fldChar w:fldCharType="separate"/>
            </w:r>
            <w:r>
              <w:rPr>
                <w:noProof/>
                <w:webHidden/>
              </w:rPr>
              <w:t>24</w:t>
            </w:r>
            <w:r>
              <w:rPr>
                <w:noProof/>
                <w:webHidden/>
              </w:rPr>
              <w:fldChar w:fldCharType="end"/>
            </w:r>
          </w:hyperlink>
        </w:p>
        <w:p w14:paraId="52F1E9FB" w14:textId="60B574D3" w:rsidR="00E3265C" w:rsidRDefault="00E3265C">
          <w:pPr>
            <w:pStyle w:val="TOC1"/>
            <w:tabs>
              <w:tab w:val="right" w:leader="dot" w:pos="9016"/>
            </w:tabs>
            <w:rPr>
              <w:rFonts w:eastAsiaTheme="minorEastAsia"/>
              <w:b w:val="0"/>
              <w:bCs w:val="0"/>
              <w:i w:val="0"/>
              <w:iCs w:val="0"/>
              <w:noProof/>
              <w:lang w:eastAsia="en-GB"/>
            </w:rPr>
          </w:pPr>
          <w:hyperlink w:anchor="_Toc237395747" w:history="1">
            <w:r w:rsidRPr="0042276B">
              <w:rPr>
                <w:rStyle w:val="Hyperlink"/>
                <w:noProof/>
              </w:rPr>
              <w:t>Section 2: Reflective Account</w:t>
            </w:r>
            <w:r>
              <w:rPr>
                <w:noProof/>
                <w:webHidden/>
              </w:rPr>
              <w:tab/>
            </w:r>
            <w:r>
              <w:rPr>
                <w:noProof/>
                <w:webHidden/>
              </w:rPr>
              <w:fldChar w:fldCharType="begin"/>
            </w:r>
            <w:r>
              <w:rPr>
                <w:noProof/>
                <w:webHidden/>
              </w:rPr>
              <w:instrText xml:space="preserve"> PAGEREF _Toc237395747 \h </w:instrText>
            </w:r>
            <w:r>
              <w:rPr>
                <w:noProof/>
                <w:webHidden/>
              </w:rPr>
            </w:r>
            <w:r>
              <w:rPr>
                <w:noProof/>
                <w:webHidden/>
              </w:rPr>
              <w:fldChar w:fldCharType="separate"/>
            </w:r>
            <w:r>
              <w:rPr>
                <w:noProof/>
                <w:webHidden/>
              </w:rPr>
              <w:t>25</w:t>
            </w:r>
            <w:r>
              <w:rPr>
                <w:noProof/>
                <w:webHidden/>
              </w:rPr>
              <w:fldChar w:fldCharType="end"/>
            </w:r>
          </w:hyperlink>
        </w:p>
        <w:p w14:paraId="25AA1BCD" w14:textId="0527DFF7" w:rsidR="00E3265C" w:rsidRDefault="00E3265C">
          <w:pPr>
            <w:pStyle w:val="TOC2"/>
            <w:tabs>
              <w:tab w:val="right" w:leader="dot" w:pos="9016"/>
            </w:tabs>
            <w:rPr>
              <w:rFonts w:eastAsiaTheme="minorEastAsia"/>
              <w:b w:val="0"/>
              <w:bCs w:val="0"/>
              <w:noProof/>
              <w:sz w:val="24"/>
              <w:szCs w:val="24"/>
              <w:lang w:eastAsia="en-GB"/>
            </w:rPr>
          </w:pPr>
          <w:hyperlink w:anchor="_Toc237395748" w:history="1">
            <w:r w:rsidRPr="0042276B">
              <w:rPr>
                <w:rStyle w:val="Hyperlink"/>
                <w:noProof/>
              </w:rPr>
              <w:t>Description</w:t>
            </w:r>
            <w:r>
              <w:rPr>
                <w:noProof/>
                <w:webHidden/>
              </w:rPr>
              <w:tab/>
            </w:r>
            <w:r>
              <w:rPr>
                <w:noProof/>
                <w:webHidden/>
              </w:rPr>
              <w:fldChar w:fldCharType="begin"/>
            </w:r>
            <w:r>
              <w:rPr>
                <w:noProof/>
                <w:webHidden/>
              </w:rPr>
              <w:instrText xml:space="preserve"> PAGEREF _Toc237395748 \h </w:instrText>
            </w:r>
            <w:r>
              <w:rPr>
                <w:noProof/>
                <w:webHidden/>
              </w:rPr>
            </w:r>
            <w:r>
              <w:rPr>
                <w:noProof/>
                <w:webHidden/>
              </w:rPr>
              <w:fldChar w:fldCharType="separate"/>
            </w:r>
            <w:r>
              <w:rPr>
                <w:noProof/>
                <w:webHidden/>
              </w:rPr>
              <w:t>25</w:t>
            </w:r>
            <w:r>
              <w:rPr>
                <w:noProof/>
                <w:webHidden/>
              </w:rPr>
              <w:fldChar w:fldCharType="end"/>
            </w:r>
          </w:hyperlink>
        </w:p>
        <w:p w14:paraId="09F9443E" w14:textId="3CA67940" w:rsidR="00E3265C" w:rsidRDefault="00E3265C">
          <w:pPr>
            <w:pStyle w:val="TOC3"/>
            <w:tabs>
              <w:tab w:val="right" w:leader="dot" w:pos="9016"/>
            </w:tabs>
            <w:rPr>
              <w:rFonts w:eastAsiaTheme="minorEastAsia"/>
              <w:noProof/>
              <w:sz w:val="24"/>
              <w:szCs w:val="24"/>
              <w:lang w:eastAsia="en-GB"/>
            </w:rPr>
          </w:pPr>
          <w:hyperlink w:anchor="_Toc237395749" w:history="1">
            <w:r w:rsidRPr="0042276B">
              <w:rPr>
                <w:rStyle w:val="Hyperlink"/>
                <w:noProof/>
              </w:rPr>
              <w:t>Feelings</w:t>
            </w:r>
            <w:r>
              <w:rPr>
                <w:noProof/>
                <w:webHidden/>
              </w:rPr>
              <w:tab/>
            </w:r>
            <w:r>
              <w:rPr>
                <w:noProof/>
                <w:webHidden/>
              </w:rPr>
              <w:fldChar w:fldCharType="begin"/>
            </w:r>
            <w:r>
              <w:rPr>
                <w:noProof/>
                <w:webHidden/>
              </w:rPr>
              <w:instrText xml:space="preserve"> PAGEREF _Toc237395749 \h </w:instrText>
            </w:r>
            <w:r>
              <w:rPr>
                <w:noProof/>
                <w:webHidden/>
              </w:rPr>
            </w:r>
            <w:r>
              <w:rPr>
                <w:noProof/>
                <w:webHidden/>
              </w:rPr>
              <w:fldChar w:fldCharType="separate"/>
            </w:r>
            <w:r>
              <w:rPr>
                <w:noProof/>
                <w:webHidden/>
              </w:rPr>
              <w:t>25</w:t>
            </w:r>
            <w:r>
              <w:rPr>
                <w:noProof/>
                <w:webHidden/>
              </w:rPr>
              <w:fldChar w:fldCharType="end"/>
            </w:r>
          </w:hyperlink>
        </w:p>
        <w:p w14:paraId="3ABBBDEA" w14:textId="14075208" w:rsidR="00E3265C" w:rsidRDefault="00E3265C">
          <w:pPr>
            <w:pStyle w:val="TOC3"/>
            <w:tabs>
              <w:tab w:val="right" w:leader="dot" w:pos="9016"/>
            </w:tabs>
            <w:rPr>
              <w:rFonts w:eastAsiaTheme="minorEastAsia"/>
              <w:noProof/>
              <w:sz w:val="24"/>
              <w:szCs w:val="24"/>
              <w:lang w:eastAsia="en-GB"/>
            </w:rPr>
          </w:pPr>
          <w:hyperlink w:anchor="_Toc237395750" w:history="1">
            <w:r w:rsidRPr="0042276B">
              <w:rPr>
                <w:rStyle w:val="Hyperlink"/>
                <w:noProof/>
              </w:rPr>
              <w:t>Evaluation</w:t>
            </w:r>
            <w:r>
              <w:rPr>
                <w:noProof/>
                <w:webHidden/>
              </w:rPr>
              <w:tab/>
            </w:r>
            <w:r>
              <w:rPr>
                <w:noProof/>
                <w:webHidden/>
              </w:rPr>
              <w:fldChar w:fldCharType="begin"/>
            </w:r>
            <w:r>
              <w:rPr>
                <w:noProof/>
                <w:webHidden/>
              </w:rPr>
              <w:instrText xml:space="preserve"> PAGEREF _Toc237395750 \h </w:instrText>
            </w:r>
            <w:r>
              <w:rPr>
                <w:noProof/>
                <w:webHidden/>
              </w:rPr>
            </w:r>
            <w:r>
              <w:rPr>
                <w:noProof/>
                <w:webHidden/>
              </w:rPr>
              <w:fldChar w:fldCharType="separate"/>
            </w:r>
            <w:r>
              <w:rPr>
                <w:noProof/>
                <w:webHidden/>
              </w:rPr>
              <w:t>26</w:t>
            </w:r>
            <w:r>
              <w:rPr>
                <w:noProof/>
                <w:webHidden/>
              </w:rPr>
              <w:fldChar w:fldCharType="end"/>
            </w:r>
          </w:hyperlink>
        </w:p>
        <w:p w14:paraId="4F71871C" w14:textId="4E84320C" w:rsidR="00E3265C" w:rsidRDefault="00E3265C">
          <w:pPr>
            <w:pStyle w:val="TOC1"/>
            <w:tabs>
              <w:tab w:val="right" w:leader="dot" w:pos="9016"/>
            </w:tabs>
            <w:rPr>
              <w:rFonts w:eastAsiaTheme="minorEastAsia"/>
              <w:b w:val="0"/>
              <w:bCs w:val="0"/>
              <w:i w:val="0"/>
              <w:iCs w:val="0"/>
              <w:noProof/>
              <w:lang w:eastAsia="en-GB"/>
            </w:rPr>
          </w:pPr>
          <w:hyperlink w:anchor="_Toc237395751" w:history="1">
            <w:r w:rsidRPr="0042276B">
              <w:rPr>
                <w:rStyle w:val="Hyperlink"/>
                <w:rFonts w:ascii="Times New Roman" w:eastAsia="Times New Roman" w:hAnsi="Times New Roman" w:cs="Times New Roman"/>
                <w:noProof/>
                <w:kern w:val="36"/>
                <w:lang w:eastAsia="en-GB"/>
                <w14:ligatures w14:val="none"/>
              </w:rPr>
              <w:t>Reference list</w:t>
            </w:r>
            <w:r>
              <w:rPr>
                <w:noProof/>
                <w:webHidden/>
              </w:rPr>
              <w:tab/>
            </w:r>
            <w:r>
              <w:rPr>
                <w:noProof/>
                <w:webHidden/>
              </w:rPr>
              <w:fldChar w:fldCharType="begin"/>
            </w:r>
            <w:r>
              <w:rPr>
                <w:noProof/>
                <w:webHidden/>
              </w:rPr>
              <w:instrText xml:space="preserve"> PAGEREF _Toc237395751 \h </w:instrText>
            </w:r>
            <w:r>
              <w:rPr>
                <w:noProof/>
                <w:webHidden/>
              </w:rPr>
            </w:r>
            <w:r>
              <w:rPr>
                <w:noProof/>
                <w:webHidden/>
              </w:rPr>
              <w:fldChar w:fldCharType="separate"/>
            </w:r>
            <w:r>
              <w:rPr>
                <w:noProof/>
                <w:webHidden/>
              </w:rPr>
              <w:t>27</w:t>
            </w:r>
            <w:r>
              <w:rPr>
                <w:noProof/>
                <w:webHidden/>
              </w:rPr>
              <w:fldChar w:fldCharType="end"/>
            </w:r>
          </w:hyperlink>
        </w:p>
        <w:p w14:paraId="409CD5C2" w14:textId="5159137D" w:rsidR="00E3265C" w:rsidRDefault="00E3265C">
          <w:r>
            <w:rPr>
              <w:b/>
              <w:bCs/>
              <w:noProof/>
            </w:rPr>
            <w:fldChar w:fldCharType="end"/>
          </w:r>
        </w:p>
      </w:sdtContent>
    </w:sdt>
    <w:p w14:paraId="622AD999" w14:textId="5140B4FC" w:rsidR="00392DD3" w:rsidRPr="00ED27A5" w:rsidRDefault="0013016D" w:rsidP="00ED27A5">
      <w:pPr>
        <w:spacing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br/>
      </w:r>
    </w:p>
    <w:p w14:paraId="2A0D136A" w14:textId="590C8ADB" w:rsidR="00DE5E66" w:rsidRPr="00A900C6" w:rsidRDefault="00DE5E66" w:rsidP="00E3265C">
      <w:pPr>
        <w:pStyle w:val="Heading1"/>
        <w:rPr>
          <w:rFonts w:eastAsia="Times New Roman"/>
          <w:b/>
          <w:bCs/>
          <w:kern w:val="0"/>
          <w:lang w:eastAsia="en-GB"/>
          <w14:ligatures w14:val="none"/>
        </w:rPr>
      </w:pPr>
      <w:bookmarkStart w:id="0" w:name="_Toc237395722"/>
      <w:r w:rsidRPr="00ED27A5">
        <w:rPr>
          <w:rFonts w:eastAsia="Times New Roman"/>
          <w:lang w:eastAsia="en-GB"/>
        </w:rPr>
        <w:lastRenderedPageBreak/>
        <w:t>Organisational Context and Industry Overview</w:t>
      </w:r>
      <w:bookmarkEnd w:id="0"/>
      <w:r w:rsidR="00A900C6">
        <w:rPr>
          <w:lang w:eastAsia="en-GB"/>
        </w:rPr>
        <w:br/>
      </w:r>
    </w:p>
    <w:p w14:paraId="52AE8AD8" w14:textId="5137E36D" w:rsidR="00DE5E66" w:rsidRPr="00A900C6" w:rsidRDefault="00DE5E66" w:rsidP="00E3265C">
      <w:pPr>
        <w:pStyle w:val="Heading2"/>
      </w:pPr>
      <w:bookmarkStart w:id="1" w:name="_Toc237395723"/>
      <w:r w:rsidRPr="00A900C6">
        <w:t>Tesco: History, Purpose and Business Model</w:t>
      </w:r>
      <w:bookmarkEnd w:id="1"/>
      <w:r w:rsidR="00A900C6" w:rsidRPr="00A900C6">
        <w:br/>
      </w:r>
    </w:p>
    <w:p w14:paraId="2BA9CAF6" w14:textId="367539BF" w:rsidR="00677BDF" w:rsidRPr="00ED27A5" w:rsidRDefault="00912929" w:rsidP="00ED27A5">
      <w:pPr>
        <w:spacing w:line="360" w:lineRule="auto"/>
        <w:rPr>
          <w:rFonts w:ascii="Arial" w:hAnsi="Arial" w:cs="Arial"/>
        </w:rPr>
      </w:pPr>
      <w:r w:rsidRPr="00ED27A5">
        <w:rPr>
          <w:rFonts w:ascii="Arial" w:hAnsi="Arial" w:cs="Arial"/>
        </w:rPr>
        <w:t>Tesco plc is a British grocery and general-merchandise retailer founded in 1919 by Jack Cohen, who began selling surplus food from a market stall in London’s East End. From these value-focused beginnings, Tesco has grown into the UK’s largest supermarket chain and a major multinational retailer. Its growth has been supported by store expansion, own-brand products, distribution investment, digital retailing and loyalty strategies. Tesco operates a high-volume, customer-centred model across supermarkets, Tesco Express stores, online grocery, wholesale, clothing, general merchandise and mobile services. Buying scale, supplier partnerships, fulfilment networks and Clubcard data enable competitive prices, convenience and personalised promotions</w:t>
      </w:r>
      <w:r w:rsidR="0013016D">
        <w:rPr>
          <w:rFonts w:ascii="Arial" w:hAnsi="Arial" w:cs="Arial"/>
        </w:rPr>
        <w:t xml:space="preserve"> </w:t>
      </w:r>
      <w:r w:rsidRPr="00ED27A5">
        <w:rPr>
          <w:rFonts w:ascii="Arial" w:hAnsi="Arial" w:cs="Arial"/>
        </w:rPr>
        <w:t>(</w:t>
      </w:r>
      <w:proofErr w:type="spellStart"/>
      <w:r w:rsidRPr="00ED27A5">
        <w:rPr>
          <w:rFonts w:ascii="Arial" w:hAnsi="Arial" w:cs="Arial"/>
        </w:rPr>
        <w:t>tesco</w:t>
      </w:r>
      <w:proofErr w:type="spellEnd"/>
      <w:r w:rsidRPr="00ED27A5">
        <w:rPr>
          <w:rFonts w:ascii="Arial" w:hAnsi="Arial" w:cs="Arial"/>
        </w:rPr>
        <w:t>, 2025).</w:t>
      </w:r>
    </w:p>
    <w:p w14:paraId="40FBE5F7" w14:textId="77777777" w:rsidR="00CD42E9" w:rsidRPr="00ED27A5" w:rsidRDefault="00CD42E9" w:rsidP="00ED27A5">
      <w:pPr>
        <w:spacing w:line="360" w:lineRule="auto"/>
        <w:rPr>
          <w:rFonts w:ascii="Arial" w:hAnsi="Arial" w:cs="Arial"/>
        </w:rPr>
      </w:pPr>
    </w:p>
    <w:p w14:paraId="596E2933" w14:textId="5385523D" w:rsidR="00CD42E9" w:rsidRPr="00ED27A5" w:rsidRDefault="00CD42E9" w:rsidP="00E3265C">
      <w:pPr>
        <w:pStyle w:val="Heading2"/>
        <w:rPr>
          <w:rFonts w:eastAsia="Times New Roman"/>
          <w:lang w:eastAsia="en-GB"/>
        </w:rPr>
      </w:pPr>
      <w:bookmarkStart w:id="2" w:name="_Toc237395724"/>
      <w:r w:rsidRPr="00ED27A5">
        <w:rPr>
          <w:rFonts w:eastAsia="Times New Roman"/>
          <w:lang w:eastAsia="en-GB"/>
        </w:rPr>
        <w:t>Industry, Competitors and Market Position</w:t>
      </w:r>
      <w:bookmarkEnd w:id="2"/>
      <w:r w:rsidR="00A900C6">
        <w:rPr>
          <w:rFonts w:eastAsia="Times New Roman"/>
          <w:lang w:eastAsia="en-GB"/>
        </w:rPr>
        <w:br/>
      </w:r>
    </w:p>
    <w:p w14:paraId="26245991" w14:textId="18974FEC" w:rsidR="00CD42E9" w:rsidRPr="00ED27A5" w:rsidRDefault="00912929" w:rsidP="00ED27A5">
      <w:pPr>
        <w:spacing w:line="360" w:lineRule="auto"/>
        <w:rPr>
          <w:rFonts w:ascii="Arial" w:hAnsi="Arial" w:cs="Arial"/>
        </w:rPr>
      </w:pPr>
      <w:r w:rsidRPr="00ED27A5">
        <w:rPr>
          <w:rFonts w:ascii="Arial" w:hAnsi="Arial" w:cs="Arial"/>
        </w:rPr>
        <w:t xml:space="preserve">Tesco operates in the mature, highly competitive UK grocery and general-merchandise sector, characterised by high sales volumes, low margins, rising labour and energy costs, and price-sensitive consumers. Competition increasingly depends on convenience, online delivery, availability, value, loyalty schemes, healthy ranges and environmental credibility. Major rivals include Sainsbury’s, Asda, Morrisons, Aldi, Lidl, Co-op, Waitrose, Marks &amp; Spencer, Ocado and Amazon Fresh (McKevitt, 2025). Aldi and Lidl pose </w:t>
      </w:r>
      <w:proofErr w:type="gramStart"/>
      <w:r w:rsidRPr="00ED27A5">
        <w:rPr>
          <w:rFonts w:ascii="Arial" w:hAnsi="Arial" w:cs="Arial"/>
        </w:rPr>
        <w:t>particular pressure</w:t>
      </w:r>
      <w:proofErr w:type="gramEnd"/>
      <w:r w:rsidRPr="00ED27A5">
        <w:rPr>
          <w:rFonts w:ascii="Arial" w:hAnsi="Arial" w:cs="Arial"/>
        </w:rPr>
        <w:t xml:space="preserve"> through low-cost, limited-assortment models. Nevertheless, Tesco retained market leadership, holding approximately 28.3% of UK grocery sales in July 2025. Its network, brand recognition, buying power, Clubcard programme and omnichannel integration underpin this position</w:t>
      </w:r>
      <w:r w:rsidRPr="00ED27A5">
        <w:rPr>
          <w:rFonts w:ascii="Arial" w:hAnsi="Arial" w:cs="Arial"/>
        </w:rPr>
        <w:t xml:space="preserve"> </w:t>
      </w:r>
      <w:r w:rsidRPr="00ED27A5">
        <w:rPr>
          <w:rFonts w:ascii="Arial" w:hAnsi="Arial" w:cs="Arial"/>
        </w:rPr>
        <w:t>(McKevitt, 2025).</w:t>
      </w:r>
      <w:r w:rsidR="00306FEA">
        <w:rPr>
          <w:rFonts w:ascii="Arial" w:hAnsi="Arial" w:cs="Arial"/>
        </w:rPr>
        <w:br/>
      </w:r>
      <w:r w:rsidR="00306FEA">
        <w:rPr>
          <w:rFonts w:ascii="Arial" w:hAnsi="Arial" w:cs="Arial"/>
        </w:rPr>
        <w:lastRenderedPageBreak/>
        <w:br/>
      </w:r>
      <w:r w:rsidR="00306FEA">
        <w:rPr>
          <w:rFonts w:ascii="Arial" w:hAnsi="Arial" w:cs="Arial"/>
          <w:noProof/>
        </w:rPr>
        <w:drawing>
          <wp:inline distT="0" distB="0" distL="0" distR="0" wp14:anchorId="7FE1BE96" wp14:editId="03D4847C">
            <wp:extent cx="5731510" cy="3129915"/>
            <wp:effectExtent l="0" t="0" r="0" b="0"/>
            <wp:docPr id="99111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11039" name="Picture 9911110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9915"/>
                    </a:xfrm>
                    <a:prstGeom prst="rect">
                      <a:avLst/>
                    </a:prstGeom>
                  </pic:spPr>
                </pic:pic>
              </a:graphicData>
            </a:graphic>
          </wp:inline>
        </w:drawing>
      </w:r>
    </w:p>
    <w:p w14:paraId="76E9F706" w14:textId="7C024CCA" w:rsidR="00CD42E9" w:rsidRPr="00A900C6" w:rsidRDefault="00284258" w:rsidP="00284258">
      <w:pPr>
        <w:pStyle w:val="NoSpacing"/>
      </w:pPr>
      <w:r>
        <w:t xml:space="preserve">UK grocery market share by retailer, showing Tesco’s leading market position </w:t>
      </w:r>
      <w:r>
        <w:t>(</w:t>
      </w:r>
      <w:r>
        <w:t>Source: Created by Learner</w:t>
      </w:r>
      <w:r>
        <w:t>)</w:t>
      </w:r>
      <w:r w:rsidR="00306FEA">
        <w:br/>
      </w:r>
      <w:r>
        <w:br/>
      </w:r>
      <w:r>
        <w:br/>
      </w:r>
      <w:r w:rsidR="00CD42E9" w:rsidRPr="00E3265C">
        <w:rPr>
          <w:rStyle w:val="Heading3Char"/>
        </w:rPr>
        <w:t>Political Factors</w:t>
      </w:r>
      <w:r w:rsidR="00A900C6" w:rsidRPr="00A900C6">
        <w:br/>
      </w:r>
    </w:p>
    <w:p w14:paraId="6E6367EE" w14:textId="4C898297" w:rsidR="00CD42E9" w:rsidRPr="00ED27A5" w:rsidRDefault="00CD42E9" w:rsidP="00ED27A5">
      <w:pPr>
        <w:spacing w:line="360" w:lineRule="auto"/>
        <w:rPr>
          <w:rFonts w:ascii="Arial" w:hAnsi="Arial" w:cs="Arial"/>
        </w:rPr>
      </w:pPr>
      <w:r w:rsidRPr="00ED27A5">
        <w:rPr>
          <w:rFonts w:ascii="Arial" w:hAnsi="Arial" w:cs="Arial"/>
        </w:rPr>
        <w:t>Political and regulatory factors are key drivers of Tesco's costs, supply chain resilience and operating practices. The trading arrangements following Brexit have increased the number of customs procedures, delays and administration for goods from the European Union. The frictions can impact on product availability and procurement expenses, as Tesco has a wide global supplier network. However, increased domestic sourcing and long-term supplier relationships in the UK offer a chance to enhance resilience and the local-value proposition for Tesco</w:t>
      </w:r>
      <w:r w:rsidR="00193679" w:rsidRPr="00ED27A5">
        <w:rPr>
          <w:rFonts w:ascii="Arial" w:hAnsi="Arial" w:cs="Arial"/>
        </w:rPr>
        <w:t xml:space="preserve"> </w:t>
      </w:r>
      <w:r w:rsidR="00193679" w:rsidRPr="00ED27A5">
        <w:rPr>
          <w:rFonts w:ascii="Arial" w:hAnsi="Arial" w:cs="Arial"/>
        </w:rPr>
        <w:t>(Ward and Coe, 2019)</w:t>
      </w:r>
      <w:r w:rsidRPr="00ED27A5">
        <w:rPr>
          <w:rFonts w:ascii="Arial" w:hAnsi="Arial" w:cs="Arial"/>
        </w:rPr>
        <w:t>.</w:t>
      </w:r>
    </w:p>
    <w:p w14:paraId="14B82180" w14:textId="635CAAFE" w:rsidR="00CD42E9" w:rsidRPr="00ED27A5" w:rsidRDefault="00CD42E9" w:rsidP="00ED27A5">
      <w:pPr>
        <w:spacing w:line="360" w:lineRule="auto"/>
        <w:rPr>
          <w:rFonts w:ascii="Arial" w:hAnsi="Arial" w:cs="Arial"/>
        </w:rPr>
      </w:pPr>
      <w:r w:rsidRPr="00ED27A5">
        <w:rPr>
          <w:rFonts w:ascii="Arial" w:hAnsi="Arial" w:cs="Arial"/>
        </w:rPr>
        <w:t xml:space="preserve">Cost pressures are also a result of government policy. Business rates in the UK are also being increased for bigger properties from 2026 under the Non-Domestic Rates Act, which could impact Tesco's large supermarkets and distribution centres. Additionally, Tesco </w:t>
      </w:r>
      <w:proofErr w:type="gramStart"/>
      <w:r w:rsidRPr="00ED27A5">
        <w:rPr>
          <w:rFonts w:ascii="Arial" w:hAnsi="Arial" w:cs="Arial"/>
        </w:rPr>
        <w:t>has to</w:t>
      </w:r>
      <w:proofErr w:type="gramEnd"/>
      <w:r w:rsidRPr="00ED27A5">
        <w:rPr>
          <w:rFonts w:ascii="Arial" w:hAnsi="Arial" w:cs="Arial"/>
        </w:rPr>
        <w:t xml:space="preserve"> adhere to the Groceries Supply Code of Practice, which manages fair dealing with suppliers from large grocery retailers. Promotions, product placement and sourcing may need to change </w:t>
      </w:r>
      <w:proofErr w:type="gramStart"/>
      <w:r w:rsidRPr="00ED27A5">
        <w:rPr>
          <w:rFonts w:ascii="Arial" w:hAnsi="Arial" w:cs="Arial"/>
        </w:rPr>
        <w:t>as a result of</w:t>
      </w:r>
      <w:proofErr w:type="gramEnd"/>
      <w:r w:rsidRPr="00ED27A5">
        <w:rPr>
          <w:rFonts w:ascii="Arial" w:hAnsi="Arial" w:cs="Arial"/>
        </w:rPr>
        <w:t xml:space="preserve"> political campaigns on healthy eating, affordability of food prices and environmental targets. Tesco needs to </w:t>
      </w:r>
      <w:r w:rsidRPr="00ED27A5">
        <w:rPr>
          <w:rFonts w:ascii="Arial" w:hAnsi="Arial" w:cs="Arial"/>
        </w:rPr>
        <w:lastRenderedPageBreak/>
        <w:t>actively involve policy makers and continue to set high standards of compliance to ensure trust is maintained, cost is managed and continues to be market leader</w:t>
      </w:r>
      <w:r w:rsidR="00193679" w:rsidRPr="00ED27A5">
        <w:rPr>
          <w:rFonts w:ascii="Arial" w:hAnsi="Arial" w:cs="Arial"/>
        </w:rPr>
        <w:t xml:space="preserve"> </w:t>
      </w:r>
      <w:r w:rsidR="00193679" w:rsidRPr="00ED27A5">
        <w:rPr>
          <w:rFonts w:ascii="Arial" w:hAnsi="Arial" w:cs="Arial"/>
        </w:rPr>
        <w:t>(Ward and Coe, 2019)</w:t>
      </w:r>
      <w:r w:rsidRPr="00ED27A5">
        <w:rPr>
          <w:rFonts w:ascii="Arial" w:hAnsi="Arial" w:cs="Arial"/>
        </w:rPr>
        <w:t>.</w:t>
      </w:r>
    </w:p>
    <w:p w14:paraId="0F2D8F68" w14:textId="02F6FB9C" w:rsidR="00CD42E9" w:rsidRPr="00A900C6" w:rsidRDefault="00CD42E9" w:rsidP="00E3265C">
      <w:pPr>
        <w:pStyle w:val="Heading3"/>
      </w:pPr>
      <w:bookmarkStart w:id="3" w:name="_Toc237395725"/>
      <w:r w:rsidRPr="00A900C6">
        <w:t>Economic Factors</w:t>
      </w:r>
      <w:bookmarkEnd w:id="3"/>
      <w:r w:rsidR="00A900C6" w:rsidRPr="00A900C6">
        <w:br/>
      </w:r>
    </w:p>
    <w:p w14:paraId="5B699992" w14:textId="77777777" w:rsidR="00CD42E9" w:rsidRPr="00ED27A5" w:rsidRDefault="00CD42E9" w:rsidP="00ED27A5">
      <w:pPr>
        <w:spacing w:line="360" w:lineRule="auto"/>
        <w:rPr>
          <w:rFonts w:ascii="Arial" w:hAnsi="Arial" w:cs="Arial"/>
        </w:rPr>
      </w:pPr>
      <w:r w:rsidRPr="00ED27A5">
        <w:rPr>
          <w:rFonts w:ascii="Arial" w:hAnsi="Arial" w:cs="Arial"/>
        </w:rPr>
        <w:t xml:space="preserve">Tesco is highly sensitive to economic conditions as grocery retailers have small margins and customers </w:t>
      </w:r>
      <w:proofErr w:type="gramStart"/>
      <w:r w:rsidRPr="00ED27A5">
        <w:rPr>
          <w:rFonts w:ascii="Arial" w:hAnsi="Arial" w:cs="Arial"/>
        </w:rPr>
        <w:t>are able to</w:t>
      </w:r>
      <w:proofErr w:type="gramEnd"/>
      <w:r w:rsidRPr="00ED27A5">
        <w:rPr>
          <w:rFonts w:ascii="Arial" w:hAnsi="Arial" w:cs="Arial"/>
        </w:rPr>
        <w:t xml:space="preserve"> switch to another retailer if prices increase. Grocery inflation in the UK has slowed to 3.0% in the four weeks to 14 June 2026, but consumers are still on their guard with rising food, housing and household costs putting a strain on their disposable income. This leads to value-oriented shopping, buying own-brand products and more shopping with discount stores like Aldi and Lidl. Tesco therefore </w:t>
      </w:r>
      <w:proofErr w:type="gramStart"/>
      <w:r w:rsidRPr="00ED27A5">
        <w:rPr>
          <w:rFonts w:ascii="Arial" w:hAnsi="Arial" w:cs="Arial"/>
        </w:rPr>
        <w:t>has the opportunity to</w:t>
      </w:r>
      <w:proofErr w:type="gramEnd"/>
      <w:r w:rsidRPr="00ED27A5">
        <w:rPr>
          <w:rFonts w:ascii="Arial" w:hAnsi="Arial" w:cs="Arial"/>
        </w:rPr>
        <w:t xml:space="preserve"> tempt and keep customers who are price conscious with the use of Clubcard Prices, price matching, low priced ranges of own brands and targeted promotions.</w:t>
      </w:r>
    </w:p>
    <w:p w14:paraId="05AE328A" w14:textId="1F75E1E4" w:rsidR="00CD42E9" w:rsidRPr="00ED27A5" w:rsidRDefault="00CD42E9" w:rsidP="00ED27A5">
      <w:pPr>
        <w:spacing w:line="360" w:lineRule="auto"/>
        <w:rPr>
          <w:rFonts w:ascii="Arial" w:hAnsi="Arial" w:cs="Arial"/>
        </w:rPr>
      </w:pPr>
      <w:r w:rsidRPr="00ED27A5">
        <w:rPr>
          <w:rFonts w:ascii="Arial" w:hAnsi="Arial" w:cs="Arial"/>
        </w:rPr>
        <w:t>But inflation also increases Tesco's operating expenses. Increased wages, employer National Insurance contributions, energy costs, transport costs and supplier input costs may all have a negative impact on profitability if Tesco is unable to pass on these increases to the consumer. Despite a slight sales-volume increase, UK retailers are still under significant pressure and competition on costs. So, Tesco need to safeguard their value perception and become more efficient in their supply chain, as well as minimising food waste and managing costs to prevent margin erosion</w:t>
      </w:r>
      <w:r w:rsidR="00193679" w:rsidRPr="00ED27A5">
        <w:rPr>
          <w:rFonts w:ascii="Arial" w:hAnsi="Arial" w:cs="Arial"/>
        </w:rPr>
        <w:t xml:space="preserve"> </w:t>
      </w:r>
      <w:r w:rsidR="00193679" w:rsidRPr="00ED27A5">
        <w:rPr>
          <w:rFonts w:ascii="Arial" w:hAnsi="Arial" w:cs="Arial"/>
        </w:rPr>
        <w:t>(</w:t>
      </w:r>
      <w:proofErr w:type="spellStart"/>
      <w:r w:rsidR="00193679" w:rsidRPr="00ED27A5">
        <w:rPr>
          <w:rFonts w:ascii="Arial" w:hAnsi="Arial" w:cs="Arial"/>
        </w:rPr>
        <w:t>Dekimpe</w:t>
      </w:r>
      <w:proofErr w:type="spellEnd"/>
      <w:r w:rsidR="00193679" w:rsidRPr="00ED27A5">
        <w:rPr>
          <w:rFonts w:ascii="Arial" w:hAnsi="Arial" w:cs="Arial"/>
        </w:rPr>
        <w:t xml:space="preserve"> and </w:t>
      </w:r>
      <w:proofErr w:type="spellStart"/>
      <w:r w:rsidR="00193679" w:rsidRPr="00ED27A5">
        <w:rPr>
          <w:rFonts w:ascii="Arial" w:hAnsi="Arial" w:cs="Arial"/>
        </w:rPr>
        <w:t>Heerde</w:t>
      </w:r>
      <w:proofErr w:type="spellEnd"/>
      <w:r w:rsidR="00193679" w:rsidRPr="00ED27A5">
        <w:rPr>
          <w:rFonts w:ascii="Arial" w:hAnsi="Arial" w:cs="Arial"/>
        </w:rPr>
        <w:t>, 2023)</w:t>
      </w:r>
      <w:r w:rsidRPr="00ED27A5">
        <w:rPr>
          <w:rFonts w:ascii="Arial" w:hAnsi="Arial" w:cs="Arial"/>
        </w:rPr>
        <w:t>.</w:t>
      </w:r>
    </w:p>
    <w:p w14:paraId="547F3A31" w14:textId="581F49AA" w:rsidR="00CD42E9" w:rsidRPr="00A900C6" w:rsidRDefault="00CD42E9" w:rsidP="00E3265C">
      <w:pPr>
        <w:pStyle w:val="Heading3"/>
      </w:pPr>
      <w:bookmarkStart w:id="4" w:name="_Toc237395726"/>
      <w:r w:rsidRPr="00A900C6">
        <w:t>Social Factors</w:t>
      </w:r>
      <w:bookmarkEnd w:id="4"/>
      <w:r w:rsidR="00A900C6" w:rsidRPr="00A900C6">
        <w:br/>
      </w:r>
    </w:p>
    <w:p w14:paraId="05C0898D" w14:textId="31E02067" w:rsidR="00CD42E9" w:rsidRPr="00ED27A5" w:rsidRDefault="00CD42E9" w:rsidP="00ED27A5">
      <w:pPr>
        <w:spacing w:line="360" w:lineRule="auto"/>
        <w:rPr>
          <w:rFonts w:ascii="Arial" w:hAnsi="Arial" w:cs="Arial"/>
        </w:rPr>
      </w:pPr>
      <w:r w:rsidRPr="00ED27A5">
        <w:rPr>
          <w:rFonts w:ascii="Arial" w:hAnsi="Arial" w:cs="Arial"/>
        </w:rPr>
        <w:t xml:space="preserve">Tesco's product range, store formats and customer-service strategy are influenced by social trends. UK consumers are increasingly expecting convenience, flexibility and shopping options such as local convenience stores, online shopping, click and collect and quick delivery. This is an opportunity for Tesco to respond to changing lifestyles through their Tesco Express network, their online service and their Whoosh delivery service. Consumers are also more health focused, more interested in food quality, more ethical and more environmentally conscious. Tesco can react by </w:t>
      </w:r>
      <w:r w:rsidRPr="00ED27A5">
        <w:rPr>
          <w:rFonts w:ascii="Arial" w:hAnsi="Arial" w:cs="Arial"/>
        </w:rPr>
        <w:lastRenderedPageBreak/>
        <w:t>increasing the availability of affordable healthy own-brand products, transparency of nutritional information and sustainable product options</w:t>
      </w:r>
      <w:r w:rsidR="0076731D" w:rsidRPr="00ED27A5">
        <w:rPr>
          <w:rFonts w:ascii="Arial" w:hAnsi="Arial" w:cs="Arial"/>
        </w:rPr>
        <w:t xml:space="preserve"> </w:t>
      </w:r>
      <w:r w:rsidR="0076731D" w:rsidRPr="00ED27A5">
        <w:rPr>
          <w:rFonts w:ascii="Arial" w:hAnsi="Arial" w:cs="Arial"/>
        </w:rPr>
        <w:t>(Lee et al., 2021)</w:t>
      </w:r>
      <w:r w:rsidRPr="00ED27A5">
        <w:rPr>
          <w:rFonts w:ascii="Arial" w:hAnsi="Arial" w:cs="Arial"/>
        </w:rPr>
        <w:t>.</w:t>
      </w:r>
    </w:p>
    <w:p w14:paraId="7FB496F4" w14:textId="6C1383A9" w:rsidR="00CD42E9" w:rsidRPr="00ED27A5" w:rsidRDefault="00CD42E9" w:rsidP="00ED27A5">
      <w:pPr>
        <w:spacing w:line="360" w:lineRule="auto"/>
        <w:rPr>
          <w:rFonts w:ascii="Arial" w:hAnsi="Arial" w:cs="Arial"/>
        </w:rPr>
      </w:pPr>
      <w:r w:rsidRPr="00ED27A5">
        <w:rPr>
          <w:rFonts w:ascii="Arial" w:hAnsi="Arial" w:cs="Arial"/>
        </w:rPr>
        <w:t xml:space="preserve">But, in a cost-of-living context, customer loyalty is less strong, as many households conduct multiple shopping trips and </w:t>
      </w:r>
      <w:proofErr w:type="gramStart"/>
      <w:r w:rsidRPr="00ED27A5">
        <w:rPr>
          <w:rFonts w:ascii="Arial" w:hAnsi="Arial" w:cs="Arial"/>
        </w:rPr>
        <w:t>are able to</w:t>
      </w:r>
      <w:proofErr w:type="gramEnd"/>
      <w:r w:rsidRPr="00ED27A5">
        <w:rPr>
          <w:rFonts w:ascii="Arial" w:hAnsi="Arial" w:cs="Arial"/>
        </w:rPr>
        <w:t xml:space="preserve"> switch easily between retailers depending on price. </w:t>
      </w:r>
      <w:proofErr w:type="gramStart"/>
      <w:r w:rsidRPr="00ED27A5">
        <w:rPr>
          <w:rFonts w:ascii="Arial" w:hAnsi="Arial" w:cs="Arial"/>
        </w:rPr>
        <w:t>So</w:t>
      </w:r>
      <w:proofErr w:type="gramEnd"/>
      <w:r w:rsidRPr="00ED27A5">
        <w:rPr>
          <w:rFonts w:ascii="Arial" w:hAnsi="Arial" w:cs="Arial"/>
        </w:rPr>
        <w:t xml:space="preserve"> convenience and quality </w:t>
      </w:r>
      <w:proofErr w:type="gramStart"/>
      <w:r w:rsidRPr="00ED27A5">
        <w:rPr>
          <w:rFonts w:ascii="Arial" w:hAnsi="Arial" w:cs="Arial"/>
        </w:rPr>
        <w:t>have to</w:t>
      </w:r>
      <w:proofErr w:type="gramEnd"/>
      <w:r w:rsidRPr="00ED27A5">
        <w:rPr>
          <w:rFonts w:ascii="Arial" w:hAnsi="Arial" w:cs="Arial"/>
        </w:rPr>
        <w:t xml:space="preserve"> be matched with clear value for the customer for Tesco to achieve this. Clubcard is very significant as it can help to drive retention through personalised discounts and cater to individual preferences. Tesco is making greater use of Clubcard data to enhance personalised customer marketing, with the use of AI</w:t>
      </w:r>
      <w:r w:rsidR="0076731D" w:rsidRPr="00ED27A5">
        <w:rPr>
          <w:rFonts w:ascii="Arial" w:hAnsi="Arial" w:cs="Arial"/>
        </w:rPr>
        <w:t xml:space="preserve"> </w:t>
      </w:r>
      <w:r w:rsidR="0076731D" w:rsidRPr="00ED27A5">
        <w:rPr>
          <w:rFonts w:ascii="Arial" w:hAnsi="Arial" w:cs="Arial"/>
        </w:rPr>
        <w:t>(Lee et al., 2021)</w:t>
      </w:r>
      <w:r w:rsidRPr="00ED27A5">
        <w:rPr>
          <w:rFonts w:ascii="Arial" w:hAnsi="Arial" w:cs="Arial"/>
        </w:rPr>
        <w:t>.</w:t>
      </w:r>
    </w:p>
    <w:p w14:paraId="515AE1C1" w14:textId="4359EF3A" w:rsidR="00CD42E9" w:rsidRPr="00A900C6" w:rsidRDefault="00CD42E9" w:rsidP="00E3265C">
      <w:pPr>
        <w:pStyle w:val="Heading3"/>
      </w:pPr>
      <w:bookmarkStart w:id="5" w:name="_Toc237395727"/>
      <w:r w:rsidRPr="00A900C6">
        <w:t>Technological Factors</w:t>
      </w:r>
      <w:bookmarkEnd w:id="5"/>
      <w:r w:rsidR="00A900C6" w:rsidRPr="00A900C6">
        <w:br/>
      </w:r>
    </w:p>
    <w:p w14:paraId="37EF1069" w14:textId="77777777" w:rsidR="00CD42E9" w:rsidRPr="00ED27A5" w:rsidRDefault="00CD42E9" w:rsidP="00ED27A5">
      <w:pPr>
        <w:spacing w:line="360" w:lineRule="auto"/>
        <w:rPr>
          <w:rFonts w:ascii="Arial" w:hAnsi="Arial" w:cs="Arial"/>
        </w:rPr>
      </w:pPr>
      <w:r w:rsidRPr="00ED27A5">
        <w:rPr>
          <w:rFonts w:ascii="Arial" w:hAnsi="Arial" w:cs="Arial"/>
        </w:rPr>
        <w:t>Technology is a key opportunity for Tesco as it can enhance customer experience, operational efficiencies and decision making. Tesco offers a seamless omnichannel shopping experience through online grocery services, self-service checkouts, click-and-collect, mobile apps and digital loyalty programs. By using AI and Clubcard data, Tesco can better forecast customer buying habits and create more personalised promotions and cut down on food waste. In 2026, Tesco joined forces with Adobe to enhance its application of AI-powered customer-data analysis and personalised marketing.</w:t>
      </w:r>
    </w:p>
    <w:p w14:paraId="7593CC6C" w14:textId="275E9ECF" w:rsidR="00CD42E9" w:rsidRPr="00ED27A5" w:rsidRDefault="00CD42E9" w:rsidP="00ED27A5">
      <w:pPr>
        <w:spacing w:line="360" w:lineRule="auto"/>
        <w:rPr>
          <w:rFonts w:ascii="Arial" w:hAnsi="Arial" w:cs="Arial"/>
        </w:rPr>
      </w:pPr>
      <w:r w:rsidRPr="00ED27A5">
        <w:rPr>
          <w:rFonts w:ascii="Arial" w:hAnsi="Arial" w:cs="Arial"/>
        </w:rPr>
        <w:t>Warehouse automation, route optimisation and electronic shelf labels are also examples of how technology helps to control costs. However, there is significant investment required into digital systems, which puts pressure on Tesco's finances; and as data collection increases, Tesco faces cyber security threats, system failure and GDPR related privacy issues. Tesco will need to invest in robust infrastructure, employee training and clear data-governance processes to maintain customer trust</w:t>
      </w:r>
      <w:r w:rsidR="0076731D" w:rsidRPr="00ED27A5">
        <w:rPr>
          <w:rFonts w:ascii="Arial" w:hAnsi="Arial" w:cs="Arial"/>
        </w:rPr>
        <w:t xml:space="preserve"> </w:t>
      </w:r>
      <w:r w:rsidR="0076731D" w:rsidRPr="00ED27A5">
        <w:rPr>
          <w:rFonts w:ascii="Arial" w:hAnsi="Arial" w:cs="Arial"/>
        </w:rPr>
        <w:t>(</w:t>
      </w:r>
      <w:proofErr w:type="spellStart"/>
      <w:r w:rsidR="0076731D" w:rsidRPr="00ED27A5">
        <w:rPr>
          <w:rFonts w:ascii="Arial" w:hAnsi="Arial" w:cs="Arial"/>
        </w:rPr>
        <w:t>Saghiri</w:t>
      </w:r>
      <w:proofErr w:type="spellEnd"/>
      <w:r w:rsidR="0076731D" w:rsidRPr="00ED27A5">
        <w:rPr>
          <w:rFonts w:ascii="Arial" w:hAnsi="Arial" w:cs="Arial"/>
        </w:rPr>
        <w:t xml:space="preserve"> et al., 2017)</w:t>
      </w:r>
      <w:r w:rsidRPr="00ED27A5">
        <w:rPr>
          <w:rFonts w:ascii="Arial" w:hAnsi="Arial" w:cs="Arial"/>
        </w:rPr>
        <w:t>.</w:t>
      </w:r>
    </w:p>
    <w:p w14:paraId="5D485B5D" w14:textId="6C3B6733" w:rsidR="00CD42E9" w:rsidRPr="00A900C6" w:rsidRDefault="00CD42E9" w:rsidP="00E3265C">
      <w:pPr>
        <w:pStyle w:val="Heading3"/>
      </w:pPr>
      <w:bookmarkStart w:id="6" w:name="_Toc237395728"/>
      <w:r w:rsidRPr="00A900C6">
        <w:t>Environmental Factors</w:t>
      </w:r>
      <w:bookmarkEnd w:id="6"/>
      <w:r w:rsidR="00A900C6" w:rsidRPr="00A900C6">
        <w:br/>
      </w:r>
    </w:p>
    <w:p w14:paraId="3F76E5D9" w14:textId="77777777" w:rsidR="00CD42E9" w:rsidRPr="00ED27A5" w:rsidRDefault="00CD42E9" w:rsidP="00ED27A5">
      <w:pPr>
        <w:spacing w:line="360" w:lineRule="auto"/>
        <w:rPr>
          <w:rFonts w:ascii="Arial" w:hAnsi="Arial" w:cs="Arial"/>
        </w:rPr>
      </w:pPr>
      <w:r w:rsidRPr="00ED27A5">
        <w:rPr>
          <w:rFonts w:ascii="Arial" w:hAnsi="Arial" w:cs="Arial"/>
        </w:rPr>
        <w:t xml:space="preserve">The grocery retail sector is energy intensive, with stores, logistics systems and agricultural supply chains all exposed to environmental pressures, which are becoming more important for Tesco. Climate conditions, water scarcity and evolving growing conditions can affect food availability and increase supplier costs. </w:t>
      </w:r>
      <w:r w:rsidRPr="00ED27A5">
        <w:rPr>
          <w:rFonts w:ascii="Arial" w:hAnsi="Arial" w:cs="Arial"/>
        </w:rPr>
        <w:lastRenderedPageBreak/>
        <w:t>Meanwhile, customers, regulators and investors want supermarkets to cut their carbon footprint, plastic packaging and food waste.</w:t>
      </w:r>
    </w:p>
    <w:p w14:paraId="3EE81356" w14:textId="2CB89842" w:rsidR="00CD42E9" w:rsidRPr="00ED27A5" w:rsidRDefault="00CD42E9" w:rsidP="00ED27A5">
      <w:pPr>
        <w:spacing w:line="360" w:lineRule="auto"/>
        <w:rPr>
          <w:rFonts w:ascii="Arial" w:hAnsi="Arial" w:cs="Arial"/>
        </w:rPr>
      </w:pPr>
      <w:r w:rsidRPr="00ED27A5">
        <w:rPr>
          <w:rFonts w:ascii="Arial" w:hAnsi="Arial" w:cs="Arial"/>
        </w:rPr>
        <w:t>This presents potential for Tesco to enhance their operational efficiency and brand reputation with renewable energy, electric delivery vehicles, sustainable sourcing and waste reduction. Tesco is aiming to be carbon neutral in its own operations by 2035 and net zero in its entire value chain by 2050. It also purchases 100% renewable power and has increased charging stations for electric vehicles throughout its stores. But it is difficult to cut the emissions from the supply chain as many of them are from farm and suppliers that have less direct control over Tesco. In addition, the cost of sustainable investment can also be higher in the short term</w:t>
      </w:r>
      <w:r w:rsidR="00A900C6">
        <w:rPr>
          <w:rFonts w:ascii="Arial" w:hAnsi="Arial" w:cs="Arial"/>
        </w:rPr>
        <w:t xml:space="preserve"> </w:t>
      </w:r>
      <w:r w:rsidR="0076731D" w:rsidRPr="00ED27A5">
        <w:rPr>
          <w:rFonts w:ascii="Arial" w:hAnsi="Arial" w:cs="Arial"/>
        </w:rPr>
        <w:t>(</w:t>
      </w:r>
      <w:proofErr w:type="spellStart"/>
      <w:r w:rsidR="0076731D" w:rsidRPr="00ED27A5">
        <w:rPr>
          <w:rFonts w:ascii="Arial" w:hAnsi="Arial" w:cs="Arial"/>
        </w:rPr>
        <w:t>Mungkung</w:t>
      </w:r>
      <w:proofErr w:type="spellEnd"/>
      <w:r w:rsidR="0076731D" w:rsidRPr="00ED27A5">
        <w:rPr>
          <w:rFonts w:ascii="Arial" w:hAnsi="Arial" w:cs="Arial"/>
        </w:rPr>
        <w:t xml:space="preserve"> and </w:t>
      </w:r>
      <w:proofErr w:type="spellStart"/>
      <w:r w:rsidR="0076731D" w:rsidRPr="00ED27A5">
        <w:rPr>
          <w:rFonts w:ascii="Arial" w:hAnsi="Arial" w:cs="Arial"/>
        </w:rPr>
        <w:t>Nudchanate</w:t>
      </w:r>
      <w:proofErr w:type="spellEnd"/>
      <w:r w:rsidR="0076731D" w:rsidRPr="00ED27A5">
        <w:rPr>
          <w:rFonts w:ascii="Arial" w:hAnsi="Arial" w:cs="Arial"/>
        </w:rPr>
        <w:t>, 2023)</w:t>
      </w:r>
      <w:r w:rsidRPr="00ED27A5">
        <w:rPr>
          <w:rFonts w:ascii="Arial" w:hAnsi="Arial" w:cs="Arial"/>
        </w:rPr>
        <w:t>.</w:t>
      </w:r>
    </w:p>
    <w:p w14:paraId="729E196F" w14:textId="3DF2F548" w:rsidR="00CD42E9" w:rsidRPr="00A900C6" w:rsidRDefault="00CD42E9" w:rsidP="00E3265C">
      <w:pPr>
        <w:pStyle w:val="Heading3"/>
      </w:pPr>
      <w:bookmarkStart w:id="7" w:name="_Toc237395729"/>
      <w:r w:rsidRPr="00A900C6">
        <w:t>Legal Factors</w:t>
      </w:r>
      <w:bookmarkEnd w:id="7"/>
      <w:r w:rsidR="00A900C6" w:rsidRPr="00A900C6">
        <w:br/>
      </w:r>
    </w:p>
    <w:p w14:paraId="26C2B50A" w14:textId="327B3647" w:rsidR="00CD42E9" w:rsidRPr="00ED27A5" w:rsidRDefault="00CD42E9" w:rsidP="00ED27A5">
      <w:pPr>
        <w:spacing w:line="360" w:lineRule="auto"/>
        <w:rPr>
          <w:rFonts w:ascii="Arial" w:hAnsi="Arial" w:cs="Arial"/>
        </w:rPr>
      </w:pPr>
      <w:r w:rsidRPr="00ED27A5">
        <w:rPr>
          <w:rFonts w:ascii="Arial" w:hAnsi="Arial" w:cs="Arial"/>
        </w:rPr>
        <w:t xml:space="preserve">Tesco's activities are subject to </w:t>
      </w:r>
      <w:proofErr w:type="gramStart"/>
      <w:r w:rsidRPr="00ED27A5">
        <w:rPr>
          <w:rFonts w:ascii="Arial" w:hAnsi="Arial" w:cs="Arial"/>
        </w:rPr>
        <w:t>a number of</w:t>
      </w:r>
      <w:proofErr w:type="gramEnd"/>
      <w:r w:rsidRPr="00ED27A5">
        <w:rPr>
          <w:rFonts w:ascii="Arial" w:hAnsi="Arial" w:cs="Arial"/>
        </w:rPr>
        <w:t xml:space="preserve"> strict regulations, such as those relating to food safety, product labelling, consumer protection, employment rights, competition and data protection. It is vital that the product is compliant with food-safety and traceability regulations as a product recall, false labelling or quality issue could tarnish Tesco's reputation and customer trust. Tesco is also subject to the UK General Data Protection Regulation in respect of the collection and use of Clubcard customer data for personalised offers.</w:t>
      </w:r>
      <w:r w:rsidR="0076731D" w:rsidRPr="00ED27A5">
        <w:rPr>
          <w:rFonts w:ascii="Arial" w:hAnsi="Arial" w:cs="Arial"/>
        </w:rPr>
        <w:t xml:space="preserve"> </w:t>
      </w:r>
    </w:p>
    <w:p w14:paraId="6BE38588" w14:textId="40B5F24B" w:rsidR="00CD42E9" w:rsidRPr="00ED27A5" w:rsidRDefault="00CD42E9" w:rsidP="00ED27A5">
      <w:pPr>
        <w:spacing w:line="360" w:lineRule="auto"/>
        <w:rPr>
          <w:rFonts w:ascii="Arial" w:hAnsi="Arial" w:cs="Arial"/>
        </w:rPr>
      </w:pPr>
      <w:r w:rsidRPr="00ED27A5">
        <w:rPr>
          <w:rFonts w:ascii="Arial" w:hAnsi="Arial" w:cs="Arial"/>
        </w:rPr>
        <w:t>Labour costs can be high throughout Tesco's workforce due to employment law such as health and safety and minimum wage. The Groceries Supply Code of Practice also calls for major retailers to act fairly towards their suppliers and bans specific unfair supply chain practices. Therefore, good legal compliance is a chance to foster stakeholder trust, but lack of compliance may lead to financial fines, reputational loss, and operational disruption</w:t>
      </w:r>
      <w:r w:rsidR="00A900C6">
        <w:rPr>
          <w:rFonts w:ascii="Arial" w:hAnsi="Arial" w:cs="Arial"/>
        </w:rPr>
        <w:t xml:space="preserve"> </w:t>
      </w:r>
      <w:r w:rsidR="0076731D" w:rsidRPr="00ED27A5">
        <w:rPr>
          <w:rFonts w:ascii="Arial" w:hAnsi="Arial" w:cs="Arial"/>
        </w:rPr>
        <w:t>(Yu et al., 2022)</w:t>
      </w:r>
      <w:r w:rsidRPr="00ED27A5">
        <w:rPr>
          <w:rFonts w:ascii="Arial" w:hAnsi="Arial" w:cs="Arial"/>
        </w:rPr>
        <w:t>.</w:t>
      </w:r>
    </w:p>
    <w:p w14:paraId="47F4671D" w14:textId="1F1D0AAE" w:rsidR="00CD42E9" w:rsidRPr="00A900C6" w:rsidRDefault="00CD42E9" w:rsidP="00E3265C">
      <w:pPr>
        <w:pStyle w:val="Heading3"/>
      </w:pPr>
      <w:bookmarkStart w:id="8" w:name="_Toc237395730"/>
      <w:r w:rsidRPr="00A900C6">
        <w:t>PESTEL Evaluation</w:t>
      </w:r>
      <w:bookmarkEnd w:id="8"/>
      <w:r w:rsidR="00A900C6" w:rsidRPr="00A900C6">
        <w:br/>
      </w:r>
    </w:p>
    <w:p w14:paraId="3E636229" w14:textId="22EBC299" w:rsidR="00CD42E9" w:rsidRPr="00ED27A5" w:rsidRDefault="00CD42E9" w:rsidP="00ED27A5">
      <w:pPr>
        <w:spacing w:line="360" w:lineRule="auto"/>
        <w:rPr>
          <w:rFonts w:ascii="Arial" w:hAnsi="Arial" w:cs="Arial"/>
        </w:rPr>
      </w:pPr>
      <w:r w:rsidRPr="00ED27A5">
        <w:rPr>
          <w:rFonts w:ascii="Arial" w:hAnsi="Arial" w:cs="Arial"/>
        </w:rPr>
        <w:t xml:space="preserve">In summary, the greatest potential for Tesco is in leveraging Clubcard data to provide personalised offers, build customer loyalty and meet the customer demand for affordable, convenient, healthy and sustainable food. Tesco has 18 million digital Clubcard users and growing personalised offers show how valuable this capability is </w:t>
      </w:r>
      <w:r w:rsidRPr="00ED27A5">
        <w:rPr>
          <w:rFonts w:ascii="Arial" w:hAnsi="Arial" w:cs="Arial"/>
        </w:rPr>
        <w:lastRenderedPageBreak/>
        <w:t xml:space="preserve">to the business. Technology can also enhance forecasting, availability, supply-chain productivity and reduce food-waste. But the biggest risks are high price competition from Aldi and Lidl, inflation and the cost of labour, energy and suppliers, which all squeeze margins. Long-term risks include crop disruption caused by climate change, uncertainty of supply chains, and environmental regulation. Tesco's key business risks are climate change, resilience to supply, inflation and competitor pressure. Hence, the key areas that Tesco should focus on </w:t>
      </w:r>
      <w:proofErr w:type="gramStart"/>
      <w:r w:rsidRPr="00ED27A5">
        <w:rPr>
          <w:rFonts w:ascii="Arial" w:hAnsi="Arial" w:cs="Arial"/>
        </w:rPr>
        <w:t>are:</w:t>
      </w:r>
      <w:proofErr w:type="gramEnd"/>
      <w:r w:rsidRPr="00ED27A5">
        <w:rPr>
          <w:rFonts w:ascii="Arial" w:hAnsi="Arial" w:cs="Arial"/>
        </w:rPr>
        <w:t xml:space="preserve"> personalised value, operational efficiency and resilient sustainable sourcing</w:t>
      </w:r>
      <w:r w:rsidR="0076731D" w:rsidRPr="00ED27A5">
        <w:rPr>
          <w:rFonts w:ascii="Arial" w:hAnsi="Arial" w:cs="Arial"/>
        </w:rPr>
        <w:t xml:space="preserve"> </w:t>
      </w:r>
      <w:r w:rsidR="0076731D" w:rsidRPr="00ED27A5">
        <w:rPr>
          <w:rFonts w:ascii="Arial" w:hAnsi="Arial" w:cs="Arial"/>
        </w:rPr>
        <w:t>(Nascimento et al., 2022)</w:t>
      </w:r>
      <w:r w:rsidRPr="00ED27A5">
        <w:rPr>
          <w:rFonts w:ascii="Arial" w:hAnsi="Arial" w:cs="Arial"/>
        </w:rPr>
        <w:t>.</w:t>
      </w:r>
    </w:p>
    <w:p w14:paraId="23610690" w14:textId="083AE409" w:rsidR="00CD42E9" w:rsidRPr="00ED27A5" w:rsidRDefault="00CD42E9" w:rsidP="00ED27A5">
      <w:pPr>
        <w:spacing w:line="360" w:lineRule="auto"/>
        <w:rPr>
          <w:rFonts w:ascii="Arial" w:hAnsi="Arial" w:cs="Arial"/>
        </w:rPr>
      </w:pPr>
      <w:r w:rsidRPr="00ED27A5">
        <w:rPr>
          <w:rFonts w:ascii="Arial" w:hAnsi="Arial" w:cs="Arial"/>
        </w:rPr>
        <w:br w:type="page"/>
      </w:r>
      <w:r w:rsidR="00284258">
        <w:rPr>
          <w:rFonts w:ascii="Arial" w:hAnsi="Arial" w:cs="Arial"/>
          <w:noProof/>
        </w:rPr>
        <w:lastRenderedPageBreak/>
        <w:drawing>
          <wp:inline distT="0" distB="0" distL="0" distR="0" wp14:anchorId="564AEBAF" wp14:editId="182B94F0">
            <wp:extent cx="5731510" cy="5765800"/>
            <wp:effectExtent l="0" t="0" r="0" b="0"/>
            <wp:docPr id="2016373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73953" name="Picture 2016373953"/>
                    <pic:cNvPicPr/>
                  </pic:nvPicPr>
                  <pic:blipFill>
                    <a:blip r:embed="rId10">
                      <a:extLst>
                        <a:ext uri="{28A0092B-C50C-407E-A947-70E740481C1C}">
                          <a14:useLocalDpi xmlns:a14="http://schemas.microsoft.com/office/drawing/2010/main" val="0"/>
                        </a:ext>
                      </a:extLst>
                    </a:blip>
                    <a:stretch>
                      <a:fillRect/>
                    </a:stretch>
                  </pic:blipFill>
                  <pic:spPr>
                    <a:xfrm>
                      <a:off x="0" y="0"/>
                      <a:ext cx="5731510" cy="5765800"/>
                    </a:xfrm>
                    <a:prstGeom prst="rect">
                      <a:avLst/>
                    </a:prstGeom>
                  </pic:spPr>
                </pic:pic>
              </a:graphicData>
            </a:graphic>
          </wp:inline>
        </w:drawing>
      </w:r>
    </w:p>
    <w:p w14:paraId="04AC6EEF" w14:textId="4AB922A4" w:rsidR="00CD42E9" w:rsidRPr="004B1D63" w:rsidRDefault="00284258" w:rsidP="004B1D63">
      <w:pPr>
        <w:pStyle w:val="NoSpacing"/>
      </w:pPr>
      <w:r>
        <w:t>PESTEL analysis of the external factors affecting Tesco (Source: Created by Learner)</w:t>
      </w:r>
      <w:r>
        <w:br/>
      </w:r>
      <w:r>
        <w:rPr>
          <w:rStyle w:val="Heading1Char"/>
          <w:rFonts w:asciiTheme="minorHAnsi" w:eastAsiaTheme="minorHAnsi" w:hAnsiTheme="minorHAnsi" w:cstheme="minorBidi"/>
          <w:color w:val="auto"/>
          <w:sz w:val="24"/>
          <w:szCs w:val="24"/>
        </w:rPr>
        <w:br/>
      </w:r>
      <w:r>
        <w:rPr>
          <w:rStyle w:val="Heading1Char"/>
          <w:rFonts w:asciiTheme="minorHAnsi" w:eastAsiaTheme="minorHAnsi" w:hAnsiTheme="minorHAnsi" w:cstheme="minorBidi"/>
          <w:color w:val="auto"/>
          <w:sz w:val="24"/>
          <w:szCs w:val="24"/>
        </w:rPr>
        <w:br/>
      </w:r>
      <w:r w:rsidR="00CD42E9" w:rsidRPr="00E3265C">
        <w:rPr>
          <w:rStyle w:val="Heading1Char"/>
        </w:rPr>
        <w:t>Internal Analysis: VRIO</w:t>
      </w:r>
      <w:r w:rsidR="00ED27A5" w:rsidRPr="004B1D63">
        <w:br/>
      </w:r>
      <w:r w:rsidR="00CD42E9" w:rsidRPr="004B1D63">
        <w:br/>
        <w:t xml:space="preserve"> </w:t>
      </w:r>
      <w:r w:rsidR="00CD42E9" w:rsidRPr="00E3265C">
        <w:rPr>
          <w:rStyle w:val="Heading2Char"/>
        </w:rPr>
        <w:t>Store Network and Distribution Infrastructure</w:t>
      </w:r>
      <w:r w:rsidR="00A900C6" w:rsidRPr="004B1D63">
        <w:rPr>
          <w:rStyle w:val="Heading2Char"/>
          <w:rFonts w:asciiTheme="minorHAnsi" w:eastAsiaTheme="minorHAnsi" w:hAnsiTheme="minorHAnsi" w:cstheme="minorBidi"/>
          <w:color w:val="auto"/>
          <w:sz w:val="24"/>
          <w:szCs w:val="24"/>
        </w:rPr>
        <w:br/>
      </w:r>
      <w:r w:rsidR="00CD42E9" w:rsidRPr="004B1D63">
        <w:t xml:space="preserve"> </w:t>
      </w:r>
    </w:p>
    <w:p w14:paraId="194A67FE" w14:textId="77777777" w:rsidR="00CD42E9" w:rsidRPr="00ED27A5" w:rsidRDefault="00CD42E9" w:rsidP="00ED27A5">
      <w:pPr>
        <w:spacing w:line="360" w:lineRule="auto"/>
        <w:rPr>
          <w:rFonts w:ascii="Arial" w:hAnsi="Arial" w:cs="Arial"/>
        </w:rPr>
      </w:pPr>
      <w:r w:rsidRPr="00ED27A5">
        <w:rPr>
          <w:rFonts w:ascii="Arial" w:hAnsi="Arial" w:cs="Arial"/>
        </w:rPr>
        <w:t>The wide and extensive store network and distribution system is a significant strategic asset for Tesco. It has large supermarkets, smaller convenience stores, fulfilment centres and delivery networks throughout the UK, allowing it to offer its customers a wide range of product choice, local convenience and flexible shopping. This resource is useful as it helps Tesco's multichannel business model, such as in-</w:t>
      </w:r>
      <w:r w:rsidRPr="00ED27A5">
        <w:rPr>
          <w:rFonts w:ascii="Arial" w:hAnsi="Arial" w:cs="Arial"/>
        </w:rPr>
        <w:lastRenderedPageBreak/>
        <w:t>store, click and collect and home delivery. It's not very common, since few other competitors have a similar national network of both large and convenience stores.</w:t>
      </w:r>
    </w:p>
    <w:p w14:paraId="35BD106A" w14:textId="6C4A7B16" w:rsidR="00CD42E9" w:rsidRPr="00ED27A5" w:rsidRDefault="00CD42E9" w:rsidP="00ED27A5">
      <w:pPr>
        <w:spacing w:line="360" w:lineRule="auto"/>
        <w:rPr>
          <w:rFonts w:ascii="Arial" w:hAnsi="Arial" w:cs="Arial"/>
        </w:rPr>
      </w:pPr>
      <w:r w:rsidRPr="00ED27A5">
        <w:rPr>
          <w:rFonts w:ascii="Arial" w:hAnsi="Arial" w:cs="Arial"/>
        </w:rPr>
        <w:t>The network is also expensive and time consuming to duplicate, since the replication would involve significant property and logistics investments, distribution technology and supplier relationships. Tesco is well structured to take advantage of this capacity in its supply chain processes and with its operational teams. As a result, its network offers a competitive edge that is sustained, through scale, customer convenience and product availability. But the high fixed costs of that kind of big estate can also be a disadvantage for Tesco, making it less flexible than the lower-cost discounters</w:t>
      </w:r>
      <w:r w:rsidR="0076731D" w:rsidRPr="00ED27A5">
        <w:rPr>
          <w:rFonts w:ascii="Arial" w:hAnsi="Arial" w:cs="Arial"/>
        </w:rPr>
        <w:t xml:space="preserve"> </w:t>
      </w:r>
      <w:r w:rsidR="0076731D" w:rsidRPr="00ED27A5">
        <w:rPr>
          <w:rFonts w:ascii="Arial" w:hAnsi="Arial" w:cs="Arial"/>
        </w:rPr>
        <w:t xml:space="preserve">(Hübner, </w:t>
      </w:r>
      <w:proofErr w:type="spellStart"/>
      <w:r w:rsidR="0076731D" w:rsidRPr="00ED27A5">
        <w:rPr>
          <w:rFonts w:ascii="Arial" w:hAnsi="Arial" w:cs="Arial"/>
        </w:rPr>
        <w:t>Hense</w:t>
      </w:r>
      <w:proofErr w:type="spellEnd"/>
      <w:r w:rsidR="0076731D" w:rsidRPr="00ED27A5">
        <w:rPr>
          <w:rFonts w:ascii="Arial" w:hAnsi="Arial" w:cs="Arial"/>
        </w:rPr>
        <w:t xml:space="preserve"> and Dethlefs, 2022)</w:t>
      </w:r>
      <w:r w:rsidRPr="00ED27A5">
        <w:rPr>
          <w:rFonts w:ascii="Arial" w:hAnsi="Arial" w:cs="Arial"/>
        </w:rPr>
        <w:t>.</w:t>
      </w:r>
    </w:p>
    <w:p w14:paraId="42F59F02" w14:textId="0E069728" w:rsidR="00BD3F22" w:rsidRPr="00A900C6" w:rsidRDefault="00BD3F22" w:rsidP="00E3265C">
      <w:pPr>
        <w:pStyle w:val="Heading3"/>
      </w:pPr>
      <w:bookmarkStart w:id="9" w:name="_Toc237395731"/>
      <w:r w:rsidRPr="00A900C6">
        <w:t>Clubcard Data and Customer Relationships</w:t>
      </w:r>
      <w:bookmarkEnd w:id="9"/>
      <w:r w:rsidR="00A900C6" w:rsidRPr="00A900C6">
        <w:br/>
      </w:r>
    </w:p>
    <w:p w14:paraId="4AEA0DF4" w14:textId="2DE18AFC" w:rsidR="00BD3F22" w:rsidRPr="00ED27A5" w:rsidRDefault="00912929" w:rsidP="00ED27A5">
      <w:pPr>
        <w:spacing w:line="360" w:lineRule="auto"/>
        <w:rPr>
          <w:rFonts w:ascii="Arial" w:hAnsi="Arial" w:cs="Arial"/>
        </w:rPr>
      </w:pPr>
      <w:r w:rsidRPr="00ED27A5">
        <w:rPr>
          <w:rFonts w:ascii="Arial" w:hAnsi="Arial" w:cs="Arial"/>
        </w:rPr>
        <w:t>Tesco’s Clubcard is an intangible asset, providing customer data that supports personalised discounts, product selection, demand forecasting and efficient promotional spending. UK Clubcard sales penetration reached approximately 84%, demonstrating its importance for engagement and data collection. Although loyalty programmes are common, Tesco’s transaction data, analytical capabilities, customer relationships and integration of Clubcard Prices are difficult to replicate. Tesco exploits this resource through its app, website, pricing policy and marketing campaigns. Consequently, Clubcard can provide a sustained competitive advantage by delivering value to customers. However, its long-term effectiveness depends on maintaining trust through transparent consent, strong cybersecurity and robust data-governance practices</w:t>
      </w:r>
      <w:r w:rsidRPr="00ED27A5">
        <w:rPr>
          <w:rFonts w:ascii="Arial" w:hAnsi="Arial" w:cs="Arial"/>
        </w:rPr>
        <w:t xml:space="preserve"> </w:t>
      </w:r>
      <w:r w:rsidRPr="00ED27A5">
        <w:rPr>
          <w:rFonts w:ascii="Arial" w:hAnsi="Arial" w:cs="Arial"/>
        </w:rPr>
        <w:t>(Gauri et al., 2021).</w:t>
      </w:r>
      <w:r w:rsidR="00A900C6">
        <w:rPr>
          <w:rFonts w:ascii="Arial" w:hAnsi="Arial" w:cs="Arial"/>
        </w:rPr>
        <w:br/>
      </w:r>
    </w:p>
    <w:p w14:paraId="3DA060B0" w14:textId="6EB9FAD2" w:rsidR="00BD3F22" w:rsidRPr="004B1D63" w:rsidRDefault="00BD3F22" w:rsidP="00E3265C">
      <w:pPr>
        <w:pStyle w:val="Heading3"/>
      </w:pPr>
      <w:bookmarkStart w:id="10" w:name="_Toc237395732"/>
      <w:r w:rsidRPr="004B1D63">
        <w:t>Brand, Own-Label Range and Buying Power</w:t>
      </w:r>
      <w:bookmarkEnd w:id="10"/>
      <w:r w:rsidR="004B1D63" w:rsidRPr="004B1D63">
        <w:br/>
      </w:r>
      <w:r w:rsidR="005E2D27" w:rsidRPr="004B1D63">
        <w:br/>
      </w:r>
    </w:p>
    <w:p w14:paraId="090084C5" w14:textId="607F37CB" w:rsidR="00BD3F22" w:rsidRDefault="00912929" w:rsidP="004B1D63">
      <w:pPr>
        <w:pStyle w:val="NoSpacing"/>
        <w:rPr>
          <w:lang w:eastAsia="en-GB"/>
        </w:rPr>
      </w:pPr>
      <w:r w:rsidRPr="004B1D63">
        <w:rPr>
          <w:rFonts w:ascii="Arial" w:hAnsi="Arial" w:cs="Arial"/>
        </w:rPr>
        <w:t xml:space="preserve">Tesco’s brand reputation, own-label portfolio and purchasing power are internal resources. Its brand is associated with product range, accessibility and value, while own-label tiers, including Tesco Finest, serve budgets and support quality, pricing and margins. Tesco’s scale strengthens buying power: it works with over 3,400 UK suppliers and directs 95% of UK product spending to UK-based businesses. However, these resources are only partly rare because Sainsbury’s, Aldi and Lidl also have strong brands and private-label ranges. Tesco’s supplier relationships, specialist buying teams and national distribution network are harder to replicate. </w:t>
      </w:r>
      <w:r w:rsidRPr="004B1D63">
        <w:rPr>
          <w:rFonts w:ascii="Arial" w:hAnsi="Arial" w:cs="Arial"/>
        </w:rPr>
        <w:lastRenderedPageBreak/>
        <w:t>Therefore, these assets create a strong, but not sustainable, competitive advantage</w:t>
      </w:r>
      <w:r w:rsidRPr="004B1D63">
        <w:rPr>
          <w:rFonts w:ascii="Arial" w:hAnsi="Arial" w:cs="Arial"/>
        </w:rPr>
        <w:t xml:space="preserve"> </w:t>
      </w:r>
      <w:r w:rsidRPr="004B1D63">
        <w:rPr>
          <w:rFonts w:ascii="Arial" w:hAnsi="Arial" w:cs="Arial"/>
        </w:rPr>
        <w:t xml:space="preserve">(ter Braak, </w:t>
      </w:r>
      <w:proofErr w:type="spellStart"/>
      <w:r w:rsidRPr="004B1D63">
        <w:rPr>
          <w:rFonts w:ascii="Arial" w:hAnsi="Arial" w:cs="Arial"/>
        </w:rPr>
        <w:t>Dekimpe</w:t>
      </w:r>
      <w:proofErr w:type="spellEnd"/>
      <w:r w:rsidRPr="004B1D63">
        <w:rPr>
          <w:rFonts w:ascii="Arial" w:hAnsi="Arial" w:cs="Arial"/>
        </w:rPr>
        <w:t xml:space="preserve"> and </w:t>
      </w:r>
      <w:proofErr w:type="spellStart"/>
      <w:r w:rsidRPr="004B1D63">
        <w:rPr>
          <w:rFonts w:ascii="Arial" w:hAnsi="Arial" w:cs="Arial"/>
        </w:rPr>
        <w:t>Geyskens</w:t>
      </w:r>
      <w:proofErr w:type="spellEnd"/>
      <w:r w:rsidRPr="004B1D63">
        <w:rPr>
          <w:rFonts w:ascii="Arial" w:hAnsi="Arial" w:cs="Arial"/>
        </w:rPr>
        <w:t>, 2013).</w:t>
      </w:r>
      <w:r w:rsidRPr="00ED27A5">
        <w:rPr>
          <w:rFonts w:ascii="Arial" w:hAnsi="Arial" w:cs="Arial"/>
        </w:rPr>
        <w:br/>
      </w:r>
      <w:r w:rsidRPr="00ED27A5">
        <w:rPr>
          <w:rFonts w:ascii="Arial" w:hAnsi="Arial" w:cs="Arial"/>
        </w:rPr>
        <w:br/>
      </w:r>
      <w:r w:rsidR="00BD3F22" w:rsidRPr="00E3265C">
        <w:rPr>
          <w:rStyle w:val="Heading3Char"/>
        </w:rPr>
        <w:t>Omnichannel Capability and Workforce</w:t>
      </w:r>
    </w:p>
    <w:p w14:paraId="7F8DEDF6" w14:textId="77777777" w:rsidR="00E3265C" w:rsidRPr="00ED27A5" w:rsidRDefault="00E3265C" w:rsidP="004B1D63">
      <w:pPr>
        <w:pStyle w:val="NoSpacing"/>
        <w:rPr>
          <w:rFonts w:ascii="Arial" w:eastAsia="Times New Roman" w:hAnsi="Arial" w:cs="Arial"/>
          <w:b/>
          <w:bCs/>
          <w:kern w:val="0"/>
          <w:lang w:eastAsia="en-GB"/>
          <w14:ligatures w14:val="none"/>
        </w:rPr>
      </w:pPr>
    </w:p>
    <w:p w14:paraId="20664703" w14:textId="29656866" w:rsidR="00BD3F22" w:rsidRPr="00ED27A5" w:rsidRDefault="00BD3F22" w:rsidP="00ED27A5">
      <w:pPr>
        <w:spacing w:line="360" w:lineRule="auto"/>
        <w:rPr>
          <w:rFonts w:ascii="Arial" w:hAnsi="Arial" w:cs="Arial"/>
        </w:rPr>
      </w:pPr>
      <w:r w:rsidRPr="00ED27A5">
        <w:rPr>
          <w:rFonts w:ascii="Arial" w:hAnsi="Arial" w:cs="Arial"/>
        </w:rPr>
        <w:t>Tesco's omnichannel capability is a mix of supermarket, convenience store, online grocery, click and collect and quick delivery, allowing customers to shop via their channel of choice. This is useful as it makes it easier for customers to use the site, helps them to stay loyal to the brand and enables Tesco to cater for various shopping needs – from large weekly grocery shopping to quick top-up shopping. Tesco's online sales rose by 11.2% in 2025/26, while its Whoosh rapid delivery service grew to 70.2% of UK households</w:t>
      </w:r>
      <w:r w:rsidR="00AE67B5" w:rsidRPr="00ED27A5">
        <w:rPr>
          <w:rFonts w:ascii="Arial" w:hAnsi="Arial" w:cs="Arial"/>
        </w:rPr>
        <w:t xml:space="preserve"> </w:t>
      </w:r>
      <w:r w:rsidR="00AE67B5" w:rsidRPr="00ED27A5">
        <w:rPr>
          <w:rFonts w:ascii="Arial" w:hAnsi="Arial" w:cs="Arial"/>
        </w:rPr>
        <w:t>(Milligan et al., 2025)</w:t>
      </w:r>
      <w:r w:rsidRPr="00ED27A5">
        <w:rPr>
          <w:rFonts w:ascii="Arial" w:hAnsi="Arial" w:cs="Arial"/>
        </w:rPr>
        <w:t>.</w:t>
      </w:r>
    </w:p>
    <w:p w14:paraId="1F058BA9" w14:textId="409DBAE4" w:rsidR="00BD3F22" w:rsidRPr="00ED27A5" w:rsidRDefault="00BD3F22" w:rsidP="00ED27A5">
      <w:pPr>
        <w:spacing w:line="360" w:lineRule="auto"/>
        <w:rPr>
          <w:rFonts w:ascii="Arial" w:hAnsi="Arial" w:cs="Arial"/>
        </w:rPr>
      </w:pPr>
      <w:r w:rsidRPr="00ED27A5">
        <w:rPr>
          <w:rFonts w:ascii="Arial" w:hAnsi="Arial" w:cs="Arial"/>
        </w:rPr>
        <w:t>But omnichannel retailing is not entirely uncommon, as Sainsbury's, Asda, Ocado and Amazon also have online and delivery services. It is also becoming more replicable, albeit with the need for significant investment to build a national fulfilment and delivery network. Tesco is well set up to take advantage of this capability, with its store estate, delivery network, digital platforms and trained staff. As a result, omnichannel capability offers a short-term competitive edge and is now becoming a competitive must. Ongoing training of staff, especially on digital operations, customer service, and data utilization, is critical to ensure service quality and efficiency</w:t>
      </w:r>
      <w:r w:rsidR="00AE67B5" w:rsidRPr="00ED27A5">
        <w:rPr>
          <w:rFonts w:ascii="Arial" w:hAnsi="Arial" w:cs="Arial"/>
        </w:rPr>
        <w:t xml:space="preserve"> </w:t>
      </w:r>
      <w:r w:rsidR="00AE67B5" w:rsidRPr="00ED27A5">
        <w:rPr>
          <w:rFonts w:ascii="Arial" w:hAnsi="Arial" w:cs="Arial"/>
        </w:rPr>
        <w:t>(Milligan et al., 2025)</w:t>
      </w:r>
      <w:r w:rsidRPr="00ED27A5">
        <w:rPr>
          <w:rFonts w:ascii="Arial" w:hAnsi="Arial" w:cs="Arial"/>
        </w:rPr>
        <w:t>.</w:t>
      </w:r>
      <w:r w:rsidR="00A900C6">
        <w:rPr>
          <w:rFonts w:ascii="Arial" w:hAnsi="Arial" w:cs="Arial"/>
        </w:rPr>
        <w:br/>
      </w:r>
    </w:p>
    <w:p w14:paraId="587A7051" w14:textId="3E49B563" w:rsidR="00BD3F22" w:rsidRPr="004B1D63" w:rsidRDefault="00BD3F22" w:rsidP="00E3265C">
      <w:pPr>
        <w:pStyle w:val="Heading3"/>
      </w:pPr>
      <w:bookmarkStart w:id="11" w:name="_Toc237395733"/>
      <w:r w:rsidRPr="004B1D63">
        <w:t>VRIO Evaluation: Key Strengths and Weaknesses</w:t>
      </w:r>
      <w:bookmarkEnd w:id="11"/>
      <w:r w:rsidR="004B1D63" w:rsidRPr="004B1D63">
        <w:br/>
      </w:r>
      <w:r w:rsidR="004B1D63" w:rsidRPr="004B1D63">
        <w:br/>
      </w:r>
    </w:p>
    <w:p w14:paraId="07DD6147" w14:textId="7B2A70C6" w:rsidR="00BD3F22" w:rsidRPr="00ED27A5" w:rsidRDefault="00912929" w:rsidP="004B1D63">
      <w:pPr>
        <w:pStyle w:val="NoSpacing"/>
        <w:rPr>
          <w:rFonts w:ascii="Arial" w:eastAsia="Times New Roman" w:hAnsi="Arial" w:cs="Arial"/>
          <w:b/>
          <w:bCs/>
          <w:kern w:val="0"/>
          <w:lang w:eastAsia="en-GB"/>
          <w14:ligatures w14:val="none"/>
        </w:rPr>
      </w:pPr>
      <w:r w:rsidRPr="00ED27A5">
        <w:rPr>
          <w:rFonts w:ascii="Arial" w:hAnsi="Arial" w:cs="Arial"/>
        </w:rPr>
        <w:t>VRIO analysis identifies Tesco’s strengths as its store and distribution network, buying scale, brand, Clubcard data and integrated online capability. Clubcard is its strongest source of sustained advantage because customer data, personalised pricing and digital channels are difficult for competitors to reproduce. Tesco confirmed that 100% of active Clubcard customers receive personalised online grocery experiences. However, Tesco has weaknesses. Its store estate and multichannel operations create fixed costs, making it less cost-efficient than Aldi and Lidl. Tesco also relies on the competitive UK grocery market, where margins are low. Digital platforms and customer data expose Tesco to cybersecurity and data-privacy risks</w:t>
      </w:r>
      <w:r w:rsidR="00323FA5" w:rsidRPr="00ED27A5">
        <w:rPr>
          <w:rFonts w:ascii="Arial" w:hAnsi="Arial" w:cs="Arial"/>
        </w:rPr>
        <w:t xml:space="preserve"> </w:t>
      </w:r>
      <w:r w:rsidR="00323FA5" w:rsidRPr="00ED27A5">
        <w:rPr>
          <w:rFonts w:ascii="Arial" w:hAnsi="Arial" w:cs="Arial"/>
        </w:rPr>
        <w:t>(Akter et al., 2016)</w:t>
      </w:r>
      <w:r w:rsidRPr="00ED27A5">
        <w:rPr>
          <w:rFonts w:ascii="Arial" w:hAnsi="Arial" w:cs="Arial"/>
        </w:rPr>
        <w:t>.</w:t>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noProof/>
        </w:rPr>
        <w:lastRenderedPageBreak/>
        <w:drawing>
          <wp:inline distT="0" distB="0" distL="0" distR="0" wp14:anchorId="7C336D72" wp14:editId="520C354F">
            <wp:extent cx="5731510" cy="3103880"/>
            <wp:effectExtent l="0" t="0" r="0" b="0"/>
            <wp:docPr id="12918145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14585" name="Picture 129181458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a:graphicData>
            </a:graphic>
          </wp:inline>
        </w:drawing>
      </w:r>
      <w:r w:rsidR="00284258">
        <w:rPr>
          <w:rFonts w:ascii="Arial" w:hAnsi="Arial" w:cs="Arial"/>
        </w:rPr>
        <w:br/>
      </w:r>
      <w:r w:rsidR="00284258">
        <w:rPr>
          <w:rFonts w:ascii="Arial" w:hAnsi="Arial" w:cs="Arial"/>
        </w:rPr>
        <w:br/>
      </w:r>
      <w:r w:rsidR="00284258">
        <w:t>VRIO analysis of Tesco’s strategic resources and capabilities (Source: Created by Learner).</w:t>
      </w:r>
      <w:r w:rsidR="004B1D63">
        <w:rPr>
          <w:rFonts w:ascii="Arial" w:hAnsi="Arial" w:cs="Arial"/>
        </w:rPr>
        <w:br/>
      </w:r>
      <w:r w:rsidR="00284258">
        <w:rPr>
          <w:rFonts w:ascii="Arial" w:hAnsi="Arial" w:cs="Arial"/>
        </w:rPr>
        <w:br/>
      </w:r>
      <w:r w:rsidRPr="00ED27A5">
        <w:rPr>
          <w:rFonts w:ascii="Arial" w:hAnsi="Arial" w:cs="Arial"/>
        </w:rPr>
        <w:br/>
      </w:r>
      <w:r w:rsidR="00BD3F22" w:rsidRPr="00E3265C">
        <w:rPr>
          <w:rStyle w:val="Heading1Char"/>
        </w:rPr>
        <w:t>SWOT Analysis: Strengths</w:t>
      </w:r>
      <w:r w:rsidR="004B1D63">
        <w:rPr>
          <w:rStyle w:val="Heading1Char"/>
          <w:rFonts w:ascii="Arial" w:hAnsi="Arial" w:cs="Arial"/>
          <w:sz w:val="24"/>
          <w:szCs w:val="24"/>
          <w:lang w:eastAsia="en-GB"/>
        </w:rPr>
        <w:br/>
      </w:r>
    </w:p>
    <w:p w14:paraId="5267D138" w14:textId="42BC7D24" w:rsidR="00BD3F22" w:rsidRPr="00ED27A5" w:rsidRDefault="00323FA5" w:rsidP="004B1D63">
      <w:pPr>
        <w:pStyle w:val="NoSpacing"/>
        <w:rPr>
          <w:rFonts w:ascii="Arial" w:eastAsia="Times New Roman" w:hAnsi="Arial" w:cs="Arial"/>
          <w:b/>
          <w:bCs/>
          <w:kern w:val="0"/>
          <w:lang w:eastAsia="en-GB"/>
          <w14:ligatures w14:val="none"/>
        </w:rPr>
      </w:pPr>
      <w:r w:rsidRPr="00ED27A5">
        <w:rPr>
          <w:rFonts w:ascii="Arial" w:hAnsi="Arial" w:cs="Arial"/>
        </w:rPr>
        <w:t xml:space="preserve">Tesco’s key strengths are its UK market share, buying power, trusted brand and network of supermarkets, convenience stores and distribution centres. This scale improves supplier negotiations, product availability and competitive pricing. Tesco’s UK market share rose for a third consecutive year to 28.5% in 2025/26 (Wollenburg et al., 2018). Clubcard is another strength, providing purchase data for personalised offers, customer retention and targeted price investment. Tesco’s omnichannel capability is significant: online grocery sales exceeded £7 billion in </w:t>
      </w:r>
      <w:proofErr w:type="gramStart"/>
      <w:r w:rsidRPr="00ED27A5">
        <w:rPr>
          <w:rFonts w:ascii="Arial" w:hAnsi="Arial" w:cs="Arial"/>
        </w:rPr>
        <w:t>2025/26</w:t>
      </w:r>
      <w:proofErr w:type="gramEnd"/>
      <w:r w:rsidRPr="00ED27A5">
        <w:rPr>
          <w:rFonts w:ascii="Arial" w:hAnsi="Arial" w:cs="Arial"/>
        </w:rPr>
        <w:t xml:space="preserve"> and online market share reached 35.7%. Its own-label range, stores, Tesco Express and Whoosh meet needs for value, convenience, quality and speed</w:t>
      </w:r>
      <w:r w:rsidRPr="00ED27A5">
        <w:rPr>
          <w:rFonts w:ascii="Arial" w:hAnsi="Arial" w:cs="Arial"/>
        </w:rPr>
        <w:t xml:space="preserve"> </w:t>
      </w:r>
      <w:r w:rsidRPr="00ED27A5">
        <w:rPr>
          <w:rFonts w:ascii="Arial" w:hAnsi="Arial" w:cs="Arial"/>
        </w:rPr>
        <w:t>(Wollenburg et al., 2018).</w:t>
      </w:r>
      <w:r w:rsidRPr="00ED27A5">
        <w:rPr>
          <w:rFonts w:ascii="Arial" w:hAnsi="Arial" w:cs="Arial"/>
        </w:rPr>
        <w:br/>
      </w:r>
      <w:r w:rsidRPr="00ED27A5">
        <w:rPr>
          <w:rFonts w:ascii="Arial" w:hAnsi="Arial" w:cs="Arial"/>
        </w:rPr>
        <w:br/>
      </w:r>
      <w:r w:rsidR="00BD3F22" w:rsidRPr="00E3265C">
        <w:rPr>
          <w:rStyle w:val="Heading2Char"/>
        </w:rPr>
        <w:t>SWOT Analysis: Weaknesses</w:t>
      </w:r>
      <w:r w:rsidR="005E2D27">
        <w:rPr>
          <w:rStyle w:val="Heading2Char"/>
          <w:rFonts w:ascii="Arial" w:hAnsi="Arial" w:cs="Arial"/>
          <w:sz w:val="24"/>
          <w:szCs w:val="24"/>
          <w:lang w:eastAsia="en-GB"/>
        </w:rPr>
        <w:br/>
      </w:r>
    </w:p>
    <w:p w14:paraId="59AB6701" w14:textId="5419A003" w:rsidR="00BD3F22" w:rsidRPr="00ED27A5" w:rsidRDefault="00700213" w:rsidP="004B1D63">
      <w:pPr>
        <w:pStyle w:val="NoSpacing"/>
        <w:rPr>
          <w:rFonts w:ascii="Arial" w:eastAsia="Times New Roman" w:hAnsi="Arial" w:cs="Arial"/>
          <w:b/>
          <w:bCs/>
          <w:kern w:val="0"/>
          <w:lang w:eastAsia="en-GB"/>
          <w14:ligatures w14:val="none"/>
        </w:rPr>
      </w:pPr>
      <w:r w:rsidRPr="00ED27A5">
        <w:rPr>
          <w:rFonts w:ascii="Arial" w:hAnsi="Arial" w:cs="Arial"/>
        </w:rPr>
        <w:t>Tesco’s high-cost operating model is a major weakness. Its supermarkets, convenience outlets, warehouses, delivery services and workforce create fixed costs. Consequently, Tesco is less cost-efficient than Aldi and Lidl, which operate limited ranges and simpler store formats. Profitability is exposed to rising National Insurance contributions, packaging levies, wages and energy costs, although Tesco’s Save to Invest programme helped offset operating-cost inflation in 2025/26 (Wollenburg et al., 2018). Tesco also depends on the competitive UK grocery market. This limits growth and increases exposure to economic conditions, price-sensitive customers and price wars. Thin margins restrict Tesco’s ability to pass costs to customers</w:t>
      </w:r>
      <w:r w:rsidRPr="00ED27A5">
        <w:rPr>
          <w:rFonts w:ascii="Arial" w:hAnsi="Arial" w:cs="Arial"/>
        </w:rPr>
        <w:t xml:space="preserve"> </w:t>
      </w:r>
      <w:r w:rsidRPr="00ED27A5">
        <w:rPr>
          <w:rFonts w:ascii="Arial" w:hAnsi="Arial" w:cs="Arial"/>
        </w:rPr>
        <w:t>(Wollenburg et al., 2018).</w:t>
      </w:r>
      <w:r w:rsidRPr="00ED27A5">
        <w:rPr>
          <w:rFonts w:ascii="Arial" w:hAnsi="Arial" w:cs="Arial"/>
        </w:rPr>
        <w:br/>
      </w:r>
      <w:r w:rsidRPr="00ED27A5">
        <w:rPr>
          <w:rFonts w:ascii="Arial" w:hAnsi="Arial" w:cs="Arial"/>
        </w:rPr>
        <w:br/>
      </w:r>
      <w:r w:rsidR="00BD3F22" w:rsidRPr="00E3265C">
        <w:rPr>
          <w:rStyle w:val="Heading3Char"/>
        </w:rPr>
        <w:lastRenderedPageBreak/>
        <w:t>SWOT Analysis: Opportunities</w:t>
      </w:r>
      <w:r w:rsidR="005E2D27">
        <w:rPr>
          <w:rStyle w:val="Heading2Char"/>
          <w:rFonts w:ascii="Arial" w:hAnsi="Arial" w:cs="Arial"/>
          <w:sz w:val="24"/>
          <w:szCs w:val="24"/>
          <w:lang w:eastAsia="en-GB"/>
        </w:rPr>
        <w:br/>
      </w:r>
    </w:p>
    <w:p w14:paraId="4B4D5D22" w14:textId="761C71B9" w:rsidR="00BD3F22" w:rsidRPr="00ED27A5" w:rsidRDefault="00700213" w:rsidP="004B1D63">
      <w:pPr>
        <w:pStyle w:val="NoSpacing"/>
        <w:rPr>
          <w:rFonts w:ascii="Arial" w:eastAsia="Times New Roman" w:hAnsi="Arial" w:cs="Arial"/>
          <w:b/>
          <w:bCs/>
          <w:kern w:val="0"/>
          <w:lang w:eastAsia="en-GB"/>
          <w14:ligatures w14:val="none"/>
        </w:rPr>
      </w:pPr>
      <w:r w:rsidRPr="00ED27A5">
        <w:rPr>
          <w:rFonts w:ascii="Arial" w:hAnsi="Arial" w:cs="Arial"/>
        </w:rPr>
        <w:t>Tesco has opportunities to expand through convenience retailing, online grocery and rapid delivery. Its Whoosh service uses Tesco’s store network to meet demand for quick, convenient shopping and compete with Amazon and delivery providers. Tesco can also use Clubcard data and artificial intelligence to create personalised promotions, healthier product recommendations and targeted value offers. Consumer interest in nutrition, ethical sourcing and responsibility creates opportunities to expand affordable healthy and sustainable own-label ranges. Furthermore, energy efficiency, food-waste reduction, electric delivery vehicles and resilient supply chains can lower long-term costs, strengthen regulatory compliance and improve Tesco’s reputation among customers, investors and communities</w:t>
      </w:r>
      <w:r w:rsidRPr="00ED27A5">
        <w:rPr>
          <w:rFonts w:ascii="Arial" w:hAnsi="Arial" w:cs="Arial"/>
        </w:rPr>
        <w:t xml:space="preserve"> </w:t>
      </w:r>
      <w:r w:rsidRPr="00ED27A5">
        <w:rPr>
          <w:rFonts w:ascii="Arial" w:hAnsi="Arial" w:cs="Arial"/>
        </w:rPr>
        <w:t>(</w:t>
      </w:r>
      <w:proofErr w:type="spellStart"/>
      <w:r w:rsidRPr="00ED27A5">
        <w:rPr>
          <w:rFonts w:ascii="Arial" w:hAnsi="Arial" w:cs="Arial"/>
        </w:rPr>
        <w:t>Stecuła</w:t>
      </w:r>
      <w:proofErr w:type="spellEnd"/>
      <w:r w:rsidRPr="00ED27A5">
        <w:rPr>
          <w:rFonts w:ascii="Arial" w:hAnsi="Arial" w:cs="Arial"/>
        </w:rPr>
        <w:t>, Wolniak and Aydın, 2024).</w:t>
      </w:r>
      <w:r w:rsidRPr="00ED27A5">
        <w:rPr>
          <w:rFonts w:ascii="Arial" w:hAnsi="Arial" w:cs="Arial"/>
        </w:rPr>
        <w:br/>
      </w:r>
      <w:r w:rsidRPr="00ED27A5">
        <w:rPr>
          <w:rFonts w:ascii="Arial" w:hAnsi="Arial" w:cs="Arial"/>
        </w:rPr>
        <w:br/>
      </w:r>
      <w:r w:rsidR="00BD3F22" w:rsidRPr="00E3265C">
        <w:rPr>
          <w:rStyle w:val="Heading4Char"/>
        </w:rPr>
        <w:t>SWOT Analysis: Threats</w:t>
      </w:r>
      <w:r w:rsidR="005E2D27" w:rsidRPr="004B1D63">
        <w:rPr>
          <w:lang w:eastAsia="en-GB"/>
        </w:rPr>
        <w:br/>
      </w:r>
    </w:p>
    <w:p w14:paraId="775B8F46" w14:textId="77777777" w:rsidR="00284258" w:rsidRDefault="00830C0C" w:rsidP="00ED27A5">
      <w:pPr>
        <w:spacing w:line="360" w:lineRule="auto"/>
        <w:rPr>
          <w:rFonts w:ascii="Arial" w:hAnsi="Arial" w:cs="Arial"/>
        </w:rPr>
      </w:pPr>
      <w:r w:rsidRPr="00ED27A5">
        <w:rPr>
          <w:rFonts w:ascii="Arial" w:hAnsi="Arial" w:cs="Arial"/>
        </w:rPr>
        <w:t>Aldi and Lidl are Tesco’s competitors because their low-cost, limited-assortment models appeal to price-sensitive consumers. This pressure may require Tesco to increase investment in Aldi Price Match and Clubcard Prices, reducing margins. Macroeconomic uncertainty is another threat. Rising wages, National Insurance contributions, energy, commodity and transport costs increase Tesco’s expenses. Passing costs to consumers could cause losses to discounters, while absorbing them could reduce profitability. Climate change threatens production, food availability and supply-chain security. Tesco identifies climate change, responsible sourcing, security of supply, cybersecurity and data privacy as risks. Failure to meet targets could damage reputation and increase scrutiny</w:t>
      </w:r>
      <w:r w:rsidRPr="00ED27A5">
        <w:rPr>
          <w:rFonts w:ascii="Arial" w:hAnsi="Arial" w:cs="Arial"/>
        </w:rPr>
        <w:t xml:space="preserve"> </w:t>
      </w:r>
      <w:r w:rsidRPr="00ED27A5">
        <w:rPr>
          <w:rFonts w:ascii="Arial" w:hAnsi="Arial" w:cs="Arial"/>
        </w:rPr>
        <w:t>(</w:t>
      </w:r>
      <w:proofErr w:type="spellStart"/>
      <w:r w:rsidRPr="00ED27A5">
        <w:rPr>
          <w:rFonts w:ascii="Arial" w:hAnsi="Arial" w:cs="Arial"/>
        </w:rPr>
        <w:t>Tchonkouang</w:t>
      </w:r>
      <w:proofErr w:type="spellEnd"/>
      <w:r w:rsidRPr="00ED27A5">
        <w:rPr>
          <w:rFonts w:ascii="Arial" w:hAnsi="Arial" w:cs="Arial"/>
        </w:rPr>
        <w:t xml:space="preserve">, </w:t>
      </w:r>
      <w:proofErr w:type="spellStart"/>
      <w:r w:rsidRPr="00ED27A5">
        <w:rPr>
          <w:rFonts w:ascii="Arial" w:hAnsi="Arial" w:cs="Arial"/>
        </w:rPr>
        <w:t>Onyeaka</w:t>
      </w:r>
      <w:proofErr w:type="spellEnd"/>
      <w:r w:rsidRPr="00ED27A5">
        <w:rPr>
          <w:rFonts w:ascii="Arial" w:hAnsi="Arial" w:cs="Arial"/>
        </w:rPr>
        <w:t xml:space="preserve"> and </w:t>
      </w:r>
      <w:proofErr w:type="spellStart"/>
      <w:r w:rsidRPr="00ED27A5">
        <w:rPr>
          <w:rFonts w:ascii="Arial" w:hAnsi="Arial" w:cs="Arial"/>
        </w:rPr>
        <w:t>Nkoutchou</w:t>
      </w:r>
      <w:proofErr w:type="spellEnd"/>
      <w:r w:rsidRPr="00ED27A5">
        <w:rPr>
          <w:rFonts w:ascii="Arial" w:hAnsi="Arial" w:cs="Arial"/>
        </w:rPr>
        <w:t>, 2024).</w:t>
      </w:r>
      <w:r w:rsidR="00284258">
        <w:rPr>
          <w:rFonts w:ascii="Arial" w:hAnsi="Arial" w:cs="Arial"/>
        </w:rPr>
        <w:br/>
      </w:r>
      <w:r w:rsidR="00284258">
        <w:rPr>
          <w:rFonts w:ascii="Arial" w:hAnsi="Arial" w:cs="Arial"/>
          <w:noProof/>
        </w:rPr>
        <w:lastRenderedPageBreak/>
        <w:drawing>
          <wp:inline distT="0" distB="0" distL="0" distR="0" wp14:anchorId="519D867C" wp14:editId="7E60EF71">
            <wp:extent cx="5731510" cy="5774690"/>
            <wp:effectExtent l="0" t="0" r="0" b="3810"/>
            <wp:docPr id="7569668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66872" name="Picture 756966872"/>
                    <pic:cNvPicPr/>
                  </pic:nvPicPr>
                  <pic:blipFill>
                    <a:blip r:embed="rId12">
                      <a:extLst>
                        <a:ext uri="{28A0092B-C50C-407E-A947-70E740481C1C}">
                          <a14:useLocalDpi xmlns:a14="http://schemas.microsoft.com/office/drawing/2010/main" val="0"/>
                        </a:ext>
                      </a:extLst>
                    </a:blip>
                    <a:stretch>
                      <a:fillRect/>
                    </a:stretch>
                  </pic:blipFill>
                  <pic:spPr>
                    <a:xfrm>
                      <a:off x="0" y="0"/>
                      <a:ext cx="5731510" cy="5774690"/>
                    </a:xfrm>
                    <a:prstGeom prst="rect">
                      <a:avLst/>
                    </a:prstGeom>
                  </pic:spPr>
                </pic:pic>
              </a:graphicData>
            </a:graphic>
          </wp:inline>
        </w:drawing>
      </w:r>
      <w:r w:rsidR="00284258">
        <w:rPr>
          <w:rFonts w:ascii="Arial" w:hAnsi="Arial" w:cs="Arial"/>
        </w:rPr>
        <w:br/>
      </w:r>
      <w:r w:rsidR="00284258">
        <w:rPr>
          <w:rFonts w:ascii="Arial" w:hAnsi="Arial" w:cs="Arial"/>
        </w:rPr>
        <w:br/>
      </w:r>
      <w:r w:rsidR="00284258">
        <w:t>SWOT analysis of Tesco (Source: Created by Learner).</w:t>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p>
    <w:p w14:paraId="5E2091E7" w14:textId="42A96384" w:rsidR="00BD3F22" w:rsidRPr="00ED27A5" w:rsidRDefault="00A900C6" w:rsidP="00ED27A5">
      <w:pPr>
        <w:spacing w:line="360" w:lineRule="auto"/>
        <w:rPr>
          <w:rFonts w:ascii="Arial" w:hAnsi="Arial" w:cs="Arial"/>
        </w:rPr>
      </w:pPr>
      <w:r>
        <w:rPr>
          <w:rFonts w:ascii="Arial" w:hAnsi="Arial" w:cs="Arial"/>
        </w:rPr>
        <w:br/>
      </w:r>
    </w:p>
    <w:p w14:paraId="7F53DCF6" w14:textId="3C43AFDB" w:rsidR="00BD3F22" w:rsidRPr="00A900C6" w:rsidRDefault="00BD3F22" w:rsidP="00E3265C">
      <w:pPr>
        <w:pStyle w:val="Heading5"/>
      </w:pPr>
      <w:r w:rsidRPr="00A900C6">
        <w:lastRenderedPageBreak/>
        <w:t>Conclusion</w:t>
      </w:r>
      <w:r w:rsidR="005E2D27" w:rsidRPr="00A900C6">
        <w:br/>
      </w:r>
    </w:p>
    <w:p w14:paraId="46045E51" w14:textId="0BBE42BF" w:rsidR="00D53AC5" w:rsidRPr="00ED27A5" w:rsidRDefault="00830C0C" w:rsidP="004B1D63">
      <w:pPr>
        <w:pStyle w:val="NoSpacing"/>
        <w:rPr>
          <w:rFonts w:ascii="Arial" w:eastAsia="Times New Roman" w:hAnsi="Arial" w:cs="Arial"/>
          <w:b/>
          <w:bCs/>
          <w:kern w:val="0"/>
          <w:lang w:eastAsia="en-GB"/>
          <w14:ligatures w14:val="none"/>
        </w:rPr>
      </w:pPr>
      <w:r w:rsidRPr="00ED27A5">
        <w:rPr>
          <w:rFonts w:ascii="Arial" w:hAnsi="Arial" w:cs="Arial"/>
        </w:rPr>
        <w:t>Overall, Tesco holds a strategic position because of its market leadership, store and distribution network, buying power, Clubcard data and omnichannel capability. These resources enable Tesco to deliver value, convenience and personalised experiences. However, Tesco faces competition from Aldi and Lidl, rising costs, inflation, supply disruption and regulatory pressures. Its priority should be maintaining prices without competing on price. Tesco should continue using Clubcard data and intelligence to provide personalised value, improve availability and reduce waste. It should invest in supply chains and sustainable operations to meet customer expectations, manage long-term risk and support focus on convenience, health and sustainability</w:t>
      </w:r>
      <w:r w:rsidRPr="00ED27A5">
        <w:rPr>
          <w:rFonts w:ascii="Arial" w:hAnsi="Arial" w:cs="Arial"/>
        </w:rPr>
        <w:t xml:space="preserve"> </w:t>
      </w:r>
      <w:r w:rsidRPr="00ED27A5">
        <w:rPr>
          <w:rFonts w:ascii="Arial" w:hAnsi="Arial" w:cs="Arial"/>
        </w:rPr>
        <w:t>(Yang et al., 2023).</w:t>
      </w:r>
      <w:r w:rsidRPr="00ED27A5">
        <w:rPr>
          <w:rFonts w:ascii="Arial" w:hAnsi="Arial" w:cs="Arial"/>
        </w:rPr>
        <w:br/>
      </w:r>
      <w:r w:rsidRPr="00ED27A5">
        <w:rPr>
          <w:rFonts w:ascii="Arial" w:hAnsi="Arial" w:cs="Arial"/>
        </w:rPr>
        <w:br/>
      </w:r>
      <w:r w:rsidR="00D53AC5" w:rsidRPr="00E3265C">
        <w:rPr>
          <w:rStyle w:val="Heading1Char"/>
        </w:rPr>
        <w:t>Comprehensive and Holistic View of Tesco</w:t>
      </w:r>
      <w:r w:rsidR="005E2D27">
        <w:rPr>
          <w:rStyle w:val="Heading1Char"/>
          <w:rFonts w:ascii="Arial" w:hAnsi="Arial" w:cs="Arial"/>
          <w:sz w:val="24"/>
          <w:szCs w:val="24"/>
          <w:lang w:eastAsia="en-GB"/>
        </w:rPr>
        <w:br/>
      </w:r>
    </w:p>
    <w:p w14:paraId="66BD233C" w14:textId="1D13593A" w:rsidR="00D53AC5" w:rsidRPr="00ED27A5" w:rsidRDefault="00D53AC5" w:rsidP="00ED27A5">
      <w:pPr>
        <w:spacing w:line="360" w:lineRule="auto"/>
        <w:rPr>
          <w:rFonts w:ascii="Arial" w:hAnsi="Arial" w:cs="Arial"/>
        </w:rPr>
      </w:pPr>
      <w:r w:rsidRPr="00ED27A5">
        <w:rPr>
          <w:rFonts w:ascii="Arial" w:hAnsi="Arial" w:cs="Arial"/>
        </w:rPr>
        <w:t>After the external and internal analysis, this section assesses Tesco's corporate social responsibility (CSR) strategy and how it helps the business to perform in the long term. It also uses the Balanced Scorecard approach to evaluate the ways in which Tesco can measure and manage financial and non-financial performance to align with its purpose of delivering affordable, healthy and sustainable food. The section looks at performance in financial, customer, internal-business-process, and learning-and-growth aspects. This will help to establish a clear connection between sections, while avoiding repetition of the main introduction to the report</w:t>
      </w:r>
      <w:r w:rsidR="00AE67B5" w:rsidRPr="00ED27A5">
        <w:rPr>
          <w:rFonts w:ascii="Arial" w:hAnsi="Arial" w:cs="Arial"/>
        </w:rPr>
        <w:t xml:space="preserve"> </w:t>
      </w:r>
      <w:r w:rsidR="00AE67B5" w:rsidRPr="00ED27A5">
        <w:rPr>
          <w:rFonts w:ascii="Arial" w:hAnsi="Arial" w:cs="Arial"/>
        </w:rPr>
        <w:t>(</w:t>
      </w:r>
      <w:proofErr w:type="spellStart"/>
      <w:r w:rsidR="00AE67B5" w:rsidRPr="00ED27A5">
        <w:rPr>
          <w:rFonts w:ascii="Arial" w:hAnsi="Arial" w:cs="Arial"/>
        </w:rPr>
        <w:t>Rahdari</w:t>
      </w:r>
      <w:proofErr w:type="spellEnd"/>
      <w:r w:rsidR="00AE67B5" w:rsidRPr="00ED27A5">
        <w:rPr>
          <w:rFonts w:ascii="Arial" w:hAnsi="Arial" w:cs="Arial"/>
        </w:rPr>
        <w:t xml:space="preserve"> et al., 2020)</w:t>
      </w:r>
      <w:r w:rsidRPr="00ED27A5">
        <w:rPr>
          <w:rFonts w:ascii="Arial" w:hAnsi="Arial" w:cs="Arial"/>
        </w:rPr>
        <w:t>.</w:t>
      </w:r>
      <w:r w:rsidR="005E2D27">
        <w:rPr>
          <w:rFonts w:ascii="Arial" w:hAnsi="Arial" w:cs="Arial"/>
        </w:rPr>
        <w:br/>
      </w:r>
    </w:p>
    <w:p w14:paraId="2A84D886" w14:textId="0A52D69F" w:rsidR="00D53AC5" w:rsidRPr="00A900C6" w:rsidRDefault="00D53AC5" w:rsidP="00E3265C">
      <w:pPr>
        <w:pStyle w:val="Heading2"/>
      </w:pPr>
      <w:bookmarkStart w:id="12" w:name="_Toc237395734"/>
      <w:r w:rsidRPr="00A900C6">
        <w:t>Tesco’s Current CSR Strategy</w:t>
      </w:r>
      <w:bookmarkEnd w:id="12"/>
      <w:r w:rsidR="005E2D27" w:rsidRPr="00A900C6">
        <w:br/>
      </w:r>
    </w:p>
    <w:p w14:paraId="0A594DD2" w14:textId="27004F5B" w:rsidR="00256302" w:rsidRPr="00ED27A5" w:rsidRDefault="00714B67" w:rsidP="004B1D63">
      <w:pPr>
        <w:pStyle w:val="NoSpacing"/>
        <w:rPr>
          <w:rFonts w:ascii="Arial" w:eastAsia="Times New Roman" w:hAnsi="Arial" w:cs="Arial"/>
          <w:b/>
          <w:bCs/>
          <w:kern w:val="0"/>
          <w:lang w:eastAsia="en-GB"/>
          <w14:ligatures w14:val="none"/>
        </w:rPr>
      </w:pPr>
      <w:r w:rsidRPr="00ED27A5">
        <w:rPr>
          <w:rFonts w:ascii="Arial" w:hAnsi="Arial" w:cs="Arial"/>
        </w:rPr>
        <w:t>Tesco’s CSR strategy is delivered through its Planet Plan, which integrates environmental and social responsibility across products, stores, logistics, supply chains and consumer decisions. The Plan has six pillars: improving products, decarbonising transport, reducing emissions, supporting sustainable consumption, eliminating waste and protecting nature (</w:t>
      </w:r>
      <w:proofErr w:type="spellStart"/>
      <w:r w:rsidRPr="00ED27A5">
        <w:rPr>
          <w:rFonts w:ascii="Arial" w:hAnsi="Arial" w:cs="Arial"/>
        </w:rPr>
        <w:t>Rahdari</w:t>
      </w:r>
      <w:proofErr w:type="spellEnd"/>
      <w:r w:rsidRPr="00ED27A5">
        <w:rPr>
          <w:rFonts w:ascii="Arial" w:hAnsi="Arial" w:cs="Arial"/>
        </w:rPr>
        <w:t xml:space="preserve"> et al., 2020). Tesco aims to become carbon neutral in its operations by 2035 and net zero across the value chain by 2050. Initiatives include renewable electricity, energy-efficient stores, electric delivery vehicles and collaboration to reduce emissions. It promotes diets, waste reduction and packaging through “Remove, Reduce, Reuse and Recycle”, supporting efficiency, trust and value</w:t>
      </w:r>
      <w:r w:rsidRPr="00ED27A5">
        <w:rPr>
          <w:rFonts w:ascii="Arial" w:hAnsi="Arial" w:cs="Arial"/>
        </w:rPr>
        <w:t xml:space="preserve"> </w:t>
      </w:r>
      <w:r w:rsidRPr="00ED27A5">
        <w:rPr>
          <w:rFonts w:ascii="Arial" w:hAnsi="Arial" w:cs="Arial"/>
        </w:rPr>
        <w:t>(</w:t>
      </w:r>
      <w:proofErr w:type="spellStart"/>
      <w:r w:rsidRPr="00ED27A5">
        <w:rPr>
          <w:rFonts w:ascii="Arial" w:hAnsi="Arial" w:cs="Arial"/>
        </w:rPr>
        <w:t>Rahdari</w:t>
      </w:r>
      <w:proofErr w:type="spellEnd"/>
      <w:r w:rsidRPr="00ED27A5">
        <w:rPr>
          <w:rFonts w:ascii="Arial" w:hAnsi="Arial" w:cs="Arial"/>
        </w:rPr>
        <w:t xml:space="preserve"> et al., 2020).</w:t>
      </w:r>
      <w:r w:rsidRPr="00ED27A5">
        <w:rPr>
          <w:rFonts w:ascii="Arial" w:hAnsi="Arial" w:cs="Arial"/>
        </w:rPr>
        <w:br/>
      </w:r>
      <w:r w:rsidRPr="00ED27A5">
        <w:rPr>
          <w:rFonts w:ascii="Arial" w:hAnsi="Arial" w:cs="Arial"/>
        </w:rPr>
        <w:br/>
      </w:r>
      <w:r w:rsidR="00256302" w:rsidRPr="00E3265C">
        <w:rPr>
          <w:rStyle w:val="Heading3Char"/>
        </w:rPr>
        <w:t>Alignment of CSR Strategy with Business Objectives</w:t>
      </w:r>
      <w:r w:rsidR="005E2D27">
        <w:rPr>
          <w:rStyle w:val="Heading2Char"/>
          <w:rFonts w:ascii="Arial" w:hAnsi="Arial" w:cs="Arial"/>
          <w:sz w:val="24"/>
          <w:szCs w:val="24"/>
          <w:lang w:eastAsia="en-GB"/>
        </w:rPr>
        <w:br/>
      </w:r>
    </w:p>
    <w:p w14:paraId="069AE623" w14:textId="51F1155F" w:rsidR="00256302" w:rsidRPr="00ED27A5" w:rsidRDefault="00714B67" w:rsidP="004B1D63">
      <w:pPr>
        <w:pStyle w:val="NoSpacing"/>
        <w:rPr>
          <w:rFonts w:ascii="Arial" w:eastAsia="Times New Roman" w:hAnsi="Arial" w:cs="Arial"/>
          <w:b/>
          <w:bCs/>
          <w:kern w:val="0"/>
          <w:lang w:eastAsia="en-GB"/>
          <w14:ligatures w14:val="none"/>
        </w:rPr>
      </w:pPr>
      <w:r w:rsidRPr="00ED27A5">
        <w:rPr>
          <w:rFonts w:ascii="Arial" w:hAnsi="Arial" w:cs="Arial"/>
        </w:rPr>
        <w:lastRenderedPageBreak/>
        <w:t>Tesco’s CSR policy supports objective of providing affordable, healthy and sustainable food. Planet Plan adds value through waste reduction, supply-chain optimisation and energy use, helping control costs and maintain competitive prices (Yang et al., 2023). It supports revenue and reputation by expanding sustainable products in response to consumer demand and regulation. Tesco aims to halve food waste across supply chain by 2030, improving resource efficiency and reducing costs. Sustainable sourcing, biodiversity protection and climate action can strengthen availability. Tesco aims to source 50% of food from areas with sustainable water management by 2030, improving resilience, trust, compliance and long-term advantage</w:t>
      </w:r>
      <w:r w:rsidRPr="00ED27A5">
        <w:rPr>
          <w:rFonts w:ascii="Arial" w:hAnsi="Arial" w:cs="Arial"/>
        </w:rPr>
        <w:t xml:space="preserve"> </w:t>
      </w:r>
      <w:r w:rsidRPr="00ED27A5">
        <w:rPr>
          <w:rFonts w:ascii="Arial" w:hAnsi="Arial" w:cs="Arial"/>
        </w:rPr>
        <w:t>(Yang et al., 2023).</w:t>
      </w:r>
      <w:r w:rsidRPr="00ED27A5">
        <w:rPr>
          <w:rFonts w:ascii="Arial" w:hAnsi="Arial" w:cs="Arial"/>
        </w:rPr>
        <w:br/>
      </w:r>
      <w:r w:rsidRPr="00ED27A5">
        <w:rPr>
          <w:rFonts w:ascii="Arial" w:hAnsi="Arial" w:cs="Arial"/>
        </w:rPr>
        <w:br/>
      </w:r>
      <w:r w:rsidR="00256302" w:rsidRPr="00E3265C">
        <w:rPr>
          <w:rStyle w:val="Heading3Char"/>
        </w:rPr>
        <w:t>Critical Evaluation of Tesco’s CSR Strategy</w:t>
      </w:r>
      <w:r w:rsidR="005E2D27">
        <w:rPr>
          <w:rStyle w:val="Heading2Char"/>
          <w:rFonts w:ascii="Arial" w:hAnsi="Arial" w:cs="Arial"/>
          <w:sz w:val="24"/>
          <w:szCs w:val="24"/>
          <w:lang w:eastAsia="en-GB"/>
        </w:rPr>
        <w:br/>
      </w:r>
    </w:p>
    <w:p w14:paraId="52067EF6" w14:textId="28CDCA02" w:rsidR="00256302" w:rsidRPr="00ED27A5" w:rsidRDefault="00714B67" w:rsidP="004B1D63">
      <w:pPr>
        <w:pStyle w:val="NoSpacing"/>
        <w:rPr>
          <w:rFonts w:ascii="Arial" w:eastAsia="Times New Roman" w:hAnsi="Arial" w:cs="Arial"/>
          <w:b/>
          <w:bCs/>
          <w:kern w:val="0"/>
          <w:lang w:eastAsia="en-GB"/>
          <w14:ligatures w14:val="none"/>
        </w:rPr>
      </w:pPr>
      <w:r w:rsidRPr="00ED27A5">
        <w:rPr>
          <w:rFonts w:ascii="Arial" w:hAnsi="Arial" w:cs="Arial"/>
        </w:rPr>
        <w:t>Tesco’s CSR strategy faces challenges, the balance between affordability and sustainability. Investment in renewable energy, electric vehicles, lower-carbon agriculture and packaging may raise costs, risking prices for price-sensitive customers. Tesco controls store energy use but has control over supplier emissions. Achieving net zero across its chain by 2050 depends on supplier capability, investment and collaboration. Tesco aims to reduce Scope 1 and 2 emissions by 85% by 2030, while Scope 3 emissions remain harder to measure and reduce (Marino et al., 2024). CSR targets may appear as greenwashing without measurable verified progress. Tesco should report, support suppliers and deliver value</w:t>
      </w:r>
      <w:r w:rsidRPr="00ED27A5">
        <w:rPr>
          <w:rFonts w:ascii="Arial" w:hAnsi="Arial" w:cs="Arial"/>
        </w:rPr>
        <w:t xml:space="preserve"> </w:t>
      </w:r>
      <w:r w:rsidRPr="00ED27A5">
        <w:rPr>
          <w:rFonts w:ascii="Arial" w:hAnsi="Arial" w:cs="Arial"/>
        </w:rPr>
        <w:t>(Marino et al., 2024).</w:t>
      </w:r>
      <w:r w:rsidRPr="00ED27A5">
        <w:rPr>
          <w:rFonts w:ascii="Arial" w:hAnsi="Arial" w:cs="Arial"/>
        </w:rPr>
        <w:br/>
      </w:r>
      <w:r w:rsidRPr="00ED27A5">
        <w:rPr>
          <w:rFonts w:ascii="Arial" w:hAnsi="Arial" w:cs="Arial"/>
        </w:rPr>
        <w:br/>
      </w:r>
      <w:r w:rsidR="00256302" w:rsidRPr="00E3265C">
        <w:rPr>
          <w:rStyle w:val="Heading3Char"/>
        </w:rPr>
        <w:t>Balanced Scorecard Framework</w:t>
      </w:r>
      <w:r w:rsidR="005E2D27" w:rsidRPr="004B1D63">
        <w:rPr>
          <w:lang w:eastAsia="en-GB"/>
        </w:rPr>
        <w:br/>
      </w:r>
    </w:p>
    <w:p w14:paraId="1C0E2791" w14:textId="2AEB548D" w:rsidR="00256302" w:rsidRPr="00ED27A5" w:rsidRDefault="00256302" w:rsidP="00ED27A5">
      <w:pPr>
        <w:spacing w:line="360" w:lineRule="auto"/>
        <w:rPr>
          <w:rFonts w:ascii="Arial" w:hAnsi="Arial" w:cs="Arial"/>
        </w:rPr>
      </w:pPr>
      <w:r w:rsidRPr="00ED27A5">
        <w:rPr>
          <w:rFonts w:ascii="Arial" w:hAnsi="Arial" w:cs="Arial"/>
        </w:rPr>
        <w:t xml:space="preserve">The Balanced Scorecard is a method developed by Kaplan and Norton (1992) that serves </w:t>
      </w:r>
      <w:proofErr w:type="gramStart"/>
      <w:r w:rsidRPr="00ED27A5">
        <w:rPr>
          <w:rFonts w:ascii="Arial" w:hAnsi="Arial" w:cs="Arial"/>
        </w:rPr>
        <w:t>as a way to</w:t>
      </w:r>
      <w:proofErr w:type="gramEnd"/>
      <w:r w:rsidRPr="00ED27A5">
        <w:rPr>
          <w:rFonts w:ascii="Arial" w:hAnsi="Arial" w:cs="Arial"/>
        </w:rPr>
        <w:t xml:space="preserve"> turn an organisation's mission and strategy into measurable goals. It adds to the traditional financial indicators other non-financial indicators that affect future performance. The framework uses four interconnected views of performance: financial, customer, internal business processes and learning and growth. For Tesco, it is especially important as it's a balance on profitable growth, value for the customer, operational efficiency, sustainability and colleague capability. Employee skills and technology enhancements should solidify internal processes and boost customer satisfaction and eventually financial results</w:t>
      </w:r>
      <w:r w:rsidR="00AE67B5" w:rsidRPr="00ED27A5">
        <w:rPr>
          <w:rFonts w:ascii="Arial" w:hAnsi="Arial" w:cs="Arial"/>
        </w:rPr>
        <w:t xml:space="preserve"> </w:t>
      </w:r>
      <w:r w:rsidR="00AE67B5" w:rsidRPr="00ED27A5">
        <w:rPr>
          <w:rFonts w:ascii="Arial" w:hAnsi="Arial" w:cs="Arial"/>
        </w:rPr>
        <w:t>(Huang, 2009)</w:t>
      </w:r>
      <w:r w:rsidRPr="00ED27A5">
        <w:rPr>
          <w:rFonts w:ascii="Arial" w:hAnsi="Arial" w:cs="Arial"/>
        </w:rPr>
        <w:t>.</w:t>
      </w:r>
    </w:p>
    <w:p w14:paraId="6C264183" w14:textId="6958172A" w:rsidR="00256302" w:rsidRPr="00A900C6" w:rsidRDefault="00256302" w:rsidP="00E3265C">
      <w:pPr>
        <w:pStyle w:val="Heading3"/>
      </w:pPr>
      <w:bookmarkStart w:id="13" w:name="_Toc237395735"/>
      <w:r w:rsidRPr="00A900C6">
        <w:t>3.5 Financial Perspective</w:t>
      </w:r>
      <w:bookmarkEnd w:id="13"/>
      <w:r w:rsidR="00A900C6" w:rsidRPr="00A900C6">
        <w:br/>
      </w:r>
    </w:p>
    <w:p w14:paraId="45A448BB" w14:textId="0834455B" w:rsidR="00256302" w:rsidRPr="00ED27A5" w:rsidRDefault="00256302" w:rsidP="00ED27A5">
      <w:pPr>
        <w:spacing w:line="360" w:lineRule="auto"/>
        <w:rPr>
          <w:rFonts w:ascii="Arial" w:hAnsi="Arial" w:cs="Arial"/>
        </w:rPr>
      </w:pPr>
      <w:r w:rsidRPr="00ED27A5">
        <w:rPr>
          <w:rFonts w:ascii="Arial" w:hAnsi="Arial" w:cs="Arial"/>
        </w:rPr>
        <w:t xml:space="preserve">The financial view assesses whether the strategy is providing a profitable growth and keeping Tesco's value-for-customer promise. Tesco needs to boost sales, defend its operating profit, enhance cash flow and continue to maintain its market share in the UK. But it is not just about raising prices to improve financial performance, because </w:t>
      </w:r>
      <w:r w:rsidRPr="00ED27A5">
        <w:rPr>
          <w:rFonts w:ascii="Arial" w:hAnsi="Arial" w:cs="Arial"/>
        </w:rPr>
        <w:lastRenderedPageBreak/>
        <w:t>this would be against Tesco's affordability goal and could lead to a shift to discounters</w:t>
      </w:r>
      <w:r w:rsidR="00AE67B5" w:rsidRPr="00ED27A5">
        <w:rPr>
          <w:rFonts w:ascii="Arial" w:hAnsi="Arial" w:cs="Arial"/>
        </w:rPr>
        <w:t xml:space="preserve"> </w:t>
      </w:r>
      <w:r w:rsidR="00AE67B5" w:rsidRPr="00ED27A5">
        <w:rPr>
          <w:rFonts w:ascii="Arial" w:hAnsi="Arial" w:cs="Arial"/>
        </w:rPr>
        <w:t>(Huang, 2009)</w:t>
      </w:r>
      <w:r w:rsidRPr="00ED27A5">
        <w:rPr>
          <w:rFonts w:ascii="Arial" w:hAnsi="Arial" w:cs="Arial"/>
        </w:rPr>
        <w:t>.</w:t>
      </w:r>
    </w:p>
    <w:p w14:paraId="461F49BA" w14:textId="77777777" w:rsidR="00256302" w:rsidRPr="00ED27A5" w:rsidRDefault="00256302" w:rsidP="00ED27A5">
      <w:pPr>
        <w:spacing w:line="360" w:lineRule="auto"/>
        <w:rPr>
          <w:rFonts w:ascii="Arial" w:hAnsi="Arial" w:cs="Arial"/>
        </w:rPr>
      </w:pPr>
    </w:p>
    <w:tbl>
      <w:tblPr>
        <w:tblW w:w="5000" w:type="pct"/>
        <w:tblCellMar>
          <w:top w:w="15" w:type="dxa"/>
          <w:left w:w="15" w:type="dxa"/>
          <w:bottom w:w="15" w:type="dxa"/>
          <w:right w:w="15" w:type="dxa"/>
        </w:tblCellMar>
        <w:tblLook w:val="04A0" w:firstRow="1" w:lastRow="0" w:firstColumn="1" w:lastColumn="0" w:noHBand="0" w:noVBand="1"/>
      </w:tblPr>
      <w:tblGrid>
        <w:gridCol w:w="1574"/>
        <w:gridCol w:w="7436"/>
      </w:tblGrid>
      <w:tr w:rsidR="00256302" w:rsidRPr="00ED27A5" w14:paraId="3FFCED9C" w14:textId="77777777" w:rsidTr="00A621E8">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D4D1E4A"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Component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28FC171"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Tesco-focused measure</w:t>
            </w:r>
          </w:p>
        </w:tc>
      </w:tr>
      <w:tr w:rsidR="00256302" w:rsidRPr="00ED27A5" w14:paraId="28581DF1"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534402D"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08EFBA1"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Deliver profitable, sustainable growth while maintaining competitive prices</w:t>
            </w:r>
          </w:p>
        </w:tc>
      </w:tr>
      <w:tr w:rsidR="00256302" w:rsidRPr="00ED27A5" w14:paraId="0B1C0B6C"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78160D8"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KPIs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96D2473"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Like-for-like sales growth, adjusted operating profit, operating margin, free cash flow, return on capital employed and UK market share</w:t>
            </w:r>
          </w:p>
        </w:tc>
      </w:tr>
      <w:tr w:rsidR="00256302" w:rsidRPr="00ED27A5" w14:paraId="125539F9"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DEEF830"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Targets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3B42DFD"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Grow sales and market share annually; maintain positive free cash flow; achieve operating profit within Tesco’s annual guidance</w:t>
            </w:r>
          </w:p>
        </w:tc>
      </w:tr>
      <w:tr w:rsidR="00256302" w:rsidRPr="00ED27A5" w14:paraId="68CEFA6D"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A9DD0FC"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Initiatives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6730FC"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Clubcard Prices, cost-efficiency programmes, supply-chain productivity, own-brand growth, waste reduction and retail-media income</w:t>
            </w:r>
          </w:p>
        </w:tc>
      </w:tr>
    </w:tbl>
    <w:p w14:paraId="4D086EAF" w14:textId="77777777" w:rsidR="00256302" w:rsidRPr="00ED27A5" w:rsidRDefault="00256302" w:rsidP="00ED27A5">
      <w:pPr>
        <w:spacing w:line="360" w:lineRule="auto"/>
        <w:rPr>
          <w:rFonts w:ascii="Arial" w:hAnsi="Arial" w:cs="Arial"/>
        </w:rPr>
      </w:pPr>
    </w:p>
    <w:p w14:paraId="22CA7435" w14:textId="737D8471" w:rsidR="00256302" w:rsidRPr="00ED27A5" w:rsidRDefault="00256302" w:rsidP="00ED27A5">
      <w:pPr>
        <w:spacing w:line="360" w:lineRule="auto"/>
        <w:rPr>
          <w:rFonts w:ascii="Arial" w:hAnsi="Arial" w:cs="Arial"/>
        </w:rPr>
      </w:pPr>
      <w:r w:rsidRPr="00ED27A5">
        <w:rPr>
          <w:rFonts w:ascii="Arial" w:hAnsi="Arial" w:cs="Arial"/>
        </w:rPr>
        <w:t>Tesco’s financial strategy should therefore balance cost discipline with reinvestment in value, quality and service. In 2025/26, Tesco reported UK online sales growth of 11% to more than £7 billion, demonstrating the financial importance of its omnichannel model.</w:t>
      </w:r>
      <w:r w:rsidR="00A900C6">
        <w:rPr>
          <w:rFonts w:ascii="Arial" w:hAnsi="Arial" w:cs="Arial"/>
        </w:rPr>
        <w:br/>
      </w:r>
    </w:p>
    <w:p w14:paraId="4473944D" w14:textId="79CB8929" w:rsidR="00256302" w:rsidRPr="00A900C6" w:rsidRDefault="00256302" w:rsidP="00E3265C">
      <w:pPr>
        <w:pStyle w:val="Heading3"/>
      </w:pPr>
      <w:bookmarkStart w:id="14" w:name="_Toc237395736"/>
      <w:r w:rsidRPr="00A900C6">
        <w:t>Customer Perspective</w:t>
      </w:r>
      <w:bookmarkEnd w:id="14"/>
      <w:r w:rsidR="005E2D27" w:rsidRPr="00A900C6">
        <w:br/>
      </w:r>
    </w:p>
    <w:p w14:paraId="2A14AC67" w14:textId="19C9476C" w:rsidR="00256302" w:rsidRPr="00ED27A5" w:rsidRDefault="00256302" w:rsidP="00ED27A5">
      <w:pPr>
        <w:spacing w:line="360" w:lineRule="auto"/>
        <w:rPr>
          <w:rFonts w:ascii="Arial" w:hAnsi="Arial" w:cs="Arial"/>
        </w:rPr>
      </w:pPr>
      <w:r w:rsidRPr="00ED27A5">
        <w:rPr>
          <w:rFonts w:ascii="Arial" w:hAnsi="Arial" w:cs="Arial"/>
        </w:rPr>
        <w:t>The customer perspective is whether Tesco fulfils its purpose of providing customers affordable, healthy and sustainable food. Tesco needs to concentrate on customer satisfaction, loyalty, value perception, product availability and convenience in stores and online. It is a testament to the need to have a clear and trusted customer proposition to have such a strong market share in the UK; Tesco's market share in the UK was 28.5% in 2025/26</w:t>
      </w:r>
      <w:r w:rsidR="00E929C9" w:rsidRPr="00ED27A5">
        <w:rPr>
          <w:rFonts w:ascii="Arial" w:hAnsi="Arial" w:cs="Arial"/>
        </w:rPr>
        <w:t xml:space="preserve"> </w:t>
      </w:r>
      <w:r w:rsidR="00E929C9" w:rsidRPr="00ED27A5">
        <w:rPr>
          <w:rFonts w:ascii="Arial" w:hAnsi="Arial" w:cs="Arial"/>
        </w:rPr>
        <w:t>(Huang, 2009)</w:t>
      </w:r>
      <w:r w:rsidRPr="00ED27A5">
        <w:rPr>
          <w:rFonts w:ascii="Arial" w:hAnsi="Arial" w:cs="Arial"/>
        </w:rPr>
        <w:t>.</w:t>
      </w:r>
    </w:p>
    <w:tbl>
      <w:tblPr>
        <w:tblW w:w="5000" w:type="pct"/>
        <w:tblCellMar>
          <w:top w:w="15" w:type="dxa"/>
          <w:left w:w="15" w:type="dxa"/>
          <w:bottom w:w="15" w:type="dxa"/>
          <w:right w:w="15" w:type="dxa"/>
        </w:tblCellMar>
        <w:tblLook w:val="04A0" w:firstRow="1" w:lastRow="0" w:firstColumn="1" w:lastColumn="0" w:noHBand="0" w:noVBand="1"/>
      </w:tblPr>
      <w:tblGrid>
        <w:gridCol w:w="1574"/>
        <w:gridCol w:w="7436"/>
      </w:tblGrid>
      <w:tr w:rsidR="00256302" w:rsidRPr="00ED27A5" w14:paraId="6D0CE0D4" w14:textId="77777777" w:rsidTr="00A621E8">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275C0A6"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lastRenderedPageBreak/>
              <w:t>Component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3A6C6FE1"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Tesco-focused measure</w:t>
            </w:r>
          </w:p>
        </w:tc>
      </w:tr>
      <w:tr w:rsidR="00256302" w:rsidRPr="00ED27A5" w14:paraId="3B15A85A"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1A19E8"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609A8B"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Strengthen customer loyalty by providing value, quality, convenience and trust</w:t>
            </w:r>
          </w:p>
        </w:tc>
      </w:tr>
      <w:tr w:rsidR="00256302" w:rsidRPr="00ED27A5" w14:paraId="72A412F9"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8E86713"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KPIs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6C730B3"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Customer-satisfaction score, Net Promoter Score, Clubcard engagement, customer-retention rate, on-shelf availability, online delivery satisfaction and UK market share</w:t>
            </w:r>
          </w:p>
        </w:tc>
      </w:tr>
      <w:tr w:rsidR="00256302" w:rsidRPr="00ED27A5" w14:paraId="4995A0E9"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78D365"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Targets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5283C4"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Increase customer satisfaction and Clubcard engagement; maintain market-share growth; improve product availability and delivery accuracy</w:t>
            </w:r>
          </w:p>
        </w:tc>
      </w:tr>
      <w:tr w:rsidR="00256302" w:rsidRPr="00ED27A5" w14:paraId="3332D447"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C4AF904"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Initiatives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33FD749"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Clubcard Prices, personalised offers, Aldi Price Match, healthier own-brand products, Tesco Express, click-and-collect, online delivery and Whoosh rapid delivery</w:t>
            </w:r>
          </w:p>
        </w:tc>
      </w:tr>
    </w:tbl>
    <w:p w14:paraId="60770B29" w14:textId="77777777" w:rsidR="00256302" w:rsidRPr="00ED27A5" w:rsidRDefault="00256302" w:rsidP="00ED27A5">
      <w:pPr>
        <w:spacing w:before="100" w:beforeAutospacing="1" w:after="100" w:afterAutospacing="1" w:line="360" w:lineRule="auto"/>
        <w:rPr>
          <w:rFonts w:ascii="Arial" w:hAnsi="Arial" w:cs="Arial"/>
        </w:rPr>
      </w:pPr>
      <w:r w:rsidRPr="00ED27A5">
        <w:rPr>
          <w:rFonts w:ascii="Arial" w:hAnsi="Arial" w:cs="Arial"/>
        </w:rPr>
        <w:t>Tesco should monitor both price perception and service quality because low prices alone cannot create sustained customer loyalty in a highly competitive grocery market.</w:t>
      </w:r>
    </w:p>
    <w:p w14:paraId="06EABF3C" w14:textId="1059F351" w:rsidR="00256302" w:rsidRPr="00A900C6" w:rsidRDefault="00256302" w:rsidP="00E3265C">
      <w:pPr>
        <w:pStyle w:val="Heading3"/>
      </w:pPr>
      <w:bookmarkStart w:id="15" w:name="_Toc237395737"/>
      <w:r w:rsidRPr="00A900C6">
        <w:t>Internal Business-Process Perspective</w:t>
      </w:r>
      <w:bookmarkEnd w:id="15"/>
      <w:r w:rsidR="005E2D27" w:rsidRPr="00A900C6">
        <w:br/>
      </w:r>
    </w:p>
    <w:p w14:paraId="4D392BF5" w14:textId="1901DF8D" w:rsidR="00256302" w:rsidRPr="00ED27A5" w:rsidRDefault="00256302" w:rsidP="00ED27A5">
      <w:pPr>
        <w:spacing w:line="360" w:lineRule="auto"/>
        <w:rPr>
          <w:rFonts w:ascii="Arial" w:hAnsi="Arial" w:cs="Arial"/>
        </w:rPr>
      </w:pPr>
      <w:r w:rsidRPr="00ED27A5">
        <w:rPr>
          <w:rFonts w:ascii="Arial" w:hAnsi="Arial" w:cs="Arial"/>
        </w:rPr>
        <w:t>The internal-business-process view evaluates the efficiency of Tesco's stores, supply chain, online fulfilment and sustainability processes. Any process that is effective is important in ensuring the availability of products, reducing waste, cost control and the delivery of accurate e-order. Therefore, Tesco should use both operational and financial measures to assess performance as they are directly linked to process improvements and customer satisfaction and profitability</w:t>
      </w:r>
      <w:r w:rsidR="00E929C9" w:rsidRPr="00ED27A5">
        <w:rPr>
          <w:rFonts w:ascii="Arial" w:hAnsi="Arial" w:cs="Arial"/>
        </w:rPr>
        <w:t xml:space="preserve"> </w:t>
      </w:r>
      <w:r w:rsidR="00E929C9" w:rsidRPr="00ED27A5">
        <w:rPr>
          <w:rFonts w:ascii="Arial" w:hAnsi="Arial" w:cs="Arial"/>
        </w:rPr>
        <w:t>(Huang, 2009)</w:t>
      </w:r>
      <w:r w:rsidRPr="00ED27A5">
        <w:rPr>
          <w:rFonts w:ascii="Arial" w:hAnsi="Arial" w:cs="Arial"/>
        </w:rPr>
        <w:t>.</w:t>
      </w:r>
    </w:p>
    <w:tbl>
      <w:tblPr>
        <w:tblW w:w="5000" w:type="pct"/>
        <w:tblCellMar>
          <w:top w:w="15" w:type="dxa"/>
          <w:left w:w="15" w:type="dxa"/>
          <w:bottom w:w="15" w:type="dxa"/>
          <w:right w:w="15" w:type="dxa"/>
        </w:tblCellMar>
        <w:tblLook w:val="04A0" w:firstRow="1" w:lastRow="0" w:firstColumn="1" w:lastColumn="0" w:noHBand="0" w:noVBand="1"/>
      </w:tblPr>
      <w:tblGrid>
        <w:gridCol w:w="1574"/>
        <w:gridCol w:w="7436"/>
      </w:tblGrid>
      <w:tr w:rsidR="00256302" w:rsidRPr="00ED27A5" w14:paraId="104AD90D" w14:textId="77777777" w:rsidTr="00A621E8">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8619E09"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Component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3F88674"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Tesco-focused measure</w:t>
            </w:r>
          </w:p>
        </w:tc>
      </w:tr>
      <w:tr w:rsidR="00256302" w:rsidRPr="00ED27A5" w14:paraId="62F217AD"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757116"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E8016A9"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Improve efficiency, product availability, service reliability and sustainable operations</w:t>
            </w:r>
          </w:p>
        </w:tc>
      </w:tr>
      <w:tr w:rsidR="00256302" w:rsidRPr="00ED27A5" w14:paraId="0C552EDA"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C833038"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lastRenderedPageBreak/>
              <w:t>KPIs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FDDD585"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On-shelf availability, online-order accuracy, delivery-on-time rate, fulfilment cost per order, food-waste levels, energy consumption and carbon emissions</w:t>
            </w:r>
          </w:p>
        </w:tc>
      </w:tr>
      <w:tr w:rsidR="00256302" w:rsidRPr="00ED27A5" w14:paraId="629E18CA"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F32B60"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Targets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DD3D4F9"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Increase availability and delivery accuracy; reduce food waste and fulfilment costs; progress towards carbon-neutral operations by 2035</w:t>
            </w:r>
          </w:p>
        </w:tc>
      </w:tr>
      <w:tr w:rsidR="00256302" w:rsidRPr="00ED27A5" w14:paraId="5D8598E4"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629F065"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Initiatives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F84BEC"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AI demand forecasting, supply-chain automation, real-time inventory visibility, food redistribution, renewable electricity and electric delivery vehicles</w:t>
            </w:r>
          </w:p>
        </w:tc>
      </w:tr>
    </w:tbl>
    <w:p w14:paraId="13A794E9" w14:textId="77777777" w:rsidR="00256302" w:rsidRPr="00ED27A5" w:rsidRDefault="00256302" w:rsidP="00ED27A5">
      <w:pPr>
        <w:spacing w:line="360" w:lineRule="auto"/>
        <w:rPr>
          <w:rFonts w:ascii="Arial" w:hAnsi="Arial" w:cs="Arial"/>
        </w:rPr>
      </w:pPr>
    </w:p>
    <w:p w14:paraId="401E4A13" w14:textId="314EC941" w:rsidR="00256302" w:rsidRPr="00ED27A5" w:rsidRDefault="00256302" w:rsidP="00ED27A5">
      <w:pPr>
        <w:spacing w:line="360" w:lineRule="auto"/>
        <w:rPr>
          <w:rFonts w:ascii="Arial" w:hAnsi="Arial" w:cs="Arial"/>
        </w:rPr>
      </w:pPr>
      <w:r w:rsidRPr="00ED27A5">
        <w:rPr>
          <w:rFonts w:ascii="Arial" w:hAnsi="Arial" w:cs="Arial"/>
        </w:rPr>
        <w:t>Tesco has used AI and real-time tracking to improve supply-chain visibility, stock accuracy and delivery performance, showing how digital systems can strengthen operational efficiency</w:t>
      </w:r>
      <w:r w:rsidR="00A900C6">
        <w:rPr>
          <w:rFonts w:ascii="Arial" w:hAnsi="Arial" w:cs="Arial"/>
        </w:rPr>
        <w:br/>
      </w:r>
    </w:p>
    <w:p w14:paraId="47BB117E" w14:textId="2798846E" w:rsidR="00256302" w:rsidRPr="00A900C6" w:rsidRDefault="00256302" w:rsidP="00E3265C">
      <w:pPr>
        <w:pStyle w:val="Heading3"/>
      </w:pPr>
      <w:bookmarkStart w:id="16" w:name="_Toc237395738"/>
      <w:r w:rsidRPr="00A900C6">
        <w:t>Learning and Growth Perspective</w:t>
      </w:r>
      <w:bookmarkEnd w:id="16"/>
      <w:r w:rsidR="005E2D27" w:rsidRPr="00A900C6">
        <w:br/>
      </w:r>
    </w:p>
    <w:p w14:paraId="3808D51C" w14:textId="00384C06" w:rsidR="009C1BAC" w:rsidRPr="00ED27A5" w:rsidRDefault="00256302" w:rsidP="00ED27A5">
      <w:pPr>
        <w:spacing w:line="360" w:lineRule="auto"/>
        <w:rPr>
          <w:rFonts w:ascii="Arial" w:hAnsi="Arial" w:cs="Arial"/>
        </w:rPr>
      </w:pPr>
      <w:r w:rsidRPr="00ED27A5">
        <w:rPr>
          <w:rFonts w:ascii="Arial" w:hAnsi="Arial" w:cs="Arial"/>
        </w:rPr>
        <w:t>The learning-and-growth perspective is about the people, skills, culture, and technology that will enable Tesco to continue to perform in the long term. Tesco is a data and digitised retail business and requires colleagues who can provide customer service, fulfil orders online, be knowledgeable about technology and support sustainability efforts. Investing in employee development can then enhance both operational performance and customer satisfaction</w:t>
      </w:r>
      <w:r w:rsidR="00E929C9" w:rsidRPr="00ED27A5">
        <w:rPr>
          <w:rFonts w:ascii="Arial" w:hAnsi="Arial" w:cs="Arial"/>
        </w:rPr>
        <w:t xml:space="preserve"> </w:t>
      </w:r>
      <w:r w:rsidR="00E929C9" w:rsidRPr="00ED27A5">
        <w:rPr>
          <w:rFonts w:ascii="Arial" w:hAnsi="Arial" w:cs="Arial"/>
        </w:rPr>
        <w:t>(Huang, 2009)</w:t>
      </w:r>
      <w:r w:rsidRPr="00ED27A5">
        <w:rPr>
          <w:rFonts w:ascii="Arial" w:hAnsi="Arial" w:cs="Arial"/>
        </w:rPr>
        <w:t>.</w:t>
      </w:r>
    </w:p>
    <w:tbl>
      <w:tblPr>
        <w:tblW w:w="5000" w:type="pct"/>
        <w:tblCellMar>
          <w:top w:w="15" w:type="dxa"/>
          <w:left w:w="15" w:type="dxa"/>
          <w:bottom w:w="15" w:type="dxa"/>
          <w:right w:w="15" w:type="dxa"/>
        </w:tblCellMar>
        <w:tblLook w:val="04A0" w:firstRow="1" w:lastRow="0" w:firstColumn="1" w:lastColumn="0" w:noHBand="0" w:noVBand="1"/>
      </w:tblPr>
      <w:tblGrid>
        <w:gridCol w:w="1574"/>
        <w:gridCol w:w="7436"/>
      </w:tblGrid>
      <w:tr w:rsidR="00256302" w:rsidRPr="00ED27A5" w14:paraId="65DEC50C" w14:textId="77777777" w:rsidTr="00A621E8">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A84EC8B"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Component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87399C3" w14:textId="77777777" w:rsidR="00256302" w:rsidRPr="00ED27A5" w:rsidRDefault="00256302" w:rsidP="00ED27A5">
            <w:pPr>
              <w:spacing w:after="0" w:line="360" w:lineRule="auto"/>
              <w:rPr>
                <w:rFonts w:ascii="Arial" w:eastAsia="Times New Roman" w:hAnsi="Arial" w:cs="Arial"/>
                <w:b/>
                <w:bCs/>
                <w:kern w:val="0"/>
                <w:lang w:eastAsia="en-GB"/>
                <w14:ligatures w14:val="none"/>
              </w:rPr>
            </w:pPr>
            <w:r w:rsidRPr="00ED27A5">
              <w:rPr>
                <w:rFonts w:ascii="Arial" w:eastAsia="Times New Roman" w:hAnsi="Arial" w:cs="Arial"/>
                <w:b/>
                <w:bCs/>
                <w:kern w:val="0"/>
                <w:lang w:eastAsia="en-GB"/>
                <w14:ligatures w14:val="none"/>
              </w:rPr>
              <w:t>Tesco-focused measure</w:t>
            </w:r>
          </w:p>
        </w:tc>
      </w:tr>
      <w:tr w:rsidR="00256302" w:rsidRPr="00ED27A5" w14:paraId="2FCB417C"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E3A5D30"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15CFA2"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Build an engaged, skilled and inclusive workforce capable of delivering digital innovation and excellent customer service</w:t>
            </w:r>
          </w:p>
        </w:tc>
      </w:tr>
      <w:tr w:rsidR="00256302" w:rsidRPr="00ED27A5" w14:paraId="43FB04C9"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39BFE67"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lastRenderedPageBreak/>
              <w:t>KPIs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27B6C6B"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Colleague-engagement score, employee-retention rate, absence rate, training-completion rate, internal-promotion rate, health-and-safety incidents and digital-skills coverage</w:t>
            </w:r>
          </w:p>
        </w:tc>
      </w:tr>
      <w:tr w:rsidR="00256302" w:rsidRPr="00ED27A5" w14:paraId="3CF09F00"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FF36A8A"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Targets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84AE99B"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Improve colleague engagement and retention; ensure completion of key customer-service, digital, sustainability and leadership training</w:t>
            </w:r>
          </w:p>
        </w:tc>
      </w:tr>
      <w:tr w:rsidR="00256302" w:rsidRPr="00ED27A5" w14:paraId="7ACF3293" w14:textId="77777777" w:rsidTr="00A621E8">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610859C"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b/>
                <w:bCs/>
                <w:kern w:val="0"/>
                <w:lang w:eastAsia="en-GB"/>
                <w14:ligatures w14:val="none"/>
              </w:rPr>
              <w:t>Initiatives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E29DDE" w14:textId="77777777" w:rsidR="00256302" w:rsidRPr="00ED27A5" w:rsidRDefault="00256302" w:rsidP="00ED27A5">
            <w:pPr>
              <w:spacing w:after="0" w:line="360" w:lineRule="auto"/>
              <w:rPr>
                <w:rFonts w:ascii="Arial" w:eastAsia="Times New Roman" w:hAnsi="Arial" w:cs="Arial"/>
                <w:kern w:val="0"/>
                <w:lang w:eastAsia="en-GB"/>
                <w14:ligatures w14:val="none"/>
              </w:rPr>
            </w:pPr>
            <w:r w:rsidRPr="00ED27A5">
              <w:rPr>
                <w:rFonts w:ascii="Arial" w:eastAsia="Times New Roman" w:hAnsi="Arial" w:cs="Arial"/>
                <w:kern w:val="0"/>
                <w:lang w:eastAsia="en-GB"/>
                <w14:ligatures w14:val="none"/>
              </w:rPr>
              <w:t>E-learning, coaching, apprenticeships, leadership programmes, wellbeing support, inclusion initiatives and digital-skills development</w:t>
            </w:r>
          </w:p>
        </w:tc>
      </w:tr>
    </w:tbl>
    <w:p w14:paraId="67D10D48" w14:textId="77777777" w:rsidR="00256302" w:rsidRPr="00ED27A5" w:rsidRDefault="00256302" w:rsidP="00ED27A5">
      <w:pPr>
        <w:spacing w:line="360" w:lineRule="auto"/>
        <w:rPr>
          <w:rFonts w:ascii="Arial" w:hAnsi="Arial" w:cs="Arial"/>
        </w:rPr>
      </w:pPr>
    </w:p>
    <w:p w14:paraId="32135DDE" w14:textId="368B9329" w:rsidR="00256302" w:rsidRPr="00ED27A5" w:rsidRDefault="00256302" w:rsidP="00ED27A5">
      <w:pPr>
        <w:spacing w:line="360" w:lineRule="auto"/>
        <w:rPr>
          <w:rFonts w:ascii="Arial" w:hAnsi="Arial" w:cs="Arial"/>
        </w:rPr>
      </w:pPr>
      <w:r w:rsidRPr="00ED27A5">
        <w:rPr>
          <w:rFonts w:ascii="Arial" w:hAnsi="Arial" w:cs="Arial"/>
        </w:rPr>
        <w:t>Tesco already offers coaching, learning resources and leadership development via initiatives like the Winning Manager Programme. Skilled and motivated staff are vital as they enable Tesco to improve store standards, accuracy in online orders, innovation and customer trust.</w:t>
      </w:r>
      <w:r w:rsidR="00A900C6">
        <w:rPr>
          <w:rFonts w:ascii="Arial" w:hAnsi="Arial" w:cs="Arial"/>
        </w:rPr>
        <w:br/>
      </w:r>
    </w:p>
    <w:p w14:paraId="3BB92661" w14:textId="2FBDB00E" w:rsidR="00256302" w:rsidRPr="00A900C6" w:rsidRDefault="00256302" w:rsidP="00E3265C">
      <w:pPr>
        <w:pStyle w:val="Heading3"/>
      </w:pPr>
      <w:bookmarkStart w:id="17" w:name="_Toc237395739"/>
      <w:r w:rsidRPr="00A900C6">
        <w:t>Section Conclusion</w:t>
      </w:r>
      <w:bookmarkEnd w:id="17"/>
      <w:r w:rsidR="005E2D27" w:rsidRPr="00A900C6">
        <w:br/>
      </w:r>
    </w:p>
    <w:p w14:paraId="053B2BD5" w14:textId="0EA8E19A" w:rsidR="00256302" w:rsidRPr="00ED27A5" w:rsidRDefault="00256302" w:rsidP="00ED27A5">
      <w:pPr>
        <w:spacing w:line="360" w:lineRule="auto"/>
        <w:rPr>
          <w:rFonts w:ascii="Arial" w:hAnsi="Arial" w:cs="Arial"/>
        </w:rPr>
      </w:pPr>
      <w:r w:rsidRPr="00ED27A5">
        <w:rPr>
          <w:rFonts w:ascii="Arial" w:hAnsi="Arial" w:cs="Arial"/>
        </w:rPr>
        <w:t>In total, Tesco's CSR strategy is aligned with their business goals and is associated with the affordability, healthier food, sustainability and supply-chain resilience. The Balanced Scorecard can help to measure these priorities in addition to profitability, customer loyalty, operational performance and colleague development</w:t>
      </w:r>
      <w:r w:rsidR="00395095" w:rsidRPr="00ED27A5">
        <w:rPr>
          <w:rFonts w:ascii="Arial" w:hAnsi="Arial" w:cs="Arial"/>
        </w:rPr>
        <w:t xml:space="preserve"> </w:t>
      </w:r>
      <w:r w:rsidR="00E929C9" w:rsidRPr="00ED27A5">
        <w:rPr>
          <w:rFonts w:ascii="Arial" w:hAnsi="Arial" w:cs="Arial"/>
        </w:rPr>
        <w:t>(Mansour-</w:t>
      </w:r>
      <w:proofErr w:type="spellStart"/>
      <w:r w:rsidR="00E929C9" w:rsidRPr="00ED27A5">
        <w:rPr>
          <w:rFonts w:ascii="Arial" w:hAnsi="Arial" w:cs="Arial"/>
        </w:rPr>
        <w:t>Saatloo</w:t>
      </w:r>
      <w:proofErr w:type="spellEnd"/>
      <w:r w:rsidR="00E929C9" w:rsidRPr="00ED27A5">
        <w:rPr>
          <w:rFonts w:ascii="Arial" w:hAnsi="Arial" w:cs="Arial"/>
        </w:rPr>
        <w:t xml:space="preserve"> et al., 2020)</w:t>
      </w:r>
      <w:r w:rsidRPr="00ED27A5">
        <w:rPr>
          <w:rFonts w:ascii="Arial" w:hAnsi="Arial" w:cs="Arial"/>
        </w:rPr>
        <w:t>.</w:t>
      </w:r>
    </w:p>
    <w:p w14:paraId="591FCFC4" w14:textId="1B17DF08" w:rsidR="00256302" w:rsidRPr="00A900C6" w:rsidRDefault="00256302" w:rsidP="00E3265C">
      <w:pPr>
        <w:pStyle w:val="Heading1"/>
      </w:pPr>
      <w:bookmarkStart w:id="18" w:name="_Toc237395740"/>
      <w:r w:rsidRPr="00A900C6">
        <w:t>4.0 Strategic Choices and Implementation</w:t>
      </w:r>
      <w:bookmarkEnd w:id="18"/>
      <w:r w:rsidR="005E2D27" w:rsidRPr="00A900C6">
        <w:br/>
      </w:r>
    </w:p>
    <w:p w14:paraId="00073F42" w14:textId="23996FDA" w:rsidR="00256302" w:rsidRPr="00ED27A5" w:rsidRDefault="00256302" w:rsidP="00ED27A5">
      <w:pPr>
        <w:spacing w:line="360" w:lineRule="auto"/>
        <w:rPr>
          <w:rFonts w:ascii="Arial" w:hAnsi="Arial" w:cs="Arial"/>
        </w:rPr>
      </w:pPr>
      <w:r w:rsidRPr="00ED27A5">
        <w:rPr>
          <w:rFonts w:ascii="Arial" w:hAnsi="Arial" w:cs="Arial"/>
        </w:rPr>
        <w:t xml:space="preserve">The above analysis shows that Tesco possesses </w:t>
      </w:r>
      <w:proofErr w:type="gramStart"/>
      <w:r w:rsidRPr="00ED27A5">
        <w:rPr>
          <w:rFonts w:ascii="Arial" w:hAnsi="Arial" w:cs="Arial"/>
        </w:rPr>
        <w:t>a number of</w:t>
      </w:r>
      <w:proofErr w:type="gramEnd"/>
      <w:r w:rsidRPr="00ED27A5">
        <w:rPr>
          <w:rFonts w:ascii="Arial" w:hAnsi="Arial" w:cs="Arial"/>
        </w:rPr>
        <w:t xml:space="preserve"> strengths such as scale, market leadership, Clubcard data, supplier relationships and ability to operate on the omnichannel. Clubcard is still significant as it has achieved 84% penetration in sales in the UK, and over 24m households are taking part in the programme in the UK. But price-sensitive customers, high operating costs and low switching barriers </w:t>
      </w:r>
      <w:r w:rsidRPr="00ED27A5">
        <w:rPr>
          <w:rFonts w:ascii="Arial" w:hAnsi="Arial" w:cs="Arial"/>
        </w:rPr>
        <w:lastRenderedPageBreak/>
        <w:t xml:space="preserve">are also causing pressure on Tesco, though, which is continuing to be pressured by Aldi and Lidl. Thus, Tesco needs to choose a strategy that maintains competitive </w:t>
      </w:r>
      <w:proofErr w:type="gramStart"/>
      <w:r w:rsidRPr="00ED27A5">
        <w:rPr>
          <w:rFonts w:ascii="Arial" w:hAnsi="Arial" w:cs="Arial"/>
        </w:rPr>
        <w:t>prices, but</w:t>
      </w:r>
      <w:proofErr w:type="gramEnd"/>
      <w:r w:rsidRPr="00ED27A5">
        <w:rPr>
          <w:rFonts w:ascii="Arial" w:hAnsi="Arial" w:cs="Arial"/>
        </w:rPr>
        <w:t xml:space="preserve"> also provides them with advantages which can't be easily replicated by discount retailers. This part of the analysis looks at the options for Tesco's business-level strategies and suggests a combination of sustainable value and personalised value to sustain in the long run</w:t>
      </w:r>
      <w:r w:rsidR="00E929C9" w:rsidRPr="00ED27A5">
        <w:rPr>
          <w:rFonts w:ascii="Arial" w:hAnsi="Arial" w:cs="Arial"/>
        </w:rPr>
        <w:t xml:space="preserve"> </w:t>
      </w:r>
      <w:r w:rsidR="00E929C9" w:rsidRPr="00ED27A5">
        <w:rPr>
          <w:rFonts w:ascii="Arial" w:hAnsi="Arial" w:cs="Arial"/>
        </w:rPr>
        <w:t>(Vining, 2011)</w:t>
      </w:r>
      <w:r w:rsidRPr="00ED27A5">
        <w:rPr>
          <w:rFonts w:ascii="Arial" w:hAnsi="Arial" w:cs="Arial"/>
        </w:rPr>
        <w:t>.</w:t>
      </w:r>
      <w:r w:rsidR="00A900C6">
        <w:rPr>
          <w:rFonts w:ascii="Arial" w:hAnsi="Arial" w:cs="Arial"/>
        </w:rPr>
        <w:br/>
      </w:r>
    </w:p>
    <w:p w14:paraId="63F72505" w14:textId="7DD3F67E" w:rsidR="00256302" w:rsidRPr="00A900C6" w:rsidRDefault="00256302" w:rsidP="00E3265C">
      <w:pPr>
        <w:pStyle w:val="Heading2"/>
      </w:pPr>
      <w:bookmarkStart w:id="19" w:name="_Toc237395741"/>
      <w:r w:rsidRPr="00A900C6">
        <w:t>4.1 Strategic Choices Available to Tesco</w:t>
      </w:r>
      <w:bookmarkEnd w:id="19"/>
      <w:r w:rsidR="005E2D27" w:rsidRPr="00A900C6">
        <w:br/>
      </w:r>
    </w:p>
    <w:p w14:paraId="285D0C66" w14:textId="0B63DD3F" w:rsidR="00256302" w:rsidRPr="00ED27A5" w:rsidRDefault="00714B67" w:rsidP="004B1D63">
      <w:pPr>
        <w:pStyle w:val="NoSpacing"/>
        <w:rPr>
          <w:rFonts w:ascii="Arial" w:eastAsia="Times New Roman" w:hAnsi="Arial" w:cs="Arial"/>
          <w:b/>
          <w:bCs/>
          <w:kern w:val="0"/>
          <w:lang w:eastAsia="en-GB"/>
          <w14:ligatures w14:val="none"/>
        </w:rPr>
      </w:pPr>
      <w:r w:rsidRPr="00ED27A5">
        <w:rPr>
          <w:rFonts w:ascii="Arial" w:hAnsi="Arial" w:cs="Arial"/>
        </w:rPr>
        <w:t>Tesco can pursue three strategies: cost leadership, differentiation and focus. Cost leadership uses buying power, own-label products, distribution and cost control to maintain low prices. This is because Aldi and Lidl operate cost models for price-sensitive customers. Tesco supports value through Aldi Price Match, Everyday Low Prices and Clubcard Prices (Vining, 2011). Differentiation offers benefits beyond price, including product range, Tesco Finest, Clubcard personalisation, online shopping, Tesco Express, delivery and healthier, sustainable products. Focus would target premium, convenience or health-conscious segments, but is unsuitable for Tesco’s mass-market model. Therefore, Tesco should combine cost efficiency with differentiation through value, convenience and sustainability</w:t>
      </w:r>
      <w:r w:rsidRPr="00ED27A5">
        <w:rPr>
          <w:rFonts w:ascii="Arial" w:hAnsi="Arial" w:cs="Arial"/>
        </w:rPr>
        <w:t xml:space="preserve"> </w:t>
      </w:r>
      <w:r w:rsidRPr="00ED27A5">
        <w:rPr>
          <w:rFonts w:ascii="Arial" w:hAnsi="Arial" w:cs="Arial"/>
        </w:rPr>
        <w:t>(Vining, 2011).</w:t>
      </w:r>
      <w:r w:rsidRPr="00ED27A5">
        <w:rPr>
          <w:rFonts w:ascii="Arial" w:hAnsi="Arial" w:cs="Arial"/>
        </w:rPr>
        <w:br/>
      </w:r>
      <w:r w:rsidRPr="00ED27A5">
        <w:rPr>
          <w:rFonts w:ascii="Arial" w:hAnsi="Arial" w:cs="Arial"/>
        </w:rPr>
        <w:br/>
      </w:r>
      <w:r w:rsidR="00256302" w:rsidRPr="00E3265C">
        <w:rPr>
          <w:rStyle w:val="Heading1Char"/>
        </w:rPr>
        <w:t>Porter’s Five Forces Analysis</w:t>
      </w:r>
      <w:r w:rsidR="005E2D27">
        <w:rPr>
          <w:rStyle w:val="Heading1Char"/>
          <w:rFonts w:ascii="Arial" w:hAnsi="Arial" w:cs="Arial"/>
          <w:sz w:val="24"/>
          <w:szCs w:val="24"/>
          <w:lang w:eastAsia="en-GB"/>
        </w:rPr>
        <w:br/>
      </w:r>
    </w:p>
    <w:p w14:paraId="10EE7DCE" w14:textId="7C28033C" w:rsidR="00256302" w:rsidRPr="00ED27A5" w:rsidRDefault="00256302" w:rsidP="00ED27A5">
      <w:pPr>
        <w:spacing w:line="360" w:lineRule="auto"/>
        <w:rPr>
          <w:rFonts w:ascii="Arial" w:hAnsi="Arial" w:cs="Arial"/>
        </w:rPr>
      </w:pPr>
      <w:r w:rsidRPr="00ED27A5">
        <w:rPr>
          <w:rFonts w:ascii="Arial" w:hAnsi="Arial" w:cs="Arial"/>
        </w:rPr>
        <w:t xml:space="preserve">The competitive pressure is high in the grocery sector in the UK according to Porter's 5 Forces. Tesco is fiercely competitive with Sainsbury's, Asda, Morrisons, Aldi and Lidl, who are also active on the price promotion battleground, with their own-label products and convenience formats. High buyer power: Customers can find good alternatives of prices </w:t>
      </w:r>
      <w:proofErr w:type="gramStart"/>
      <w:r w:rsidRPr="00ED27A5">
        <w:rPr>
          <w:rFonts w:ascii="Arial" w:hAnsi="Arial" w:cs="Arial"/>
        </w:rPr>
        <w:t>easily,</w:t>
      </w:r>
      <w:proofErr w:type="gramEnd"/>
      <w:r w:rsidRPr="00ED27A5">
        <w:rPr>
          <w:rFonts w:ascii="Arial" w:hAnsi="Arial" w:cs="Arial"/>
        </w:rPr>
        <w:t xml:space="preserve"> they can use several supermarket and switch at almost no cost. The power of suppliers is moderate. While scale gives Tesco the bargaining power, the threat of climate disruption, commodity volatility and specialist sustainable products can bolster supplier influence. The risk of new physical supermarket entrants is relatively low </w:t>
      </w:r>
      <w:proofErr w:type="gramStart"/>
      <w:r w:rsidRPr="00ED27A5">
        <w:rPr>
          <w:rFonts w:ascii="Arial" w:hAnsi="Arial" w:cs="Arial"/>
        </w:rPr>
        <w:t>due to the fact that</w:t>
      </w:r>
      <w:proofErr w:type="gramEnd"/>
      <w:r w:rsidRPr="00ED27A5">
        <w:rPr>
          <w:rFonts w:ascii="Arial" w:hAnsi="Arial" w:cs="Arial"/>
        </w:rPr>
        <w:t xml:space="preserve"> stores, logistics and brand building </w:t>
      </w:r>
      <w:proofErr w:type="gramStart"/>
      <w:r w:rsidRPr="00ED27A5">
        <w:rPr>
          <w:rFonts w:ascii="Arial" w:hAnsi="Arial" w:cs="Arial"/>
        </w:rPr>
        <w:t>involves</w:t>
      </w:r>
      <w:proofErr w:type="gramEnd"/>
      <w:r w:rsidRPr="00ED27A5">
        <w:rPr>
          <w:rFonts w:ascii="Arial" w:hAnsi="Arial" w:cs="Arial"/>
        </w:rPr>
        <w:t xml:space="preserve"> a large amount of capital. However, online grocers, quick delivery services and Amazon further heighten the danger of fresh </w:t>
      </w:r>
      <w:proofErr w:type="gramStart"/>
      <w:r w:rsidRPr="00ED27A5">
        <w:rPr>
          <w:rFonts w:ascii="Arial" w:hAnsi="Arial" w:cs="Arial"/>
        </w:rPr>
        <w:t>on line</w:t>
      </w:r>
      <w:proofErr w:type="gramEnd"/>
      <w:r w:rsidRPr="00ED27A5">
        <w:rPr>
          <w:rFonts w:ascii="Arial" w:hAnsi="Arial" w:cs="Arial"/>
        </w:rPr>
        <w:t xml:space="preserve"> competition. Moderate to high are meal kits, food-service outlets, local convenience retailers and food-service delivery directly to consumers. This means Tesco will have to be price competitive, have a data-driven convenience offering, differentiate service and sustainability as well as minimise customer churn to preserve margins</w:t>
      </w:r>
      <w:r w:rsidR="00E929C9" w:rsidRPr="00ED27A5">
        <w:rPr>
          <w:rFonts w:ascii="Arial" w:hAnsi="Arial" w:cs="Arial"/>
        </w:rPr>
        <w:t xml:space="preserve"> </w:t>
      </w:r>
      <w:r w:rsidR="00E929C9" w:rsidRPr="00ED27A5">
        <w:rPr>
          <w:rFonts w:ascii="Arial" w:hAnsi="Arial" w:cs="Arial"/>
        </w:rPr>
        <w:t>(Ghemawat, 2002)</w:t>
      </w:r>
      <w:r w:rsidRPr="00ED27A5">
        <w:rPr>
          <w:rFonts w:ascii="Arial" w:hAnsi="Arial" w:cs="Arial"/>
        </w:rPr>
        <w:t>.</w:t>
      </w:r>
    </w:p>
    <w:p w14:paraId="0C3425F0" w14:textId="3663A099" w:rsidR="00256302" w:rsidRPr="00A900C6" w:rsidRDefault="00256302" w:rsidP="00E3265C">
      <w:pPr>
        <w:pStyle w:val="Heading2"/>
      </w:pPr>
      <w:bookmarkStart w:id="20" w:name="_Toc237395742"/>
      <w:r w:rsidRPr="00A900C6">
        <w:lastRenderedPageBreak/>
        <w:t>Recommended Strategy: Personalised Sustainable Value</w:t>
      </w:r>
      <w:bookmarkEnd w:id="20"/>
      <w:r w:rsidR="005E2D27" w:rsidRPr="00A900C6">
        <w:br/>
      </w:r>
    </w:p>
    <w:p w14:paraId="4DF55196" w14:textId="77777777" w:rsidR="00256302" w:rsidRPr="00ED27A5" w:rsidRDefault="00256302" w:rsidP="00ED27A5">
      <w:pPr>
        <w:spacing w:line="360" w:lineRule="auto"/>
        <w:rPr>
          <w:rFonts w:ascii="Arial" w:hAnsi="Arial" w:cs="Arial"/>
        </w:rPr>
      </w:pPr>
      <w:r w:rsidRPr="00ED27A5">
        <w:rPr>
          <w:rFonts w:ascii="Arial" w:hAnsi="Arial" w:cs="Arial"/>
        </w:rPr>
        <w:t xml:space="preserve">Tesco needs to take a holistic approach of personalised sustainable value, leveraging cost-effectiveness and effective differentiation. The margin protection and competitive pricing portion of the cost-leadership element will be achieved through buying scale, own-brand products, the automation of the supply chain, energy efficiency and reduction of food waste. </w:t>
      </w:r>
      <w:proofErr w:type="gramStart"/>
      <w:r w:rsidRPr="00ED27A5">
        <w:rPr>
          <w:rFonts w:ascii="Arial" w:hAnsi="Arial" w:cs="Arial"/>
        </w:rPr>
        <w:t>But,</w:t>
      </w:r>
      <w:proofErr w:type="gramEnd"/>
      <w:r w:rsidRPr="00ED27A5">
        <w:rPr>
          <w:rFonts w:ascii="Arial" w:hAnsi="Arial" w:cs="Arial"/>
        </w:rPr>
        <w:t xml:space="preserve"> Tesco should not pursue the lowest price as a retailer as that is where Aldi and Lidl are lower than the retailer.</w:t>
      </w:r>
    </w:p>
    <w:p w14:paraId="5747B9FD" w14:textId="3F6EB61A" w:rsidR="00256302" w:rsidRPr="00ED27A5" w:rsidRDefault="00256302" w:rsidP="00ED27A5">
      <w:pPr>
        <w:spacing w:line="360" w:lineRule="auto"/>
        <w:rPr>
          <w:rFonts w:ascii="Arial" w:hAnsi="Arial" w:cs="Arial"/>
        </w:rPr>
      </w:pPr>
      <w:r w:rsidRPr="00ED27A5">
        <w:rPr>
          <w:rFonts w:ascii="Arial" w:hAnsi="Arial" w:cs="Arial"/>
        </w:rPr>
        <w:t>The element of differentiation should be based on Clubcard data, AI-powered offers, availability, online fulfilment, convenience stores, healthier products and credible sustainability promises. This provides a customized value to customers, rather than blanket discounts on all goods, which can help to retain customers without sacrificing the bottom line. Adobe is also in partnership with Tesco, which plans to leverage on Clubcard data for more personalised marketing with more than 24 million UK households</w:t>
      </w:r>
      <w:r w:rsidR="00E929C9" w:rsidRPr="00ED27A5">
        <w:rPr>
          <w:rFonts w:ascii="Arial" w:hAnsi="Arial" w:cs="Arial"/>
        </w:rPr>
        <w:t xml:space="preserve"> </w:t>
      </w:r>
      <w:r w:rsidR="00E929C9" w:rsidRPr="00ED27A5">
        <w:rPr>
          <w:rFonts w:ascii="Arial" w:hAnsi="Arial" w:cs="Arial"/>
        </w:rPr>
        <w:t>(Chaudhry, Heilman and Seetharaman, 2023)</w:t>
      </w:r>
      <w:r w:rsidRPr="00ED27A5">
        <w:rPr>
          <w:rFonts w:ascii="Arial" w:hAnsi="Arial" w:cs="Arial"/>
        </w:rPr>
        <w:t>.</w:t>
      </w:r>
    </w:p>
    <w:p w14:paraId="31BF1FCF" w14:textId="0C2758D2" w:rsidR="00256302" w:rsidRPr="00ED27A5" w:rsidRDefault="00256302" w:rsidP="00ED27A5">
      <w:pPr>
        <w:spacing w:line="360" w:lineRule="auto"/>
        <w:rPr>
          <w:rFonts w:ascii="Arial" w:hAnsi="Arial" w:cs="Arial"/>
        </w:rPr>
      </w:pPr>
      <w:r w:rsidRPr="00ED27A5">
        <w:rPr>
          <w:rFonts w:ascii="Arial" w:hAnsi="Arial" w:cs="Arial"/>
        </w:rPr>
        <w:t xml:space="preserve">This is in line with Porter's theory </w:t>
      </w:r>
      <w:proofErr w:type="gramStart"/>
      <w:r w:rsidRPr="00ED27A5">
        <w:rPr>
          <w:rFonts w:ascii="Arial" w:hAnsi="Arial" w:cs="Arial"/>
        </w:rPr>
        <w:t>on the basis of</w:t>
      </w:r>
      <w:proofErr w:type="gramEnd"/>
      <w:r w:rsidRPr="00ED27A5">
        <w:rPr>
          <w:rFonts w:ascii="Arial" w:hAnsi="Arial" w:cs="Arial"/>
        </w:rPr>
        <w:t xml:space="preserve"> which competitive advantage is gained through unique activities. It sits on top of Tesco's valuable, data rich and hard to replicate resources and answers to price sensitivity and demand for more healthy and sustainable options</w:t>
      </w:r>
      <w:r w:rsidR="00E929C9" w:rsidRPr="00ED27A5">
        <w:rPr>
          <w:rFonts w:ascii="Arial" w:hAnsi="Arial" w:cs="Arial"/>
        </w:rPr>
        <w:t xml:space="preserve"> </w:t>
      </w:r>
      <w:r w:rsidR="00E929C9" w:rsidRPr="00ED27A5">
        <w:rPr>
          <w:rFonts w:ascii="Arial" w:hAnsi="Arial" w:cs="Arial"/>
        </w:rPr>
        <w:t>(Chaudhry, Heilman and Seetharaman, 2023)</w:t>
      </w:r>
      <w:r w:rsidRPr="00ED27A5">
        <w:rPr>
          <w:rFonts w:ascii="Arial" w:hAnsi="Arial" w:cs="Arial"/>
        </w:rPr>
        <w:t>.</w:t>
      </w:r>
    </w:p>
    <w:p w14:paraId="53AE5D9A" w14:textId="3FDA9277" w:rsidR="00256302" w:rsidRPr="00A900C6" w:rsidRDefault="00256302" w:rsidP="00E3265C">
      <w:pPr>
        <w:pStyle w:val="Heading3"/>
      </w:pPr>
      <w:bookmarkStart w:id="21" w:name="_Toc237395743"/>
      <w:r w:rsidRPr="00A900C6">
        <w:t xml:space="preserve">Strategy Validation: Ansoff Matrix and </w:t>
      </w:r>
      <w:proofErr w:type="spellStart"/>
      <w:r w:rsidRPr="00A900C6">
        <w:t>SAFe</w:t>
      </w:r>
      <w:proofErr w:type="spellEnd"/>
      <w:r w:rsidRPr="00A900C6">
        <w:t xml:space="preserve"> Framework</w:t>
      </w:r>
      <w:bookmarkEnd w:id="21"/>
      <w:r w:rsidR="005E2D27" w:rsidRPr="00A900C6">
        <w:br/>
      </w:r>
    </w:p>
    <w:p w14:paraId="2B76B677" w14:textId="05A98C99" w:rsidR="00256302" w:rsidRPr="00ED27A5" w:rsidRDefault="00714B67" w:rsidP="00ED27A5">
      <w:pPr>
        <w:spacing w:line="360" w:lineRule="auto"/>
        <w:rPr>
          <w:rFonts w:ascii="Arial" w:hAnsi="Arial" w:cs="Arial"/>
        </w:rPr>
      </w:pPr>
      <w:r w:rsidRPr="00ED27A5">
        <w:rPr>
          <w:rFonts w:ascii="Arial" w:hAnsi="Arial" w:cs="Arial"/>
        </w:rPr>
        <w:t xml:space="preserve">The Ansoff Matrix supports Tesco’s sustainable-value strategy. Market penetration is priority because it increases sales of products in existing markets. Tesco can use Clubcard Prices, price matching, targeted promotions, availability and digital convenience to attract customers and increase spending. It is lowest-risk option because Tesco understands the UK grocery market and has distribution and brand strength. Product development is an option involving healthier, lower-carbon products for existing customers. Unrelated diversification would be riskier and is not recommended (Whittington, 2008). </w:t>
      </w:r>
      <w:proofErr w:type="spellStart"/>
      <w:r w:rsidRPr="00ED27A5">
        <w:rPr>
          <w:rFonts w:ascii="Arial" w:hAnsi="Arial" w:cs="Arial"/>
        </w:rPr>
        <w:t>SAFe</w:t>
      </w:r>
      <w:proofErr w:type="spellEnd"/>
      <w:r w:rsidRPr="00ED27A5">
        <w:rPr>
          <w:rFonts w:ascii="Arial" w:hAnsi="Arial" w:cs="Arial"/>
        </w:rPr>
        <w:t xml:space="preserve"> confirms suitability, acceptability and feasibility because Tesco’s scale, Clubcard data, stores and supplier relationships support effective implementation of strategy</w:t>
      </w:r>
      <w:r w:rsidR="00576697" w:rsidRPr="00ED27A5">
        <w:rPr>
          <w:rFonts w:ascii="Arial" w:hAnsi="Arial" w:cs="Arial"/>
        </w:rPr>
        <w:t xml:space="preserve"> </w:t>
      </w:r>
      <w:r w:rsidR="00576697" w:rsidRPr="00ED27A5">
        <w:rPr>
          <w:rFonts w:ascii="Arial" w:hAnsi="Arial" w:cs="Arial"/>
        </w:rPr>
        <w:t>(Whittington, 2008)</w:t>
      </w:r>
      <w:r w:rsidRPr="00ED27A5">
        <w:rPr>
          <w:rFonts w:ascii="Arial" w:hAnsi="Arial" w:cs="Arial"/>
        </w:rPr>
        <w:t>.</w:t>
      </w:r>
      <w:r w:rsidR="00284258">
        <w:rPr>
          <w:rFonts w:ascii="Arial" w:hAnsi="Arial" w:cs="Arial"/>
        </w:rPr>
        <w:br/>
      </w:r>
      <w:r w:rsidR="00284258">
        <w:rPr>
          <w:rFonts w:ascii="Arial" w:hAnsi="Arial" w:cs="Arial"/>
        </w:rPr>
        <w:br/>
      </w:r>
      <w:r w:rsidR="00284258">
        <w:rPr>
          <w:rFonts w:ascii="Arial" w:hAnsi="Arial" w:cs="Arial"/>
          <w:noProof/>
        </w:rPr>
        <w:lastRenderedPageBreak/>
        <w:drawing>
          <wp:inline distT="0" distB="0" distL="0" distR="0" wp14:anchorId="3036507F" wp14:editId="6921D599">
            <wp:extent cx="5731510" cy="3855720"/>
            <wp:effectExtent l="0" t="0" r="0" b="5080"/>
            <wp:docPr id="4248676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67659" name="Picture 42486765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55720"/>
                    </a:xfrm>
                    <a:prstGeom prst="rect">
                      <a:avLst/>
                    </a:prstGeom>
                  </pic:spPr>
                </pic:pic>
              </a:graphicData>
            </a:graphic>
          </wp:inline>
        </w:drawing>
      </w:r>
      <w:r w:rsidR="00284258">
        <w:rPr>
          <w:rFonts w:ascii="Arial" w:hAnsi="Arial" w:cs="Arial"/>
        </w:rPr>
        <w:br/>
      </w:r>
      <w:r w:rsidR="00284258">
        <w:rPr>
          <w:rFonts w:ascii="Arial" w:hAnsi="Arial" w:cs="Arial"/>
        </w:rPr>
        <w:br/>
      </w:r>
      <w:r w:rsidR="00284258">
        <w:t>Ansoff Matrix showing Tesco’s strategic growth options (Source: Created by Learner).</w:t>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r w:rsidR="00284258">
        <w:rPr>
          <w:rFonts w:ascii="Arial" w:hAnsi="Arial" w:cs="Arial"/>
        </w:rPr>
        <w:br/>
      </w:r>
    </w:p>
    <w:p w14:paraId="4037C877" w14:textId="20ACDD87" w:rsidR="00256302" w:rsidRPr="00A900C6" w:rsidRDefault="00256302" w:rsidP="00E3265C">
      <w:pPr>
        <w:pStyle w:val="Heading1"/>
      </w:pPr>
      <w:bookmarkStart w:id="22" w:name="_Toc237395744"/>
      <w:r w:rsidRPr="00A900C6">
        <w:t>Delivering Optimum Performance and Competitive Advantage</w:t>
      </w:r>
      <w:bookmarkEnd w:id="22"/>
      <w:r w:rsidR="005E2D27" w:rsidRPr="00A900C6">
        <w:br/>
      </w:r>
    </w:p>
    <w:p w14:paraId="5CC8D1EA" w14:textId="77777777" w:rsidR="00256302" w:rsidRPr="00ED27A5" w:rsidRDefault="00256302" w:rsidP="00ED27A5">
      <w:pPr>
        <w:spacing w:line="360" w:lineRule="auto"/>
        <w:rPr>
          <w:rFonts w:ascii="Arial" w:hAnsi="Arial" w:cs="Arial"/>
        </w:rPr>
      </w:pPr>
      <w:r w:rsidRPr="00ED27A5">
        <w:rPr>
          <w:rFonts w:ascii="Arial" w:hAnsi="Arial" w:cs="Arial"/>
        </w:rPr>
        <w:t xml:space="preserve">By leveraging operational efficiency and customer-centric differentiation, Tesco's personalised sustainable value approach can achieve optimal results. Firstly, its scale of buying, its own brand portfolio, its automated forecasting and waste </w:t>
      </w:r>
      <w:r w:rsidRPr="00ED27A5">
        <w:rPr>
          <w:rFonts w:ascii="Arial" w:hAnsi="Arial" w:cs="Arial"/>
        </w:rPr>
        <w:lastRenderedPageBreak/>
        <w:t>reduction programmes, can reduce the unit costs and safeguard operating margins. Tesco's food-waste initiative, for instance, involves the sale of discounted products, food redistribution and surplus conversion to help reduce waste, while also meeting cost and sustainability goals.</w:t>
      </w:r>
    </w:p>
    <w:p w14:paraId="1F29DEF8" w14:textId="51862DD3" w:rsidR="00256302" w:rsidRPr="00ED27A5" w:rsidRDefault="00256302" w:rsidP="00ED27A5">
      <w:pPr>
        <w:spacing w:line="360" w:lineRule="auto"/>
        <w:rPr>
          <w:rFonts w:ascii="Arial" w:hAnsi="Arial" w:cs="Arial"/>
        </w:rPr>
      </w:pPr>
      <w:r w:rsidRPr="00ED27A5">
        <w:rPr>
          <w:rFonts w:ascii="Arial" w:hAnsi="Arial" w:cs="Arial"/>
        </w:rPr>
        <w:t>Secondly, the Clubcard data allows Tesco to offer discounts and product suggestions that are tailored to individual consumers, so that by making their customers feel valued, they are not tempted to leave in search of a cheaper deal elsewhere. This is especially crucial as it can help keep the value perception alive while lowering the cost of competing with discount retailers through targeted promotions</w:t>
      </w:r>
      <w:r w:rsidR="00E929C9" w:rsidRPr="00ED27A5">
        <w:rPr>
          <w:rFonts w:ascii="Arial" w:hAnsi="Arial" w:cs="Arial"/>
        </w:rPr>
        <w:t xml:space="preserve"> </w:t>
      </w:r>
      <w:r w:rsidR="00E929C9" w:rsidRPr="00ED27A5">
        <w:rPr>
          <w:rFonts w:ascii="Arial" w:hAnsi="Arial" w:cs="Arial"/>
        </w:rPr>
        <w:t>(Chaudhry, Heilman and Seetharaman, 2023)</w:t>
      </w:r>
      <w:r w:rsidRPr="00ED27A5">
        <w:rPr>
          <w:rFonts w:ascii="Arial" w:hAnsi="Arial" w:cs="Arial"/>
        </w:rPr>
        <w:t>.</w:t>
      </w:r>
    </w:p>
    <w:p w14:paraId="72BF7AD9" w14:textId="590C4BF4" w:rsidR="00256302" w:rsidRPr="00ED27A5" w:rsidRDefault="00256302" w:rsidP="00E3265C">
      <w:pPr>
        <w:pStyle w:val="Heading2"/>
        <w:rPr>
          <w:rFonts w:eastAsia="Times New Roman"/>
          <w:lang w:eastAsia="en-GB"/>
        </w:rPr>
      </w:pPr>
      <w:bookmarkStart w:id="23" w:name="_Toc237395745"/>
      <w:r w:rsidRPr="00ED27A5">
        <w:rPr>
          <w:rFonts w:eastAsia="Times New Roman"/>
          <w:lang w:eastAsia="en-GB"/>
        </w:rPr>
        <w:t>Implementation Challenges and Mitigation</w:t>
      </w:r>
      <w:bookmarkEnd w:id="23"/>
      <w:r w:rsidR="005E2D27">
        <w:rPr>
          <w:rFonts w:eastAsia="Times New Roman"/>
          <w:lang w:eastAsia="en-GB"/>
        </w:rPr>
        <w:br/>
      </w:r>
    </w:p>
    <w:p w14:paraId="6FCCBE19" w14:textId="415BE843" w:rsidR="00256302" w:rsidRPr="00ED27A5" w:rsidRDefault="00256302" w:rsidP="00ED27A5">
      <w:pPr>
        <w:spacing w:line="360" w:lineRule="auto"/>
        <w:rPr>
          <w:rFonts w:ascii="Arial" w:hAnsi="Arial" w:cs="Arial"/>
        </w:rPr>
      </w:pPr>
      <w:r w:rsidRPr="00ED27A5">
        <w:rPr>
          <w:rFonts w:ascii="Arial" w:hAnsi="Arial" w:cs="Arial"/>
        </w:rPr>
        <w:t xml:space="preserve">There are four key implementation challenges. Firstly, price investment may over time reduce margins, and Tesco should aim to offer its Clubcard discounts to the price sensitive segment, instead of across the board. Second, the more that key customer data is used, the greater the risk of cybersecurity and GDPR issues; strong consent mechanisms, encryption and independent data-governance audits must be established. Third, suppliers might be challenged to meet both lower price and sustainability requirements at the same time; and Tesco should offer longer-term contracts, joint forecasting and phased technical support. </w:t>
      </w:r>
      <w:proofErr w:type="gramStart"/>
      <w:r w:rsidRPr="00ED27A5">
        <w:rPr>
          <w:rFonts w:ascii="Arial" w:hAnsi="Arial" w:cs="Arial"/>
        </w:rPr>
        <w:t>Last but not least</w:t>
      </w:r>
      <w:proofErr w:type="gramEnd"/>
      <w:r w:rsidRPr="00ED27A5">
        <w:rPr>
          <w:rFonts w:ascii="Arial" w:hAnsi="Arial" w:cs="Arial"/>
        </w:rPr>
        <w:t>, technology may disrupt the stores or have resistance among staff</w:t>
      </w:r>
      <w:r w:rsidR="002C230C" w:rsidRPr="00ED27A5">
        <w:rPr>
          <w:rFonts w:ascii="Arial" w:hAnsi="Arial" w:cs="Arial"/>
        </w:rPr>
        <w:t xml:space="preserve"> </w:t>
      </w:r>
      <w:r w:rsidR="002C230C" w:rsidRPr="00ED27A5">
        <w:rPr>
          <w:rFonts w:ascii="Arial" w:hAnsi="Arial" w:cs="Arial"/>
        </w:rPr>
        <w:t>(Chaudhry, Heilman and Seetharaman, 2023)</w:t>
      </w:r>
      <w:r w:rsidRPr="00ED27A5">
        <w:rPr>
          <w:rFonts w:ascii="Arial" w:hAnsi="Arial" w:cs="Arial"/>
        </w:rPr>
        <w:t>.</w:t>
      </w:r>
    </w:p>
    <w:p w14:paraId="64102D86" w14:textId="3417D7DE" w:rsidR="00256302" w:rsidRPr="00A900C6" w:rsidRDefault="00256302" w:rsidP="00E3265C">
      <w:pPr>
        <w:pStyle w:val="Heading3"/>
      </w:pPr>
      <w:bookmarkStart w:id="24" w:name="_Toc237395746"/>
      <w:r w:rsidRPr="00A900C6">
        <w:t>Section Conclusion</w:t>
      </w:r>
      <w:bookmarkEnd w:id="24"/>
      <w:r w:rsidR="005E2D27" w:rsidRPr="00A900C6">
        <w:br/>
      </w:r>
    </w:p>
    <w:p w14:paraId="1C64DA1C" w14:textId="4E163A82" w:rsidR="00256302" w:rsidRPr="00ED27A5" w:rsidRDefault="00256302" w:rsidP="00ED27A5">
      <w:pPr>
        <w:spacing w:line="360" w:lineRule="auto"/>
        <w:rPr>
          <w:rFonts w:ascii="Arial" w:hAnsi="Arial" w:cs="Arial"/>
        </w:rPr>
      </w:pPr>
      <w:r w:rsidRPr="00ED27A5">
        <w:rPr>
          <w:rFonts w:ascii="Arial" w:hAnsi="Arial" w:cs="Arial"/>
        </w:rPr>
        <w:t>In total, Tesco should strive for personalised sustainable value, which includes price competitiveness and data-driven convenience, quality and sustainability. This will boost loyalty, help maintain margins, and help maintain competitive advantage over time from discount competitors.</w:t>
      </w:r>
    </w:p>
    <w:p w14:paraId="042B8181" w14:textId="2BAD8713" w:rsidR="00256302" w:rsidRPr="00A900C6" w:rsidRDefault="00256302" w:rsidP="00E3265C">
      <w:pPr>
        <w:pStyle w:val="Heading1"/>
      </w:pPr>
      <w:bookmarkStart w:id="25" w:name="_Toc237395747"/>
      <w:r w:rsidRPr="00A900C6">
        <w:lastRenderedPageBreak/>
        <w:t>Section 2: Reflective Account</w:t>
      </w:r>
      <w:bookmarkEnd w:id="25"/>
      <w:r w:rsidR="005E2D27" w:rsidRPr="00A900C6">
        <w:br/>
      </w:r>
    </w:p>
    <w:p w14:paraId="1413F4DA" w14:textId="3B23B906" w:rsidR="00256302" w:rsidRPr="00A900C6" w:rsidRDefault="00256302" w:rsidP="00E3265C">
      <w:pPr>
        <w:pStyle w:val="Heading2"/>
      </w:pPr>
      <w:bookmarkStart w:id="26" w:name="_Toc237395748"/>
      <w:r w:rsidRPr="00A900C6">
        <w:t>Description</w:t>
      </w:r>
      <w:bookmarkEnd w:id="26"/>
      <w:r w:rsidR="005E2D27" w:rsidRPr="00A900C6">
        <w:br/>
      </w:r>
    </w:p>
    <w:p w14:paraId="4194DEA2" w14:textId="5064BD82" w:rsidR="00256302" w:rsidRPr="00ED27A5" w:rsidRDefault="00256302" w:rsidP="00ED27A5">
      <w:pPr>
        <w:spacing w:line="360" w:lineRule="auto"/>
        <w:rPr>
          <w:rFonts w:ascii="Arial" w:hAnsi="Arial" w:cs="Arial"/>
        </w:rPr>
      </w:pPr>
      <w:r w:rsidRPr="00ED27A5">
        <w:rPr>
          <w:rFonts w:ascii="Arial" w:hAnsi="Arial" w:cs="Arial"/>
        </w:rPr>
        <w:t xml:space="preserve">This reflective piece assesses the research, analysis and preparation procedure that I used to complete the strategic-management assessment for Tesco PLC. I chose Tesco as the largest grocery retailer in the UK, as the information available from them is publicly available and they share sufficient information in their annual and sustainability reports, company announcements and through credible market sources. I researched Tesco’s business model, market position, competitors, corporate social responsibility strategy and current strategic priorities. Then, I used </w:t>
      </w:r>
      <w:proofErr w:type="gramStart"/>
      <w:r w:rsidRPr="00ED27A5">
        <w:rPr>
          <w:rFonts w:ascii="Arial" w:hAnsi="Arial" w:cs="Arial"/>
        </w:rPr>
        <w:t>a number of</w:t>
      </w:r>
      <w:proofErr w:type="gramEnd"/>
      <w:r w:rsidRPr="00ED27A5">
        <w:rPr>
          <w:rFonts w:ascii="Arial" w:hAnsi="Arial" w:cs="Arial"/>
        </w:rPr>
        <w:t xml:space="preserve"> strategic-management models, such as PESTEL, VRIO, SWOT, Balanced Scorecard, Porter's Five Forces, Ansoff's Matrix and </w:t>
      </w:r>
      <w:proofErr w:type="spellStart"/>
      <w:r w:rsidRPr="00ED27A5">
        <w:rPr>
          <w:rFonts w:ascii="Arial" w:hAnsi="Arial" w:cs="Arial"/>
        </w:rPr>
        <w:t>SAFe</w:t>
      </w:r>
      <w:proofErr w:type="spellEnd"/>
      <w:r w:rsidRPr="00ED27A5">
        <w:rPr>
          <w:rFonts w:ascii="Arial" w:hAnsi="Arial" w:cs="Arial"/>
        </w:rPr>
        <w:t>. These tools helped me to analyse Tesco's external environment, internal resources, strategic decisions made and problems faced for implementation. That was my final piece of advice for Tesco – pursue a personalised sustainable value strategy, where the product is good value, and differentiated, convenient and sustainable by Clubcard.</w:t>
      </w:r>
      <w:r w:rsidR="00A900C6">
        <w:rPr>
          <w:rFonts w:ascii="Arial" w:hAnsi="Arial" w:cs="Arial"/>
        </w:rPr>
        <w:br/>
      </w:r>
    </w:p>
    <w:p w14:paraId="4DD3ECBF" w14:textId="647DDBD7" w:rsidR="00256302" w:rsidRPr="00A900C6" w:rsidRDefault="00256302" w:rsidP="00E3265C">
      <w:pPr>
        <w:pStyle w:val="Heading3"/>
      </w:pPr>
      <w:bookmarkStart w:id="27" w:name="_Toc237395749"/>
      <w:r w:rsidRPr="00A900C6">
        <w:t>Feelings</w:t>
      </w:r>
      <w:bookmarkEnd w:id="27"/>
      <w:r w:rsidR="005E2D27" w:rsidRPr="00A900C6">
        <w:br/>
      </w:r>
    </w:p>
    <w:p w14:paraId="413FF62D" w14:textId="43C710B9" w:rsidR="00256302" w:rsidRPr="00ED27A5" w:rsidRDefault="0008467E" w:rsidP="00ED27A5">
      <w:pPr>
        <w:spacing w:line="360" w:lineRule="auto"/>
        <w:rPr>
          <w:rFonts w:ascii="Arial" w:hAnsi="Arial" w:cs="Arial"/>
        </w:rPr>
      </w:pPr>
      <w:r w:rsidRPr="00ED27A5">
        <w:rPr>
          <w:rFonts w:ascii="Arial" w:hAnsi="Arial" w:cs="Arial"/>
        </w:rPr>
        <w:t>When I began thinking about the assessment, I was sure that I would do well because Tesco is a respected company with a lot of information available. On the other hand, I was unsure about how to process the information into the given word count and how to make it non-descriptive. Another issue was that I wanted to use reliable information but not general business websites or unsupported statements. However, while working on the project, I started using official Tesco reports and learned how to use evidence backed by theories.</w:t>
      </w:r>
      <w:r w:rsidR="00A900C6">
        <w:rPr>
          <w:rFonts w:ascii="Arial" w:hAnsi="Arial" w:cs="Arial"/>
        </w:rPr>
        <w:br/>
      </w:r>
    </w:p>
    <w:p w14:paraId="3F11466E" w14:textId="4B67BDF1" w:rsidR="0008467E" w:rsidRPr="00A900C6" w:rsidRDefault="0008467E" w:rsidP="00E3265C">
      <w:pPr>
        <w:pStyle w:val="Heading3"/>
      </w:pPr>
      <w:bookmarkStart w:id="28" w:name="_Toc237395750"/>
      <w:r w:rsidRPr="00A900C6">
        <w:lastRenderedPageBreak/>
        <w:t>Evaluation</w:t>
      </w:r>
      <w:bookmarkEnd w:id="28"/>
      <w:r w:rsidR="005E2D27" w:rsidRPr="00A900C6">
        <w:br/>
      </w:r>
    </w:p>
    <w:p w14:paraId="130BEA55" w14:textId="46D963A5" w:rsidR="0008467E" w:rsidRPr="00ED27A5" w:rsidRDefault="00576697" w:rsidP="004B1D63">
      <w:pPr>
        <w:pStyle w:val="NoSpacing"/>
        <w:rPr>
          <w:rFonts w:ascii="Arial" w:eastAsia="Times New Roman" w:hAnsi="Arial" w:cs="Arial"/>
          <w:b/>
          <w:bCs/>
          <w:kern w:val="0"/>
          <w:lang w:eastAsia="en-GB"/>
          <w14:ligatures w14:val="none"/>
        </w:rPr>
      </w:pPr>
      <w:r w:rsidRPr="00ED27A5">
        <w:rPr>
          <w:rFonts w:ascii="Arial" w:hAnsi="Arial" w:cs="Arial"/>
        </w:rPr>
        <w:t xml:space="preserve">Several aspects of the methodology were effective. Tesco’s financial reports, sustainability reports and announcements provided evidence on market share, Clubcard, online sales and objectives. PESTEL identified threats, including inflation, discount-retailer competition, regulation and climate risks. VRIO showed that Clubcard data, distribution capabilities and procurement scale are more strategically important than the brand alone. SWOT summarised findings from the frameworks. However, limitations emerged. Similar points were repeated across PESTEL, VRIO and SWOT when analysing several companies. It was difficult to distinguish genuine strategic decisions from Tesco’s operational activities. This </w:t>
      </w:r>
      <w:proofErr w:type="gramStart"/>
      <w:r w:rsidRPr="00ED27A5">
        <w:rPr>
          <w:rFonts w:ascii="Arial" w:hAnsi="Arial" w:cs="Arial"/>
        </w:rPr>
        <w:t>sometimes reduced</w:t>
      </w:r>
      <w:proofErr w:type="gramEnd"/>
      <w:r w:rsidRPr="00ED27A5">
        <w:rPr>
          <w:rFonts w:ascii="Arial" w:hAnsi="Arial" w:cs="Arial"/>
        </w:rPr>
        <w:t xml:space="preserve"> analytical clarity and made prioritising the most significant strategic issues more challenging.</w:t>
      </w:r>
      <w:r w:rsidR="00A900C6">
        <w:rPr>
          <w:rFonts w:ascii="Arial" w:hAnsi="Arial" w:cs="Arial"/>
        </w:rPr>
        <w:br/>
      </w:r>
      <w:r w:rsidRPr="00ED27A5">
        <w:rPr>
          <w:rFonts w:ascii="Arial" w:hAnsi="Arial" w:cs="Arial"/>
        </w:rPr>
        <w:br/>
      </w:r>
      <w:r w:rsidRPr="00ED27A5">
        <w:rPr>
          <w:rFonts w:ascii="Arial" w:hAnsi="Arial" w:cs="Arial"/>
        </w:rPr>
        <w:br/>
      </w:r>
      <w:r w:rsidR="0008467E" w:rsidRPr="00E3265C">
        <w:rPr>
          <w:rStyle w:val="Heading3Char"/>
        </w:rPr>
        <w:t>Analysis</w:t>
      </w:r>
      <w:r w:rsidR="005E2D27">
        <w:rPr>
          <w:rStyle w:val="Heading2Char"/>
          <w:rFonts w:ascii="Arial" w:hAnsi="Arial" w:cs="Arial"/>
          <w:sz w:val="24"/>
          <w:szCs w:val="24"/>
          <w:lang w:eastAsia="en-GB"/>
        </w:rPr>
        <w:br/>
      </w:r>
    </w:p>
    <w:p w14:paraId="6AD57A62" w14:textId="77777777" w:rsidR="00586E9C" w:rsidRPr="00ED27A5" w:rsidRDefault="00586E9C" w:rsidP="00ED27A5">
      <w:pPr>
        <w:spacing w:line="360" w:lineRule="auto"/>
        <w:rPr>
          <w:rFonts w:ascii="Arial" w:hAnsi="Arial" w:cs="Arial"/>
        </w:rPr>
      </w:pPr>
      <w:r w:rsidRPr="00ED27A5">
        <w:rPr>
          <w:rFonts w:ascii="Arial" w:hAnsi="Arial" w:cs="Arial"/>
        </w:rPr>
        <w:t>The process has contributed to my improved understanding of how external factors, internal conditions, and strategic choices interconnect. I recognized that Tesco cannot solely take advantage of cost leadership as both Aldi and Lidl have basic and lower-cost business models. Also, Tesco cannot depend on differentiation only, as many consumers in the UK prefer cheap products. Therefore, the best option is to implement the integrated strategy, which utilizes Tesco’s scale to stay valuable while combining price and data, convenience and availability, and sustainability and distinction.</w:t>
      </w:r>
    </w:p>
    <w:p w14:paraId="55C1EC1A" w14:textId="1CD09400" w:rsidR="0008467E" w:rsidRPr="00ED27A5" w:rsidRDefault="00586E9C" w:rsidP="00ED27A5">
      <w:pPr>
        <w:spacing w:line="360" w:lineRule="auto"/>
        <w:rPr>
          <w:rFonts w:ascii="Arial" w:hAnsi="Arial" w:cs="Arial"/>
        </w:rPr>
      </w:pPr>
      <w:r w:rsidRPr="00ED27A5">
        <w:rPr>
          <w:rFonts w:ascii="Arial" w:hAnsi="Arial" w:cs="Arial"/>
        </w:rPr>
        <w:t>The process has shown the system’s role of evaluation. Tesco’s CSR strategy seems to be constructed in line with its aim to provide affordable, healthy, and environmentally safe food, but there is the tension between the price and costs of sustainability needed for sourcing, packaging, and decarbonization. The usage of the Balanced Scorecard taught me that financial result is a function of customer satisfaction and performance.</w:t>
      </w:r>
      <w:r w:rsidR="00A900C6">
        <w:rPr>
          <w:rFonts w:ascii="Arial" w:hAnsi="Arial" w:cs="Arial"/>
        </w:rPr>
        <w:br/>
      </w:r>
    </w:p>
    <w:p w14:paraId="25810DE5" w14:textId="0F04A892" w:rsidR="00586E9C" w:rsidRPr="00A900C6" w:rsidRDefault="00586E9C" w:rsidP="00E3265C">
      <w:pPr>
        <w:pStyle w:val="Heading4"/>
      </w:pPr>
      <w:r w:rsidRPr="00A900C6">
        <w:t>Conclusion</w:t>
      </w:r>
      <w:r w:rsidR="005E2D27" w:rsidRPr="00A900C6">
        <w:br/>
      </w:r>
    </w:p>
    <w:p w14:paraId="31C9CB17" w14:textId="08CA7C6D" w:rsidR="00586E9C" w:rsidRPr="00ED27A5" w:rsidRDefault="00586E9C" w:rsidP="00ED27A5">
      <w:pPr>
        <w:spacing w:line="360" w:lineRule="auto"/>
        <w:rPr>
          <w:rFonts w:ascii="Arial" w:hAnsi="Arial" w:cs="Arial"/>
        </w:rPr>
      </w:pPr>
      <w:r w:rsidRPr="00ED27A5">
        <w:rPr>
          <w:rFonts w:ascii="Arial" w:hAnsi="Arial" w:cs="Arial"/>
        </w:rPr>
        <w:t xml:space="preserve">In conclusion, I have gained enhanced skills in research, critical analysis, and strategic writing. I figured out that it is better to focus on material issues than to provide descriptions of all possible </w:t>
      </w:r>
      <w:proofErr w:type="gramStart"/>
      <w:r w:rsidRPr="00ED27A5">
        <w:rPr>
          <w:rFonts w:ascii="Arial" w:hAnsi="Arial" w:cs="Arial"/>
        </w:rPr>
        <w:t>aspects, and</w:t>
      </w:r>
      <w:proofErr w:type="gramEnd"/>
      <w:r w:rsidRPr="00ED27A5">
        <w:rPr>
          <w:rFonts w:ascii="Arial" w:hAnsi="Arial" w:cs="Arial"/>
        </w:rPr>
        <w:t xml:space="preserve"> using frameworks as interconnected tools for analyses. One of the ways to improve my work would be creating the </w:t>
      </w:r>
      <w:r w:rsidRPr="00ED27A5">
        <w:rPr>
          <w:rFonts w:ascii="Arial" w:hAnsi="Arial" w:cs="Arial"/>
        </w:rPr>
        <w:lastRenderedPageBreak/>
        <w:t xml:space="preserve">evidence table at an earlier stage of separation between the firm’s arguments and independent </w:t>
      </w:r>
      <w:proofErr w:type="gramStart"/>
      <w:r w:rsidRPr="00ED27A5">
        <w:rPr>
          <w:rFonts w:ascii="Arial" w:hAnsi="Arial" w:cs="Arial"/>
        </w:rPr>
        <w:t>evidences</w:t>
      </w:r>
      <w:proofErr w:type="gramEnd"/>
      <w:r w:rsidRPr="00ED27A5">
        <w:rPr>
          <w:rFonts w:ascii="Arial" w:hAnsi="Arial" w:cs="Arial"/>
        </w:rPr>
        <w:t xml:space="preserve"> and planning my word allocation ahead of completing any sections of the report.</w:t>
      </w:r>
      <w:r w:rsidR="00A900C6">
        <w:rPr>
          <w:rFonts w:ascii="Arial" w:hAnsi="Arial" w:cs="Arial"/>
        </w:rPr>
        <w:br/>
      </w:r>
    </w:p>
    <w:p w14:paraId="618C1A33" w14:textId="40C3AECC" w:rsidR="00586E9C" w:rsidRPr="00282D76" w:rsidRDefault="00586E9C" w:rsidP="00E3265C">
      <w:pPr>
        <w:pStyle w:val="Heading4"/>
      </w:pPr>
      <w:r w:rsidRPr="00282D76">
        <w:t>Action Plan</w:t>
      </w:r>
      <w:r w:rsidR="005E2D27" w:rsidRPr="00282D76">
        <w:br/>
      </w:r>
    </w:p>
    <w:p w14:paraId="208320C0" w14:textId="7F4F26FC" w:rsidR="00586E9C" w:rsidRPr="00ED27A5" w:rsidRDefault="00586E9C" w:rsidP="00ED27A5">
      <w:pPr>
        <w:spacing w:line="360" w:lineRule="auto"/>
        <w:rPr>
          <w:rFonts w:ascii="Arial" w:hAnsi="Arial" w:cs="Arial"/>
        </w:rPr>
      </w:pPr>
      <w:r w:rsidRPr="00ED27A5">
        <w:rPr>
          <w:rFonts w:ascii="Arial" w:hAnsi="Arial" w:cs="Arial"/>
        </w:rPr>
        <w:t xml:space="preserve">In my upcoming assessments, I will formulate a structured plan for research, ensuring that I identify scholarly and official sources before conducting my research and documenting the details in a reference matrix. I will assign a total number of words to each section before writing to minimize the amount of editing. Additionally, I will ask for feedback in a timely </w:t>
      </w:r>
      <w:proofErr w:type="gramStart"/>
      <w:r w:rsidRPr="00ED27A5">
        <w:rPr>
          <w:rFonts w:ascii="Arial" w:hAnsi="Arial" w:cs="Arial"/>
        </w:rPr>
        <w:t>manner, and</w:t>
      </w:r>
      <w:proofErr w:type="gramEnd"/>
      <w:r w:rsidRPr="00ED27A5">
        <w:rPr>
          <w:rFonts w:ascii="Arial" w:hAnsi="Arial" w:cs="Arial"/>
        </w:rPr>
        <w:t xml:space="preserve"> utilize a greater number of scholarly sources to back up my arguments.</w:t>
      </w:r>
    </w:p>
    <w:p w14:paraId="6CBF6244" w14:textId="77777777" w:rsidR="00564076" w:rsidRPr="00ED27A5" w:rsidRDefault="00564076" w:rsidP="00ED27A5">
      <w:pPr>
        <w:spacing w:line="360" w:lineRule="auto"/>
        <w:rPr>
          <w:rFonts w:ascii="Arial" w:hAnsi="Arial" w:cs="Arial"/>
        </w:rPr>
      </w:pPr>
    </w:p>
    <w:p w14:paraId="2A9CEE9B" w14:textId="77777777" w:rsidR="00564076" w:rsidRPr="00ED27A5" w:rsidRDefault="00564076" w:rsidP="00ED27A5">
      <w:pPr>
        <w:spacing w:line="360" w:lineRule="auto"/>
        <w:rPr>
          <w:rFonts w:ascii="Arial" w:hAnsi="Arial" w:cs="Arial"/>
        </w:rPr>
      </w:pPr>
    </w:p>
    <w:p w14:paraId="3235A675" w14:textId="77777777" w:rsidR="00564076" w:rsidRPr="00ED27A5" w:rsidRDefault="00564076" w:rsidP="00ED27A5">
      <w:pPr>
        <w:spacing w:line="360" w:lineRule="auto"/>
        <w:rPr>
          <w:rFonts w:ascii="Arial" w:hAnsi="Arial" w:cs="Arial"/>
        </w:rPr>
      </w:pPr>
    </w:p>
    <w:p w14:paraId="55CDBAA3" w14:textId="77777777" w:rsidR="00564076" w:rsidRPr="00ED27A5" w:rsidRDefault="00564076" w:rsidP="00ED27A5">
      <w:pPr>
        <w:spacing w:line="360" w:lineRule="auto"/>
        <w:rPr>
          <w:rFonts w:ascii="Arial" w:hAnsi="Arial" w:cs="Arial"/>
        </w:rPr>
      </w:pPr>
    </w:p>
    <w:p w14:paraId="0EDC3D14" w14:textId="77777777" w:rsidR="005B27E3" w:rsidRPr="005B27E3" w:rsidRDefault="005B27E3" w:rsidP="005B27E3">
      <w:pPr>
        <w:spacing w:after="240" w:line="360" w:lineRule="auto"/>
        <w:outlineLvl w:val="0"/>
        <w:rPr>
          <w:rFonts w:ascii="Times New Roman" w:eastAsia="Times New Roman" w:hAnsi="Times New Roman" w:cs="Times New Roman"/>
          <w:b/>
          <w:bCs/>
          <w:kern w:val="36"/>
          <w:sz w:val="36"/>
          <w:szCs w:val="36"/>
          <w:lang w:eastAsia="en-GB"/>
          <w14:ligatures w14:val="none"/>
        </w:rPr>
      </w:pPr>
      <w:bookmarkStart w:id="29" w:name="_Toc237395751"/>
      <w:r w:rsidRPr="005B27E3">
        <w:rPr>
          <w:rFonts w:ascii="Times New Roman" w:eastAsia="Times New Roman" w:hAnsi="Times New Roman" w:cs="Times New Roman"/>
          <w:b/>
          <w:bCs/>
          <w:kern w:val="36"/>
          <w:sz w:val="36"/>
          <w:szCs w:val="36"/>
          <w:lang w:eastAsia="en-GB"/>
          <w14:ligatures w14:val="none"/>
        </w:rPr>
        <w:t>Reference list</w:t>
      </w:r>
      <w:bookmarkEnd w:id="29"/>
    </w:p>
    <w:p w14:paraId="321FEA81"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Akter, S., Wamba, S.F., Gunasekaran, A., Dubey, R. and Childe, S.J. (2016). How to improve firm performance using Big Data Analytics capability and business strategy alignment? </w:t>
      </w:r>
      <w:r w:rsidRPr="005B27E3">
        <w:rPr>
          <w:rFonts w:ascii="Times New Roman" w:eastAsia="Times New Roman" w:hAnsi="Times New Roman" w:cs="Times New Roman"/>
          <w:i/>
          <w:iCs/>
          <w:kern w:val="0"/>
          <w:lang w:eastAsia="en-GB"/>
          <w14:ligatures w14:val="none"/>
        </w:rPr>
        <w:t>International Journal of Production Economics</w:t>
      </w:r>
      <w:r w:rsidRPr="005B27E3">
        <w:rPr>
          <w:rFonts w:ascii="Times New Roman" w:eastAsia="Times New Roman" w:hAnsi="Times New Roman" w:cs="Times New Roman"/>
          <w:kern w:val="0"/>
          <w:lang w:eastAsia="en-GB"/>
          <w14:ligatures w14:val="none"/>
        </w:rPr>
        <w:t xml:space="preserve">, 182(1), pp.113–131. </w:t>
      </w:r>
      <w:proofErr w:type="gramStart"/>
      <w:r w:rsidRPr="005B27E3">
        <w:rPr>
          <w:rFonts w:ascii="Times New Roman" w:eastAsia="Times New Roman" w:hAnsi="Times New Roman" w:cs="Times New Roman"/>
          <w:kern w:val="0"/>
          <w:lang w:eastAsia="en-GB"/>
          <w14:ligatures w14:val="none"/>
        </w:rPr>
        <w:t>doi:10.1016/j.ijpe</w:t>
      </w:r>
      <w:proofErr w:type="gramEnd"/>
      <w:r w:rsidRPr="005B27E3">
        <w:rPr>
          <w:rFonts w:ascii="Times New Roman" w:eastAsia="Times New Roman" w:hAnsi="Times New Roman" w:cs="Times New Roman"/>
          <w:kern w:val="0"/>
          <w:lang w:eastAsia="en-GB"/>
          <w14:ligatures w14:val="none"/>
        </w:rPr>
        <w:t>.2016.08.018.</w:t>
      </w:r>
    </w:p>
    <w:p w14:paraId="0D742039"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Chaudhry, A., Heilman, C. and Seetharaman, P.B. (2023). Measuring the effects of customized targeted promotions on retailer profits: Prescriptive analytics using basket-level econometric analysis. </w:t>
      </w:r>
      <w:r w:rsidRPr="005B27E3">
        <w:rPr>
          <w:rFonts w:ascii="Times New Roman" w:eastAsia="Times New Roman" w:hAnsi="Times New Roman" w:cs="Times New Roman"/>
          <w:i/>
          <w:iCs/>
          <w:kern w:val="0"/>
          <w:lang w:eastAsia="en-GB"/>
          <w14:ligatures w14:val="none"/>
        </w:rPr>
        <w:t>Journal of Marketing Analytics</w:t>
      </w:r>
      <w:r w:rsidRPr="005B27E3">
        <w:rPr>
          <w:rFonts w:ascii="Times New Roman" w:eastAsia="Times New Roman" w:hAnsi="Times New Roman" w:cs="Times New Roman"/>
          <w:kern w:val="0"/>
          <w:lang w:eastAsia="en-GB"/>
          <w14:ligatures w14:val="none"/>
        </w:rPr>
        <w:t>, [online] 12(4), pp.1028–1051. doi:10.1057/s41270-023-00253-3.</w:t>
      </w:r>
    </w:p>
    <w:p w14:paraId="3B04D784"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Dekimpe, M.G. and </w:t>
      </w:r>
      <w:proofErr w:type="spellStart"/>
      <w:r w:rsidRPr="005B27E3">
        <w:rPr>
          <w:rFonts w:ascii="Times New Roman" w:eastAsia="Times New Roman" w:hAnsi="Times New Roman" w:cs="Times New Roman"/>
          <w:kern w:val="0"/>
          <w:lang w:eastAsia="en-GB"/>
          <w14:ligatures w14:val="none"/>
        </w:rPr>
        <w:t>Heerde</w:t>
      </w:r>
      <w:proofErr w:type="spellEnd"/>
      <w:r w:rsidRPr="005B27E3">
        <w:rPr>
          <w:rFonts w:ascii="Times New Roman" w:eastAsia="Times New Roman" w:hAnsi="Times New Roman" w:cs="Times New Roman"/>
          <w:kern w:val="0"/>
          <w:lang w:eastAsia="en-GB"/>
          <w14:ligatures w14:val="none"/>
        </w:rPr>
        <w:t xml:space="preserve">, van (2023). Retailing in times of soaring inflation: What we know, what we don’t know, and a research agenda. </w:t>
      </w:r>
      <w:r w:rsidRPr="005B27E3">
        <w:rPr>
          <w:rFonts w:ascii="Times New Roman" w:eastAsia="Times New Roman" w:hAnsi="Times New Roman" w:cs="Times New Roman"/>
          <w:i/>
          <w:iCs/>
          <w:kern w:val="0"/>
          <w:lang w:eastAsia="en-GB"/>
          <w14:ligatures w14:val="none"/>
        </w:rPr>
        <w:t>Journal of Retailing</w:t>
      </w:r>
      <w:r w:rsidRPr="005B27E3">
        <w:rPr>
          <w:rFonts w:ascii="Times New Roman" w:eastAsia="Times New Roman" w:hAnsi="Times New Roman" w:cs="Times New Roman"/>
          <w:kern w:val="0"/>
          <w:lang w:eastAsia="en-GB"/>
          <w14:ligatures w14:val="none"/>
        </w:rPr>
        <w:t>, [online] 99(3). Available at: https://www.sciencedirect.com/science/article/pii/S0022435923000301 [Accessed 12 Aug. 2026].</w:t>
      </w:r>
    </w:p>
    <w:p w14:paraId="43CCAE42"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lastRenderedPageBreak/>
        <w:t xml:space="preserve">Gauri, D.K., Jindal, R., Ratchford, B., Fox, E., Bhatnagar, A., Pandey, A., </w:t>
      </w:r>
      <w:proofErr w:type="spellStart"/>
      <w:r w:rsidRPr="005B27E3">
        <w:rPr>
          <w:rFonts w:ascii="Times New Roman" w:eastAsia="Times New Roman" w:hAnsi="Times New Roman" w:cs="Times New Roman"/>
          <w:kern w:val="0"/>
          <w:lang w:eastAsia="en-GB"/>
          <w14:ligatures w14:val="none"/>
        </w:rPr>
        <w:t>Navallo</w:t>
      </w:r>
      <w:proofErr w:type="spellEnd"/>
      <w:r w:rsidRPr="005B27E3">
        <w:rPr>
          <w:rFonts w:ascii="Times New Roman" w:eastAsia="Times New Roman" w:hAnsi="Times New Roman" w:cs="Times New Roman"/>
          <w:kern w:val="0"/>
          <w:lang w:eastAsia="en-GB"/>
          <w14:ligatures w14:val="none"/>
        </w:rPr>
        <w:t xml:space="preserve">, J.R., Fogarty, J., Carr, S. and Howerton, E. (2021). Evolution of Retail formats: Past, present, and Future. </w:t>
      </w:r>
      <w:r w:rsidRPr="005B27E3">
        <w:rPr>
          <w:rFonts w:ascii="Times New Roman" w:eastAsia="Times New Roman" w:hAnsi="Times New Roman" w:cs="Times New Roman"/>
          <w:i/>
          <w:iCs/>
          <w:kern w:val="0"/>
          <w:lang w:eastAsia="en-GB"/>
          <w14:ligatures w14:val="none"/>
        </w:rPr>
        <w:t>Journal of Retailing</w:t>
      </w:r>
      <w:r w:rsidRPr="005B27E3">
        <w:rPr>
          <w:rFonts w:ascii="Times New Roman" w:eastAsia="Times New Roman" w:hAnsi="Times New Roman" w:cs="Times New Roman"/>
          <w:kern w:val="0"/>
          <w:lang w:eastAsia="en-GB"/>
          <w14:ligatures w14:val="none"/>
        </w:rPr>
        <w:t>, 97(1), pp.42–61.</w:t>
      </w:r>
    </w:p>
    <w:p w14:paraId="1E45E282"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Ghemawat, P. (2002). Competition and business strategy in historical perspective. </w:t>
      </w:r>
      <w:r w:rsidRPr="005B27E3">
        <w:rPr>
          <w:rFonts w:ascii="Times New Roman" w:eastAsia="Times New Roman" w:hAnsi="Times New Roman" w:cs="Times New Roman"/>
          <w:i/>
          <w:iCs/>
          <w:kern w:val="0"/>
          <w:lang w:eastAsia="en-GB"/>
          <w14:ligatures w14:val="none"/>
        </w:rPr>
        <w:t>Business History Review</w:t>
      </w:r>
      <w:r w:rsidRPr="005B27E3">
        <w:rPr>
          <w:rFonts w:ascii="Times New Roman" w:eastAsia="Times New Roman" w:hAnsi="Times New Roman" w:cs="Times New Roman"/>
          <w:kern w:val="0"/>
          <w:lang w:eastAsia="en-GB"/>
          <w14:ligatures w14:val="none"/>
        </w:rPr>
        <w:t>, [online] 76(1), pp.37–74. doi:10.2307/4127751.</w:t>
      </w:r>
    </w:p>
    <w:p w14:paraId="7A0F6878"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Gurel, E. and Tat, M. (2017). SWOT analysis: A theoretical review. </w:t>
      </w:r>
      <w:r w:rsidRPr="005B27E3">
        <w:rPr>
          <w:rFonts w:ascii="Times New Roman" w:eastAsia="Times New Roman" w:hAnsi="Times New Roman" w:cs="Times New Roman"/>
          <w:i/>
          <w:iCs/>
          <w:kern w:val="0"/>
          <w:lang w:eastAsia="en-GB"/>
          <w14:ligatures w14:val="none"/>
        </w:rPr>
        <w:t>Journal of International Social Research</w:t>
      </w:r>
      <w:r w:rsidRPr="005B27E3">
        <w:rPr>
          <w:rFonts w:ascii="Times New Roman" w:eastAsia="Times New Roman" w:hAnsi="Times New Roman" w:cs="Times New Roman"/>
          <w:kern w:val="0"/>
          <w:lang w:eastAsia="en-GB"/>
          <w14:ligatures w14:val="none"/>
        </w:rPr>
        <w:t>, [online] 10(51), pp.994–1006. doi:10.17719/jisr.2017.1832.</w:t>
      </w:r>
    </w:p>
    <w:p w14:paraId="3C27BC3B"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Huang, H.-C. (2009). Designing a knowledge-based system for strategic planning: A balanced scorecard perspective. </w:t>
      </w:r>
      <w:r w:rsidRPr="005B27E3">
        <w:rPr>
          <w:rFonts w:ascii="Times New Roman" w:eastAsia="Times New Roman" w:hAnsi="Times New Roman" w:cs="Times New Roman"/>
          <w:i/>
          <w:iCs/>
          <w:kern w:val="0"/>
          <w:lang w:eastAsia="en-GB"/>
          <w14:ligatures w14:val="none"/>
        </w:rPr>
        <w:t>Expert Systems with Applications</w:t>
      </w:r>
      <w:r w:rsidRPr="005B27E3">
        <w:rPr>
          <w:rFonts w:ascii="Times New Roman" w:eastAsia="Times New Roman" w:hAnsi="Times New Roman" w:cs="Times New Roman"/>
          <w:kern w:val="0"/>
          <w:lang w:eastAsia="en-GB"/>
          <w14:ligatures w14:val="none"/>
        </w:rPr>
        <w:t xml:space="preserve">, 36(1), pp.209–218. </w:t>
      </w:r>
      <w:proofErr w:type="gramStart"/>
      <w:r w:rsidRPr="005B27E3">
        <w:rPr>
          <w:rFonts w:ascii="Times New Roman" w:eastAsia="Times New Roman" w:hAnsi="Times New Roman" w:cs="Times New Roman"/>
          <w:kern w:val="0"/>
          <w:lang w:eastAsia="en-GB"/>
          <w14:ligatures w14:val="none"/>
        </w:rPr>
        <w:t>doi:10.1016/j.eswa</w:t>
      </w:r>
      <w:proofErr w:type="gramEnd"/>
      <w:r w:rsidRPr="005B27E3">
        <w:rPr>
          <w:rFonts w:ascii="Times New Roman" w:eastAsia="Times New Roman" w:hAnsi="Times New Roman" w:cs="Times New Roman"/>
          <w:kern w:val="0"/>
          <w:lang w:eastAsia="en-GB"/>
          <w14:ligatures w14:val="none"/>
        </w:rPr>
        <w:t>.2007.09.046.</w:t>
      </w:r>
    </w:p>
    <w:p w14:paraId="5B6CE7D7"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Hübner, A., </w:t>
      </w:r>
      <w:proofErr w:type="spellStart"/>
      <w:r w:rsidRPr="005B27E3">
        <w:rPr>
          <w:rFonts w:ascii="Times New Roman" w:eastAsia="Times New Roman" w:hAnsi="Times New Roman" w:cs="Times New Roman"/>
          <w:kern w:val="0"/>
          <w:lang w:eastAsia="en-GB"/>
          <w14:ligatures w14:val="none"/>
        </w:rPr>
        <w:t>Hense</w:t>
      </w:r>
      <w:proofErr w:type="spellEnd"/>
      <w:r w:rsidRPr="005B27E3">
        <w:rPr>
          <w:rFonts w:ascii="Times New Roman" w:eastAsia="Times New Roman" w:hAnsi="Times New Roman" w:cs="Times New Roman"/>
          <w:kern w:val="0"/>
          <w:lang w:eastAsia="en-GB"/>
          <w14:ligatures w14:val="none"/>
        </w:rPr>
        <w:t xml:space="preserve">, J. and Dethlefs, C. (2022). The revival of retail stores via omnichannel operations: A literature review and research framework. </w:t>
      </w:r>
      <w:r w:rsidRPr="005B27E3">
        <w:rPr>
          <w:rFonts w:ascii="Times New Roman" w:eastAsia="Times New Roman" w:hAnsi="Times New Roman" w:cs="Times New Roman"/>
          <w:i/>
          <w:iCs/>
          <w:kern w:val="0"/>
          <w:lang w:eastAsia="en-GB"/>
          <w14:ligatures w14:val="none"/>
        </w:rPr>
        <w:t>European Journal of Operational Research</w:t>
      </w:r>
      <w:r w:rsidRPr="005B27E3">
        <w:rPr>
          <w:rFonts w:ascii="Times New Roman" w:eastAsia="Times New Roman" w:hAnsi="Times New Roman" w:cs="Times New Roman"/>
          <w:kern w:val="0"/>
          <w:lang w:eastAsia="en-GB"/>
          <w14:ligatures w14:val="none"/>
        </w:rPr>
        <w:t xml:space="preserve">, 302(3), pp.799–818. </w:t>
      </w:r>
      <w:proofErr w:type="gramStart"/>
      <w:r w:rsidRPr="005B27E3">
        <w:rPr>
          <w:rFonts w:ascii="Times New Roman" w:eastAsia="Times New Roman" w:hAnsi="Times New Roman" w:cs="Times New Roman"/>
          <w:kern w:val="0"/>
          <w:lang w:eastAsia="en-GB"/>
          <w14:ligatures w14:val="none"/>
        </w:rPr>
        <w:t>doi:10.1016/j.ejor</w:t>
      </w:r>
      <w:proofErr w:type="gramEnd"/>
      <w:r w:rsidRPr="005B27E3">
        <w:rPr>
          <w:rFonts w:ascii="Times New Roman" w:eastAsia="Times New Roman" w:hAnsi="Times New Roman" w:cs="Times New Roman"/>
          <w:kern w:val="0"/>
          <w:lang w:eastAsia="en-GB"/>
          <w14:ligatures w14:val="none"/>
        </w:rPr>
        <w:t>.2021.12.021.</w:t>
      </w:r>
    </w:p>
    <w:p w14:paraId="7C071D16"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Lee, C.L., Aveyard, P.N., Jebb, S.A. and </w:t>
      </w:r>
      <w:proofErr w:type="spellStart"/>
      <w:r w:rsidRPr="005B27E3">
        <w:rPr>
          <w:rFonts w:ascii="Times New Roman" w:eastAsia="Times New Roman" w:hAnsi="Times New Roman" w:cs="Times New Roman"/>
          <w:kern w:val="0"/>
          <w:lang w:eastAsia="en-GB"/>
          <w14:ligatures w14:val="none"/>
        </w:rPr>
        <w:t>Piernas</w:t>
      </w:r>
      <w:proofErr w:type="spellEnd"/>
      <w:r w:rsidRPr="005B27E3">
        <w:rPr>
          <w:rFonts w:ascii="Times New Roman" w:eastAsia="Times New Roman" w:hAnsi="Times New Roman" w:cs="Times New Roman"/>
          <w:kern w:val="0"/>
          <w:lang w:eastAsia="en-GB"/>
          <w14:ligatures w14:val="none"/>
        </w:rPr>
        <w:t xml:space="preserve">, C. (2021). Using supermarket loyalty card data to provide personalised advice to help reduce saturated fat intake among patients with hypercholesterolemia: A qualitative study of participants’ experiences. </w:t>
      </w:r>
      <w:r w:rsidRPr="005B27E3">
        <w:rPr>
          <w:rFonts w:ascii="Times New Roman" w:eastAsia="Times New Roman" w:hAnsi="Times New Roman" w:cs="Times New Roman"/>
          <w:i/>
          <w:iCs/>
          <w:kern w:val="0"/>
          <w:lang w:eastAsia="en-GB"/>
          <w14:ligatures w14:val="none"/>
        </w:rPr>
        <w:t>Nutrients</w:t>
      </w:r>
      <w:r w:rsidRPr="005B27E3">
        <w:rPr>
          <w:rFonts w:ascii="Times New Roman" w:eastAsia="Times New Roman" w:hAnsi="Times New Roman" w:cs="Times New Roman"/>
          <w:kern w:val="0"/>
          <w:lang w:eastAsia="en-GB"/>
          <w14:ligatures w14:val="none"/>
        </w:rPr>
        <w:t>, 13(4), p.1146. doi:10.3390/nu13041146.</w:t>
      </w:r>
    </w:p>
    <w:p w14:paraId="37F3CA1B"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Mansour-</w:t>
      </w:r>
      <w:proofErr w:type="spellStart"/>
      <w:r w:rsidRPr="005B27E3">
        <w:rPr>
          <w:rFonts w:ascii="Times New Roman" w:eastAsia="Times New Roman" w:hAnsi="Times New Roman" w:cs="Times New Roman"/>
          <w:kern w:val="0"/>
          <w:lang w:eastAsia="en-GB"/>
          <w14:ligatures w14:val="none"/>
        </w:rPr>
        <w:t>Saatloo</w:t>
      </w:r>
      <w:proofErr w:type="spellEnd"/>
      <w:r w:rsidRPr="005B27E3">
        <w:rPr>
          <w:rFonts w:ascii="Times New Roman" w:eastAsia="Times New Roman" w:hAnsi="Times New Roman" w:cs="Times New Roman"/>
          <w:kern w:val="0"/>
          <w:lang w:eastAsia="en-GB"/>
          <w14:ligatures w14:val="none"/>
        </w:rPr>
        <w:t xml:space="preserve">, A., </w:t>
      </w:r>
      <w:proofErr w:type="spellStart"/>
      <w:r w:rsidRPr="005B27E3">
        <w:rPr>
          <w:rFonts w:ascii="Times New Roman" w:eastAsia="Times New Roman" w:hAnsi="Times New Roman" w:cs="Times New Roman"/>
          <w:kern w:val="0"/>
          <w:lang w:eastAsia="en-GB"/>
          <w14:ligatures w14:val="none"/>
        </w:rPr>
        <w:t>Agabalaye-Rahvar</w:t>
      </w:r>
      <w:proofErr w:type="spellEnd"/>
      <w:r w:rsidRPr="005B27E3">
        <w:rPr>
          <w:rFonts w:ascii="Times New Roman" w:eastAsia="Times New Roman" w:hAnsi="Times New Roman" w:cs="Times New Roman"/>
          <w:kern w:val="0"/>
          <w:lang w:eastAsia="en-GB"/>
          <w14:ligatures w14:val="none"/>
        </w:rPr>
        <w:t>, M., Amin Mirzaei, M., Mohammadi-</w:t>
      </w:r>
      <w:proofErr w:type="spellStart"/>
      <w:r w:rsidRPr="005B27E3">
        <w:rPr>
          <w:rFonts w:ascii="Times New Roman" w:eastAsia="Times New Roman" w:hAnsi="Times New Roman" w:cs="Times New Roman"/>
          <w:kern w:val="0"/>
          <w:lang w:eastAsia="en-GB"/>
          <w14:ligatures w14:val="none"/>
        </w:rPr>
        <w:t>Ivatloo</w:t>
      </w:r>
      <w:proofErr w:type="spellEnd"/>
      <w:r w:rsidRPr="005B27E3">
        <w:rPr>
          <w:rFonts w:ascii="Times New Roman" w:eastAsia="Times New Roman" w:hAnsi="Times New Roman" w:cs="Times New Roman"/>
          <w:kern w:val="0"/>
          <w:lang w:eastAsia="en-GB"/>
          <w14:ligatures w14:val="none"/>
        </w:rPr>
        <w:t xml:space="preserve">, B., Mehdi </w:t>
      </w:r>
      <w:proofErr w:type="spellStart"/>
      <w:r w:rsidRPr="005B27E3">
        <w:rPr>
          <w:rFonts w:ascii="Times New Roman" w:eastAsia="Times New Roman" w:hAnsi="Times New Roman" w:cs="Times New Roman"/>
          <w:kern w:val="0"/>
          <w:lang w:eastAsia="en-GB"/>
          <w14:ligatures w14:val="none"/>
        </w:rPr>
        <w:t>Abapour</w:t>
      </w:r>
      <w:proofErr w:type="spellEnd"/>
      <w:r w:rsidRPr="005B27E3">
        <w:rPr>
          <w:rFonts w:ascii="Times New Roman" w:eastAsia="Times New Roman" w:hAnsi="Times New Roman" w:cs="Times New Roman"/>
          <w:kern w:val="0"/>
          <w:lang w:eastAsia="en-GB"/>
          <w14:ligatures w14:val="none"/>
        </w:rPr>
        <w:t xml:space="preserve"> and Zare, K. (2020). Robust scheduling of hydrogen based smart micro energy hub with integrated demand response. </w:t>
      </w:r>
      <w:r w:rsidRPr="005B27E3">
        <w:rPr>
          <w:rFonts w:ascii="Times New Roman" w:eastAsia="Times New Roman" w:hAnsi="Times New Roman" w:cs="Times New Roman"/>
          <w:i/>
          <w:iCs/>
          <w:kern w:val="0"/>
          <w:lang w:eastAsia="en-GB"/>
          <w14:ligatures w14:val="none"/>
        </w:rPr>
        <w:t>Journal of Cleaner Production</w:t>
      </w:r>
      <w:r w:rsidRPr="005B27E3">
        <w:rPr>
          <w:rFonts w:ascii="Times New Roman" w:eastAsia="Times New Roman" w:hAnsi="Times New Roman" w:cs="Times New Roman"/>
          <w:kern w:val="0"/>
          <w:lang w:eastAsia="en-GB"/>
          <w14:ligatures w14:val="none"/>
        </w:rPr>
        <w:t xml:space="preserve">, 267(3), pp.122041–122041. </w:t>
      </w:r>
      <w:proofErr w:type="gramStart"/>
      <w:r w:rsidRPr="005B27E3">
        <w:rPr>
          <w:rFonts w:ascii="Times New Roman" w:eastAsia="Times New Roman" w:hAnsi="Times New Roman" w:cs="Times New Roman"/>
          <w:kern w:val="0"/>
          <w:lang w:eastAsia="en-GB"/>
          <w14:ligatures w14:val="none"/>
        </w:rPr>
        <w:t>doi:10.1016/j.jclepro</w:t>
      </w:r>
      <w:proofErr w:type="gramEnd"/>
      <w:r w:rsidRPr="005B27E3">
        <w:rPr>
          <w:rFonts w:ascii="Times New Roman" w:eastAsia="Times New Roman" w:hAnsi="Times New Roman" w:cs="Times New Roman"/>
          <w:kern w:val="0"/>
          <w:lang w:eastAsia="en-GB"/>
          <w14:ligatures w14:val="none"/>
        </w:rPr>
        <w:t>.2020.122041.</w:t>
      </w:r>
    </w:p>
    <w:p w14:paraId="1E9D440E"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Marino, P., Mininni, M., Deiana, G., Marino, G., </w:t>
      </w:r>
      <w:proofErr w:type="spellStart"/>
      <w:r w:rsidRPr="005B27E3">
        <w:rPr>
          <w:rFonts w:ascii="Times New Roman" w:eastAsia="Times New Roman" w:hAnsi="Times New Roman" w:cs="Times New Roman"/>
          <w:kern w:val="0"/>
          <w:lang w:eastAsia="en-GB"/>
          <w14:ligatures w14:val="none"/>
        </w:rPr>
        <w:t>Divella</w:t>
      </w:r>
      <w:proofErr w:type="spellEnd"/>
      <w:r w:rsidRPr="005B27E3">
        <w:rPr>
          <w:rFonts w:ascii="Times New Roman" w:eastAsia="Times New Roman" w:hAnsi="Times New Roman" w:cs="Times New Roman"/>
          <w:kern w:val="0"/>
          <w:lang w:eastAsia="en-GB"/>
          <w14:ligatures w14:val="none"/>
        </w:rPr>
        <w:t xml:space="preserve">, R., Bochicchio, I., Giuliano, A., Lapadula, S., </w:t>
      </w:r>
      <w:proofErr w:type="spellStart"/>
      <w:r w:rsidRPr="005B27E3">
        <w:rPr>
          <w:rFonts w:ascii="Times New Roman" w:eastAsia="Times New Roman" w:hAnsi="Times New Roman" w:cs="Times New Roman"/>
          <w:kern w:val="0"/>
          <w:lang w:eastAsia="en-GB"/>
          <w14:ligatures w14:val="none"/>
        </w:rPr>
        <w:t>Lettini</w:t>
      </w:r>
      <w:proofErr w:type="spellEnd"/>
      <w:r w:rsidRPr="005B27E3">
        <w:rPr>
          <w:rFonts w:ascii="Times New Roman" w:eastAsia="Times New Roman" w:hAnsi="Times New Roman" w:cs="Times New Roman"/>
          <w:kern w:val="0"/>
          <w:lang w:eastAsia="en-GB"/>
          <w14:ligatures w14:val="none"/>
        </w:rPr>
        <w:t xml:space="preserve">, A.R. and Sanseverino, F. (2024). Healthy lifestyle and cancer risk: Modifiable risk factors to prevent cancer. </w:t>
      </w:r>
      <w:r w:rsidRPr="005B27E3">
        <w:rPr>
          <w:rFonts w:ascii="Times New Roman" w:eastAsia="Times New Roman" w:hAnsi="Times New Roman" w:cs="Times New Roman"/>
          <w:i/>
          <w:iCs/>
          <w:kern w:val="0"/>
          <w:lang w:eastAsia="en-GB"/>
          <w14:ligatures w14:val="none"/>
        </w:rPr>
        <w:t>Nutrients</w:t>
      </w:r>
      <w:r w:rsidRPr="005B27E3">
        <w:rPr>
          <w:rFonts w:ascii="Times New Roman" w:eastAsia="Times New Roman" w:hAnsi="Times New Roman" w:cs="Times New Roman"/>
          <w:kern w:val="0"/>
          <w:lang w:eastAsia="en-GB"/>
          <w14:ligatures w14:val="none"/>
        </w:rPr>
        <w:t>, 16(6), pp.800–800. doi:10.3390/nu16060800.</w:t>
      </w:r>
    </w:p>
    <w:p w14:paraId="12488330"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McKevitt, F. (2025). </w:t>
      </w:r>
      <w:r w:rsidRPr="005B27E3">
        <w:rPr>
          <w:rFonts w:ascii="Times New Roman" w:eastAsia="Times New Roman" w:hAnsi="Times New Roman" w:cs="Times New Roman"/>
          <w:i/>
          <w:iCs/>
          <w:kern w:val="0"/>
          <w:lang w:eastAsia="en-GB"/>
          <w14:ligatures w14:val="none"/>
        </w:rPr>
        <w:t>Annual grocery bills could jump by £275</w:t>
      </w:r>
      <w:r w:rsidRPr="005B27E3">
        <w:rPr>
          <w:rFonts w:ascii="Times New Roman" w:eastAsia="Times New Roman" w:hAnsi="Times New Roman" w:cs="Times New Roman"/>
          <w:kern w:val="0"/>
          <w:lang w:eastAsia="en-GB"/>
          <w14:ligatures w14:val="none"/>
        </w:rPr>
        <w:t xml:space="preserve">. [online] </w:t>
      </w:r>
      <w:r w:rsidRPr="005B27E3">
        <w:rPr>
          <w:rFonts w:ascii="Times New Roman" w:eastAsia="Times New Roman" w:hAnsi="Times New Roman" w:cs="Times New Roman"/>
          <w:i/>
          <w:iCs/>
          <w:kern w:val="0"/>
          <w:lang w:eastAsia="en-GB"/>
          <w14:ligatures w14:val="none"/>
        </w:rPr>
        <w:t>Kantar.com</w:t>
      </w:r>
      <w:r w:rsidRPr="005B27E3">
        <w:rPr>
          <w:rFonts w:ascii="Times New Roman" w:eastAsia="Times New Roman" w:hAnsi="Times New Roman" w:cs="Times New Roman"/>
          <w:kern w:val="0"/>
          <w:lang w:eastAsia="en-GB"/>
          <w14:ligatures w14:val="none"/>
        </w:rPr>
        <w:t>. Available at: https://www.kantar.com/uki/inspiration/fmcg/2025-wp-annual-grocery-bills-could-jump-by-275 [Accessed 12 Aug. 2026].</w:t>
      </w:r>
    </w:p>
    <w:p w14:paraId="02DD8176"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lastRenderedPageBreak/>
        <w:t xml:space="preserve">Milligan, S., Davies, I., Baris </w:t>
      </w:r>
      <w:proofErr w:type="spellStart"/>
      <w:r w:rsidRPr="005B27E3">
        <w:rPr>
          <w:rFonts w:ascii="Times New Roman" w:eastAsia="Times New Roman" w:hAnsi="Times New Roman" w:cs="Times New Roman"/>
          <w:kern w:val="0"/>
          <w:lang w:eastAsia="en-GB"/>
          <w14:ligatures w14:val="none"/>
        </w:rPr>
        <w:t>Yalabik</w:t>
      </w:r>
      <w:proofErr w:type="spellEnd"/>
      <w:r w:rsidRPr="005B27E3">
        <w:rPr>
          <w:rFonts w:ascii="Times New Roman" w:eastAsia="Times New Roman" w:hAnsi="Times New Roman" w:cs="Times New Roman"/>
          <w:kern w:val="0"/>
          <w:lang w:eastAsia="en-GB"/>
          <w14:ligatures w14:val="none"/>
        </w:rPr>
        <w:t xml:space="preserve">, Celik, M. and Squire, B. (2025). Evolutions of omni‐channel </w:t>
      </w:r>
      <w:proofErr w:type="spellStart"/>
      <w:r w:rsidRPr="005B27E3">
        <w:rPr>
          <w:rFonts w:ascii="Times New Roman" w:eastAsia="Times New Roman" w:hAnsi="Times New Roman" w:cs="Times New Roman"/>
          <w:kern w:val="0"/>
          <w:lang w:eastAsia="en-GB"/>
          <w14:ligatures w14:val="none"/>
        </w:rPr>
        <w:t>fulfillment</w:t>
      </w:r>
      <w:proofErr w:type="spellEnd"/>
      <w:r w:rsidRPr="005B27E3">
        <w:rPr>
          <w:rFonts w:ascii="Times New Roman" w:eastAsia="Times New Roman" w:hAnsi="Times New Roman" w:cs="Times New Roman"/>
          <w:kern w:val="0"/>
          <w:lang w:eastAsia="en-GB"/>
          <w14:ligatures w14:val="none"/>
        </w:rPr>
        <w:t xml:space="preserve"> performance: An in‐depth case study in grocery retailing. </w:t>
      </w:r>
      <w:r w:rsidRPr="005B27E3">
        <w:rPr>
          <w:rFonts w:ascii="Times New Roman" w:eastAsia="Times New Roman" w:hAnsi="Times New Roman" w:cs="Times New Roman"/>
          <w:i/>
          <w:iCs/>
          <w:kern w:val="0"/>
          <w:lang w:eastAsia="en-GB"/>
          <w14:ligatures w14:val="none"/>
        </w:rPr>
        <w:t>Journal of Operations Management</w:t>
      </w:r>
      <w:r w:rsidRPr="005B27E3">
        <w:rPr>
          <w:rFonts w:ascii="Times New Roman" w:eastAsia="Times New Roman" w:hAnsi="Times New Roman" w:cs="Times New Roman"/>
          <w:kern w:val="0"/>
          <w:lang w:eastAsia="en-GB"/>
          <w14:ligatures w14:val="none"/>
        </w:rPr>
        <w:t>, 1(4). doi:10.1002/joom.1362.</w:t>
      </w:r>
    </w:p>
    <w:p w14:paraId="06BC481D"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proofErr w:type="spellStart"/>
      <w:r w:rsidRPr="005B27E3">
        <w:rPr>
          <w:rFonts w:ascii="Times New Roman" w:eastAsia="Times New Roman" w:hAnsi="Times New Roman" w:cs="Times New Roman"/>
          <w:kern w:val="0"/>
          <w:lang w:eastAsia="en-GB"/>
          <w14:ligatures w14:val="none"/>
        </w:rPr>
        <w:t>Mungkung</w:t>
      </w:r>
      <w:proofErr w:type="spellEnd"/>
      <w:r w:rsidRPr="005B27E3">
        <w:rPr>
          <w:rFonts w:ascii="Times New Roman" w:eastAsia="Times New Roman" w:hAnsi="Times New Roman" w:cs="Times New Roman"/>
          <w:kern w:val="0"/>
          <w:lang w:eastAsia="en-GB"/>
          <w14:ligatures w14:val="none"/>
        </w:rPr>
        <w:t xml:space="preserve">, R. and </w:t>
      </w:r>
      <w:proofErr w:type="spellStart"/>
      <w:r w:rsidRPr="005B27E3">
        <w:rPr>
          <w:rFonts w:ascii="Times New Roman" w:eastAsia="Times New Roman" w:hAnsi="Times New Roman" w:cs="Times New Roman"/>
          <w:kern w:val="0"/>
          <w:lang w:eastAsia="en-GB"/>
          <w14:ligatures w14:val="none"/>
        </w:rPr>
        <w:t>Nudchanate</w:t>
      </w:r>
      <w:proofErr w:type="spellEnd"/>
      <w:r w:rsidRPr="005B27E3">
        <w:rPr>
          <w:rFonts w:ascii="Times New Roman" w:eastAsia="Times New Roman" w:hAnsi="Times New Roman" w:cs="Times New Roman"/>
          <w:kern w:val="0"/>
          <w:lang w:eastAsia="en-GB"/>
          <w14:ligatures w14:val="none"/>
        </w:rPr>
        <w:t xml:space="preserve">, T. (2023). Measurement and management of value chain greenhouse gas emissions from supermarket retailing. </w:t>
      </w:r>
      <w:r w:rsidRPr="005B27E3">
        <w:rPr>
          <w:rFonts w:ascii="Times New Roman" w:eastAsia="Times New Roman" w:hAnsi="Times New Roman" w:cs="Times New Roman"/>
          <w:i/>
          <w:iCs/>
          <w:kern w:val="0"/>
          <w:lang w:eastAsia="en-GB"/>
          <w14:ligatures w14:val="none"/>
        </w:rPr>
        <w:t>Weather, Climate, and Society</w:t>
      </w:r>
      <w:r w:rsidRPr="005B27E3">
        <w:rPr>
          <w:rFonts w:ascii="Times New Roman" w:eastAsia="Times New Roman" w:hAnsi="Times New Roman" w:cs="Times New Roman"/>
          <w:kern w:val="0"/>
          <w:lang w:eastAsia="en-GB"/>
          <w14:ligatures w14:val="none"/>
        </w:rPr>
        <w:t>, [online] 15(3), pp.813–821. doi:10.1175/wcas-d-23-0012.1.</w:t>
      </w:r>
    </w:p>
    <w:p w14:paraId="00273584"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Nascimento, A.M., Queiroz, A.C.M., de Melo, V.V. and Meirelles, F.S. (2022). </w:t>
      </w:r>
      <w:r w:rsidRPr="005B27E3">
        <w:rPr>
          <w:rFonts w:ascii="Times New Roman" w:eastAsia="Times New Roman" w:hAnsi="Times New Roman" w:cs="Times New Roman"/>
          <w:i/>
          <w:iCs/>
          <w:kern w:val="0"/>
          <w:lang w:eastAsia="en-GB"/>
          <w14:ligatures w14:val="none"/>
        </w:rPr>
        <w:t>Applying artificial intelligence to reduce food waste in small grocery stores</w:t>
      </w:r>
      <w:r w:rsidRPr="005B27E3">
        <w:rPr>
          <w:rFonts w:ascii="Times New Roman" w:eastAsia="Times New Roman" w:hAnsi="Times New Roman" w:cs="Times New Roman"/>
          <w:kern w:val="0"/>
          <w:lang w:eastAsia="en-GB"/>
          <w14:ligatures w14:val="none"/>
        </w:rPr>
        <w:t>. [online] AIS Electronic Library (</w:t>
      </w:r>
      <w:proofErr w:type="spellStart"/>
      <w:r w:rsidRPr="005B27E3">
        <w:rPr>
          <w:rFonts w:ascii="Times New Roman" w:eastAsia="Times New Roman" w:hAnsi="Times New Roman" w:cs="Times New Roman"/>
          <w:kern w:val="0"/>
          <w:lang w:eastAsia="en-GB"/>
          <w14:ligatures w14:val="none"/>
        </w:rPr>
        <w:t>AISeL</w:t>
      </w:r>
      <w:proofErr w:type="spellEnd"/>
      <w:r w:rsidRPr="005B27E3">
        <w:rPr>
          <w:rFonts w:ascii="Times New Roman" w:eastAsia="Times New Roman" w:hAnsi="Times New Roman" w:cs="Times New Roman"/>
          <w:kern w:val="0"/>
          <w:lang w:eastAsia="en-GB"/>
          <w14:ligatures w14:val="none"/>
        </w:rPr>
        <w:t>). Available at: https://aisel.aisnet.org/isla2022/6/ [Accessed 12 Aug. 2026].</w:t>
      </w:r>
    </w:p>
    <w:p w14:paraId="7B3CBD2A"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proofErr w:type="spellStart"/>
      <w:r w:rsidRPr="005B27E3">
        <w:rPr>
          <w:rFonts w:ascii="Times New Roman" w:eastAsia="Times New Roman" w:hAnsi="Times New Roman" w:cs="Times New Roman"/>
          <w:kern w:val="0"/>
          <w:lang w:eastAsia="en-GB"/>
          <w14:ligatures w14:val="none"/>
        </w:rPr>
        <w:t>Rahdari</w:t>
      </w:r>
      <w:proofErr w:type="spellEnd"/>
      <w:r w:rsidRPr="005B27E3">
        <w:rPr>
          <w:rFonts w:ascii="Times New Roman" w:eastAsia="Times New Roman" w:hAnsi="Times New Roman" w:cs="Times New Roman"/>
          <w:kern w:val="0"/>
          <w:lang w:eastAsia="en-GB"/>
          <w14:ligatures w14:val="none"/>
        </w:rPr>
        <w:t xml:space="preserve">, A., Sheehy, B., Khan, H.Z., Braendle, U., Rexhepi, G. and </w:t>
      </w:r>
      <w:proofErr w:type="spellStart"/>
      <w:r w:rsidRPr="005B27E3">
        <w:rPr>
          <w:rFonts w:ascii="Times New Roman" w:eastAsia="Times New Roman" w:hAnsi="Times New Roman" w:cs="Times New Roman"/>
          <w:kern w:val="0"/>
          <w:lang w:eastAsia="en-GB"/>
          <w14:ligatures w14:val="none"/>
        </w:rPr>
        <w:t>Sepasi</w:t>
      </w:r>
      <w:proofErr w:type="spellEnd"/>
      <w:r w:rsidRPr="005B27E3">
        <w:rPr>
          <w:rFonts w:ascii="Times New Roman" w:eastAsia="Times New Roman" w:hAnsi="Times New Roman" w:cs="Times New Roman"/>
          <w:kern w:val="0"/>
          <w:lang w:eastAsia="en-GB"/>
          <w14:ligatures w14:val="none"/>
        </w:rPr>
        <w:t xml:space="preserve">, S. (2020). Exploring global retailers’ corporate social responsibility performance. </w:t>
      </w:r>
      <w:proofErr w:type="spellStart"/>
      <w:r w:rsidRPr="005B27E3">
        <w:rPr>
          <w:rFonts w:ascii="Times New Roman" w:eastAsia="Times New Roman" w:hAnsi="Times New Roman" w:cs="Times New Roman"/>
          <w:i/>
          <w:iCs/>
          <w:kern w:val="0"/>
          <w:lang w:eastAsia="en-GB"/>
          <w14:ligatures w14:val="none"/>
        </w:rPr>
        <w:t>Heliyon</w:t>
      </w:r>
      <w:proofErr w:type="spellEnd"/>
      <w:r w:rsidRPr="005B27E3">
        <w:rPr>
          <w:rFonts w:ascii="Times New Roman" w:eastAsia="Times New Roman" w:hAnsi="Times New Roman" w:cs="Times New Roman"/>
          <w:kern w:val="0"/>
          <w:lang w:eastAsia="en-GB"/>
          <w14:ligatures w14:val="none"/>
        </w:rPr>
        <w:t xml:space="preserve">, [online] 6(8), p.e04644. </w:t>
      </w:r>
      <w:proofErr w:type="gramStart"/>
      <w:r w:rsidRPr="005B27E3">
        <w:rPr>
          <w:rFonts w:ascii="Times New Roman" w:eastAsia="Times New Roman" w:hAnsi="Times New Roman" w:cs="Times New Roman"/>
          <w:kern w:val="0"/>
          <w:lang w:eastAsia="en-GB"/>
          <w14:ligatures w14:val="none"/>
        </w:rPr>
        <w:t>doi:10.1016/j.heliyon</w:t>
      </w:r>
      <w:proofErr w:type="gramEnd"/>
      <w:r w:rsidRPr="005B27E3">
        <w:rPr>
          <w:rFonts w:ascii="Times New Roman" w:eastAsia="Times New Roman" w:hAnsi="Times New Roman" w:cs="Times New Roman"/>
          <w:kern w:val="0"/>
          <w:lang w:eastAsia="en-GB"/>
          <w14:ligatures w14:val="none"/>
        </w:rPr>
        <w:t>.2020.e04644.</w:t>
      </w:r>
    </w:p>
    <w:p w14:paraId="6431FC5B"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proofErr w:type="spellStart"/>
      <w:r w:rsidRPr="005B27E3">
        <w:rPr>
          <w:rFonts w:ascii="Times New Roman" w:eastAsia="Times New Roman" w:hAnsi="Times New Roman" w:cs="Times New Roman"/>
          <w:kern w:val="0"/>
          <w:lang w:eastAsia="en-GB"/>
          <w14:ligatures w14:val="none"/>
        </w:rPr>
        <w:t>Saghiri</w:t>
      </w:r>
      <w:proofErr w:type="spellEnd"/>
      <w:r w:rsidRPr="005B27E3">
        <w:rPr>
          <w:rFonts w:ascii="Times New Roman" w:eastAsia="Times New Roman" w:hAnsi="Times New Roman" w:cs="Times New Roman"/>
          <w:kern w:val="0"/>
          <w:lang w:eastAsia="en-GB"/>
          <w14:ligatures w14:val="none"/>
        </w:rPr>
        <w:t xml:space="preserve">, S., Wilding, R., Mena, C. and Bourlakis, M. (2017). Toward a three-dimensional framework for omni-channel. </w:t>
      </w:r>
      <w:r w:rsidRPr="005B27E3">
        <w:rPr>
          <w:rFonts w:ascii="Times New Roman" w:eastAsia="Times New Roman" w:hAnsi="Times New Roman" w:cs="Times New Roman"/>
          <w:i/>
          <w:iCs/>
          <w:kern w:val="0"/>
          <w:lang w:eastAsia="en-GB"/>
          <w14:ligatures w14:val="none"/>
        </w:rPr>
        <w:t>Journal of Business Research</w:t>
      </w:r>
      <w:r w:rsidRPr="005B27E3">
        <w:rPr>
          <w:rFonts w:ascii="Times New Roman" w:eastAsia="Times New Roman" w:hAnsi="Times New Roman" w:cs="Times New Roman"/>
          <w:kern w:val="0"/>
          <w:lang w:eastAsia="en-GB"/>
          <w14:ligatures w14:val="none"/>
        </w:rPr>
        <w:t xml:space="preserve">, [online] 77(4), pp.53–67. </w:t>
      </w:r>
      <w:proofErr w:type="gramStart"/>
      <w:r w:rsidRPr="005B27E3">
        <w:rPr>
          <w:rFonts w:ascii="Times New Roman" w:eastAsia="Times New Roman" w:hAnsi="Times New Roman" w:cs="Times New Roman"/>
          <w:kern w:val="0"/>
          <w:lang w:eastAsia="en-GB"/>
          <w14:ligatures w14:val="none"/>
        </w:rPr>
        <w:t>doi:10.1016/j.jbusres</w:t>
      </w:r>
      <w:proofErr w:type="gramEnd"/>
      <w:r w:rsidRPr="005B27E3">
        <w:rPr>
          <w:rFonts w:ascii="Times New Roman" w:eastAsia="Times New Roman" w:hAnsi="Times New Roman" w:cs="Times New Roman"/>
          <w:kern w:val="0"/>
          <w:lang w:eastAsia="en-GB"/>
          <w14:ligatures w14:val="none"/>
        </w:rPr>
        <w:t>.2017.03.025.</w:t>
      </w:r>
    </w:p>
    <w:p w14:paraId="6CAB193B"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proofErr w:type="spellStart"/>
      <w:r w:rsidRPr="005B27E3">
        <w:rPr>
          <w:rFonts w:ascii="Times New Roman" w:eastAsia="Times New Roman" w:hAnsi="Times New Roman" w:cs="Times New Roman"/>
          <w:kern w:val="0"/>
          <w:lang w:eastAsia="en-GB"/>
          <w14:ligatures w14:val="none"/>
        </w:rPr>
        <w:t>Stecuła</w:t>
      </w:r>
      <w:proofErr w:type="spellEnd"/>
      <w:r w:rsidRPr="005B27E3">
        <w:rPr>
          <w:rFonts w:ascii="Times New Roman" w:eastAsia="Times New Roman" w:hAnsi="Times New Roman" w:cs="Times New Roman"/>
          <w:kern w:val="0"/>
          <w:lang w:eastAsia="en-GB"/>
          <w14:ligatures w14:val="none"/>
        </w:rPr>
        <w:t xml:space="preserve">, K., Wolniak, R. and Aydın, B. (2024). Technology development in online grocery shopping—From shopping services to virtual reality, metaverse, and smart devices: A review. </w:t>
      </w:r>
      <w:r w:rsidRPr="005B27E3">
        <w:rPr>
          <w:rFonts w:ascii="Times New Roman" w:eastAsia="Times New Roman" w:hAnsi="Times New Roman" w:cs="Times New Roman"/>
          <w:i/>
          <w:iCs/>
          <w:kern w:val="0"/>
          <w:lang w:eastAsia="en-GB"/>
          <w14:ligatures w14:val="none"/>
        </w:rPr>
        <w:t>Foods</w:t>
      </w:r>
      <w:r w:rsidRPr="005B27E3">
        <w:rPr>
          <w:rFonts w:ascii="Times New Roman" w:eastAsia="Times New Roman" w:hAnsi="Times New Roman" w:cs="Times New Roman"/>
          <w:kern w:val="0"/>
          <w:lang w:eastAsia="en-GB"/>
          <w14:ligatures w14:val="none"/>
        </w:rPr>
        <w:t>, 13(23), p.3959.</w:t>
      </w:r>
    </w:p>
    <w:p w14:paraId="7AF3D508"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proofErr w:type="spellStart"/>
      <w:r w:rsidRPr="005B27E3">
        <w:rPr>
          <w:rFonts w:ascii="Times New Roman" w:eastAsia="Times New Roman" w:hAnsi="Times New Roman" w:cs="Times New Roman"/>
          <w:kern w:val="0"/>
          <w:lang w:eastAsia="en-GB"/>
          <w14:ligatures w14:val="none"/>
        </w:rPr>
        <w:t>Tchonkouang</w:t>
      </w:r>
      <w:proofErr w:type="spellEnd"/>
      <w:r w:rsidRPr="005B27E3">
        <w:rPr>
          <w:rFonts w:ascii="Times New Roman" w:eastAsia="Times New Roman" w:hAnsi="Times New Roman" w:cs="Times New Roman"/>
          <w:kern w:val="0"/>
          <w:lang w:eastAsia="en-GB"/>
          <w14:ligatures w14:val="none"/>
        </w:rPr>
        <w:t xml:space="preserve">, R.D., </w:t>
      </w:r>
      <w:proofErr w:type="spellStart"/>
      <w:r w:rsidRPr="005B27E3">
        <w:rPr>
          <w:rFonts w:ascii="Times New Roman" w:eastAsia="Times New Roman" w:hAnsi="Times New Roman" w:cs="Times New Roman"/>
          <w:kern w:val="0"/>
          <w:lang w:eastAsia="en-GB"/>
          <w14:ligatures w14:val="none"/>
        </w:rPr>
        <w:t>Onyeaka</w:t>
      </w:r>
      <w:proofErr w:type="spellEnd"/>
      <w:r w:rsidRPr="005B27E3">
        <w:rPr>
          <w:rFonts w:ascii="Times New Roman" w:eastAsia="Times New Roman" w:hAnsi="Times New Roman" w:cs="Times New Roman"/>
          <w:kern w:val="0"/>
          <w:lang w:eastAsia="en-GB"/>
          <w14:ligatures w14:val="none"/>
        </w:rPr>
        <w:t xml:space="preserve">, H. and </w:t>
      </w:r>
      <w:proofErr w:type="spellStart"/>
      <w:r w:rsidRPr="005B27E3">
        <w:rPr>
          <w:rFonts w:ascii="Times New Roman" w:eastAsia="Times New Roman" w:hAnsi="Times New Roman" w:cs="Times New Roman"/>
          <w:kern w:val="0"/>
          <w:lang w:eastAsia="en-GB"/>
          <w14:ligatures w14:val="none"/>
        </w:rPr>
        <w:t>Nkoutchou</w:t>
      </w:r>
      <w:proofErr w:type="spellEnd"/>
      <w:r w:rsidRPr="005B27E3">
        <w:rPr>
          <w:rFonts w:ascii="Times New Roman" w:eastAsia="Times New Roman" w:hAnsi="Times New Roman" w:cs="Times New Roman"/>
          <w:kern w:val="0"/>
          <w:lang w:eastAsia="en-GB"/>
          <w14:ligatures w14:val="none"/>
        </w:rPr>
        <w:t xml:space="preserve">, H. (2024). Assessing the vulnerability of food supply chains to climate change-induced disruptions. </w:t>
      </w:r>
      <w:r w:rsidRPr="005B27E3">
        <w:rPr>
          <w:rFonts w:ascii="Times New Roman" w:eastAsia="Times New Roman" w:hAnsi="Times New Roman" w:cs="Times New Roman"/>
          <w:i/>
          <w:iCs/>
          <w:kern w:val="0"/>
          <w:lang w:eastAsia="en-GB"/>
          <w14:ligatures w14:val="none"/>
        </w:rPr>
        <w:t>Science of The Total Environment</w:t>
      </w:r>
      <w:r w:rsidRPr="005B27E3">
        <w:rPr>
          <w:rFonts w:ascii="Times New Roman" w:eastAsia="Times New Roman" w:hAnsi="Times New Roman" w:cs="Times New Roman"/>
          <w:kern w:val="0"/>
          <w:lang w:eastAsia="en-GB"/>
          <w14:ligatures w14:val="none"/>
        </w:rPr>
        <w:t xml:space="preserve">, [online] 920(2), p.171047. </w:t>
      </w:r>
      <w:proofErr w:type="gramStart"/>
      <w:r w:rsidRPr="005B27E3">
        <w:rPr>
          <w:rFonts w:ascii="Times New Roman" w:eastAsia="Times New Roman" w:hAnsi="Times New Roman" w:cs="Times New Roman"/>
          <w:kern w:val="0"/>
          <w:lang w:eastAsia="en-GB"/>
          <w14:ligatures w14:val="none"/>
        </w:rPr>
        <w:t>doi:10.1016/j.scitotenv</w:t>
      </w:r>
      <w:proofErr w:type="gramEnd"/>
      <w:r w:rsidRPr="005B27E3">
        <w:rPr>
          <w:rFonts w:ascii="Times New Roman" w:eastAsia="Times New Roman" w:hAnsi="Times New Roman" w:cs="Times New Roman"/>
          <w:kern w:val="0"/>
          <w:lang w:eastAsia="en-GB"/>
          <w14:ligatures w14:val="none"/>
        </w:rPr>
        <w:t>.2024.171047.</w:t>
      </w:r>
    </w:p>
    <w:p w14:paraId="7740839F"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ter Braak, A., Dekimpe, M.G. and </w:t>
      </w:r>
      <w:proofErr w:type="spellStart"/>
      <w:r w:rsidRPr="005B27E3">
        <w:rPr>
          <w:rFonts w:ascii="Times New Roman" w:eastAsia="Times New Roman" w:hAnsi="Times New Roman" w:cs="Times New Roman"/>
          <w:kern w:val="0"/>
          <w:lang w:eastAsia="en-GB"/>
          <w14:ligatures w14:val="none"/>
        </w:rPr>
        <w:t>Geyskens</w:t>
      </w:r>
      <w:proofErr w:type="spellEnd"/>
      <w:r w:rsidRPr="005B27E3">
        <w:rPr>
          <w:rFonts w:ascii="Times New Roman" w:eastAsia="Times New Roman" w:hAnsi="Times New Roman" w:cs="Times New Roman"/>
          <w:kern w:val="0"/>
          <w:lang w:eastAsia="en-GB"/>
          <w14:ligatures w14:val="none"/>
        </w:rPr>
        <w:t xml:space="preserve">, I. (2013). Retailer private-label margins: The role of supplier and quality-tier differentiation. </w:t>
      </w:r>
      <w:r w:rsidRPr="005B27E3">
        <w:rPr>
          <w:rFonts w:ascii="Times New Roman" w:eastAsia="Times New Roman" w:hAnsi="Times New Roman" w:cs="Times New Roman"/>
          <w:i/>
          <w:iCs/>
          <w:kern w:val="0"/>
          <w:lang w:eastAsia="en-GB"/>
          <w14:ligatures w14:val="none"/>
        </w:rPr>
        <w:t>Journal of Marketing</w:t>
      </w:r>
      <w:r w:rsidRPr="005B27E3">
        <w:rPr>
          <w:rFonts w:ascii="Times New Roman" w:eastAsia="Times New Roman" w:hAnsi="Times New Roman" w:cs="Times New Roman"/>
          <w:kern w:val="0"/>
          <w:lang w:eastAsia="en-GB"/>
          <w14:ligatures w14:val="none"/>
        </w:rPr>
        <w:t>, 77(4), pp.86–103. doi:10.1509/jm.11.0566.</w:t>
      </w:r>
    </w:p>
    <w:p w14:paraId="01066460"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proofErr w:type="spellStart"/>
      <w:r w:rsidRPr="005B27E3">
        <w:rPr>
          <w:rFonts w:ascii="Times New Roman" w:eastAsia="Times New Roman" w:hAnsi="Times New Roman" w:cs="Times New Roman"/>
          <w:kern w:val="0"/>
          <w:lang w:eastAsia="en-GB"/>
          <w14:ligatures w14:val="none"/>
        </w:rPr>
        <w:t>tesco</w:t>
      </w:r>
      <w:proofErr w:type="spellEnd"/>
      <w:r w:rsidRPr="005B27E3">
        <w:rPr>
          <w:rFonts w:ascii="Times New Roman" w:eastAsia="Times New Roman" w:hAnsi="Times New Roman" w:cs="Times New Roman"/>
          <w:kern w:val="0"/>
          <w:lang w:eastAsia="en-GB"/>
          <w14:ligatures w14:val="none"/>
        </w:rPr>
        <w:t xml:space="preserve"> (2025). </w:t>
      </w:r>
      <w:r w:rsidRPr="005B27E3">
        <w:rPr>
          <w:rFonts w:ascii="Times New Roman" w:eastAsia="Times New Roman" w:hAnsi="Times New Roman" w:cs="Times New Roman"/>
          <w:i/>
          <w:iCs/>
          <w:kern w:val="0"/>
          <w:lang w:eastAsia="en-GB"/>
          <w14:ligatures w14:val="none"/>
        </w:rPr>
        <w:t>Tesco Careers – Build a career at Tesco</w:t>
      </w:r>
      <w:r w:rsidRPr="005B27E3">
        <w:rPr>
          <w:rFonts w:ascii="Times New Roman" w:eastAsia="Times New Roman" w:hAnsi="Times New Roman" w:cs="Times New Roman"/>
          <w:kern w:val="0"/>
          <w:lang w:eastAsia="en-GB"/>
          <w14:ligatures w14:val="none"/>
        </w:rPr>
        <w:t xml:space="preserve">. [online] </w:t>
      </w:r>
      <w:r w:rsidRPr="005B27E3">
        <w:rPr>
          <w:rFonts w:ascii="Times New Roman" w:eastAsia="Times New Roman" w:hAnsi="Times New Roman" w:cs="Times New Roman"/>
          <w:i/>
          <w:iCs/>
          <w:kern w:val="0"/>
          <w:lang w:eastAsia="en-GB"/>
          <w14:ligatures w14:val="none"/>
        </w:rPr>
        <w:t>Tesco Careers</w:t>
      </w:r>
      <w:r w:rsidRPr="005B27E3">
        <w:rPr>
          <w:rFonts w:ascii="Times New Roman" w:eastAsia="Times New Roman" w:hAnsi="Times New Roman" w:cs="Times New Roman"/>
          <w:kern w:val="0"/>
          <w:lang w:eastAsia="en-GB"/>
          <w14:ligatures w14:val="none"/>
        </w:rPr>
        <w:t>. Available at: https://www.tesco.com/careers/en-GB [Accessed 12 Aug. 2026].</w:t>
      </w:r>
    </w:p>
    <w:p w14:paraId="6D4562DB"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Vining, A.R. (2011). Public Agency external analysis using a modified “five forces” framework. </w:t>
      </w:r>
      <w:r w:rsidRPr="005B27E3">
        <w:rPr>
          <w:rFonts w:ascii="Times New Roman" w:eastAsia="Times New Roman" w:hAnsi="Times New Roman" w:cs="Times New Roman"/>
          <w:i/>
          <w:iCs/>
          <w:kern w:val="0"/>
          <w:lang w:eastAsia="en-GB"/>
          <w14:ligatures w14:val="none"/>
        </w:rPr>
        <w:t>International Public Management Journal</w:t>
      </w:r>
      <w:r w:rsidRPr="005B27E3">
        <w:rPr>
          <w:rFonts w:ascii="Times New Roman" w:eastAsia="Times New Roman" w:hAnsi="Times New Roman" w:cs="Times New Roman"/>
          <w:kern w:val="0"/>
          <w:lang w:eastAsia="en-GB"/>
          <w14:ligatures w14:val="none"/>
        </w:rPr>
        <w:t>, 14(1), pp.63–105.</w:t>
      </w:r>
    </w:p>
    <w:p w14:paraId="19EE5D4E"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lastRenderedPageBreak/>
        <w:t xml:space="preserve">Ward, M. and Coe, S. (2019). Brexit: Trade issues for food and agriculture. </w:t>
      </w:r>
      <w:r w:rsidRPr="005B27E3">
        <w:rPr>
          <w:rFonts w:ascii="Times New Roman" w:eastAsia="Times New Roman" w:hAnsi="Times New Roman" w:cs="Times New Roman"/>
          <w:i/>
          <w:iCs/>
          <w:kern w:val="0"/>
          <w:lang w:eastAsia="en-GB"/>
          <w14:ligatures w14:val="none"/>
        </w:rPr>
        <w:t>commonslibrary.parliament.uk</w:t>
      </w:r>
      <w:r w:rsidRPr="005B27E3">
        <w:rPr>
          <w:rFonts w:ascii="Times New Roman" w:eastAsia="Times New Roman" w:hAnsi="Times New Roman" w:cs="Times New Roman"/>
          <w:kern w:val="0"/>
          <w:lang w:eastAsia="en-GB"/>
          <w14:ligatures w14:val="none"/>
        </w:rPr>
        <w:t>, [online] 3(6). Available at: https://commonslibrary.parliament.uk/research-briefings/cbp-7974/ [Accessed 12 Aug. 2026].</w:t>
      </w:r>
    </w:p>
    <w:p w14:paraId="687E2E02"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Whittington, K.B. (2008). Women, gender, and technology – edited by Mary Frank Fox, Deborah Johnson, and Sue Rosser. </w:t>
      </w:r>
      <w:r w:rsidRPr="005B27E3">
        <w:rPr>
          <w:rFonts w:ascii="Times New Roman" w:eastAsia="Times New Roman" w:hAnsi="Times New Roman" w:cs="Times New Roman"/>
          <w:i/>
          <w:iCs/>
          <w:kern w:val="0"/>
          <w:lang w:eastAsia="en-GB"/>
          <w14:ligatures w14:val="none"/>
        </w:rPr>
        <w:t>Review of Policy Research</w:t>
      </w:r>
      <w:r w:rsidRPr="005B27E3">
        <w:rPr>
          <w:rFonts w:ascii="Times New Roman" w:eastAsia="Times New Roman" w:hAnsi="Times New Roman" w:cs="Times New Roman"/>
          <w:kern w:val="0"/>
          <w:lang w:eastAsia="en-GB"/>
          <w14:ligatures w14:val="none"/>
        </w:rPr>
        <w:t>, 25(2), pp.189–191. doi:10.1111/j.1541-1338.2007.</w:t>
      </w:r>
      <w:proofErr w:type="gramStart"/>
      <w:r w:rsidRPr="005B27E3">
        <w:rPr>
          <w:rFonts w:ascii="Times New Roman" w:eastAsia="Times New Roman" w:hAnsi="Times New Roman" w:cs="Times New Roman"/>
          <w:kern w:val="0"/>
          <w:lang w:eastAsia="en-GB"/>
          <w14:ligatures w14:val="none"/>
        </w:rPr>
        <w:t>00318.x.</w:t>
      </w:r>
      <w:proofErr w:type="gramEnd"/>
    </w:p>
    <w:p w14:paraId="4BB7F72A"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Wollenburg, J., Hübner, A., Kuhn, H. and </w:t>
      </w:r>
      <w:proofErr w:type="spellStart"/>
      <w:r w:rsidRPr="005B27E3">
        <w:rPr>
          <w:rFonts w:ascii="Times New Roman" w:eastAsia="Times New Roman" w:hAnsi="Times New Roman" w:cs="Times New Roman"/>
          <w:kern w:val="0"/>
          <w:lang w:eastAsia="en-GB"/>
          <w14:ligatures w14:val="none"/>
        </w:rPr>
        <w:t>Trautrims</w:t>
      </w:r>
      <w:proofErr w:type="spellEnd"/>
      <w:r w:rsidRPr="005B27E3">
        <w:rPr>
          <w:rFonts w:ascii="Times New Roman" w:eastAsia="Times New Roman" w:hAnsi="Times New Roman" w:cs="Times New Roman"/>
          <w:kern w:val="0"/>
          <w:lang w:eastAsia="en-GB"/>
          <w14:ligatures w14:val="none"/>
        </w:rPr>
        <w:t xml:space="preserve">, A. (2018). From bricks-and-mortar to bricks-and-clicks. </w:t>
      </w:r>
      <w:r w:rsidRPr="005B27E3">
        <w:rPr>
          <w:rFonts w:ascii="Times New Roman" w:eastAsia="Times New Roman" w:hAnsi="Times New Roman" w:cs="Times New Roman"/>
          <w:i/>
          <w:iCs/>
          <w:kern w:val="0"/>
          <w:lang w:eastAsia="en-GB"/>
          <w14:ligatures w14:val="none"/>
        </w:rPr>
        <w:t>International Journal of Physical Distribution &amp; Logistics Management</w:t>
      </w:r>
      <w:r w:rsidRPr="005B27E3">
        <w:rPr>
          <w:rFonts w:ascii="Times New Roman" w:eastAsia="Times New Roman" w:hAnsi="Times New Roman" w:cs="Times New Roman"/>
          <w:kern w:val="0"/>
          <w:lang w:eastAsia="en-GB"/>
          <w14:ligatures w14:val="none"/>
        </w:rPr>
        <w:t>, 48(4), pp.415–438. doi:10.1108/ijpdlm-10-2016-0290.</w:t>
      </w:r>
    </w:p>
    <w:p w14:paraId="6B91EA6F"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Yang, Y., Barnes, H., Yang, B., Onofrei, G. and Nguyen, H. (2023). Food Waste Management for the UK grocery retail sector—A supply chain collaboration perspective. </w:t>
      </w:r>
      <w:r w:rsidRPr="005B27E3">
        <w:rPr>
          <w:rFonts w:ascii="Times New Roman" w:eastAsia="Times New Roman" w:hAnsi="Times New Roman" w:cs="Times New Roman"/>
          <w:i/>
          <w:iCs/>
          <w:kern w:val="0"/>
          <w:lang w:eastAsia="en-GB"/>
          <w14:ligatures w14:val="none"/>
        </w:rPr>
        <w:t>Production Planning &amp; Control</w:t>
      </w:r>
      <w:r w:rsidRPr="005B27E3">
        <w:rPr>
          <w:rFonts w:ascii="Times New Roman" w:eastAsia="Times New Roman" w:hAnsi="Times New Roman" w:cs="Times New Roman"/>
          <w:kern w:val="0"/>
          <w:lang w:eastAsia="en-GB"/>
          <w14:ligatures w14:val="none"/>
        </w:rPr>
        <w:t>, [online] 35(15), pp.1–14. doi:10.1080/09537287.2023.2226622.</w:t>
      </w:r>
    </w:p>
    <w:p w14:paraId="57DB9EE8" w14:textId="77777777" w:rsidR="005B27E3" w:rsidRPr="005B27E3" w:rsidRDefault="005B27E3" w:rsidP="005B27E3">
      <w:pPr>
        <w:spacing w:after="240" w:line="360" w:lineRule="auto"/>
        <w:rPr>
          <w:rFonts w:ascii="Times New Roman" w:eastAsia="Times New Roman" w:hAnsi="Times New Roman" w:cs="Times New Roman"/>
          <w:kern w:val="0"/>
          <w:lang w:eastAsia="en-GB"/>
          <w14:ligatures w14:val="none"/>
        </w:rPr>
      </w:pPr>
      <w:r w:rsidRPr="005B27E3">
        <w:rPr>
          <w:rFonts w:ascii="Times New Roman" w:eastAsia="Times New Roman" w:hAnsi="Times New Roman" w:cs="Times New Roman"/>
          <w:kern w:val="0"/>
          <w:lang w:eastAsia="en-GB"/>
          <w14:ligatures w14:val="none"/>
        </w:rPr>
        <w:t xml:space="preserve">Yu, W., Cui, F., Han, X. and </w:t>
      </w:r>
      <w:proofErr w:type="spellStart"/>
      <w:r w:rsidRPr="005B27E3">
        <w:rPr>
          <w:rFonts w:ascii="Times New Roman" w:eastAsia="Times New Roman" w:hAnsi="Times New Roman" w:cs="Times New Roman"/>
          <w:kern w:val="0"/>
          <w:lang w:eastAsia="en-GB"/>
          <w14:ligatures w14:val="none"/>
        </w:rPr>
        <w:t>Lv</w:t>
      </w:r>
      <w:proofErr w:type="spellEnd"/>
      <w:r w:rsidRPr="005B27E3">
        <w:rPr>
          <w:rFonts w:ascii="Times New Roman" w:eastAsia="Times New Roman" w:hAnsi="Times New Roman" w:cs="Times New Roman"/>
          <w:kern w:val="0"/>
          <w:lang w:eastAsia="en-GB"/>
          <w14:ligatures w14:val="none"/>
        </w:rPr>
        <w:t xml:space="preserve">, M. (2022). Does a corporation’s food recall strategy affect its brand image and consumers’ intention to purchase? A study in the context of cereal recall in China. </w:t>
      </w:r>
      <w:r w:rsidRPr="005B27E3">
        <w:rPr>
          <w:rFonts w:ascii="Times New Roman" w:eastAsia="Times New Roman" w:hAnsi="Times New Roman" w:cs="Times New Roman"/>
          <w:i/>
          <w:iCs/>
          <w:kern w:val="0"/>
          <w:lang w:eastAsia="en-GB"/>
          <w14:ligatures w14:val="none"/>
        </w:rPr>
        <w:t>British Food Journal</w:t>
      </w:r>
      <w:r w:rsidRPr="005B27E3">
        <w:rPr>
          <w:rFonts w:ascii="Times New Roman" w:eastAsia="Times New Roman" w:hAnsi="Times New Roman" w:cs="Times New Roman"/>
          <w:kern w:val="0"/>
          <w:lang w:eastAsia="en-GB"/>
          <w14:ligatures w14:val="none"/>
        </w:rPr>
        <w:t>, 3(2). doi:10.1108/bfj-01-2022-0023.</w:t>
      </w:r>
    </w:p>
    <w:p w14:paraId="532BAC00" w14:textId="1202C214" w:rsidR="00564076" w:rsidRPr="00ED27A5" w:rsidRDefault="00564076" w:rsidP="005B27E3">
      <w:pPr>
        <w:spacing w:line="360" w:lineRule="auto"/>
        <w:rPr>
          <w:rFonts w:ascii="Arial" w:hAnsi="Arial" w:cs="Arial"/>
        </w:rPr>
      </w:pPr>
    </w:p>
    <w:sectPr w:rsidR="00564076" w:rsidRPr="00ED27A5">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7615C8" w14:textId="77777777" w:rsidR="00605147" w:rsidRDefault="00605147" w:rsidP="005E2D27">
      <w:pPr>
        <w:spacing w:after="0" w:line="240" w:lineRule="auto"/>
      </w:pPr>
      <w:r>
        <w:separator/>
      </w:r>
    </w:p>
  </w:endnote>
  <w:endnote w:type="continuationSeparator" w:id="0">
    <w:p w14:paraId="0E78C536" w14:textId="77777777" w:rsidR="00605147" w:rsidRDefault="00605147" w:rsidP="005E2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63941291"/>
      <w:docPartObj>
        <w:docPartGallery w:val="Page Numbers (Bottom of Page)"/>
        <w:docPartUnique/>
      </w:docPartObj>
    </w:sdtPr>
    <w:sdtContent>
      <w:p w14:paraId="139D9BDE" w14:textId="34580D15" w:rsidR="005E2D27" w:rsidRDefault="005E2D27" w:rsidP="009B78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71AA0F5" w14:textId="77777777" w:rsidR="005E2D27" w:rsidRDefault="005E2D27" w:rsidP="005E2D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85481819"/>
      <w:docPartObj>
        <w:docPartGallery w:val="Page Numbers (Bottom of Page)"/>
        <w:docPartUnique/>
      </w:docPartObj>
    </w:sdtPr>
    <w:sdtContent>
      <w:p w14:paraId="5E0F5BFB" w14:textId="648B13E2" w:rsidR="005E2D27" w:rsidRDefault="005E2D27" w:rsidP="009B78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0507F6" w14:textId="77777777" w:rsidR="005E2D27" w:rsidRDefault="005E2D27" w:rsidP="005E2D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9A4854" w14:textId="77777777" w:rsidR="00605147" w:rsidRDefault="00605147" w:rsidP="005E2D27">
      <w:pPr>
        <w:spacing w:after="0" w:line="240" w:lineRule="auto"/>
      </w:pPr>
      <w:r>
        <w:separator/>
      </w:r>
    </w:p>
  </w:footnote>
  <w:footnote w:type="continuationSeparator" w:id="0">
    <w:p w14:paraId="599E7D15" w14:textId="77777777" w:rsidR="00605147" w:rsidRDefault="00605147" w:rsidP="005E2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7017A39"/>
    <w:multiLevelType w:val="hybridMultilevel"/>
    <w:tmpl w:val="5F441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38087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F5"/>
    <w:rsid w:val="0008467E"/>
    <w:rsid w:val="000E4866"/>
    <w:rsid w:val="0013016D"/>
    <w:rsid w:val="00193679"/>
    <w:rsid w:val="00256302"/>
    <w:rsid w:val="00282D76"/>
    <w:rsid w:val="00284258"/>
    <w:rsid w:val="00295137"/>
    <w:rsid w:val="002C230C"/>
    <w:rsid w:val="00306FEA"/>
    <w:rsid w:val="00311B41"/>
    <w:rsid w:val="00323FA5"/>
    <w:rsid w:val="00392DD3"/>
    <w:rsid w:val="00395095"/>
    <w:rsid w:val="004B1D63"/>
    <w:rsid w:val="00520293"/>
    <w:rsid w:val="00564076"/>
    <w:rsid w:val="00576697"/>
    <w:rsid w:val="005825A0"/>
    <w:rsid w:val="00586E9C"/>
    <w:rsid w:val="005B27E3"/>
    <w:rsid w:val="005E16F5"/>
    <w:rsid w:val="005E2D27"/>
    <w:rsid w:val="00605147"/>
    <w:rsid w:val="00665DFB"/>
    <w:rsid w:val="00677BDF"/>
    <w:rsid w:val="00700213"/>
    <w:rsid w:val="00714B67"/>
    <w:rsid w:val="0076731D"/>
    <w:rsid w:val="00811C17"/>
    <w:rsid w:val="00830C0C"/>
    <w:rsid w:val="008D5865"/>
    <w:rsid w:val="00912929"/>
    <w:rsid w:val="00975073"/>
    <w:rsid w:val="009C1BAC"/>
    <w:rsid w:val="00A06A0A"/>
    <w:rsid w:val="00A900C6"/>
    <w:rsid w:val="00AE67B5"/>
    <w:rsid w:val="00B75C20"/>
    <w:rsid w:val="00BD3F22"/>
    <w:rsid w:val="00BE10AF"/>
    <w:rsid w:val="00CC7BEF"/>
    <w:rsid w:val="00CD42E9"/>
    <w:rsid w:val="00D035AC"/>
    <w:rsid w:val="00D53AC5"/>
    <w:rsid w:val="00DA03A9"/>
    <w:rsid w:val="00DD4B4D"/>
    <w:rsid w:val="00DE5E66"/>
    <w:rsid w:val="00E3265C"/>
    <w:rsid w:val="00E929C9"/>
    <w:rsid w:val="00ED27A5"/>
    <w:rsid w:val="00F15862"/>
    <w:rsid w:val="00F81C3B"/>
    <w:rsid w:val="00F85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4C136"/>
  <w15:chartTrackingRefBased/>
  <w15:docId w15:val="{3548D364-D30C-47D9-ACE7-631FEBD58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E66"/>
  </w:style>
  <w:style w:type="paragraph" w:styleId="Heading1">
    <w:name w:val="heading 1"/>
    <w:basedOn w:val="Normal"/>
    <w:next w:val="Normal"/>
    <w:link w:val="Heading1Char"/>
    <w:uiPriority w:val="9"/>
    <w:qFormat/>
    <w:rsid w:val="005E1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1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1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E1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E1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E16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E16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5E16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5E16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1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1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E1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E1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E1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5E16F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5E1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5E16F5"/>
    <w:rPr>
      <w:rFonts w:eastAsiaTheme="majorEastAsia" w:cstheme="majorBidi"/>
      <w:color w:val="272727" w:themeColor="text1" w:themeTint="D8"/>
    </w:rPr>
  </w:style>
  <w:style w:type="paragraph" w:styleId="Title">
    <w:name w:val="Title"/>
    <w:basedOn w:val="Normal"/>
    <w:next w:val="Normal"/>
    <w:link w:val="TitleChar"/>
    <w:uiPriority w:val="10"/>
    <w:qFormat/>
    <w:rsid w:val="005E1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6F5"/>
    <w:pPr>
      <w:spacing w:before="160"/>
      <w:jc w:val="center"/>
    </w:pPr>
    <w:rPr>
      <w:i/>
      <w:iCs/>
      <w:color w:val="404040" w:themeColor="text1" w:themeTint="BF"/>
    </w:rPr>
  </w:style>
  <w:style w:type="character" w:customStyle="1" w:styleId="QuoteChar">
    <w:name w:val="Quote Char"/>
    <w:basedOn w:val="DefaultParagraphFont"/>
    <w:link w:val="Quote"/>
    <w:uiPriority w:val="29"/>
    <w:rsid w:val="005E16F5"/>
    <w:rPr>
      <w:i/>
      <w:iCs/>
      <w:color w:val="404040" w:themeColor="text1" w:themeTint="BF"/>
    </w:rPr>
  </w:style>
  <w:style w:type="paragraph" w:styleId="ListParagraph">
    <w:name w:val="List Paragraph"/>
    <w:basedOn w:val="Normal"/>
    <w:uiPriority w:val="34"/>
    <w:qFormat/>
    <w:rsid w:val="005E16F5"/>
    <w:pPr>
      <w:ind w:left="720"/>
      <w:contextualSpacing/>
    </w:pPr>
  </w:style>
  <w:style w:type="character" w:styleId="IntenseEmphasis">
    <w:name w:val="Intense Emphasis"/>
    <w:basedOn w:val="DefaultParagraphFont"/>
    <w:uiPriority w:val="21"/>
    <w:qFormat/>
    <w:rsid w:val="005E16F5"/>
    <w:rPr>
      <w:i/>
      <w:iCs/>
      <w:color w:val="0F4761" w:themeColor="accent1" w:themeShade="BF"/>
    </w:rPr>
  </w:style>
  <w:style w:type="paragraph" w:styleId="IntenseQuote">
    <w:name w:val="Intense Quote"/>
    <w:basedOn w:val="Normal"/>
    <w:next w:val="Normal"/>
    <w:link w:val="IntenseQuoteChar"/>
    <w:uiPriority w:val="30"/>
    <w:qFormat/>
    <w:rsid w:val="005E1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6F5"/>
    <w:rPr>
      <w:i/>
      <w:iCs/>
      <w:color w:val="0F4761" w:themeColor="accent1" w:themeShade="BF"/>
    </w:rPr>
  </w:style>
  <w:style w:type="character" w:styleId="IntenseReference">
    <w:name w:val="Intense Reference"/>
    <w:basedOn w:val="DefaultParagraphFont"/>
    <w:uiPriority w:val="32"/>
    <w:qFormat/>
    <w:rsid w:val="005E16F5"/>
    <w:rPr>
      <w:b/>
      <w:bCs/>
      <w:smallCaps/>
      <w:color w:val="0F4761" w:themeColor="accent1" w:themeShade="BF"/>
      <w:spacing w:val="5"/>
    </w:rPr>
  </w:style>
  <w:style w:type="paragraph" w:customStyle="1" w:styleId="my-2">
    <w:name w:val="my-2"/>
    <w:basedOn w:val="Normal"/>
    <w:rsid w:val="005640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E2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D27"/>
  </w:style>
  <w:style w:type="character" w:styleId="PageNumber">
    <w:name w:val="page number"/>
    <w:basedOn w:val="DefaultParagraphFont"/>
    <w:uiPriority w:val="99"/>
    <w:semiHidden/>
    <w:unhideWhenUsed/>
    <w:rsid w:val="005E2D27"/>
  </w:style>
  <w:style w:type="paragraph" w:styleId="TOCHeading">
    <w:name w:val="TOC Heading"/>
    <w:basedOn w:val="Heading1"/>
    <w:next w:val="Normal"/>
    <w:uiPriority w:val="39"/>
    <w:unhideWhenUsed/>
    <w:qFormat/>
    <w:rsid w:val="005E2D2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E2D27"/>
    <w:pPr>
      <w:spacing w:before="120" w:after="0"/>
    </w:pPr>
    <w:rPr>
      <w:b/>
      <w:bCs/>
      <w:i/>
      <w:iCs/>
    </w:rPr>
  </w:style>
  <w:style w:type="paragraph" w:styleId="TOC2">
    <w:name w:val="toc 2"/>
    <w:basedOn w:val="Normal"/>
    <w:next w:val="Normal"/>
    <w:autoRedefine/>
    <w:uiPriority w:val="39"/>
    <w:unhideWhenUsed/>
    <w:rsid w:val="005E2D27"/>
    <w:pPr>
      <w:spacing w:before="120" w:after="0"/>
      <w:ind w:left="240"/>
    </w:pPr>
    <w:rPr>
      <w:b/>
      <w:bCs/>
      <w:sz w:val="22"/>
      <w:szCs w:val="22"/>
    </w:rPr>
  </w:style>
  <w:style w:type="character" w:styleId="Hyperlink">
    <w:name w:val="Hyperlink"/>
    <w:basedOn w:val="DefaultParagraphFont"/>
    <w:uiPriority w:val="99"/>
    <w:unhideWhenUsed/>
    <w:rsid w:val="005E2D27"/>
    <w:rPr>
      <w:color w:val="467886" w:themeColor="hyperlink"/>
      <w:u w:val="single"/>
    </w:rPr>
  </w:style>
  <w:style w:type="paragraph" w:styleId="TOC3">
    <w:name w:val="toc 3"/>
    <w:basedOn w:val="Normal"/>
    <w:next w:val="Normal"/>
    <w:autoRedefine/>
    <w:uiPriority w:val="39"/>
    <w:unhideWhenUsed/>
    <w:rsid w:val="005E2D27"/>
    <w:pPr>
      <w:spacing w:after="0"/>
      <w:ind w:left="480"/>
    </w:pPr>
    <w:rPr>
      <w:sz w:val="20"/>
      <w:szCs w:val="20"/>
    </w:rPr>
  </w:style>
  <w:style w:type="paragraph" w:styleId="TOC4">
    <w:name w:val="toc 4"/>
    <w:basedOn w:val="Normal"/>
    <w:next w:val="Normal"/>
    <w:autoRedefine/>
    <w:uiPriority w:val="39"/>
    <w:semiHidden/>
    <w:unhideWhenUsed/>
    <w:rsid w:val="005E2D27"/>
    <w:pPr>
      <w:spacing w:after="0"/>
      <w:ind w:left="720"/>
    </w:pPr>
    <w:rPr>
      <w:sz w:val="20"/>
      <w:szCs w:val="20"/>
    </w:rPr>
  </w:style>
  <w:style w:type="paragraph" w:styleId="TOC5">
    <w:name w:val="toc 5"/>
    <w:basedOn w:val="Normal"/>
    <w:next w:val="Normal"/>
    <w:autoRedefine/>
    <w:uiPriority w:val="39"/>
    <w:semiHidden/>
    <w:unhideWhenUsed/>
    <w:rsid w:val="005E2D27"/>
    <w:pPr>
      <w:spacing w:after="0"/>
      <w:ind w:left="960"/>
    </w:pPr>
    <w:rPr>
      <w:sz w:val="20"/>
      <w:szCs w:val="20"/>
    </w:rPr>
  </w:style>
  <w:style w:type="paragraph" w:styleId="TOC6">
    <w:name w:val="toc 6"/>
    <w:basedOn w:val="Normal"/>
    <w:next w:val="Normal"/>
    <w:autoRedefine/>
    <w:uiPriority w:val="39"/>
    <w:semiHidden/>
    <w:unhideWhenUsed/>
    <w:rsid w:val="005E2D27"/>
    <w:pPr>
      <w:spacing w:after="0"/>
      <w:ind w:left="1200"/>
    </w:pPr>
    <w:rPr>
      <w:sz w:val="20"/>
      <w:szCs w:val="20"/>
    </w:rPr>
  </w:style>
  <w:style w:type="paragraph" w:styleId="TOC7">
    <w:name w:val="toc 7"/>
    <w:basedOn w:val="Normal"/>
    <w:next w:val="Normal"/>
    <w:autoRedefine/>
    <w:uiPriority w:val="39"/>
    <w:semiHidden/>
    <w:unhideWhenUsed/>
    <w:rsid w:val="005E2D27"/>
    <w:pPr>
      <w:spacing w:after="0"/>
      <w:ind w:left="1440"/>
    </w:pPr>
    <w:rPr>
      <w:sz w:val="20"/>
      <w:szCs w:val="20"/>
    </w:rPr>
  </w:style>
  <w:style w:type="paragraph" w:styleId="TOC8">
    <w:name w:val="toc 8"/>
    <w:basedOn w:val="Normal"/>
    <w:next w:val="Normal"/>
    <w:autoRedefine/>
    <w:uiPriority w:val="39"/>
    <w:semiHidden/>
    <w:unhideWhenUsed/>
    <w:rsid w:val="005E2D27"/>
    <w:pPr>
      <w:spacing w:after="0"/>
      <w:ind w:left="1680"/>
    </w:pPr>
    <w:rPr>
      <w:sz w:val="20"/>
      <w:szCs w:val="20"/>
    </w:rPr>
  </w:style>
  <w:style w:type="paragraph" w:styleId="TOC9">
    <w:name w:val="toc 9"/>
    <w:basedOn w:val="Normal"/>
    <w:next w:val="Normal"/>
    <w:autoRedefine/>
    <w:uiPriority w:val="39"/>
    <w:semiHidden/>
    <w:unhideWhenUsed/>
    <w:rsid w:val="005E2D27"/>
    <w:pPr>
      <w:spacing w:after="0"/>
      <w:ind w:left="1920"/>
    </w:pPr>
    <w:rPr>
      <w:sz w:val="20"/>
      <w:szCs w:val="20"/>
    </w:rPr>
  </w:style>
  <w:style w:type="paragraph" w:styleId="NoSpacing">
    <w:name w:val="No Spacing"/>
    <w:uiPriority w:val="1"/>
    <w:qFormat/>
    <w:rsid w:val="004B1D63"/>
    <w:pPr>
      <w:spacing w:after="0" w:line="240" w:lineRule="auto"/>
    </w:pPr>
  </w:style>
  <w:style w:type="paragraph" w:styleId="NormalWeb">
    <w:name w:val="Normal (Web)"/>
    <w:basedOn w:val="Normal"/>
    <w:uiPriority w:val="99"/>
    <w:semiHidden/>
    <w:unhideWhenUsed/>
    <w:rsid w:val="005B27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D5865"/>
    <w:rPr>
      <w:b/>
      <w:bCs/>
    </w:rPr>
  </w:style>
  <w:style w:type="paragraph" w:customStyle="1" w:styleId="p1">
    <w:name w:val="p1"/>
    <w:basedOn w:val="Normal"/>
    <w:rsid w:val="000E4866"/>
    <w:pPr>
      <w:spacing w:after="0" w:line="240" w:lineRule="auto"/>
    </w:pPr>
    <w:rPr>
      <w:rFonts w:ascii="Arial" w:eastAsia="Times New Roman" w:hAnsi="Arial" w:cs="Arial"/>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492E9-5263-DE44-8D39-EC5AABE7F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30</Pages>
  <Words>7566</Words>
  <Characters>43127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 Ghanshyambhai Patel (2522415)</dc:creator>
  <cp:keywords/>
  <dc:description/>
  <cp:lastModifiedBy>Tirth Ghanshyambhai Patel (2522415)</cp:lastModifiedBy>
  <cp:revision>25</cp:revision>
  <dcterms:created xsi:type="dcterms:W3CDTF">2026-08-11T22:15:00Z</dcterms:created>
  <dcterms:modified xsi:type="dcterms:W3CDTF">2026-08-12T02:02:00Z</dcterms:modified>
</cp:coreProperties>
</file>