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D64F0" w14:textId="2A5EEEAE" w:rsidR="00592A8D" w:rsidRPr="003E00AD" w:rsidRDefault="003E00AD" w:rsidP="003E00AD">
      <w:pPr>
        <w:jc w:val="center"/>
        <w:rPr>
          <w:sz w:val="28"/>
          <w:szCs w:val="28"/>
        </w:rPr>
      </w:pPr>
      <w:bookmarkStart w:id="0" w:name="_GoBack"/>
      <w:bookmarkEnd w:id="0"/>
      <w:r w:rsidRPr="003E00AD">
        <w:rPr>
          <w:sz w:val="28"/>
          <w:szCs w:val="28"/>
        </w:rPr>
        <w:t>Summary of key Statistical Tests</w:t>
      </w:r>
    </w:p>
    <w:tbl>
      <w:tblPr>
        <w:tblStyle w:val="GridTable4-Accent1"/>
        <w:tblW w:w="12780" w:type="dxa"/>
        <w:tblLook w:val="0420" w:firstRow="1" w:lastRow="0" w:firstColumn="0" w:lastColumn="0" w:noHBand="0" w:noVBand="1"/>
      </w:tblPr>
      <w:tblGrid>
        <w:gridCol w:w="2832"/>
        <w:gridCol w:w="1440"/>
        <w:gridCol w:w="1558"/>
        <w:gridCol w:w="6950"/>
      </w:tblGrid>
      <w:tr w:rsidR="00EA18F6" w:rsidRPr="00EA18F6" w14:paraId="49A3EA44" w14:textId="77777777" w:rsidTr="00EA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9"/>
        </w:trPr>
        <w:tc>
          <w:tcPr>
            <w:tcW w:w="2838" w:type="dxa"/>
            <w:hideMark/>
          </w:tcPr>
          <w:p w14:paraId="3C35F67F" w14:textId="77777777" w:rsidR="00AE01B6" w:rsidRPr="00EA18F6" w:rsidRDefault="00AE01B6" w:rsidP="00AE01B6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EA18F6">
              <w:rPr>
                <w:sz w:val="24"/>
                <w:szCs w:val="24"/>
              </w:rPr>
              <w:t>Test</w:t>
            </w:r>
          </w:p>
        </w:tc>
        <w:tc>
          <w:tcPr>
            <w:tcW w:w="1410" w:type="dxa"/>
            <w:hideMark/>
          </w:tcPr>
          <w:p w14:paraId="7D3E3F86" w14:textId="77777777" w:rsidR="00AE01B6" w:rsidRPr="00EA18F6" w:rsidRDefault="00AE01B6" w:rsidP="00AE01B6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EA18F6">
              <w:rPr>
                <w:sz w:val="24"/>
                <w:szCs w:val="24"/>
              </w:rPr>
              <w:t>Links</w:t>
            </w:r>
            <w:r w:rsidRPr="00EA18F6">
              <w:rPr>
                <w:bCs w:val="0"/>
                <w:sz w:val="24"/>
                <w:szCs w:val="24"/>
              </w:rPr>
              <w:t xml:space="preserve"> or differences</w:t>
            </w:r>
            <w:r w:rsidRPr="00EA18F6">
              <w:rPr>
                <w:sz w:val="24"/>
                <w:szCs w:val="24"/>
              </w:rPr>
              <w:t>?</w:t>
            </w:r>
          </w:p>
        </w:tc>
        <w:tc>
          <w:tcPr>
            <w:tcW w:w="1559" w:type="dxa"/>
            <w:hideMark/>
          </w:tcPr>
          <w:p w14:paraId="5817EC44" w14:textId="77777777" w:rsidR="00AE01B6" w:rsidRPr="00EA18F6" w:rsidRDefault="00AE01B6" w:rsidP="00AE01B6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EA18F6">
              <w:rPr>
                <w:bCs w:val="0"/>
                <w:sz w:val="24"/>
                <w:szCs w:val="24"/>
              </w:rPr>
              <w:t>Parametric or non</w:t>
            </w:r>
            <w:r w:rsidR="00EA18F6" w:rsidRPr="00EA18F6">
              <w:rPr>
                <w:bCs w:val="0"/>
                <w:sz w:val="24"/>
                <w:szCs w:val="24"/>
              </w:rPr>
              <w:t>-</w:t>
            </w:r>
            <w:r w:rsidRPr="00EA18F6">
              <w:rPr>
                <w:bCs w:val="0"/>
                <w:sz w:val="24"/>
                <w:szCs w:val="24"/>
              </w:rPr>
              <w:t xml:space="preserve"> parametric</w:t>
            </w:r>
            <w:r w:rsidRPr="00EA18F6">
              <w:rPr>
                <w:sz w:val="24"/>
                <w:szCs w:val="24"/>
              </w:rPr>
              <w:t>?</w:t>
            </w:r>
          </w:p>
        </w:tc>
        <w:tc>
          <w:tcPr>
            <w:tcW w:w="6973" w:type="dxa"/>
            <w:hideMark/>
          </w:tcPr>
          <w:p w14:paraId="28CFDED2" w14:textId="77777777" w:rsidR="00AE01B6" w:rsidRPr="00EA18F6" w:rsidRDefault="00AE01B6" w:rsidP="00AE01B6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EA18F6">
              <w:rPr>
                <w:sz w:val="24"/>
                <w:szCs w:val="24"/>
              </w:rPr>
              <w:t>Points</w:t>
            </w:r>
          </w:p>
        </w:tc>
      </w:tr>
      <w:tr w:rsidR="00EA18F6" w:rsidRPr="00AE01B6" w14:paraId="29E88DDE" w14:textId="77777777" w:rsidTr="00EA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6"/>
        </w:trPr>
        <w:tc>
          <w:tcPr>
            <w:tcW w:w="2838" w:type="dxa"/>
            <w:hideMark/>
          </w:tcPr>
          <w:p w14:paraId="305F1396" w14:textId="77777777" w:rsidR="00AE01B6" w:rsidRPr="00AE01B6" w:rsidRDefault="00AE01B6" w:rsidP="00AE01B6">
            <w:pPr>
              <w:spacing w:after="160" w:line="259" w:lineRule="auto"/>
              <w:rPr>
                <w:lang w:val="en-US"/>
              </w:rPr>
            </w:pPr>
            <w:r w:rsidRPr="00AE01B6">
              <w:t>Independent t test</w:t>
            </w:r>
          </w:p>
        </w:tc>
        <w:tc>
          <w:tcPr>
            <w:tcW w:w="1410" w:type="dxa"/>
            <w:hideMark/>
          </w:tcPr>
          <w:p w14:paraId="4A7F3603" w14:textId="30D155B0" w:rsidR="00AE01B6" w:rsidRPr="00AE01B6" w:rsidRDefault="008F74B2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  <w:hideMark/>
          </w:tcPr>
          <w:p w14:paraId="0D47E6BC" w14:textId="42DA50D5" w:rsidR="00AE01B6" w:rsidRPr="00AE01B6" w:rsidRDefault="0096125A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6973" w:type="dxa"/>
            <w:hideMark/>
          </w:tcPr>
          <w:p w14:paraId="1A6B8561" w14:textId="29C296FA" w:rsidR="00AE01B6" w:rsidRPr="00AE01B6" w:rsidRDefault="00AE01B6" w:rsidP="00AE01B6">
            <w:pPr>
              <w:spacing w:after="160" w:line="259" w:lineRule="auto"/>
              <w:rPr>
                <w:lang w:val="en-US"/>
              </w:rPr>
            </w:pPr>
            <w:r w:rsidRPr="00AE01B6">
              <w:t>for two separate groups</w:t>
            </w:r>
          </w:p>
        </w:tc>
      </w:tr>
      <w:tr w:rsidR="00AE01B6" w:rsidRPr="00AE01B6" w14:paraId="4BE8113C" w14:textId="77777777" w:rsidTr="00EA18F6">
        <w:trPr>
          <w:trHeight w:val="556"/>
        </w:trPr>
        <w:tc>
          <w:tcPr>
            <w:tcW w:w="2838" w:type="dxa"/>
          </w:tcPr>
          <w:p w14:paraId="599736E4" w14:textId="77777777" w:rsidR="00AE01B6" w:rsidRPr="00AE01B6" w:rsidRDefault="00AE01B6" w:rsidP="00AE01B6">
            <w:r>
              <w:t>Dependent (paired) t test</w:t>
            </w:r>
          </w:p>
        </w:tc>
        <w:tc>
          <w:tcPr>
            <w:tcW w:w="1410" w:type="dxa"/>
          </w:tcPr>
          <w:p w14:paraId="1921C057" w14:textId="36906945" w:rsidR="00AE01B6" w:rsidRPr="00AE01B6" w:rsidRDefault="008F74B2" w:rsidP="00AE01B6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</w:tcPr>
          <w:p w14:paraId="3EDC9895" w14:textId="0E70FFF2" w:rsidR="00AE01B6" w:rsidRPr="00AE01B6" w:rsidRDefault="0096125A" w:rsidP="00AE01B6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6973" w:type="dxa"/>
          </w:tcPr>
          <w:p w14:paraId="2FD650D7" w14:textId="06D0DFFA" w:rsidR="00AE01B6" w:rsidRPr="00AE01B6" w:rsidRDefault="003E00AD" w:rsidP="00AE01B6">
            <w:r>
              <w:t>For before and after of the same group</w:t>
            </w:r>
          </w:p>
        </w:tc>
      </w:tr>
      <w:tr w:rsidR="00EA18F6" w:rsidRPr="00AE01B6" w14:paraId="0F98D1E9" w14:textId="77777777" w:rsidTr="00EA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6"/>
        </w:trPr>
        <w:tc>
          <w:tcPr>
            <w:tcW w:w="2838" w:type="dxa"/>
          </w:tcPr>
          <w:p w14:paraId="20EA0F6E" w14:textId="77777777" w:rsidR="00EA18F6" w:rsidRDefault="00EA18F6" w:rsidP="00AE01B6">
            <w:r>
              <w:t>Mann-Whitney test</w:t>
            </w:r>
          </w:p>
        </w:tc>
        <w:tc>
          <w:tcPr>
            <w:tcW w:w="1410" w:type="dxa"/>
          </w:tcPr>
          <w:p w14:paraId="4E5EA043" w14:textId="6A5C0F0A" w:rsidR="00EA18F6" w:rsidRPr="00AE01B6" w:rsidRDefault="008F74B2" w:rsidP="00AE01B6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</w:tcPr>
          <w:p w14:paraId="1F37181D" w14:textId="745C4EE4" w:rsidR="00EA18F6" w:rsidRPr="00AE01B6" w:rsidRDefault="0096125A" w:rsidP="00AE01B6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6973" w:type="dxa"/>
          </w:tcPr>
          <w:p w14:paraId="1FA4C7FC" w14:textId="2698FC8F" w:rsidR="00EA18F6" w:rsidRPr="00AE01B6" w:rsidRDefault="003E00AD" w:rsidP="003E00AD">
            <w:r>
              <w:t>Non-parametric version of Independent t</w:t>
            </w:r>
          </w:p>
        </w:tc>
      </w:tr>
      <w:tr w:rsidR="00EA18F6" w:rsidRPr="00AE01B6" w14:paraId="454DCE9E" w14:textId="77777777" w:rsidTr="00EA18F6">
        <w:trPr>
          <w:trHeight w:val="556"/>
        </w:trPr>
        <w:tc>
          <w:tcPr>
            <w:tcW w:w="2838" w:type="dxa"/>
          </w:tcPr>
          <w:p w14:paraId="74B9966E" w14:textId="77777777" w:rsidR="00EA18F6" w:rsidRDefault="00EA18F6" w:rsidP="00AE01B6">
            <w:r>
              <w:t>Wilcoxon test</w:t>
            </w:r>
          </w:p>
        </w:tc>
        <w:tc>
          <w:tcPr>
            <w:tcW w:w="1410" w:type="dxa"/>
          </w:tcPr>
          <w:p w14:paraId="0ECD0269" w14:textId="2E4FC2EC" w:rsidR="00EA18F6" w:rsidRPr="00AE01B6" w:rsidRDefault="008F74B2" w:rsidP="00AE01B6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</w:tcPr>
          <w:p w14:paraId="69E220C7" w14:textId="62E86A99" w:rsidR="00EA18F6" w:rsidRPr="00AE01B6" w:rsidRDefault="0096125A" w:rsidP="00AE01B6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6973" w:type="dxa"/>
          </w:tcPr>
          <w:p w14:paraId="231059B2" w14:textId="3743081A" w:rsidR="00EA18F6" w:rsidRPr="00AE01B6" w:rsidRDefault="003E00AD" w:rsidP="003E00AD">
            <w:r>
              <w:t>Non-parametric version o</w:t>
            </w:r>
            <w:r>
              <w:t xml:space="preserve">f </w:t>
            </w:r>
            <w:r>
              <w:t>dependent t</w:t>
            </w:r>
          </w:p>
        </w:tc>
      </w:tr>
      <w:tr w:rsidR="00EA18F6" w:rsidRPr="00AE01B6" w14:paraId="019BF387" w14:textId="77777777" w:rsidTr="00EA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2"/>
        </w:trPr>
        <w:tc>
          <w:tcPr>
            <w:tcW w:w="2838" w:type="dxa"/>
            <w:hideMark/>
          </w:tcPr>
          <w:p w14:paraId="54FC4BC7" w14:textId="77777777" w:rsidR="00AE01B6" w:rsidRPr="00AE01B6" w:rsidRDefault="00EA18F6" w:rsidP="00AE01B6">
            <w:pPr>
              <w:spacing w:after="160" w:line="259" w:lineRule="auto"/>
              <w:rPr>
                <w:lang w:val="en-US"/>
              </w:rPr>
            </w:pPr>
            <w:r>
              <w:t xml:space="preserve">Pearson </w:t>
            </w:r>
            <w:r w:rsidR="00AE01B6" w:rsidRPr="00AE01B6">
              <w:t>correlation</w:t>
            </w:r>
          </w:p>
        </w:tc>
        <w:tc>
          <w:tcPr>
            <w:tcW w:w="1410" w:type="dxa"/>
            <w:hideMark/>
          </w:tcPr>
          <w:p w14:paraId="6DF3FCF6" w14:textId="7438B963" w:rsidR="00AE01B6" w:rsidRPr="00AE01B6" w:rsidRDefault="008F74B2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559" w:type="dxa"/>
            <w:hideMark/>
          </w:tcPr>
          <w:p w14:paraId="443C6A3E" w14:textId="72C169E7" w:rsidR="00AE01B6" w:rsidRPr="00AE01B6" w:rsidRDefault="0096125A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6973" w:type="dxa"/>
            <w:hideMark/>
          </w:tcPr>
          <w:p w14:paraId="5CC4B68C" w14:textId="1CB31931" w:rsidR="00AE01B6" w:rsidRPr="00AE01B6" w:rsidRDefault="003E00AD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Indicates extent of link</w:t>
            </w:r>
          </w:p>
        </w:tc>
      </w:tr>
      <w:tr w:rsidR="00EA18F6" w:rsidRPr="00AE01B6" w14:paraId="4E1B41F6" w14:textId="77777777" w:rsidTr="00EA18F6">
        <w:trPr>
          <w:trHeight w:val="612"/>
        </w:trPr>
        <w:tc>
          <w:tcPr>
            <w:tcW w:w="2838" w:type="dxa"/>
          </w:tcPr>
          <w:p w14:paraId="56DA2D47" w14:textId="77777777" w:rsidR="00EA18F6" w:rsidRDefault="00EA18F6" w:rsidP="00AE01B6">
            <w:r>
              <w:t>Spearman correlation</w:t>
            </w:r>
          </w:p>
        </w:tc>
        <w:tc>
          <w:tcPr>
            <w:tcW w:w="1410" w:type="dxa"/>
          </w:tcPr>
          <w:p w14:paraId="0B07CF38" w14:textId="5FEC48FF" w:rsidR="00EA18F6" w:rsidRPr="00AE01B6" w:rsidRDefault="008F74B2" w:rsidP="00AE01B6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559" w:type="dxa"/>
          </w:tcPr>
          <w:p w14:paraId="45A54ECA" w14:textId="6E578E00" w:rsidR="00EA18F6" w:rsidRPr="00AE01B6" w:rsidRDefault="0096125A" w:rsidP="00AE01B6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6973" w:type="dxa"/>
          </w:tcPr>
          <w:p w14:paraId="71CC851B" w14:textId="104F17A9" w:rsidR="00EA18F6" w:rsidRPr="00AE01B6" w:rsidRDefault="003E00AD" w:rsidP="003E00AD">
            <w:pPr>
              <w:rPr>
                <w:lang w:val="en-US"/>
              </w:rPr>
            </w:pPr>
            <w:r>
              <w:t xml:space="preserve">Non-parametric version </w:t>
            </w:r>
            <w:r>
              <w:t>of Pearson</w:t>
            </w:r>
          </w:p>
        </w:tc>
      </w:tr>
      <w:tr w:rsidR="00EA18F6" w:rsidRPr="00AE01B6" w14:paraId="35169A4C" w14:textId="77777777" w:rsidTr="00EA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tcW w:w="2838" w:type="dxa"/>
            <w:hideMark/>
          </w:tcPr>
          <w:p w14:paraId="06BE5C9A" w14:textId="77777777" w:rsidR="00AE01B6" w:rsidRPr="00AE01B6" w:rsidRDefault="00AE01B6" w:rsidP="00AE01B6">
            <w:pPr>
              <w:spacing w:after="160" w:line="259" w:lineRule="auto"/>
              <w:rPr>
                <w:lang w:val="en-US"/>
              </w:rPr>
            </w:pPr>
            <w:r w:rsidRPr="00AE01B6">
              <w:t>Chi squared</w:t>
            </w:r>
          </w:p>
        </w:tc>
        <w:tc>
          <w:tcPr>
            <w:tcW w:w="1410" w:type="dxa"/>
            <w:hideMark/>
          </w:tcPr>
          <w:p w14:paraId="4FF33871" w14:textId="1DA32C24" w:rsidR="00AE01B6" w:rsidRPr="00AE01B6" w:rsidRDefault="008F74B2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  <w:hideMark/>
          </w:tcPr>
          <w:p w14:paraId="40C91F3E" w14:textId="0A41E4BC" w:rsidR="00AE01B6" w:rsidRPr="00AE01B6" w:rsidRDefault="0096125A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N/P</w:t>
            </w:r>
          </w:p>
        </w:tc>
        <w:tc>
          <w:tcPr>
            <w:tcW w:w="6973" w:type="dxa"/>
            <w:hideMark/>
          </w:tcPr>
          <w:p w14:paraId="7EC05F57" w14:textId="77777777" w:rsidR="00AE01B6" w:rsidRPr="00AE01B6" w:rsidRDefault="00AE01B6" w:rsidP="00AE01B6">
            <w:pPr>
              <w:spacing w:after="160" w:line="259" w:lineRule="auto"/>
              <w:rPr>
                <w:lang w:val="en-US"/>
              </w:rPr>
            </w:pPr>
            <w:r w:rsidRPr="00AE01B6">
              <w:t>Suitable for non-parametric data</w:t>
            </w:r>
          </w:p>
        </w:tc>
      </w:tr>
      <w:tr w:rsidR="00AE01B6" w:rsidRPr="00AE01B6" w14:paraId="44DE372C" w14:textId="77777777" w:rsidTr="00EA18F6">
        <w:trPr>
          <w:trHeight w:val="616"/>
        </w:trPr>
        <w:tc>
          <w:tcPr>
            <w:tcW w:w="2838" w:type="dxa"/>
            <w:hideMark/>
          </w:tcPr>
          <w:p w14:paraId="3F2A1BAB" w14:textId="77777777" w:rsidR="00AE01B6" w:rsidRPr="00AE01B6" w:rsidRDefault="00AE01B6" w:rsidP="00AE01B6">
            <w:pPr>
              <w:spacing w:after="160" w:line="259" w:lineRule="auto"/>
              <w:rPr>
                <w:lang w:val="en-US"/>
              </w:rPr>
            </w:pPr>
            <w:r w:rsidRPr="00AE01B6">
              <w:t>One-way ANOVA</w:t>
            </w:r>
          </w:p>
        </w:tc>
        <w:tc>
          <w:tcPr>
            <w:tcW w:w="1410" w:type="dxa"/>
            <w:hideMark/>
          </w:tcPr>
          <w:p w14:paraId="4D744297" w14:textId="3B84ACAD" w:rsidR="00AE01B6" w:rsidRPr="00AE01B6" w:rsidRDefault="008F74B2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  <w:hideMark/>
          </w:tcPr>
          <w:p w14:paraId="002B8209" w14:textId="1CF0BCB1" w:rsidR="00AE01B6" w:rsidRPr="00AE01B6" w:rsidRDefault="0096125A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6973" w:type="dxa"/>
            <w:hideMark/>
          </w:tcPr>
          <w:p w14:paraId="20284B51" w14:textId="77777777" w:rsidR="00AE01B6" w:rsidRPr="00AE01B6" w:rsidRDefault="00AE01B6" w:rsidP="00AE01B6">
            <w:pPr>
              <w:spacing w:after="160" w:line="259" w:lineRule="auto"/>
              <w:rPr>
                <w:lang w:val="en-US"/>
              </w:rPr>
            </w:pPr>
            <w:r w:rsidRPr="00AE01B6">
              <w:t>One variable, &gt;2 groups</w:t>
            </w:r>
          </w:p>
        </w:tc>
      </w:tr>
      <w:tr w:rsidR="0096125A" w:rsidRPr="00AE01B6" w14:paraId="08807E3D" w14:textId="77777777" w:rsidTr="00EA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6"/>
        </w:trPr>
        <w:tc>
          <w:tcPr>
            <w:tcW w:w="2838" w:type="dxa"/>
          </w:tcPr>
          <w:p w14:paraId="5AFF3C47" w14:textId="3A977353" w:rsidR="0096125A" w:rsidRPr="00AE01B6" w:rsidRDefault="0096125A" w:rsidP="00AE01B6">
            <w:r>
              <w:t>Two-way ANOVA</w:t>
            </w:r>
          </w:p>
        </w:tc>
        <w:tc>
          <w:tcPr>
            <w:tcW w:w="1410" w:type="dxa"/>
          </w:tcPr>
          <w:p w14:paraId="0CB85660" w14:textId="5F300A9F" w:rsidR="0096125A" w:rsidRDefault="0096125A" w:rsidP="00AE01B6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</w:tcPr>
          <w:p w14:paraId="16D6478A" w14:textId="51145CF0" w:rsidR="0096125A" w:rsidRDefault="0096125A" w:rsidP="00AE01B6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6973" w:type="dxa"/>
          </w:tcPr>
          <w:p w14:paraId="3583487C" w14:textId="1A191764" w:rsidR="0096125A" w:rsidRPr="00AE01B6" w:rsidRDefault="003E00AD" w:rsidP="003E00AD">
            <w:r>
              <w:t>two</w:t>
            </w:r>
            <w:r w:rsidRPr="00AE01B6">
              <w:t xml:space="preserve"> variable</w:t>
            </w:r>
            <w:r>
              <w:t>s</w:t>
            </w:r>
            <w:r w:rsidRPr="00AE01B6">
              <w:t>, &gt;2 groups</w:t>
            </w:r>
          </w:p>
        </w:tc>
      </w:tr>
      <w:tr w:rsidR="00EA18F6" w:rsidRPr="00AE01B6" w14:paraId="4B0B713E" w14:textId="77777777" w:rsidTr="00EA18F6">
        <w:trPr>
          <w:trHeight w:val="616"/>
        </w:trPr>
        <w:tc>
          <w:tcPr>
            <w:tcW w:w="2838" w:type="dxa"/>
          </w:tcPr>
          <w:p w14:paraId="1BF7658F" w14:textId="77777777" w:rsidR="00EA18F6" w:rsidRPr="00AE01B6" w:rsidRDefault="00EA18F6" w:rsidP="00AE01B6">
            <w:r>
              <w:t>Kruskall-Wallis test</w:t>
            </w:r>
          </w:p>
        </w:tc>
        <w:tc>
          <w:tcPr>
            <w:tcW w:w="1410" w:type="dxa"/>
          </w:tcPr>
          <w:p w14:paraId="7CFFD8DE" w14:textId="735923A7" w:rsidR="00EA18F6" w:rsidRPr="00AE01B6" w:rsidRDefault="008F74B2" w:rsidP="00AE01B6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559" w:type="dxa"/>
          </w:tcPr>
          <w:p w14:paraId="7E2FA625" w14:textId="153E419A" w:rsidR="00EA18F6" w:rsidRPr="00AE01B6" w:rsidRDefault="0096125A" w:rsidP="00AE01B6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6973" w:type="dxa"/>
          </w:tcPr>
          <w:p w14:paraId="0505D00F" w14:textId="6F16A17E" w:rsidR="00EA18F6" w:rsidRPr="00AE01B6" w:rsidRDefault="003E00AD" w:rsidP="003E00AD">
            <w:r>
              <w:t xml:space="preserve">Non-parametric version of </w:t>
            </w:r>
            <w:r>
              <w:t>one-way ANOVA</w:t>
            </w:r>
          </w:p>
        </w:tc>
      </w:tr>
      <w:tr w:rsidR="00EA18F6" w:rsidRPr="00AE01B6" w14:paraId="36FA887F" w14:textId="77777777" w:rsidTr="003E0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4"/>
        </w:trPr>
        <w:tc>
          <w:tcPr>
            <w:tcW w:w="2838" w:type="dxa"/>
            <w:hideMark/>
          </w:tcPr>
          <w:p w14:paraId="11042E4B" w14:textId="77777777" w:rsidR="00AE01B6" w:rsidRPr="00AE01B6" w:rsidRDefault="00EA18F6" w:rsidP="00AE01B6">
            <w:pPr>
              <w:spacing w:after="160" w:line="259" w:lineRule="auto"/>
              <w:rPr>
                <w:lang w:val="en-US"/>
              </w:rPr>
            </w:pPr>
            <w:r w:rsidRPr="00AE01B6">
              <w:t>R</w:t>
            </w:r>
            <w:r w:rsidR="00AE01B6" w:rsidRPr="00AE01B6">
              <w:t>egression</w:t>
            </w:r>
            <w:r>
              <w:t xml:space="preserve"> analysis</w:t>
            </w:r>
          </w:p>
        </w:tc>
        <w:tc>
          <w:tcPr>
            <w:tcW w:w="1410" w:type="dxa"/>
            <w:hideMark/>
          </w:tcPr>
          <w:p w14:paraId="6870B3C2" w14:textId="45A6BA7D" w:rsidR="00AE01B6" w:rsidRPr="00AE01B6" w:rsidRDefault="008F74B2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559" w:type="dxa"/>
            <w:hideMark/>
          </w:tcPr>
          <w:p w14:paraId="46AD0260" w14:textId="4A06011B" w:rsidR="00AE01B6" w:rsidRPr="00AE01B6" w:rsidRDefault="0096125A" w:rsidP="00AE01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6973" w:type="dxa"/>
            <w:hideMark/>
          </w:tcPr>
          <w:p w14:paraId="7641021A" w14:textId="1656ABF1" w:rsidR="00AE01B6" w:rsidRPr="00AE01B6" w:rsidRDefault="003E00AD" w:rsidP="00AE01B6">
            <w:pPr>
              <w:spacing w:after="160" w:line="259" w:lineRule="auto"/>
              <w:rPr>
                <w:lang w:val="en-US"/>
              </w:rPr>
            </w:pPr>
            <w:r>
              <w:t xml:space="preserve">Describes linear relationship; </w:t>
            </w:r>
            <w:r w:rsidR="00AE01B6" w:rsidRPr="00AE01B6">
              <w:t>predictive</w:t>
            </w:r>
          </w:p>
        </w:tc>
      </w:tr>
      <w:tr w:rsidR="003E00AD" w:rsidRPr="00AE01B6" w14:paraId="2EA904E6" w14:textId="77777777" w:rsidTr="003E00AD">
        <w:trPr>
          <w:trHeight w:val="564"/>
        </w:trPr>
        <w:tc>
          <w:tcPr>
            <w:tcW w:w="2838" w:type="dxa"/>
          </w:tcPr>
          <w:p w14:paraId="4E037692" w14:textId="7B1581B8" w:rsidR="003E00AD" w:rsidRPr="00AE01B6" w:rsidRDefault="003E00AD" w:rsidP="00AE01B6">
            <w:r>
              <w:t>Exploratory Factor Analysis</w:t>
            </w:r>
          </w:p>
        </w:tc>
        <w:tc>
          <w:tcPr>
            <w:tcW w:w="1410" w:type="dxa"/>
          </w:tcPr>
          <w:p w14:paraId="75E88ED6" w14:textId="031E7A8A" w:rsidR="003E00AD" w:rsidRDefault="003E00AD" w:rsidP="00AE01B6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559" w:type="dxa"/>
          </w:tcPr>
          <w:p w14:paraId="75BC92BD" w14:textId="434FBC00" w:rsidR="003E00AD" w:rsidRDefault="003E00AD" w:rsidP="00AE01B6">
            <w:pPr>
              <w:rPr>
                <w:lang w:val="en-US"/>
              </w:rPr>
            </w:pPr>
            <w:r>
              <w:rPr>
                <w:lang w:val="en-US"/>
              </w:rPr>
              <w:t>N/P</w:t>
            </w:r>
          </w:p>
        </w:tc>
        <w:tc>
          <w:tcPr>
            <w:tcW w:w="6973" w:type="dxa"/>
          </w:tcPr>
          <w:p w14:paraId="5E56452F" w14:textId="279F0504" w:rsidR="003E00AD" w:rsidRDefault="003E00AD" w:rsidP="003E00AD">
            <w:r>
              <w:t>Reduces variables; finds new, key factors</w:t>
            </w:r>
          </w:p>
        </w:tc>
      </w:tr>
    </w:tbl>
    <w:p w14:paraId="44533D17" w14:textId="77777777" w:rsidR="00AE01B6" w:rsidRDefault="00AE01B6"/>
    <w:sectPr w:rsidR="00AE01B6" w:rsidSect="00AE01B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1B6"/>
    <w:rsid w:val="003E00AD"/>
    <w:rsid w:val="00592A8D"/>
    <w:rsid w:val="008F74B2"/>
    <w:rsid w:val="0096125A"/>
    <w:rsid w:val="00AE01B6"/>
    <w:rsid w:val="00EA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1A913"/>
  <w15:chartTrackingRefBased/>
  <w15:docId w15:val="{AE364E2D-549B-47D9-8E7F-0E88A7C9D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2-Accent1">
    <w:name w:val="Grid Table 2 Accent 1"/>
    <w:basedOn w:val="TableNormal"/>
    <w:uiPriority w:val="47"/>
    <w:rsid w:val="00EA18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1">
    <w:name w:val="Grid Table 4 Accent 1"/>
    <w:basedOn w:val="TableNormal"/>
    <w:uiPriority w:val="49"/>
    <w:rsid w:val="00EA18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8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</dc:creator>
  <cp:keywords/>
  <dc:description/>
  <cp:lastModifiedBy>CPD</cp:lastModifiedBy>
  <cp:revision>2</cp:revision>
  <dcterms:created xsi:type="dcterms:W3CDTF">2017-02-14T09:27:00Z</dcterms:created>
  <dcterms:modified xsi:type="dcterms:W3CDTF">2017-02-14T09:27:00Z</dcterms:modified>
</cp:coreProperties>
</file>