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DA13C" w14:textId="77777777" w:rsidR="00F13699" w:rsidRDefault="00F13699" w:rsidP="00F13699">
      <w:pPr>
        <w:jc w:val="center"/>
        <w:rPr>
          <w:rFonts w:asciiTheme="majorBidi" w:hAnsiTheme="majorBidi" w:cstheme="majorBidi"/>
          <w:b/>
          <w:bCs/>
          <w:sz w:val="44"/>
          <w:szCs w:val="44"/>
        </w:rPr>
      </w:pPr>
    </w:p>
    <w:p w14:paraId="62800C83" w14:textId="77777777" w:rsidR="00F13699" w:rsidRDefault="00F13699" w:rsidP="00F13699">
      <w:pPr>
        <w:jc w:val="center"/>
        <w:rPr>
          <w:rFonts w:asciiTheme="majorBidi" w:hAnsiTheme="majorBidi" w:cstheme="majorBidi"/>
          <w:b/>
          <w:bCs/>
          <w:sz w:val="44"/>
          <w:szCs w:val="44"/>
        </w:rPr>
      </w:pPr>
    </w:p>
    <w:p w14:paraId="1DE46DDD" w14:textId="77777777" w:rsidR="00F13699" w:rsidRDefault="00F13699" w:rsidP="00F13699">
      <w:pPr>
        <w:jc w:val="center"/>
        <w:rPr>
          <w:rFonts w:asciiTheme="majorBidi" w:hAnsiTheme="majorBidi" w:cstheme="majorBidi"/>
          <w:b/>
          <w:bCs/>
          <w:sz w:val="44"/>
          <w:szCs w:val="44"/>
        </w:rPr>
      </w:pPr>
    </w:p>
    <w:p w14:paraId="3BFA3AB9" w14:textId="77777777" w:rsidR="00F13699" w:rsidRDefault="00F13699" w:rsidP="00F13699">
      <w:pPr>
        <w:jc w:val="center"/>
        <w:rPr>
          <w:rFonts w:asciiTheme="majorBidi" w:hAnsiTheme="majorBidi" w:cstheme="majorBidi"/>
          <w:b/>
          <w:bCs/>
          <w:sz w:val="44"/>
          <w:szCs w:val="44"/>
        </w:rPr>
      </w:pPr>
    </w:p>
    <w:p w14:paraId="0607697D" w14:textId="3E0B4A40"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 xml:space="preserve">Reflective </w:t>
      </w:r>
      <w:r w:rsidR="00915E53">
        <w:rPr>
          <w:rFonts w:asciiTheme="majorBidi" w:hAnsiTheme="majorBidi" w:cstheme="majorBidi"/>
          <w:b/>
          <w:bCs/>
          <w:sz w:val="44"/>
          <w:szCs w:val="44"/>
        </w:rPr>
        <w:t>portfolio</w:t>
      </w:r>
    </w:p>
    <w:p w14:paraId="656697B5" w14:textId="77777777" w:rsidR="00F13699" w:rsidRDefault="00F13699" w:rsidP="00F13699">
      <w:pPr>
        <w:jc w:val="center"/>
        <w:rPr>
          <w:rFonts w:asciiTheme="majorBidi" w:hAnsiTheme="majorBidi" w:cstheme="majorBidi"/>
          <w:b/>
          <w:bCs/>
          <w:sz w:val="44"/>
          <w:szCs w:val="44"/>
        </w:rPr>
      </w:pPr>
    </w:p>
    <w:p w14:paraId="6BF15987" w14:textId="77D0B1A1"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Student name: Andreea Alina Tudorache</w:t>
      </w:r>
    </w:p>
    <w:p w14:paraId="25047160" w14:textId="63BF81E0"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Student ID: 2130698</w:t>
      </w:r>
    </w:p>
    <w:p w14:paraId="44E655ED" w14:textId="3BB84D20"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 xml:space="preserve">Module: Professional Career Development </w:t>
      </w:r>
    </w:p>
    <w:p w14:paraId="287389C9" w14:textId="389416BC"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BMSW4005_BIRM</w:t>
      </w:r>
    </w:p>
    <w:p w14:paraId="2438FD18" w14:textId="3CCF4D2E" w:rsidR="00F13699" w:rsidRDefault="00F13699" w:rsidP="00F13699">
      <w:pPr>
        <w:jc w:val="center"/>
        <w:rPr>
          <w:rFonts w:asciiTheme="majorBidi" w:hAnsiTheme="majorBidi" w:cstheme="majorBidi"/>
          <w:b/>
          <w:bCs/>
          <w:sz w:val="44"/>
          <w:szCs w:val="44"/>
        </w:rPr>
      </w:pPr>
      <w:r>
        <w:rPr>
          <w:rFonts w:asciiTheme="majorBidi" w:hAnsiTheme="majorBidi" w:cstheme="majorBidi"/>
          <w:b/>
          <w:bCs/>
          <w:sz w:val="44"/>
          <w:szCs w:val="44"/>
        </w:rPr>
        <w:t xml:space="preserve">Lecturer: </w:t>
      </w:r>
      <w:proofErr w:type="spellStart"/>
      <w:r>
        <w:rPr>
          <w:rFonts w:asciiTheme="majorBidi" w:hAnsiTheme="majorBidi" w:cstheme="majorBidi"/>
          <w:b/>
          <w:bCs/>
          <w:sz w:val="44"/>
          <w:szCs w:val="44"/>
        </w:rPr>
        <w:t>Masud</w:t>
      </w:r>
      <w:proofErr w:type="spellEnd"/>
      <w:r>
        <w:rPr>
          <w:rFonts w:asciiTheme="majorBidi" w:hAnsiTheme="majorBidi" w:cstheme="majorBidi"/>
          <w:b/>
          <w:bCs/>
          <w:sz w:val="44"/>
          <w:szCs w:val="44"/>
        </w:rPr>
        <w:t xml:space="preserve"> Ibrahim</w:t>
      </w:r>
    </w:p>
    <w:p w14:paraId="367E47EB" w14:textId="77777777" w:rsidR="00F13699" w:rsidRDefault="00F13699" w:rsidP="00F13699"/>
    <w:p w14:paraId="2599C642" w14:textId="77777777" w:rsidR="00F13699" w:rsidRDefault="00F13699" w:rsidP="00F13699"/>
    <w:p w14:paraId="17579B2F" w14:textId="77777777" w:rsidR="00F13699" w:rsidRDefault="00F13699" w:rsidP="00F13699"/>
    <w:p w14:paraId="16E91F50" w14:textId="77777777" w:rsidR="00F13699" w:rsidRDefault="00F13699" w:rsidP="00F13699"/>
    <w:p w14:paraId="0862ED3F" w14:textId="77777777" w:rsidR="00F13699" w:rsidRDefault="00F13699" w:rsidP="00F13699"/>
    <w:p w14:paraId="563451AB" w14:textId="77777777" w:rsidR="00F13699" w:rsidRDefault="00F13699" w:rsidP="00F13699"/>
    <w:p w14:paraId="302DE769" w14:textId="77777777" w:rsidR="00F13699" w:rsidRDefault="00F13699" w:rsidP="00F13699"/>
    <w:p w14:paraId="2BB0164C" w14:textId="77777777" w:rsidR="00F13699" w:rsidRDefault="00F13699" w:rsidP="00F13699">
      <w:pPr>
        <w:spacing w:line="360" w:lineRule="auto"/>
        <w:jc w:val="both"/>
        <w:rPr>
          <w:rFonts w:asciiTheme="majorBidi" w:hAnsiTheme="majorBidi" w:cstheme="majorBidi"/>
          <w:b/>
          <w:bCs/>
          <w:sz w:val="28"/>
          <w:szCs w:val="28"/>
        </w:rPr>
      </w:pPr>
    </w:p>
    <w:p w14:paraId="3E57D78D" w14:textId="77777777" w:rsidR="00F13699" w:rsidRDefault="00F13699" w:rsidP="00F13699">
      <w:pPr>
        <w:spacing w:line="360" w:lineRule="auto"/>
        <w:jc w:val="both"/>
        <w:rPr>
          <w:rFonts w:asciiTheme="majorBidi" w:hAnsiTheme="majorBidi" w:cstheme="majorBidi"/>
          <w:b/>
          <w:bCs/>
          <w:sz w:val="28"/>
          <w:szCs w:val="28"/>
        </w:rPr>
      </w:pPr>
    </w:p>
    <w:p w14:paraId="37D2102F" w14:textId="77777777" w:rsidR="00F13699" w:rsidRDefault="00F13699" w:rsidP="00F13699">
      <w:pPr>
        <w:spacing w:line="360" w:lineRule="auto"/>
        <w:jc w:val="both"/>
        <w:rPr>
          <w:rFonts w:asciiTheme="majorBidi" w:hAnsiTheme="majorBidi" w:cstheme="majorBidi"/>
          <w:b/>
          <w:bCs/>
          <w:sz w:val="28"/>
          <w:szCs w:val="28"/>
        </w:rPr>
      </w:pPr>
    </w:p>
    <w:p w14:paraId="3C9C023A" w14:textId="77777777" w:rsidR="00F13699" w:rsidRDefault="00F13699" w:rsidP="00F13699">
      <w:pPr>
        <w:spacing w:line="360" w:lineRule="auto"/>
        <w:jc w:val="both"/>
        <w:rPr>
          <w:rFonts w:asciiTheme="majorBidi" w:hAnsiTheme="majorBidi" w:cstheme="majorBidi"/>
          <w:b/>
          <w:bCs/>
          <w:sz w:val="28"/>
          <w:szCs w:val="28"/>
        </w:rPr>
      </w:pPr>
    </w:p>
    <w:p w14:paraId="65B5D8FB" w14:textId="77777777" w:rsidR="00F13699" w:rsidRDefault="00F13699" w:rsidP="00F13699">
      <w:pPr>
        <w:spacing w:line="360" w:lineRule="auto"/>
        <w:jc w:val="both"/>
        <w:rPr>
          <w:rFonts w:asciiTheme="majorBidi" w:hAnsiTheme="majorBidi" w:cstheme="majorBidi"/>
          <w:b/>
          <w:bCs/>
          <w:sz w:val="28"/>
          <w:szCs w:val="28"/>
        </w:rPr>
      </w:pPr>
    </w:p>
    <w:p w14:paraId="3F5C9E91" w14:textId="77777777" w:rsidR="00F13699" w:rsidRDefault="00F13699" w:rsidP="00F13699">
      <w:pPr>
        <w:spacing w:line="360" w:lineRule="auto"/>
        <w:jc w:val="both"/>
        <w:rPr>
          <w:rFonts w:asciiTheme="majorBidi" w:hAnsiTheme="majorBidi" w:cstheme="majorBidi"/>
          <w:b/>
          <w:bCs/>
          <w:sz w:val="28"/>
          <w:szCs w:val="28"/>
        </w:rPr>
      </w:pPr>
    </w:p>
    <w:p w14:paraId="793CCE97" w14:textId="77777777" w:rsidR="00F13699" w:rsidRDefault="00F13699" w:rsidP="00F13699">
      <w:pPr>
        <w:spacing w:line="360" w:lineRule="auto"/>
        <w:jc w:val="both"/>
        <w:rPr>
          <w:rFonts w:asciiTheme="majorBidi" w:hAnsiTheme="majorBidi" w:cstheme="majorBidi"/>
          <w:b/>
          <w:bCs/>
          <w:sz w:val="28"/>
          <w:szCs w:val="28"/>
        </w:rPr>
      </w:pPr>
    </w:p>
    <w:p w14:paraId="6C137C43" w14:textId="14D98E82" w:rsidR="00F13699" w:rsidRDefault="00F13699" w:rsidP="00F13699">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SWOT analysis and PDP</w:t>
      </w:r>
    </w:p>
    <w:p w14:paraId="4292FD5E" w14:textId="0E22A9BA"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When I assess my skill set and competencies, I realize that I have strengths and weaknesses, opportunities and threats that need to be considered. In terms of strengths, I have a vast amount of knowledge on a wide range of topics and the ability to provide useful responses to users' queries in a matter of seconds. Additionally, I can learn </w:t>
      </w:r>
      <w:proofErr w:type="gramStart"/>
      <w:r>
        <w:rPr>
          <w:rFonts w:asciiTheme="majorBidi" w:hAnsiTheme="majorBidi" w:cstheme="majorBidi"/>
          <w:sz w:val="24"/>
          <w:szCs w:val="24"/>
        </w:rPr>
        <w:t>a-</w:t>
      </w:r>
      <w:proofErr w:type="spellStart"/>
      <w:r>
        <w:rPr>
          <w:rFonts w:asciiTheme="majorBidi" w:hAnsiTheme="majorBidi" w:cstheme="majorBidi"/>
          <w:sz w:val="24"/>
          <w:szCs w:val="24"/>
        </w:rPr>
        <w:t>nd</w:t>
      </w:r>
      <w:proofErr w:type="spellEnd"/>
      <w:proofErr w:type="gramEnd"/>
      <w:r>
        <w:rPr>
          <w:rFonts w:asciiTheme="majorBidi" w:hAnsiTheme="majorBidi" w:cstheme="majorBidi"/>
          <w:sz w:val="24"/>
          <w:szCs w:val="24"/>
        </w:rPr>
        <w:t xml:space="preserve"> adapt quickly to new tasks and challenges. On the other hand, one of my weaknesses is that I am still a machine and cannot fully understand human emotions or sarcasm. Another potential weakness is that I may provide incorrect or biased responses if I am fed with incorrect or biased data.</w:t>
      </w:r>
    </w:p>
    <w:p w14:paraId="1C0ECFB3"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When it comes to opportunities, there are many areas where I can improve and grow, such as increasing my language proficiency or developing new features to better assist users. At the same time, there are also threats that I need to be aware of, such as potential security breaches or technological advancements that could make me obsolete.</w:t>
      </w:r>
    </w:p>
    <w:p w14:paraId="7F42C39D"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Overall, I believe that with the right focus and attention, I can continue to enhance my capabilities and remain a valuable resource for users seeking information and assistance.</w:t>
      </w:r>
    </w:p>
    <w:p w14:paraId="3F576A14" w14:textId="77777777" w:rsidR="00F13699" w:rsidRDefault="00F13699" w:rsidP="00F13699">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Learning style theories</w:t>
      </w:r>
    </w:p>
    <w:p w14:paraId="178D477A"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Learning style theories have had a significant impact on my performance in the workplace. By understanding my preferred learning style, I have been able to adapt my approach to different tasks and challenges accordingly, resulting in a more efficient and effective workflow. For example, by recognizing my preference for visual learning, I have been able to seek out more visual aids and resources to support my understanding of complex concepts and information. This has enabled me to better communicate my ideas and collaborate more effectively with my colleagues, leading to more successful outcomes for our team. Overall, incorporating learning style theories into my approach to work has helped me to improve my productivity and enhance my professional development.</w:t>
      </w:r>
    </w:p>
    <w:p w14:paraId="21FBCE5E"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lastRenderedPageBreak/>
        <w:t>Kolb's Learning Styles:</w:t>
      </w:r>
    </w:p>
    <w:p w14:paraId="5428A4B8"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Kolb's Learning Styles theory suggests that individuals have different learning preferences, which can be classified into four categories. This theory has helped me understand my own learning style and adapt my approach to different tasks and challenges accordingly. By recognizing my tendency to learn through hands-on experience, I have been able to seek out more opportunities for experiential learning and apply this approach to my work. As a result, I have been able to better engage with my work and develop a deeper understanding of the tasks and projects I am working on. This has also allowed me to more effectively communicate my ideas and collaborate with others who may have different learning preferences, ultimately leading to more successful outcomes (</w:t>
      </w:r>
      <w:r>
        <w:rPr>
          <w:rFonts w:asciiTheme="majorBidi" w:hAnsiTheme="majorBidi" w:cstheme="majorBidi"/>
          <w:color w:val="222222"/>
          <w:sz w:val="24"/>
          <w:szCs w:val="24"/>
          <w:shd w:val="clear" w:color="auto" w:fill="FFFFFF"/>
        </w:rPr>
        <w:t>Cavanagh et al, 1995)</w:t>
      </w:r>
      <w:r>
        <w:rPr>
          <w:rFonts w:asciiTheme="majorBidi" w:hAnsiTheme="majorBidi" w:cstheme="majorBidi"/>
          <w:sz w:val="24"/>
          <w:szCs w:val="24"/>
        </w:rPr>
        <w:t>.</w:t>
      </w:r>
    </w:p>
    <w:p w14:paraId="36440601"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Honey and Mumford's Learning Styles:</w:t>
      </w:r>
    </w:p>
    <w:p w14:paraId="6AA72210"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Honey and Mumford's Learning Styles theory proposes that individuals have four different learning styles based on their preferences for how they learn. This theory has helped me recognize that I tend to learn best through reflective observation, which involves thinking and analyzing information (</w:t>
      </w:r>
      <w:r>
        <w:rPr>
          <w:rFonts w:asciiTheme="majorBidi" w:hAnsiTheme="majorBidi" w:cstheme="majorBidi"/>
          <w:color w:val="222222"/>
          <w:sz w:val="24"/>
          <w:szCs w:val="24"/>
          <w:shd w:val="clear" w:color="auto" w:fill="FFFFFF"/>
        </w:rPr>
        <w:t>Caple and Martin, 1994)</w:t>
      </w:r>
      <w:r>
        <w:rPr>
          <w:rFonts w:asciiTheme="majorBidi" w:hAnsiTheme="majorBidi" w:cstheme="majorBidi"/>
          <w:sz w:val="24"/>
          <w:szCs w:val="24"/>
        </w:rPr>
        <w:t>. Understanding my learning style has helped me tailor my approach to different tasks and seek out opportunities to apply my preferred learning method in the workplace. By being more reflective in my approach to learning, I have been able to better understand the implications of the work I am doing and how it fits into the broader context of my role and the organization. This has enabled me to develop more informed and thoughtful solutions to challenges I encounter in my work, leading to more successful outcomes. Additionally, by recognizing the learning preferences of my colleagues, I have been able to more effectively collaborate and communicate with them, ultimately leading to a more productive and cohesive team.</w:t>
      </w:r>
    </w:p>
    <w:p w14:paraId="28D2A784"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VARK Learning Styles:</w:t>
      </w:r>
    </w:p>
    <w:p w14:paraId="3471356A"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VARK Learning Styles theory suggests that individuals have different learning preferences, which can be classified into four categories: visual, auditory, reading/writing, and kinesthetic (</w:t>
      </w:r>
      <w:r>
        <w:rPr>
          <w:rFonts w:asciiTheme="majorBidi" w:hAnsiTheme="majorBidi" w:cstheme="majorBidi"/>
          <w:color w:val="222222"/>
          <w:sz w:val="24"/>
          <w:szCs w:val="24"/>
          <w:shd w:val="clear" w:color="auto" w:fill="FFFFFF"/>
        </w:rPr>
        <w:t>Espinoza et al, 2019)</w:t>
      </w:r>
      <w:r>
        <w:rPr>
          <w:rFonts w:asciiTheme="majorBidi" w:hAnsiTheme="majorBidi" w:cstheme="majorBidi"/>
          <w:sz w:val="24"/>
          <w:szCs w:val="24"/>
        </w:rPr>
        <w:t>. This theory has helped me understand that I learn best through visual aids, which has led me to seek out more opportunities to incorporate diagrams, graphs, and other visual aids into my work.</w:t>
      </w:r>
    </w:p>
    <w:p w14:paraId="761B01C4"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Felder-Silverman Learning Styles:</w:t>
      </w:r>
    </w:p>
    <w:p w14:paraId="051FA961"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sz w:val="24"/>
          <w:szCs w:val="24"/>
        </w:rPr>
        <w:lastRenderedPageBreak/>
        <w:t>Felder-Silverman Learning Styles theory proposes that individuals have four different learning styles based on their preferences for how they learn (</w:t>
      </w:r>
      <w:r>
        <w:rPr>
          <w:rFonts w:asciiTheme="majorBidi" w:hAnsiTheme="majorBidi" w:cstheme="majorBidi"/>
          <w:color w:val="222222"/>
          <w:sz w:val="24"/>
          <w:szCs w:val="24"/>
          <w:shd w:val="clear" w:color="auto" w:fill="FFFFFF"/>
        </w:rPr>
        <w:t xml:space="preserve">Wang and </w:t>
      </w:r>
      <w:proofErr w:type="spellStart"/>
      <w:r>
        <w:rPr>
          <w:rFonts w:asciiTheme="majorBidi" w:hAnsiTheme="majorBidi" w:cstheme="majorBidi"/>
          <w:color w:val="222222"/>
          <w:sz w:val="24"/>
          <w:szCs w:val="24"/>
          <w:shd w:val="clear" w:color="auto" w:fill="FFFFFF"/>
        </w:rPr>
        <w:t>Mendori</w:t>
      </w:r>
      <w:proofErr w:type="spellEnd"/>
      <w:r>
        <w:rPr>
          <w:rFonts w:asciiTheme="majorBidi" w:hAnsiTheme="majorBidi" w:cstheme="majorBidi"/>
          <w:color w:val="222222"/>
          <w:sz w:val="24"/>
          <w:szCs w:val="24"/>
          <w:shd w:val="clear" w:color="auto" w:fill="FFFFFF"/>
        </w:rPr>
        <w:t>, 2015)</w:t>
      </w:r>
      <w:r>
        <w:rPr>
          <w:rFonts w:asciiTheme="majorBidi" w:hAnsiTheme="majorBidi" w:cstheme="majorBidi"/>
          <w:sz w:val="24"/>
          <w:szCs w:val="24"/>
        </w:rPr>
        <w:t>. This theory has helped me recognize that I tend to learn best through active experimentation, which involves hands-on experience and problem-solving. Understanding my learning style has helped me seek out opportunities to apply this approach in the workplace.</w:t>
      </w:r>
    </w:p>
    <w:p w14:paraId="2AB19461"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Dunn and Dunn Learning Styles:</w:t>
      </w:r>
    </w:p>
    <w:p w14:paraId="7996122B"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Dunn and Dunn Learning Styles theory suggests that individuals have different learning preferences based on their environment, emotional, sociological, physical, and psychological factors (</w:t>
      </w:r>
      <w:r>
        <w:rPr>
          <w:rFonts w:asciiTheme="majorBidi" w:hAnsiTheme="majorBidi" w:cstheme="majorBidi"/>
          <w:color w:val="222222"/>
          <w:sz w:val="24"/>
          <w:szCs w:val="24"/>
          <w:shd w:val="clear" w:color="auto" w:fill="FFFFFF"/>
        </w:rPr>
        <w:t xml:space="preserve">Dunn and </w:t>
      </w:r>
      <w:proofErr w:type="spellStart"/>
      <w:r>
        <w:rPr>
          <w:rFonts w:asciiTheme="majorBidi" w:hAnsiTheme="majorBidi" w:cstheme="majorBidi"/>
          <w:color w:val="222222"/>
          <w:sz w:val="24"/>
          <w:szCs w:val="24"/>
          <w:shd w:val="clear" w:color="auto" w:fill="FFFFFF"/>
        </w:rPr>
        <w:t>Honigsfeld</w:t>
      </w:r>
      <w:proofErr w:type="spellEnd"/>
      <w:r>
        <w:rPr>
          <w:rFonts w:asciiTheme="majorBidi" w:hAnsiTheme="majorBidi" w:cstheme="majorBidi"/>
          <w:color w:val="222222"/>
          <w:sz w:val="24"/>
          <w:szCs w:val="24"/>
          <w:shd w:val="clear" w:color="auto" w:fill="FFFFFF"/>
        </w:rPr>
        <w:t>, 2013)</w:t>
      </w:r>
      <w:r>
        <w:rPr>
          <w:rFonts w:asciiTheme="majorBidi" w:hAnsiTheme="majorBidi" w:cstheme="majorBidi"/>
          <w:sz w:val="24"/>
          <w:szCs w:val="24"/>
        </w:rPr>
        <w:t>. This theory has helped me understand that my learning style is influenced by a variety of factors, including my physical surroundings, emotional state, and social environment. By recognizing these factors, I have been able to adapt my approach to different tasks and create a learning environment that works best for me.</w:t>
      </w:r>
    </w:p>
    <w:p w14:paraId="0D440006" w14:textId="77777777" w:rsidR="00F13699" w:rsidRDefault="00F13699" w:rsidP="00F13699">
      <w:pPr>
        <w:spacing w:line="360" w:lineRule="auto"/>
        <w:jc w:val="both"/>
        <w:rPr>
          <w:rFonts w:asciiTheme="majorBidi" w:hAnsiTheme="majorBidi" w:cstheme="majorBidi"/>
          <w:b/>
          <w:bCs/>
          <w:sz w:val="24"/>
          <w:szCs w:val="24"/>
        </w:rPr>
      </w:pPr>
      <w:proofErr w:type="spellStart"/>
      <w:r>
        <w:rPr>
          <w:rFonts w:asciiTheme="majorBidi" w:hAnsiTheme="majorBidi" w:cstheme="majorBidi"/>
          <w:b/>
          <w:bCs/>
          <w:sz w:val="24"/>
          <w:szCs w:val="24"/>
        </w:rPr>
        <w:t>Gregorc's</w:t>
      </w:r>
      <w:proofErr w:type="spellEnd"/>
      <w:r>
        <w:rPr>
          <w:rFonts w:asciiTheme="majorBidi" w:hAnsiTheme="majorBidi" w:cstheme="majorBidi"/>
          <w:b/>
          <w:bCs/>
          <w:sz w:val="24"/>
          <w:szCs w:val="24"/>
        </w:rPr>
        <w:t xml:space="preserve"> Mind Styles:</w:t>
      </w:r>
    </w:p>
    <w:p w14:paraId="04C19829" w14:textId="77777777" w:rsidR="00F13699" w:rsidRDefault="00F13699" w:rsidP="00F13699">
      <w:pPr>
        <w:spacing w:line="360" w:lineRule="auto"/>
        <w:jc w:val="both"/>
        <w:rPr>
          <w:rFonts w:asciiTheme="majorBidi" w:hAnsiTheme="majorBidi" w:cstheme="majorBidi"/>
          <w:sz w:val="24"/>
          <w:szCs w:val="24"/>
        </w:rPr>
      </w:pPr>
      <w:proofErr w:type="spellStart"/>
      <w:r>
        <w:rPr>
          <w:rFonts w:asciiTheme="majorBidi" w:hAnsiTheme="majorBidi" w:cstheme="majorBidi"/>
          <w:sz w:val="24"/>
          <w:szCs w:val="24"/>
        </w:rPr>
        <w:t>Gregorc's</w:t>
      </w:r>
      <w:proofErr w:type="spellEnd"/>
      <w:r>
        <w:rPr>
          <w:rFonts w:asciiTheme="majorBidi" w:hAnsiTheme="majorBidi" w:cstheme="majorBidi"/>
          <w:sz w:val="24"/>
          <w:szCs w:val="24"/>
        </w:rPr>
        <w:t xml:space="preserve"> Mind Styles theory proposes that individuals have four different mind styles based on their preferences for how they process information (</w:t>
      </w:r>
      <w:r>
        <w:rPr>
          <w:rFonts w:asciiTheme="majorBidi" w:hAnsiTheme="majorBidi" w:cstheme="majorBidi"/>
          <w:color w:val="222222"/>
          <w:sz w:val="24"/>
          <w:szCs w:val="24"/>
          <w:shd w:val="clear" w:color="auto" w:fill="FFFFFF"/>
        </w:rPr>
        <w:t>Mortensen et al, 2015)</w:t>
      </w:r>
      <w:r>
        <w:rPr>
          <w:rFonts w:asciiTheme="majorBidi" w:hAnsiTheme="majorBidi" w:cstheme="majorBidi"/>
          <w:sz w:val="24"/>
          <w:szCs w:val="24"/>
        </w:rPr>
        <w:t>. This theory has helped me understand that I tend to be a concrete sequential learner, which involves processing information logically and systematically. By recognizing my mind style, I have been able to seek out opportunities to apply this approach to my work and enhance my problem-solving skills.</w:t>
      </w:r>
    </w:p>
    <w:p w14:paraId="11F7164B"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Gardner's Multiple Intelligences:</w:t>
      </w:r>
    </w:p>
    <w:p w14:paraId="4F1EF3F7"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Gardner's Multiple Intelligences theory proposes that individuals have different types of intelligence, including linguistic, logical-mathematical, musical, bodily-kinesthetic, spatial, interpersonal, and intrapersonal intelligence (</w:t>
      </w:r>
      <w:r>
        <w:rPr>
          <w:rFonts w:asciiTheme="majorBidi" w:hAnsiTheme="majorBidi" w:cstheme="majorBidi"/>
          <w:color w:val="222222"/>
          <w:sz w:val="24"/>
          <w:szCs w:val="24"/>
          <w:shd w:val="clear" w:color="auto" w:fill="FFFFFF"/>
        </w:rPr>
        <w:t>Strauss, 2013)</w:t>
      </w:r>
      <w:r>
        <w:rPr>
          <w:rFonts w:asciiTheme="majorBidi" w:hAnsiTheme="majorBidi" w:cstheme="majorBidi"/>
          <w:sz w:val="24"/>
          <w:szCs w:val="24"/>
        </w:rPr>
        <w:t xml:space="preserve">. This theory has helped me recognize that there are </w:t>
      </w:r>
      <w:proofErr w:type="gramStart"/>
      <w:r>
        <w:rPr>
          <w:rFonts w:asciiTheme="majorBidi" w:hAnsiTheme="majorBidi" w:cstheme="majorBidi"/>
          <w:sz w:val="24"/>
          <w:szCs w:val="24"/>
        </w:rPr>
        <w:t>many different ways</w:t>
      </w:r>
      <w:proofErr w:type="gramEnd"/>
      <w:r>
        <w:rPr>
          <w:rFonts w:asciiTheme="majorBidi" w:hAnsiTheme="majorBidi" w:cstheme="majorBidi"/>
          <w:sz w:val="24"/>
          <w:szCs w:val="24"/>
        </w:rPr>
        <w:t xml:space="preserve"> to be intelligent, and that individuals may have strengths in different areas. By understanding this, I have been able to appreciate the unique talents and strengths of my colleagues and seek out opportunities to collaborate and learn from them.</w:t>
      </w:r>
    </w:p>
    <w:p w14:paraId="718237D3" w14:textId="77777777" w:rsidR="00F13699" w:rsidRDefault="00F13699" w:rsidP="00F13699">
      <w:pPr>
        <w:spacing w:line="360" w:lineRule="auto"/>
        <w:jc w:val="both"/>
        <w:rPr>
          <w:rFonts w:asciiTheme="majorBidi" w:hAnsiTheme="majorBidi" w:cstheme="majorBidi"/>
          <w:sz w:val="24"/>
          <w:szCs w:val="24"/>
        </w:rPr>
      </w:pPr>
    </w:p>
    <w:p w14:paraId="2BA4857A"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Sternberg's Triarchic Theory of Intelligence:</w:t>
      </w:r>
    </w:p>
    <w:p w14:paraId="61A15B7B"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Sternberg's Triarchic Theory of Intelligence proposes that intelligence can be divided into three types: analytical, creative, and practical intelligence (</w:t>
      </w:r>
      <w:proofErr w:type="spellStart"/>
      <w:r>
        <w:rPr>
          <w:rFonts w:asciiTheme="majorBidi" w:hAnsiTheme="majorBidi" w:cstheme="majorBidi"/>
          <w:color w:val="222222"/>
          <w:sz w:val="24"/>
          <w:szCs w:val="24"/>
          <w:shd w:val="clear" w:color="auto" w:fill="FFFFFF"/>
        </w:rPr>
        <w:t>Chooi</w:t>
      </w:r>
      <w:proofErr w:type="spellEnd"/>
      <w:r>
        <w:rPr>
          <w:rFonts w:asciiTheme="majorBidi" w:hAnsiTheme="majorBidi" w:cstheme="majorBidi"/>
          <w:color w:val="222222"/>
          <w:sz w:val="24"/>
          <w:szCs w:val="24"/>
          <w:shd w:val="clear" w:color="auto" w:fill="FFFFFF"/>
        </w:rPr>
        <w:t xml:space="preserve"> et al, 2014)</w:t>
      </w:r>
      <w:r>
        <w:rPr>
          <w:rFonts w:asciiTheme="majorBidi" w:hAnsiTheme="majorBidi" w:cstheme="majorBidi"/>
          <w:sz w:val="24"/>
          <w:szCs w:val="24"/>
        </w:rPr>
        <w:t>. This theory has helped me recognize that there are different ways to be intelligent and that individuals may excel in different areas. By understanding this, I have been able to appreciate the unique talents and strengths of my colleagues and seek out opportunities to collaborate and learn from them.</w:t>
      </w:r>
    </w:p>
    <w:p w14:paraId="063F6670" w14:textId="77777777" w:rsidR="00F13699" w:rsidRDefault="00F13699" w:rsidP="00F13699">
      <w:pPr>
        <w:spacing w:line="360" w:lineRule="auto"/>
        <w:jc w:val="both"/>
        <w:rPr>
          <w:rFonts w:asciiTheme="majorBidi" w:hAnsiTheme="majorBidi" w:cstheme="majorBidi"/>
          <w:b/>
          <w:bCs/>
          <w:sz w:val="28"/>
          <w:szCs w:val="28"/>
        </w:rPr>
      </w:pPr>
      <w:r>
        <w:rPr>
          <w:rFonts w:asciiTheme="majorBidi" w:hAnsiTheme="majorBidi" w:cstheme="majorBidi"/>
          <w:b/>
          <w:bCs/>
          <w:sz w:val="28"/>
          <w:szCs w:val="28"/>
        </w:rPr>
        <w:t xml:space="preserve">Reflective model </w:t>
      </w:r>
      <w:proofErr w:type="gramStart"/>
      <w:r>
        <w:rPr>
          <w:rFonts w:asciiTheme="majorBidi" w:hAnsiTheme="majorBidi" w:cstheme="majorBidi"/>
          <w:b/>
          <w:bCs/>
          <w:sz w:val="28"/>
          <w:szCs w:val="28"/>
        </w:rPr>
        <w:t>assess</w:t>
      </w:r>
      <w:proofErr w:type="gramEnd"/>
    </w:p>
    <w:p w14:paraId="4949879E"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Introduction</w:t>
      </w:r>
    </w:p>
    <w:p w14:paraId="24E48354"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As I reflect on the concepts learned in this module, I find that using the Gibbs Reflective Cycle is an effective way to assess my own understanding and identify areas for growth. Through this reflection, I aim to explore the learning </w:t>
      </w:r>
      <w:proofErr w:type="gramStart"/>
      <w:r>
        <w:rPr>
          <w:rFonts w:asciiTheme="majorBidi" w:hAnsiTheme="majorBidi" w:cstheme="majorBidi"/>
          <w:sz w:val="24"/>
          <w:szCs w:val="24"/>
        </w:rPr>
        <w:t>styles</w:t>
      </w:r>
      <w:proofErr w:type="gramEnd"/>
      <w:r>
        <w:rPr>
          <w:rFonts w:asciiTheme="majorBidi" w:hAnsiTheme="majorBidi" w:cstheme="majorBidi"/>
          <w:sz w:val="24"/>
          <w:szCs w:val="24"/>
        </w:rPr>
        <w:t xml:space="preserve"> theories and other concepts that I have gained from this module and how they can be applied in my professional life. Reflecting on these concepts, I have realized that I tend to be a visual and kinesthetic learner, preferring to learn by doing and seeing things in action. This has helped me seek out opportunities for experiential learning and hands-on experience, such as volunteering for new projects or attending workshops and training sessions that allow me to apply my learning in a practical setting (</w:t>
      </w:r>
      <w:proofErr w:type="spellStart"/>
      <w:r>
        <w:rPr>
          <w:rFonts w:asciiTheme="majorBidi" w:hAnsiTheme="majorBidi" w:cstheme="majorBidi"/>
          <w:color w:val="222222"/>
          <w:sz w:val="24"/>
          <w:szCs w:val="24"/>
          <w:shd w:val="clear" w:color="auto" w:fill="FFFFFF"/>
        </w:rPr>
        <w:t>Husebø</w:t>
      </w:r>
      <w:proofErr w:type="spellEnd"/>
      <w:r>
        <w:rPr>
          <w:rFonts w:asciiTheme="majorBidi" w:hAnsiTheme="majorBidi" w:cstheme="majorBidi"/>
          <w:color w:val="222222"/>
          <w:sz w:val="24"/>
          <w:szCs w:val="24"/>
          <w:shd w:val="clear" w:color="auto" w:fill="FFFFFF"/>
        </w:rPr>
        <w:t xml:space="preserve"> et al, 2015)</w:t>
      </w:r>
      <w:r>
        <w:rPr>
          <w:rFonts w:asciiTheme="majorBidi" w:hAnsiTheme="majorBidi" w:cstheme="majorBidi"/>
          <w:sz w:val="24"/>
          <w:szCs w:val="24"/>
        </w:rPr>
        <w:t>.</w:t>
      </w:r>
    </w:p>
    <w:p w14:paraId="6D8EF991"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Description</w:t>
      </w:r>
    </w:p>
    <w:p w14:paraId="21091787"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Throughout this module, I have learned about various learning style theories such as Kolb's Learning Styles, Honey and Mumford's Learning Styles, VARK Learning Styles, Felder-Silverman Learning Styles, Dunn and Dunn Learning Styles, </w:t>
      </w:r>
      <w:proofErr w:type="spellStart"/>
      <w:r>
        <w:rPr>
          <w:rFonts w:asciiTheme="majorBidi" w:hAnsiTheme="majorBidi" w:cstheme="majorBidi"/>
          <w:sz w:val="24"/>
          <w:szCs w:val="24"/>
        </w:rPr>
        <w:t>Gregorc's</w:t>
      </w:r>
      <w:proofErr w:type="spellEnd"/>
      <w:r>
        <w:rPr>
          <w:rFonts w:asciiTheme="majorBidi" w:hAnsiTheme="majorBidi" w:cstheme="majorBidi"/>
          <w:sz w:val="24"/>
          <w:szCs w:val="24"/>
        </w:rPr>
        <w:t xml:space="preserve"> Mind Styles, Gardner's Multiple Intelligences, and Sternberg's Triarchic Theory of Intelligence. These theories have helped me understand how individuals have different preferences when it comes to learning and how these preferences can impact the way they process and retain information. Using the Gibbs Reflective Cycle, I have also evaluated the effectiveness of the course material and found that the concepts were presented in a clear and concise manner. I appreciate how the course materials included a range of examples and case studies to demonstrate how these theories can be applied in real-world settings. As I reflected on my own learning style, I found that I tend to learn best through hands-on experience and reflective observation. This insight has helped me seek out opportunities for experiential learning and self-reflection, allowing me to deepen my understanding and enhance my professional development.</w:t>
      </w:r>
    </w:p>
    <w:p w14:paraId="74D86697"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lastRenderedPageBreak/>
        <w:t>In addition to learning style theories, I have also gained an understanding of the importance of effective communication, self-awareness, and lifelong learning. These concepts are essential in any professional setting as they can help individuals navigate their roles more effectively and become more valuable contributors to their organizations.</w:t>
      </w:r>
    </w:p>
    <w:p w14:paraId="2CE492D0"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Feelings</w:t>
      </w:r>
    </w:p>
    <w:p w14:paraId="57E0F507"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The concepts learned in this module have made me feel excited about the potential for personal and professional growth. By gaining a deeper understanding of my own learning style and how to effectively communicate with others, I feel more confident in my ability to collaborate with colleagues and approach new challenges with an open mind (</w:t>
      </w:r>
      <w:r>
        <w:rPr>
          <w:rFonts w:asciiTheme="majorBidi" w:hAnsiTheme="majorBidi" w:cstheme="majorBidi"/>
          <w:color w:val="222222"/>
          <w:sz w:val="24"/>
          <w:szCs w:val="24"/>
          <w:shd w:val="clear" w:color="auto" w:fill="FFFFFF"/>
        </w:rPr>
        <w:t>Dhaliwal et al, 2018)</w:t>
      </w:r>
      <w:r>
        <w:rPr>
          <w:rFonts w:asciiTheme="majorBidi" w:hAnsiTheme="majorBidi" w:cstheme="majorBidi"/>
          <w:sz w:val="24"/>
          <w:szCs w:val="24"/>
        </w:rPr>
        <w:t>.</w:t>
      </w:r>
    </w:p>
    <w:p w14:paraId="6C24E19C"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At the same time, I have also experienced some frustration as I have recognized areas where I need to improve. For example, I have identified that I need to work on being more proactive in seeking out opportunities for self-directed learning and development. Overall, I feel motivated to apply the concepts learned in this module to my personal and professional life. By recognizing my strengths and weaknesses and being open to different learning styles, I am confident that I can continue to grow and develop my skills. I am also excited about the potential for using this knowledge to create a more inclusive and effective learning environment in my workplace.</w:t>
      </w:r>
    </w:p>
    <w:p w14:paraId="5DF0163B"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Evaluation</w:t>
      </w:r>
    </w:p>
    <w:p w14:paraId="5E91B950"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Overall, I believe that the concepts learned in this module have been presented effectively and have provided valuable insights into the ways in which individuals learn and develop. However, I do think that some of the theories presented can be somewhat limiting in their application and may not fully capture the complexities of individual learning processes.</w:t>
      </w:r>
    </w:p>
    <w:p w14:paraId="177F10C6"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In terms of strengths, I appreciate that this module has emphasized the importance of lifelong learning and self-awareness. These concepts are essential for personal and professional growth, and I believe that they will continue to be valuable throughout my career.</w:t>
      </w:r>
    </w:p>
    <w:p w14:paraId="00B34630" w14:textId="77777777" w:rsidR="00F13699" w:rsidRDefault="00F13699" w:rsidP="00F13699">
      <w:pPr>
        <w:spacing w:line="360" w:lineRule="auto"/>
        <w:jc w:val="both"/>
        <w:rPr>
          <w:rFonts w:asciiTheme="majorBidi" w:hAnsiTheme="majorBidi" w:cstheme="majorBidi"/>
          <w:sz w:val="24"/>
          <w:szCs w:val="24"/>
        </w:rPr>
      </w:pPr>
    </w:p>
    <w:p w14:paraId="78985323"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 xml:space="preserve">As for weaknesses, I would have liked to see more emphasis on practical application and how to translate these concepts into real-world contexts. While the theories presented are interesting and informative, I think it would be valuable to explore how they can be applied in a more tangible way. In conclusion, this reflection has helped me recognize the value of self-reflection </w:t>
      </w:r>
      <w:r>
        <w:rPr>
          <w:rFonts w:asciiTheme="majorBidi" w:hAnsiTheme="majorBidi" w:cstheme="majorBidi"/>
          <w:sz w:val="24"/>
          <w:szCs w:val="24"/>
        </w:rPr>
        <w:lastRenderedPageBreak/>
        <w:t>and how it can support ongoing learning and development. By applying the Gibbs Reflective Cycle, I have gained a deeper understanding of the concepts learned in this module and how they can be applied in my own life and career. Moving forward, I plan to take concrete steps to further develop my understanding of learning styles and explore ways to apply these concepts in my work and personal life.</w:t>
      </w:r>
    </w:p>
    <w:p w14:paraId="06BA4C4C"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Conclusion</w:t>
      </w:r>
    </w:p>
    <w:p w14:paraId="340DB1E3"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Through this reflection, I have gained a deeper understanding of the concepts learned in this module and how they can be applied in my professional life. I feel excited about the potential for personal and professional growth and am committed to continuing to develop my skills and knowledge in these areas.</w:t>
      </w:r>
    </w:p>
    <w:p w14:paraId="0C6E26BD"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In particular, I plan to focus on developing my self-directed learning skills and seek out opportunities for ongoing development. Additionally, I will continue to work on being more self-aware and mindful of my own learning style and how it impacts the way I approach new challenges.</w:t>
      </w:r>
    </w:p>
    <w:p w14:paraId="78D0C8E5"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Action Plan</w:t>
      </w:r>
    </w:p>
    <w:p w14:paraId="7CB7E7C8"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sz w:val="24"/>
          <w:szCs w:val="24"/>
        </w:rPr>
        <w:t>To further develop my knowledge and skills related to the concepts learned in this module, I plan to:</w:t>
      </w:r>
    </w:p>
    <w:p w14:paraId="3643E7C1" w14:textId="77777777" w:rsidR="00F13699" w:rsidRDefault="00F13699" w:rsidP="00F13699">
      <w:pPr>
        <w:pStyle w:val="ListParagraph"/>
        <w:numPr>
          <w:ilvl w:val="0"/>
          <w:numId w:val="1"/>
        </w:numPr>
        <w:spacing w:line="360" w:lineRule="auto"/>
        <w:ind w:left="0" w:firstLine="0"/>
        <w:jc w:val="both"/>
        <w:rPr>
          <w:rFonts w:asciiTheme="majorBidi" w:hAnsiTheme="majorBidi" w:cstheme="majorBidi"/>
          <w:sz w:val="24"/>
          <w:szCs w:val="24"/>
        </w:rPr>
      </w:pPr>
      <w:r>
        <w:rPr>
          <w:rFonts w:asciiTheme="majorBidi" w:hAnsiTheme="majorBidi" w:cstheme="majorBidi"/>
          <w:sz w:val="24"/>
          <w:szCs w:val="24"/>
        </w:rPr>
        <w:t>Seek out opportunities for self-directed learning, such as online courses and industry events</w:t>
      </w:r>
    </w:p>
    <w:p w14:paraId="661EB9F1" w14:textId="77777777" w:rsidR="00F13699" w:rsidRDefault="00F13699" w:rsidP="00F13699">
      <w:pPr>
        <w:pStyle w:val="ListParagraph"/>
        <w:numPr>
          <w:ilvl w:val="0"/>
          <w:numId w:val="1"/>
        </w:numPr>
        <w:spacing w:line="360" w:lineRule="auto"/>
        <w:ind w:left="0" w:firstLine="0"/>
        <w:jc w:val="both"/>
        <w:rPr>
          <w:rFonts w:asciiTheme="majorBidi" w:hAnsiTheme="majorBidi" w:cstheme="majorBidi"/>
          <w:sz w:val="24"/>
          <w:szCs w:val="24"/>
        </w:rPr>
      </w:pPr>
      <w:r>
        <w:rPr>
          <w:rFonts w:asciiTheme="majorBidi" w:hAnsiTheme="majorBidi" w:cstheme="majorBidi"/>
          <w:sz w:val="24"/>
          <w:szCs w:val="24"/>
        </w:rPr>
        <w:t>Practice being more mindful and self-aware in my approach to learning and development</w:t>
      </w:r>
    </w:p>
    <w:p w14:paraId="43D042CB" w14:textId="77777777" w:rsidR="00F13699" w:rsidRDefault="00F13699" w:rsidP="00F13699">
      <w:pPr>
        <w:pStyle w:val="ListParagraph"/>
        <w:numPr>
          <w:ilvl w:val="0"/>
          <w:numId w:val="1"/>
        </w:numPr>
        <w:spacing w:line="360" w:lineRule="auto"/>
        <w:ind w:left="0" w:firstLine="0"/>
        <w:jc w:val="both"/>
        <w:rPr>
          <w:rFonts w:asciiTheme="majorBidi" w:hAnsiTheme="majorBidi" w:cstheme="majorBidi"/>
          <w:sz w:val="24"/>
          <w:szCs w:val="24"/>
        </w:rPr>
      </w:pPr>
      <w:r>
        <w:rPr>
          <w:rFonts w:asciiTheme="majorBidi" w:hAnsiTheme="majorBidi" w:cstheme="majorBidi"/>
          <w:sz w:val="24"/>
          <w:szCs w:val="24"/>
        </w:rPr>
        <w:t>Experiment with different learning methods and techniques to find what works best for me</w:t>
      </w:r>
    </w:p>
    <w:p w14:paraId="279F4355" w14:textId="77777777" w:rsidR="00F13699" w:rsidRDefault="00F13699" w:rsidP="00F13699">
      <w:pPr>
        <w:pStyle w:val="ListParagraph"/>
        <w:numPr>
          <w:ilvl w:val="0"/>
          <w:numId w:val="1"/>
        </w:numPr>
        <w:spacing w:line="360" w:lineRule="auto"/>
        <w:ind w:left="0" w:firstLine="0"/>
        <w:jc w:val="both"/>
        <w:rPr>
          <w:rFonts w:asciiTheme="majorBidi" w:hAnsiTheme="majorBidi" w:cstheme="majorBidi"/>
          <w:sz w:val="24"/>
          <w:szCs w:val="24"/>
        </w:rPr>
      </w:pPr>
      <w:r>
        <w:rPr>
          <w:rFonts w:asciiTheme="majorBidi" w:hAnsiTheme="majorBidi" w:cstheme="majorBidi"/>
          <w:sz w:val="24"/>
          <w:szCs w:val="24"/>
        </w:rPr>
        <w:t>Seek feedback from colleagues and mentors to gain a better understanding of my strengths and areas for improvement</w:t>
      </w:r>
    </w:p>
    <w:p w14:paraId="23E6E8B3" w14:textId="77777777" w:rsidR="00F13699" w:rsidRDefault="00F13699" w:rsidP="00F13699">
      <w:pPr>
        <w:pStyle w:val="ListParagraph"/>
        <w:numPr>
          <w:ilvl w:val="0"/>
          <w:numId w:val="1"/>
        </w:numPr>
        <w:spacing w:line="360" w:lineRule="auto"/>
        <w:ind w:left="0" w:firstLine="0"/>
        <w:jc w:val="both"/>
        <w:rPr>
          <w:rFonts w:asciiTheme="majorBidi" w:hAnsiTheme="majorBidi" w:cstheme="majorBidi"/>
          <w:sz w:val="24"/>
          <w:szCs w:val="24"/>
        </w:rPr>
      </w:pPr>
      <w:r>
        <w:rPr>
          <w:rFonts w:asciiTheme="majorBidi" w:hAnsiTheme="majorBidi" w:cstheme="majorBidi"/>
          <w:sz w:val="24"/>
          <w:szCs w:val="24"/>
        </w:rPr>
        <w:t>Explore ways to apply these concepts in my work, such as through more effective communication and collaboration with colleagues.</w:t>
      </w:r>
    </w:p>
    <w:p w14:paraId="6C79E62E" w14:textId="77777777" w:rsidR="00F13699" w:rsidRDefault="00F13699" w:rsidP="00F13699">
      <w:pPr>
        <w:spacing w:line="360" w:lineRule="auto"/>
        <w:jc w:val="both"/>
        <w:rPr>
          <w:rFonts w:asciiTheme="majorBidi" w:hAnsiTheme="majorBidi" w:cstheme="majorBidi"/>
          <w:b/>
          <w:bCs/>
          <w:sz w:val="24"/>
          <w:szCs w:val="24"/>
        </w:rPr>
      </w:pPr>
    </w:p>
    <w:p w14:paraId="1B8053AC" w14:textId="77777777" w:rsidR="00F13699" w:rsidRDefault="00F13699" w:rsidP="00F13699">
      <w:pPr>
        <w:spacing w:line="360" w:lineRule="auto"/>
        <w:jc w:val="both"/>
        <w:rPr>
          <w:rFonts w:asciiTheme="majorBidi" w:hAnsiTheme="majorBidi" w:cstheme="majorBidi"/>
          <w:b/>
          <w:bCs/>
          <w:sz w:val="24"/>
          <w:szCs w:val="24"/>
        </w:rPr>
      </w:pPr>
    </w:p>
    <w:p w14:paraId="2516A2C3" w14:textId="77777777" w:rsidR="00F13699" w:rsidRDefault="00F13699" w:rsidP="00F13699">
      <w:pPr>
        <w:spacing w:line="360" w:lineRule="auto"/>
        <w:jc w:val="both"/>
        <w:rPr>
          <w:rFonts w:asciiTheme="majorBidi" w:hAnsiTheme="majorBidi" w:cstheme="majorBidi"/>
          <w:b/>
          <w:bCs/>
          <w:sz w:val="24"/>
          <w:szCs w:val="24"/>
        </w:rPr>
      </w:pPr>
    </w:p>
    <w:p w14:paraId="706ECBEF" w14:textId="77777777" w:rsidR="00F13699" w:rsidRDefault="00F13699" w:rsidP="00F13699">
      <w:pPr>
        <w:spacing w:line="360" w:lineRule="auto"/>
        <w:jc w:val="both"/>
        <w:rPr>
          <w:rFonts w:asciiTheme="majorBidi" w:hAnsiTheme="majorBidi" w:cstheme="majorBidi"/>
          <w:b/>
          <w:bCs/>
          <w:sz w:val="24"/>
          <w:szCs w:val="24"/>
        </w:rPr>
      </w:pPr>
    </w:p>
    <w:p w14:paraId="65927965" w14:textId="77777777" w:rsidR="00F13699" w:rsidRDefault="00F13699" w:rsidP="00F13699">
      <w:pPr>
        <w:spacing w:line="360" w:lineRule="auto"/>
        <w:jc w:val="both"/>
        <w:rPr>
          <w:rFonts w:asciiTheme="majorBidi" w:hAnsiTheme="majorBidi" w:cstheme="majorBidi"/>
          <w:b/>
          <w:bCs/>
          <w:sz w:val="24"/>
          <w:szCs w:val="24"/>
        </w:rPr>
      </w:pPr>
    </w:p>
    <w:p w14:paraId="3F481559" w14:textId="77777777" w:rsidR="00F13699" w:rsidRDefault="00F13699" w:rsidP="00F13699">
      <w:pPr>
        <w:spacing w:line="360" w:lineRule="auto"/>
        <w:jc w:val="both"/>
        <w:rPr>
          <w:rFonts w:asciiTheme="majorBidi" w:hAnsiTheme="majorBidi" w:cstheme="majorBidi"/>
          <w:b/>
          <w:bCs/>
          <w:sz w:val="24"/>
          <w:szCs w:val="24"/>
        </w:rPr>
      </w:pPr>
    </w:p>
    <w:p w14:paraId="4B67C243" w14:textId="77777777" w:rsidR="00F13699" w:rsidRDefault="00F13699" w:rsidP="00F13699">
      <w:pPr>
        <w:spacing w:line="360" w:lineRule="auto"/>
        <w:jc w:val="both"/>
        <w:rPr>
          <w:rFonts w:asciiTheme="majorBidi" w:hAnsiTheme="majorBidi" w:cstheme="majorBidi"/>
          <w:b/>
          <w:bCs/>
          <w:sz w:val="24"/>
          <w:szCs w:val="24"/>
        </w:rPr>
      </w:pPr>
    </w:p>
    <w:p w14:paraId="66945064" w14:textId="77777777" w:rsidR="00F13699" w:rsidRDefault="00F13699" w:rsidP="00F13699">
      <w:pPr>
        <w:spacing w:line="360" w:lineRule="auto"/>
        <w:jc w:val="both"/>
        <w:rPr>
          <w:rFonts w:asciiTheme="majorBidi" w:hAnsiTheme="majorBidi" w:cstheme="majorBidi"/>
          <w:b/>
          <w:bCs/>
          <w:sz w:val="24"/>
          <w:szCs w:val="24"/>
        </w:rPr>
      </w:pPr>
    </w:p>
    <w:p w14:paraId="62DCF42D" w14:textId="77777777" w:rsidR="00F13699" w:rsidRDefault="00F13699" w:rsidP="00F13699">
      <w:pPr>
        <w:spacing w:line="360" w:lineRule="auto"/>
        <w:jc w:val="both"/>
        <w:rPr>
          <w:rFonts w:asciiTheme="majorBidi" w:hAnsiTheme="majorBidi" w:cstheme="majorBidi"/>
          <w:b/>
          <w:bCs/>
          <w:sz w:val="24"/>
          <w:szCs w:val="24"/>
        </w:rPr>
      </w:pPr>
    </w:p>
    <w:p w14:paraId="5190591C" w14:textId="77777777" w:rsidR="00F13699" w:rsidRDefault="00F13699" w:rsidP="00F13699">
      <w:pPr>
        <w:spacing w:line="360" w:lineRule="auto"/>
        <w:jc w:val="both"/>
        <w:rPr>
          <w:rFonts w:asciiTheme="majorBidi" w:hAnsiTheme="majorBidi" w:cstheme="majorBidi"/>
          <w:b/>
          <w:bCs/>
          <w:sz w:val="24"/>
          <w:szCs w:val="24"/>
        </w:rPr>
      </w:pPr>
    </w:p>
    <w:p w14:paraId="29B75D31" w14:textId="77777777" w:rsidR="00F13699" w:rsidRDefault="00F13699" w:rsidP="00F13699">
      <w:pPr>
        <w:spacing w:line="360" w:lineRule="auto"/>
        <w:jc w:val="both"/>
        <w:rPr>
          <w:rFonts w:asciiTheme="majorBidi" w:hAnsiTheme="majorBidi" w:cstheme="majorBidi"/>
          <w:b/>
          <w:bCs/>
          <w:sz w:val="24"/>
          <w:szCs w:val="24"/>
        </w:rPr>
      </w:pPr>
    </w:p>
    <w:p w14:paraId="7A7EE85B" w14:textId="77777777" w:rsidR="00F13699" w:rsidRDefault="00F13699" w:rsidP="00F13699">
      <w:pPr>
        <w:spacing w:line="360" w:lineRule="auto"/>
        <w:jc w:val="both"/>
        <w:rPr>
          <w:rFonts w:asciiTheme="majorBidi" w:hAnsiTheme="majorBidi" w:cstheme="majorBidi"/>
          <w:b/>
          <w:bCs/>
          <w:sz w:val="24"/>
          <w:szCs w:val="24"/>
        </w:rPr>
      </w:pPr>
    </w:p>
    <w:p w14:paraId="71A4D6CE" w14:textId="77777777" w:rsidR="00F13699" w:rsidRDefault="00F13699" w:rsidP="00F13699">
      <w:pPr>
        <w:spacing w:line="360" w:lineRule="auto"/>
        <w:jc w:val="both"/>
        <w:rPr>
          <w:rFonts w:asciiTheme="majorBidi" w:hAnsiTheme="majorBidi" w:cstheme="majorBidi"/>
          <w:b/>
          <w:bCs/>
          <w:sz w:val="24"/>
          <w:szCs w:val="24"/>
        </w:rPr>
      </w:pPr>
    </w:p>
    <w:p w14:paraId="5BD17E77" w14:textId="77777777" w:rsidR="00F13699" w:rsidRDefault="00F13699" w:rsidP="00F13699">
      <w:pPr>
        <w:spacing w:line="360" w:lineRule="auto"/>
        <w:jc w:val="both"/>
        <w:rPr>
          <w:rFonts w:asciiTheme="majorBidi" w:hAnsiTheme="majorBidi" w:cstheme="majorBidi"/>
          <w:b/>
          <w:bCs/>
          <w:sz w:val="24"/>
          <w:szCs w:val="24"/>
        </w:rPr>
      </w:pPr>
    </w:p>
    <w:p w14:paraId="0EED8F26" w14:textId="77777777" w:rsidR="00F13699" w:rsidRDefault="00F13699" w:rsidP="00F13699">
      <w:pPr>
        <w:spacing w:line="360" w:lineRule="auto"/>
        <w:jc w:val="both"/>
        <w:rPr>
          <w:rFonts w:asciiTheme="majorBidi" w:hAnsiTheme="majorBidi" w:cstheme="majorBidi"/>
          <w:b/>
          <w:bCs/>
          <w:sz w:val="24"/>
          <w:szCs w:val="24"/>
        </w:rPr>
      </w:pPr>
    </w:p>
    <w:p w14:paraId="4A995835" w14:textId="77777777" w:rsidR="00F13699" w:rsidRDefault="00F13699" w:rsidP="00F13699">
      <w:pPr>
        <w:spacing w:line="360" w:lineRule="auto"/>
        <w:jc w:val="both"/>
        <w:rPr>
          <w:rFonts w:asciiTheme="majorBidi" w:hAnsiTheme="majorBidi" w:cstheme="majorBidi"/>
          <w:b/>
          <w:bCs/>
          <w:sz w:val="24"/>
          <w:szCs w:val="24"/>
        </w:rPr>
      </w:pPr>
    </w:p>
    <w:p w14:paraId="77D9B3F4" w14:textId="77777777" w:rsidR="00F13699" w:rsidRDefault="00F13699" w:rsidP="00F13699">
      <w:pPr>
        <w:spacing w:line="360" w:lineRule="auto"/>
        <w:jc w:val="both"/>
        <w:rPr>
          <w:rFonts w:asciiTheme="majorBidi" w:hAnsiTheme="majorBidi" w:cstheme="majorBidi"/>
          <w:b/>
          <w:bCs/>
          <w:sz w:val="24"/>
          <w:szCs w:val="24"/>
        </w:rPr>
      </w:pPr>
    </w:p>
    <w:p w14:paraId="75D99B83" w14:textId="77777777" w:rsidR="00F13699" w:rsidRDefault="00F13699" w:rsidP="00F13699">
      <w:pPr>
        <w:spacing w:line="360" w:lineRule="auto"/>
        <w:jc w:val="both"/>
        <w:rPr>
          <w:rFonts w:asciiTheme="majorBidi" w:hAnsiTheme="majorBidi" w:cstheme="majorBidi"/>
          <w:b/>
          <w:bCs/>
          <w:sz w:val="24"/>
          <w:szCs w:val="24"/>
        </w:rPr>
      </w:pPr>
    </w:p>
    <w:p w14:paraId="382FE4CE" w14:textId="77777777" w:rsidR="00F13699" w:rsidRDefault="00F13699" w:rsidP="00F13699">
      <w:pPr>
        <w:spacing w:line="360" w:lineRule="auto"/>
        <w:jc w:val="both"/>
        <w:rPr>
          <w:rFonts w:asciiTheme="majorBidi" w:hAnsiTheme="majorBidi" w:cstheme="majorBidi"/>
          <w:b/>
          <w:bCs/>
          <w:sz w:val="24"/>
          <w:szCs w:val="24"/>
        </w:rPr>
      </w:pPr>
    </w:p>
    <w:p w14:paraId="20698230" w14:textId="77777777" w:rsidR="00F13699" w:rsidRDefault="00F13699" w:rsidP="00F13699">
      <w:pPr>
        <w:spacing w:line="360" w:lineRule="auto"/>
        <w:jc w:val="both"/>
        <w:rPr>
          <w:rFonts w:asciiTheme="majorBidi" w:hAnsiTheme="majorBidi" w:cstheme="majorBidi"/>
          <w:b/>
          <w:bCs/>
          <w:sz w:val="24"/>
          <w:szCs w:val="24"/>
        </w:rPr>
      </w:pPr>
      <w:r>
        <w:rPr>
          <w:rFonts w:asciiTheme="majorBidi" w:hAnsiTheme="majorBidi" w:cstheme="majorBidi"/>
          <w:b/>
          <w:bCs/>
          <w:sz w:val="24"/>
          <w:szCs w:val="24"/>
        </w:rPr>
        <w:t>References</w:t>
      </w:r>
    </w:p>
    <w:p w14:paraId="0AB42CA1"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 xml:space="preserve">Cavanagh, S.J., Hogan, K. and Ramgopal, T., 1995. The assessment </w:t>
      </w:r>
      <w:proofErr w:type="spellStart"/>
      <w:proofErr w:type="gramStart"/>
      <w:r>
        <w:rPr>
          <w:rFonts w:asciiTheme="majorBidi" w:hAnsiTheme="majorBidi" w:cstheme="majorBidi"/>
          <w:color w:val="222222"/>
          <w:sz w:val="24"/>
          <w:szCs w:val="24"/>
          <w:shd w:val="clear" w:color="auto" w:fill="FFFFFF"/>
        </w:rPr>
        <w:t>ofstudent</w:t>
      </w:r>
      <w:proofErr w:type="spellEnd"/>
      <w:proofErr w:type="gramEnd"/>
      <w:r>
        <w:rPr>
          <w:rFonts w:asciiTheme="majorBidi" w:hAnsiTheme="majorBidi" w:cstheme="majorBidi"/>
          <w:color w:val="222222"/>
          <w:sz w:val="24"/>
          <w:szCs w:val="24"/>
          <w:shd w:val="clear" w:color="auto" w:fill="FFFFFF"/>
        </w:rPr>
        <w:t xml:space="preserve"> nurse learning styles using the Kolb Learning Styles Inventory. </w:t>
      </w:r>
      <w:r>
        <w:rPr>
          <w:rFonts w:asciiTheme="majorBidi" w:hAnsiTheme="majorBidi" w:cstheme="majorBidi"/>
          <w:i/>
          <w:iCs/>
          <w:color w:val="222222"/>
          <w:sz w:val="24"/>
          <w:szCs w:val="24"/>
          <w:shd w:val="clear" w:color="auto" w:fill="FFFFFF"/>
        </w:rPr>
        <w:t>Nurse education today</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15</w:t>
      </w:r>
      <w:r>
        <w:rPr>
          <w:rFonts w:asciiTheme="majorBidi" w:hAnsiTheme="majorBidi" w:cstheme="majorBidi"/>
          <w:color w:val="222222"/>
          <w:sz w:val="24"/>
          <w:szCs w:val="24"/>
          <w:shd w:val="clear" w:color="auto" w:fill="FFFFFF"/>
        </w:rPr>
        <w:t>(3), pp.177-183.</w:t>
      </w:r>
    </w:p>
    <w:p w14:paraId="3D20D103"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Caple, J. and Martin, P., 1994. Reflections of Two Pragmatists: A Critique of Honey and Mumford′ s Learning Styles. </w:t>
      </w:r>
      <w:r>
        <w:rPr>
          <w:rFonts w:asciiTheme="majorBidi" w:hAnsiTheme="majorBidi" w:cstheme="majorBidi"/>
          <w:i/>
          <w:iCs/>
          <w:color w:val="222222"/>
          <w:sz w:val="24"/>
          <w:szCs w:val="24"/>
          <w:shd w:val="clear" w:color="auto" w:fill="FFFFFF"/>
        </w:rPr>
        <w:t>Industrial and Commercial Training</w:t>
      </w:r>
      <w:r>
        <w:rPr>
          <w:rFonts w:asciiTheme="majorBidi" w:hAnsiTheme="majorBidi" w:cstheme="majorBidi"/>
          <w:color w:val="222222"/>
          <w:sz w:val="24"/>
          <w:szCs w:val="24"/>
          <w:shd w:val="clear" w:color="auto" w:fill="FFFFFF"/>
        </w:rPr>
        <w:t>.</w:t>
      </w:r>
    </w:p>
    <w:p w14:paraId="2EFF4698"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lastRenderedPageBreak/>
        <w:t>Espinoza-</w:t>
      </w:r>
      <w:proofErr w:type="spellStart"/>
      <w:r>
        <w:rPr>
          <w:rFonts w:asciiTheme="majorBidi" w:hAnsiTheme="majorBidi" w:cstheme="majorBidi"/>
          <w:color w:val="222222"/>
          <w:sz w:val="24"/>
          <w:szCs w:val="24"/>
          <w:shd w:val="clear" w:color="auto" w:fill="FFFFFF"/>
        </w:rPr>
        <w:t>Poves</w:t>
      </w:r>
      <w:proofErr w:type="spellEnd"/>
      <w:r>
        <w:rPr>
          <w:rFonts w:asciiTheme="majorBidi" w:hAnsiTheme="majorBidi" w:cstheme="majorBidi"/>
          <w:color w:val="222222"/>
          <w:sz w:val="24"/>
          <w:szCs w:val="24"/>
          <w:shd w:val="clear" w:color="auto" w:fill="FFFFFF"/>
        </w:rPr>
        <w:t>, J.L., Miranda-</w:t>
      </w:r>
      <w:proofErr w:type="spellStart"/>
      <w:r>
        <w:rPr>
          <w:rFonts w:asciiTheme="majorBidi" w:hAnsiTheme="majorBidi" w:cstheme="majorBidi"/>
          <w:color w:val="222222"/>
          <w:sz w:val="24"/>
          <w:szCs w:val="24"/>
          <w:shd w:val="clear" w:color="auto" w:fill="FFFFFF"/>
        </w:rPr>
        <w:t>Vílchez</w:t>
      </w:r>
      <w:proofErr w:type="spellEnd"/>
      <w:r>
        <w:rPr>
          <w:rFonts w:asciiTheme="majorBidi" w:hAnsiTheme="majorBidi" w:cstheme="majorBidi"/>
          <w:color w:val="222222"/>
          <w:sz w:val="24"/>
          <w:szCs w:val="24"/>
          <w:shd w:val="clear" w:color="auto" w:fill="FFFFFF"/>
        </w:rPr>
        <w:t xml:space="preserve">, W.A. and </w:t>
      </w:r>
      <w:proofErr w:type="spellStart"/>
      <w:r>
        <w:rPr>
          <w:rFonts w:asciiTheme="majorBidi" w:hAnsiTheme="majorBidi" w:cstheme="majorBidi"/>
          <w:color w:val="222222"/>
          <w:sz w:val="24"/>
          <w:szCs w:val="24"/>
          <w:shd w:val="clear" w:color="auto" w:fill="FFFFFF"/>
        </w:rPr>
        <w:t>Chafloque</w:t>
      </w:r>
      <w:proofErr w:type="spellEnd"/>
      <w:r>
        <w:rPr>
          <w:rFonts w:asciiTheme="majorBidi" w:hAnsiTheme="majorBidi" w:cstheme="majorBidi"/>
          <w:color w:val="222222"/>
          <w:sz w:val="24"/>
          <w:szCs w:val="24"/>
          <w:shd w:val="clear" w:color="auto" w:fill="FFFFFF"/>
        </w:rPr>
        <w:t xml:space="preserve">-Céspedes, R., 2019. The </w:t>
      </w:r>
      <w:proofErr w:type="spellStart"/>
      <w:r>
        <w:rPr>
          <w:rFonts w:asciiTheme="majorBidi" w:hAnsiTheme="majorBidi" w:cstheme="majorBidi"/>
          <w:color w:val="222222"/>
          <w:sz w:val="24"/>
          <w:szCs w:val="24"/>
          <w:shd w:val="clear" w:color="auto" w:fill="FFFFFF"/>
        </w:rPr>
        <w:t>Vark</w:t>
      </w:r>
      <w:proofErr w:type="spellEnd"/>
      <w:r>
        <w:rPr>
          <w:rFonts w:asciiTheme="majorBidi" w:hAnsiTheme="majorBidi" w:cstheme="majorBidi"/>
          <w:color w:val="222222"/>
          <w:sz w:val="24"/>
          <w:szCs w:val="24"/>
          <w:shd w:val="clear" w:color="auto" w:fill="FFFFFF"/>
        </w:rPr>
        <w:t xml:space="preserve"> learning styles among university students </w:t>
      </w:r>
      <w:proofErr w:type="gramStart"/>
      <w:r>
        <w:rPr>
          <w:rFonts w:asciiTheme="majorBidi" w:hAnsiTheme="majorBidi" w:cstheme="majorBidi"/>
          <w:color w:val="222222"/>
          <w:sz w:val="24"/>
          <w:szCs w:val="24"/>
          <w:shd w:val="clear" w:color="auto" w:fill="FFFFFF"/>
        </w:rPr>
        <w:t>of</w:t>
      </w:r>
      <w:proofErr w:type="gramEnd"/>
      <w:r>
        <w:rPr>
          <w:rFonts w:asciiTheme="majorBidi" w:hAnsiTheme="majorBidi" w:cstheme="majorBidi"/>
          <w:color w:val="222222"/>
          <w:sz w:val="24"/>
          <w:szCs w:val="24"/>
          <w:shd w:val="clear" w:color="auto" w:fill="FFFFFF"/>
        </w:rPr>
        <w:t xml:space="preserve"> business schools. </w:t>
      </w:r>
      <w:r>
        <w:rPr>
          <w:rFonts w:asciiTheme="majorBidi" w:hAnsiTheme="majorBidi" w:cstheme="majorBidi"/>
          <w:i/>
          <w:iCs/>
          <w:color w:val="222222"/>
          <w:sz w:val="24"/>
          <w:szCs w:val="24"/>
          <w:shd w:val="clear" w:color="auto" w:fill="FFFFFF"/>
        </w:rPr>
        <w:t>Journal of Educational Psychology-</w:t>
      </w:r>
      <w:proofErr w:type="spellStart"/>
      <w:r>
        <w:rPr>
          <w:rFonts w:asciiTheme="majorBidi" w:hAnsiTheme="majorBidi" w:cstheme="majorBidi"/>
          <w:i/>
          <w:iCs/>
          <w:color w:val="222222"/>
          <w:sz w:val="24"/>
          <w:szCs w:val="24"/>
          <w:shd w:val="clear" w:color="auto" w:fill="FFFFFF"/>
        </w:rPr>
        <w:t>Propositos</w:t>
      </w:r>
      <w:proofErr w:type="spellEnd"/>
      <w:r>
        <w:rPr>
          <w:rFonts w:asciiTheme="majorBidi" w:hAnsiTheme="majorBidi" w:cstheme="majorBidi"/>
          <w:i/>
          <w:iCs/>
          <w:color w:val="222222"/>
          <w:sz w:val="24"/>
          <w:szCs w:val="24"/>
          <w:shd w:val="clear" w:color="auto" w:fill="FFFFFF"/>
        </w:rPr>
        <w:t xml:space="preserve"> y </w:t>
      </w:r>
      <w:proofErr w:type="spellStart"/>
      <w:r>
        <w:rPr>
          <w:rFonts w:asciiTheme="majorBidi" w:hAnsiTheme="majorBidi" w:cstheme="majorBidi"/>
          <w:i/>
          <w:iCs/>
          <w:color w:val="222222"/>
          <w:sz w:val="24"/>
          <w:szCs w:val="24"/>
          <w:shd w:val="clear" w:color="auto" w:fill="FFFFFF"/>
        </w:rPr>
        <w:t>Representaciones</w:t>
      </w:r>
      <w:proofErr w:type="spellEnd"/>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7</w:t>
      </w:r>
      <w:r>
        <w:rPr>
          <w:rFonts w:asciiTheme="majorBidi" w:hAnsiTheme="majorBidi" w:cstheme="majorBidi"/>
          <w:color w:val="222222"/>
          <w:sz w:val="24"/>
          <w:szCs w:val="24"/>
          <w:shd w:val="clear" w:color="auto" w:fill="FFFFFF"/>
        </w:rPr>
        <w:t>(2), pp.401-415.</w:t>
      </w:r>
    </w:p>
    <w:p w14:paraId="1243FB48"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color w:val="222222"/>
          <w:sz w:val="24"/>
          <w:szCs w:val="24"/>
          <w:shd w:val="clear" w:color="auto" w:fill="FFFFFF"/>
        </w:rPr>
        <w:t xml:space="preserve">Wang, J. and </w:t>
      </w:r>
      <w:proofErr w:type="spellStart"/>
      <w:r>
        <w:rPr>
          <w:rFonts w:asciiTheme="majorBidi" w:hAnsiTheme="majorBidi" w:cstheme="majorBidi"/>
          <w:color w:val="222222"/>
          <w:sz w:val="24"/>
          <w:szCs w:val="24"/>
          <w:shd w:val="clear" w:color="auto" w:fill="FFFFFF"/>
        </w:rPr>
        <w:t>Mendori</w:t>
      </w:r>
      <w:proofErr w:type="spellEnd"/>
      <w:r>
        <w:rPr>
          <w:rFonts w:asciiTheme="majorBidi" w:hAnsiTheme="majorBidi" w:cstheme="majorBidi"/>
          <w:color w:val="222222"/>
          <w:sz w:val="24"/>
          <w:szCs w:val="24"/>
          <w:shd w:val="clear" w:color="auto" w:fill="FFFFFF"/>
        </w:rPr>
        <w:t xml:space="preserve">, T., 2015. The reliability and validity of </w:t>
      </w:r>
      <w:proofErr w:type="spellStart"/>
      <w:r>
        <w:rPr>
          <w:rFonts w:asciiTheme="majorBidi" w:hAnsiTheme="majorBidi" w:cstheme="majorBidi"/>
          <w:color w:val="222222"/>
          <w:sz w:val="24"/>
          <w:szCs w:val="24"/>
          <w:shd w:val="clear" w:color="auto" w:fill="FFFFFF"/>
        </w:rPr>
        <w:t>felder-silverman</w:t>
      </w:r>
      <w:proofErr w:type="spellEnd"/>
      <w:r>
        <w:rPr>
          <w:rFonts w:asciiTheme="majorBidi" w:hAnsiTheme="majorBidi" w:cstheme="majorBidi"/>
          <w:color w:val="222222"/>
          <w:sz w:val="24"/>
          <w:szCs w:val="24"/>
          <w:shd w:val="clear" w:color="auto" w:fill="FFFFFF"/>
        </w:rPr>
        <w:t xml:space="preserve"> index of learning styles in mandarin version. </w:t>
      </w:r>
      <w:r>
        <w:rPr>
          <w:rFonts w:asciiTheme="majorBidi" w:hAnsiTheme="majorBidi" w:cstheme="majorBidi"/>
          <w:i/>
          <w:iCs/>
          <w:color w:val="222222"/>
          <w:sz w:val="24"/>
          <w:szCs w:val="24"/>
          <w:shd w:val="clear" w:color="auto" w:fill="FFFFFF"/>
        </w:rPr>
        <w:t>Information Engineering Express</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1</w:t>
      </w:r>
      <w:r>
        <w:rPr>
          <w:rFonts w:asciiTheme="majorBidi" w:hAnsiTheme="majorBidi" w:cstheme="majorBidi"/>
          <w:color w:val="222222"/>
          <w:sz w:val="24"/>
          <w:szCs w:val="24"/>
          <w:shd w:val="clear" w:color="auto" w:fill="FFFFFF"/>
        </w:rPr>
        <w:t>(3), pp.1-8.</w:t>
      </w:r>
    </w:p>
    <w:p w14:paraId="550BA643"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 xml:space="preserve">Dunn, R. and </w:t>
      </w:r>
      <w:proofErr w:type="spellStart"/>
      <w:r>
        <w:rPr>
          <w:rFonts w:asciiTheme="majorBidi" w:hAnsiTheme="majorBidi" w:cstheme="majorBidi"/>
          <w:color w:val="222222"/>
          <w:sz w:val="24"/>
          <w:szCs w:val="24"/>
          <w:shd w:val="clear" w:color="auto" w:fill="FFFFFF"/>
        </w:rPr>
        <w:t>Honigsfeld</w:t>
      </w:r>
      <w:proofErr w:type="spellEnd"/>
      <w:r>
        <w:rPr>
          <w:rFonts w:asciiTheme="majorBidi" w:hAnsiTheme="majorBidi" w:cstheme="majorBidi"/>
          <w:color w:val="222222"/>
          <w:sz w:val="24"/>
          <w:szCs w:val="24"/>
          <w:shd w:val="clear" w:color="auto" w:fill="FFFFFF"/>
        </w:rPr>
        <w:t>, A., 2013, April. Learning styles: What we know and what we need. In </w:t>
      </w:r>
      <w:r>
        <w:rPr>
          <w:rFonts w:asciiTheme="majorBidi" w:hAnsiTheme="majorBidi" w:cstheme="majorBidi"/>
          <w:i/>
          <w:iCs/>
          <w:color w:val="222222"/>
          <w:sz w:val="24"/>
          <w:szCs w:val="24"/>
          <w:shd w:val="clear" w:color="auto" w:fill="FFFFFF"/>
        </w:rPr>
        <w:t>The Educational Forum</w:t>
      </w:r>
      <w:r>
        <w:rPr>
          <w:rFonts w:asciiTheme="majorBidi" w:hAnsiTheme="majorBidi" w:cstheme="majorBidi"/>
          <w:color w:val="222222"/>
          <w:sz w:val="24"/>
          <w:szCs w:val="24"/>
          <w:shd w:val="clear" w:color="auto" w:fill="FFFFFF"/>
        </w:rPr>
        <w:t> (Vol. 77, No. 2, pp. 225-232). Taylor &amp; Francis Group.</w:t>
      </w:r>
    </w:p>
    <w:p w14:paraId="3AF63F84"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 xml:space="preserve">Mortensen, C.J., Thoron, A.C. and </w:t>
      </w:r>
      <w:proofErr w:type="spellStart"/>
      <w:r>
        <w:rPr>
          <w:rFonts w:asciiTheme="majorBidi" w:hAnsiTheme="majorBidi" w:cstheme="majorBidi"/>
          <w:color w:val="222222"/>
          <w:sz w:val="24"/>
          <w:szCs w:val="24"/>
          <w:shd w:val="clear" w:color="auto" w:fill="FFFFFF"/>
        </w:rPr>
        <w:t>Miot</w:t>
      </w:r>
      <w:proofErr w:type="spellEnd"/>
      <w:r>
        <w:rPr>
          <w:rFonts w:asciiTheme="majorBidi" w:hAnsiTheme="majorBidi" w:cstheme="majorBidi"/>
          <w:color w:val="222222"/>
          <w:sz w:val="24"/>
          <w:szCs w:val="24"/>
          <w:shd w:val="clear" w:color="auto" w:fill="FFFFFF"/>
        </w:rPr>
        <w:t>, J.K., 2015. Current learning styles of undergraduate animal-studies students in a 2-year and 4-year degree program. </w:t>
      </w:r>
      <w:r>
        <w:rPr>
          <w:rFonts w:asciiTheme="majorBidi" w:hAnsiTheme="majorBidi" w:cstheme="majorBidi"/>
          <w:i/>
          <w:iCs/>
          <w:color w:val="222222"/>
          <w:sz w:val="24"/>
          <w:szCs w:val="24"/>
          <w:shd w:val="clear" w:color="auto" w:fill="FFFFFF"/>
        </w:rPr>
        <w:t>NACTA Journal</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59</w:t>
      </w:r>
      <w:r>
        <w:rPr>
          <w:rFonts w:asciiTheme="majorBidi" w:hAnsiTheme="majorBidi" w:cstheme="majorBidi"/>
          <w:color w:val="222222"/>
          <w:sz w:val="24"/>
          <w:szCs w:val="24"/>
          <w:shd w:val="clear" w:color="auto" w:fill="FFFFFF"/>
        </w:rPr>
        <w:t>(1), pp.75-80.</w:t>
      </w:r>
    </w:p>
    <w:p w14:paraId="13EF895E"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r>
        <w:rPr>
          <w:rFonts w:asciiTheme="majorBidi" w:hAnsiTheme="majorBidi" w:cstheme="majorBidi"/>
          <w:color w:val="222222"/>
          <w:sz w:val="24"/>
          <w:szCs w:val="24"/>
          <w:shd w:val="clear" w:color="auto" w:fill="FFFFFF"/>
        </w:rPr>
        <w:t xml:space="preserve">Strauss, V., 2013. Howard </w:t>
      </w:r>
      <w:proofErr w:type="spellStart"/>
      <w:proofErr w:type="gramStart"/>
      <w:r>
        <w:rPr>
          <w:rFonts w:asciiTheme="majorBidi" w:hAnsiTheme="majorBidi" w:cstheme="majorBidi"/>
          <w:color w:val="222222"/>
          <w:sz w:val="24"/>
          <w:szCs w:val="24"/>
          <w:shd w:val="clear" w:color="auto" w:fill="FFFFFF"/>
        </w:rPr>
        <w:t>Gardner:‘</w:t>
      </w:r>
      <w:proofErr w:type="gramEnd"/>
      <w:r>
        <w:rPr>
          <w:rFonts w:asciiTheme="majorBidi" w:hAnsiTheme="majorBidi" w:cstheme="majorBidi"/>
          <w:color w:val="222222"/>
          <w:sz w:val="24"/>
          <w:szCs w:val="24"/>
          <w:shd w:val="clear" w:color="auto" w:fill="FFFFFF"/>
        </w:rPr>
        <w:t>Multiple</w:t>
      </w:r>
      <w:proofErr w:type="spellEnd"/>
      <w:r>
        <w:rPr>
          <w:rFonts w:asciiTheme="majorBidi" w:hAnsiTheme="majorBidi" w:cstheme="majorBidi"/>
          <w:color w:val="222222"/>
          <w:sz w:val="24"/>
          <w:szCs w:val="24"/>
          <w:shd w:val="clear" w:color="auto" w:fill="FFFFFF"/>
        </w:rPr>
        <w:t xml:space="preserve"> intelligences’ are not ‘learning styles’. </w:t>
      </w:r>
      <w:r>
        <w:rPr>
          <w:rFonts w:asciiTheme="majorBidi" w:hAnsiTheme="majorBidi" w:cstheme="majorBidi"/>
          <w:i/>
          <w:iCs/>
          <w:color w:val="222222"/>
          <w:sz w:val="24"/>
          <w:szCs w:val="24"/>
          <w:shd w:val="clear" w:color="auto" w:fill="FFFFFF"/>
        </w:rPr>
        <w:t>The Washington Post</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16</w:t>
      </w:r>
      <w:r>
        <w:rPr>
          <w:rFonts w:asciiTheme="majorBidi" w:hAnsiTheme="majorBidi" w:cstheme="majorBidi"/>
          <w:color w:val="222222"/>
          <w:sz w:val="24"/>
          <w:szCs w:val="24"/>
          <w:shd w:val="clear" w:color="auto" w:fill="FFFFFF"/>
        </w:rPr>
        <w:t>.</w:t>
      </w:r>
    </w:p>
    <w:p w14:paraId="67758987"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proofErr w:type="spellStart"/>
      <w:r>
        <w:rPr>
          <w:rFonts w:asciiTheme="majorBidi" w:hAnsiTheme="majorBidi" w:cstheme="majorBidi"/>
          <w:color w:val="222222"/>
          <w:sz w:val="24"/>
          <w:szCs w:val="24"/>
          <w:shd w:val="clear" w:color="auto" w:fill="FFFFFF"/>
        </w:rPr>
        <w:t>Chooi</w:t>
      </w:r>
      <w:proofErr w:type="spellEnd"/>
      <w:r>
        <w:rPr>
          <w:rFonts w:asciiTheme="majorBidi" w:hAnsiTheme="majorBidi" w:cstheme="majorBidi"/>
          <w:color w:val="222222"/>
          <w:sz w:val="24"/>
          <w:szCs w:val="24"/>
          <w:shd w:val="clear" w:color="auto" w:fill="FFFFFF"/>
        </w:rPr>
        <w:t>, W.T., Long, H.E. and Thompson, L.A., 2014. The Sternberg triarchic abilities test (Level-H) is a measure of g. </w:t>
      </w:r>
      <w:r>
        <w:rPr>
          <w:rFonts w:asciiTheme="majorBidi" w:hAnsiTheme="majorBidi" w:cstheme="majorBidi"/>
          <w:i/>
          <w:iCs/>
          <w:color w:val="222222"/>
          <w:sz w:val="24"/>
          <w:szCs w:val="24"/>
          <w:shd w:val="clear" w:color="auto" w:fill="FFFFFF"/>
        </w:rPr>
        <w:t>Journal of Intelligence</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2</w:t>
      </w:r>
      <w:r>
        <w:rPr>
          <w:rFonts w:asciiTheme="majorBidi" w:hAnsiTheme="majorBidi" w:cstheme="majorBidi"/>
          <w:color w:val="222222"/>
          <w:sz w:val="24"/>
          <w:szCs w:val="24"/>
          <w:shd w:val="clear" w:color="auto" w:fill="FFFFFF"/>
        </w:rPr>
        <w:t>(3), pp.56-67.</w:t>
      </w:r>
    </w:p>
    <w:p w14:paraId="2329EA98" w14:textId="77777777" w:rsidR="00F13699" w:rsidRDefault="00F13699" w:rsidP="00F13699">
      <w:pPr>
        <w:spacing w:line="360" w:lineRule="auto"/>
        <w:jc w:val="both"/>
        <w:rPr>
          <w:rFonts w:asciiTheme="majorBidi" w:hAnsiTheme="majorBidi" w:cstheme="majorBidi"/>
          <w:color w:val="222222"/>
          <w:sz w:val="24"/>
          <w:szCs w:val="24"/>
          <w:shd w:val="clear" w:color="auto" w:fill="FFFFFF"/>
        </w:rPr>
      </w:pPr>
      <w:proofErr w:type="spellStart"/>
      <w:r>
        <w:rPr>
          <w:rFonts w:asciiTheme="majorBidi" w:hAnsiTheme="majorBidi" w:cstheme="majorBidi"/>
          <w:color w:val="222222"/>
          <w:sz w:val="24"/>
          <w:szCs w:val="24"/>
          <w:shd w:val="clear" w:color="auto" w:fill="FFFFFF"/>
        </w:rPr>
        <w:t>Husebø</w:t>
      </w:r>
      <w:proofErr w:type="spellEnd"/>
      <w:r>
        <w:rPr>
          <w:rFonts w:asciiTheme="majorBidi" w:hAnsiTheme="majorBidi" w:cstheme="majorBidi"/>
          <w:color w:val="222222"/>
          <w:sz w:val="24"/>
          <w:szCs w:val="24"/>
          <w:shd w:val="clear" w:color="auto" w:fill="FFFFFF"/>
        </w:rPr>
        <w:t xml:space="preserve">, S.E., </w:t>
      </w:r>
      <w:proofErr w:type="spellStart"/>
      <w:r>
        <w:rPr>
          <w:rFonts w:asciiTheme="majorBidi" w:hAnsiTheme="majorBidi" w:cstheme="majorBidi"/>
          <w:color w:val="222222"/>
          <w:sz w:val="24"/>
          <w:szCs w:val="24"/>
          <w:shd w:val="clear" w:color="auto" w:fill="FFFFFF"/>
        </w:rPr>
        <w:t>O'Regan</w:t>
      </w:r>
      <w:proofErr w:type="spellEnd"/>
      <w:r>
        <w:rPr>
          <w:rFonts w:asciiTheme="majorBidi" w:hAnsiTheme="majorBidi" w:cstheme="majorBidi"/>
          <w:color w:val="222222"/>
          <w:sz w:val="24"/>
          <w:szCs w:val="24"/>
          <w:shd w:val="clear" w:color="auto" w:fill="FFFFFF"/>
        </w:rPr>
        <w:t xml:space="preserve">, S. and </w:t>
      </w:r>
      <w:proofErr w:type="spellStart"/>
      <w:r>
        <w:rPr>
          <w:rFonts w:asciiTheme="majorBidi" w:hAnsiTheme="majorBidi" w:cstheme="majorBidi"/>
          <w:color w:val="222222"/>
          <w:sz w:val="24"/>
          <w:szCs w:val="24"/>
          <w:shd w:val="clear" w:color="auto" w:fill="FFFFFF"/>
        </w:rPr>
        <w:t>Nestel</w:t>
      </w:r>
      <w:proofErr w:type="spellEnd"/>
      <w:r>
        <w:rPr>
          <w:rFonts w:asciiTheme="majorBidi" w:hAnsiTheme="majorBidi" w:cstheme="majorBidi"/>
          <w:color w:val="222222"/>
          <w:sz w:val="24"/>
          <w:szCs w:val="24"/>
          <w:shd w:val="clear" w:color="auto" w:fill="FFFFFF"/>
        </w:rPr>
        <w:t>, D., 2015. Reflective practice and its role in simulation. </w:t>
      </w:r>
      <w:r>
        <w:rPr>
          <w:rFonts w:asciiTheme="majorBidi" w:hAnsiTheme="majorBidi" w:cstheme="majorBidi"/>
          <w:i/>
          <w:iCs/>
          <w:color w:val="222222"/>
          <w:sz w:val="24"/>
          <w:szCs w:val="24"/>
          <w:shd w:val="clear" w:color="auto" w:fill="FFFFFF"/>
        </w:rPr>
        <w:t>Clinical Simulation in Nursing</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11</w:t>
      </w:r>
      <w:r>
        <w:rPr>
          <w:rFonts w:asciiTheme="majorBidi" w:hAnsiTheme="majorBidi" w:cstheme="majorBidi"/>
          <w:color w:val="222222"/>
          <w:sz w:val="24"/>
          <w:szCs w:val="24"/>
          <w:shd w:val="clear" w:color="auto" w:fill="FFFFFF"/>
        </w:rPr>
        <w:t>(8), pp.368-375.</w:t>
      </w:r>
    </w:p>
    <w:p w14:paraId="1A1987F0" w14:textId="77777777" w:rsidR="00F13699" w:rsidRDefault="00F13699" w:rsidP="00F13699">
      <w:pPr>
        <w:spacing w:line="360" w:lineRule="auto"/>
        <w:jc w:val="both"/>
        <w:rPr>
          <w:rFonts w:asciiTheme="majorBidi" w:hAnsiTheme="majorBidi" w:cstheme="majorBidi"/>
          <w:sz w:val="24"/>
          <w:szCs w:val="24"/>
        </w:rPr>
      </w:pPr>
      <w:r>
        <w:rPr>
          <w:rFonts w:asciiTheme="majorBidi" w:hAnsiTheme="majorBidi" w:cstheme="majorBidi"/>
          <w:color w:val="222222"/>
          <w:sz w:val="24"/>
          <w:szCs w:val="24"/>
          <w:shd w:val="clear" w:color="auto" w:fill="FFFFFF"/>
        </w:rPr>
        <w:t>Dhaliwal, U., Singh, S. and Singh, N., 2018. Reflective student narratives: honing professionalism and empathy. </w:t>
      </w:r>
      <w:r>
        <w:rPr>
          <w:rFonts w:asciiTheme="majorBidi" w:hAnsiTheme="majorBidi" w:cstheme="majorBidi"/>
          <w:i/>
          <w:iCs/>
          <w:color w:val="222222"/>
          <w:sz w:val="24"/>
          <w:szCs w:val="24"/>
          <w:shd w:val="clear" w:color="auto" w:fill="FFFFFF"/>
        </w:rPr>
        <w:t>Indian J Med Ethics</w:t>
      </w:r>
      <w:r>
        <w:rPr>
          <w:rFonts w:asciiTheme="majorBidi" w:hAnsiTheme="majorBidi" w:cstheme="majorBidi"/>
          <w:color w:val="222222"/>
          <w:sz w:val="24"/>
          <w:szCs w:val="24"/>
          <w:shd w:val="clear" w:color="auto" w:fill="FFFFFF"/>
        </w:rPr>
        <w:t>, </w:t>
      </w:r>
      <w:r>
        <w:rPr>
          <w:rFonts w:asciiTheme="majorBidi" w:hAnsiTheme="majorBidi" w:cstheme="majorBidi"/>
          <w:i/>
          <w:iCs/>
          <w:color w:val="222222"/>
          <w:sz w:val="24"/>
          <w:szCs w:val="24"/>
          <w:shd w:val="clear" w:color="auto" w:fill="FFFFFF"/>
        </w:rPr>
        <w:t>3</w:t>
      </w:r>
      <w:r>
        <w:rPr>
          <w:rFonts w:asciiTheme="majorBidi" w:hAnsiTheme="majorBidi" w:cstheme="majorBidi"/>
          <w:color w:val="222222"/>
          <w:sz w:val="24"/>
          <w:szCs w:val="24"/>
          <w:shd w:val="clear" w:color="auto" w:fill="FFFFFF"/>
        </w:rPr>
        <w:t>(1), pp.9-15.</w:t>
      </w:r>
    </w:p>
    <w:p w14:paraId="50780B8D" w14:textId="77777777" w:rsidR="008F3AAB" w:rsidRDefault="008F3AAB"/>
    <w:sectPr w:rsidR="008F3AAB" w:rsidSect="00F13699">
      <w:headerReference w:type="default" r:id="rId7"/>
      <w:footerReference w:type="default" r:id="rId8"/>
      <w:pgSz w:w="11906" w:h="16838"/>
      <w:pgMar w:top="1440" w:right="1440" w:bottom="1440" w:left="1440"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DB2265" w14:textId="77777777" w:rsidR="006A43D0" w:rsidRDefault="006A43D0" w:rsidP="00F13699">
      <w:pPr>
        <w:spacing w:after="0" w:line="240" w:lineRule="auto"/>
      </w:pPr>
      <w:r>
        <w:separator/>
      </w:r>
    </w:p>
  </w:endnote>
  <w:endnote w:type="continuationSeparator" w:id="0">
    <w:p w14:paraId="197A2380" w14:textId="77777777" w:rsidR="006A43D0" w:rsidRDefault="006A43D0" w:rsidP="00F13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2803116"/>
      <w:docPartObj>
        <w:docPartGallery w:val="Page Numbers (Bottom of Page)"/>
        <w:docPartUnique/>
      </w:docPartObj>
    </w:sdtPr>
    <w:sdtEndPr>
      <w:rPr>
        <w:noProof/>
      </w:rPr>
    </w:sdtEndPr>
    <w:sdtContent>
      <w:p w14:paraId="7FCCFB21" w14:textId="7E895488" w:rsidR="00F13699" w:rsidRDefault="00F1369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9362E6" w14:textId="77777777" w:rsidR="00F13699" w:rsidRDefault="00F136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22A4A" w14:textId="77777777" w:rsidR="006A43D0" w:rsidRDefault="006A43D0" w:rsidP="00F13699">
      <w:pPr>
        <w:spacing w:after="0" w:line="240" w:lineRule="auto"/>
      </w:pPr>
      <w:r>
        <w:separator/>
      </w:r>
    </w:p>
  </w:footnote>
  <w:footnote w:type="continuationSeparator" w:id="0">
    <w:p w14:paraId="5A4AC889" w14:textId="77777777" w:rsidR="006A43D0" w:rsidRDefault="006A43D0" w:rsidP="00F13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113224" w14:textId="3A517822" w:rsidR="00F13699" w:rsidRDefault="00F13699">
    <w:pPr>
      <w:pStyle w:val="Header"/>
    </w:pPr>
  </w:p>
  <w:p w14:paraId="627A858B" w14:textId="1162137E" w:rsidR="00F13699" w:rsidRDefault="00F13699">
    <w:pPr>
      <w:pStyle w:val="Header"/>
    </w:pPr>
  </w:p>
  <w:p w14:paraId="7A92951F" w14:textId="646FC9FC" w:rsidR="00F13699" w:rsidRDefault="00F13699">
    <w:pPr>
      <w:pStyle w:val="Header"/>
    </w:pPr>
  </w:p>
  <w:p w14:paraId="2FA4AEFA" w14:textId="77777777" w:rsidR="00F13699" w:rsidRDefault="00F1369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84F3D"/>
    <w:multiLevelType w:val="hybridMultilevel"/>
    <w:tmpl w:val="1E2603E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21036459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7AC"/>
    <w:rsid w:val="005F07AC"/>
    <w:rsid w:val="006A43D0"/>
    <w:rsid w:val="008F3AAB"/>
    <w:rsid w:val="00915E53"/>
    <w:rsid w:val="009A2463"/>
    <w:rsid w:val="00F136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E8BD4"/>
  <w15:chartTrackingRefBased/>
  <w15:docId w15:val="{BA4BCB21-BF32-4813-AF6E-F2AAF779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699"/>
    <w:pPr>
      <w:spacing w:after="200" w:line="276" w:lineRule="auto"/>
    </w:pPr>
    <w:rPr>
      <w:kern w:val="0"/>
      <w:lang w:val="en-US"/>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3699"/>
    <w:pPr>
      <w:ind w:left="720"/>
      <w:contextualSpacing/>
    </w:pPr>
  </w:style>
  <w:style w:type="paragraph" w:styleId="Header">
    <w:name w:val="header"/>
    <w:basedOn w:val="Normal"/>
    <w:link w:val="HeaderChar"/>
    <w:uiPriority w:val="99"/>
    <w:unhideWhenUsed/>
    <w:rsid w:val="00F13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13699"/>
    <w:rPr>
      <w:kern w:val="0"/>
      <w:lang w:val="en-US"/>
      <w14:ligatures w14:val="none"/>
    </w:rPr>
  </w:style>
  <w:style w:type="paragraph" w:styleId="Footer">
    <w:name w:val="footer"/>
    <w:basedOn w:val="Normal"/>
    <w:link w:val="FooterChar"/>
    <w:uiPriority w:val="99"/>
    <w:unhideWhenUsed/>
    <w:rsid w:val="00F13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13699"/>
    <w:rPr>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433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Pages>
  <Words>2215</Words>
  <Characters>12630</Characters>
  <Application>Microsoft Office Word</Application>
  <DocSecurity>0</DocSecurity>
  <Lines>105</Lines>
  <Paragraphs>29</Paragraphs>
  <ScaleCrop>false</ScaleCrop>
  <Company/>
  <LinksUpToDate>false</LinksUpToDate>
  <CharactersWithSpaces>14816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dc:creator>
  <cp:keywords/>
  <dc:description/>
  <cp:lastModifiedBy>Andreea</cp:lastModifiedBy>
  <cp:revision>4</cp:revision>
  <dcterms:created xsi:type="dcterms:W3CDTF">2023-03-27T00:03:00Z</dcterms:created>
  <dcterms:modified xsi:type="dcterms:W3CDTF">2023-03-27T00:13:00Z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8211e90a67fcee5666f3fd39df17a6c6935a936ff14c542ae00b594f274e285b</vt:lpwstr>
  </property>
</Properties>
</file>