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DF6661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96E07">
              <w:rPr>
                <w:rFonts w:ascii="Times New Roman" w:hAnsi="Times New Roman" w:cs="Times New Roman"/>
                <w:b/>
                <w:color w:val="auto"/>
                <w:sz w:val="48"/>
              </w:rPr>
              <w:t>Sian Louise Lloyd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ABC89F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96E07">
              <w:rPr>
                <w:rFonts w:ascii="Times New Roman" w:hAnsi="Times New Roman" w:cs="Times New Roman"/>
                <w:b/>
                <w:color w:val="auto"/>
                <w:sz w:val="48"/>
              </w:rPr>
              <w:t xml:space="preserve"> sian.druce@hotmail.co.uk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E04F1AB"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96E07">
              <w:rPr>
                <w:rFonts w:ascii="Times New Roman" w:hAnsi="Times New Roman" w:cs="Times New Roman"/>
                <w:b/>
                <w:color w:val="auto"/>
                <w:sz w:val="48"/>
              </w:rPr>
              <w:t xml:space="preserve"> </w:t>
            </w:r>
          </w:p>
          <w:p w14:paraId="11347FB3" w14:textId="13CECAC5" w:rsidR="00196E07" w:rsidRPr="005D3F07" w:rsidRDefault="00196E0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2225846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2DC2F24" w14:textId="24094196" w:rsidR="00D3203C" w:rsidRDefault="00D3203C" w:rsidP="00FF7EBB">
            <w:pPr>
              <w:jc w:val="both"/>
              <w:rPr>
                <w:i/>
                <w:sz w:val="24"/>
                <w:szCs w:val="24"/>
              </w:rPr>
            </w:pPr>
          </w:p>
          <w:p w14:paraId="215FB3E1" w14:textId="77777777" w:rsidR="00196E07" w:rsidRDefault="00196E07" w:rsidP="00196E07">
            <w:r>
              <w:t xml:space="preserve">The purpose of the following section is to critically analyse a case study where an assessment has taken place in partnership with others due to safeguarding concerns being raised. The individual being discussed throughout the case study will be referred to as ‘2’, to ensure their identity remains confidential. 2 is considered an adult at risk and become known to services because of several police safeguarding reports. </w:t>
            </w:r>
          </w:p>
          <w:p w14:paraId="6F848D1C" w14:textId="77777777" w:rsidR="00196E07" w:rsidRDefault="00196E07" w:rsidP="00196E07"/>
          <w:p w14:paraId="4B266B39" w14:textId="77777777" w:rsidR="00196E07" w:rsidRDefault="00196E07" w:rsidP="00196E07">
            <w:r w:rsidRPr="0006204B">
              <w:t xml:space="preserve">The underpinning legislation within Wales </w:t>
            </w:r>
            <w:proofErr w:type="gramStart"/>
            <w:r w:rsidRPr="0006204B">
              <w:t>that local authorities</w:t>
            </w:r>
            <w:proofErr w:type="gramEnd"/>
            <w:r w:rsidRPr="0006204B">
              <w:t xml:space="preserve"> follow in cases where safeguarding concerns are raised, is the Social Services and Wellbeing (Wales) Act (2014) (SSWBA). Under section 7 of the SSWBA, it clearly defines the term ‘adult at risk’ as an adult experiencing or is at risk of abuse and neglect, has care and support needs and because of those needs are unable to protect themselves. By using the term ‘at risk’, abuse does not have to occur before a safeguarding report can be completed and promotes early interventions of practitioners. </w:t>
            </w:r>
          </w:p>
          <w:p w14:paraId="1BEC53E2" w14:textId="77777777" w:rsidR="00196E07" w:rsidRPr="0006204B" w:rsidRDefault="00196E07" w:rsidP="00196E07"/>
          <w:p w14:paraId="545AC756" w14:textId="77777777" w:rsidR="00196E07" w:rsidRDefault="00196E07" w:rsidP="00196E07">
            <w:proofErr w:type="gramStart"/>
            <w:r w:rsidRPr="0006204B">
              <w:t>The implementation of the Wales Safeguarding Procedures (20</w:t>
            </w:r>
            <w:r>
              <w:t>20</w:t>
            </w:r>
            <w:r w:rsidRPr="0006204B">
              <w:t>),</w:t>
            </w:r>
            <w:proofErr w:type="gramEnd"/>
            <w:r w:rsidRPr="0006204B">
              <w:t xml:space="preserve"> enables practitioners and their managers to apply the legislative requirements of the SSWBA and improve person-centred outcomes for adults at risk of abuse and neglect. The procedures also recognise other relevant legislations that are linked to the safeguarding of adults, alongside the statutory safeguarding guidance ‘Working Together to Safeguard People (2012). WSP (2019) defines the term safeguarding as ‘preventing and protecting children and adults at risk from abuse or neglect and educating those around them to recognise the signs and </w:t>
            </w:r>
            <w:proofErr w:type="gramStart"/>
            <w:r w:rsidRPr="0006204B">
              <w:t>dangers’</w:t>
            </w:r>
            <w:proofErr w:type="gramEnd"/>
            <w:r w:rsidRPr="0006204B">
              <w:t xml:space="preserve">. </w:t>
            </w:r>
          </w:p>
          <w:p w14:paraId="399E1DF6" w14:textId="77777777" w:rsidR="00196E07" w:rsidRPr="0006204B" w:rsidRDefault="00196E07" w:rsidP="00196E07"/>
          <w:p w14:paraId="01F0398B" w14:textId="77777777" w:rsidR="00196E07" w:rsidRDefault="00196E07" w:rsidP="00196E07">
            <w:r w:rsidRPr="0006204B">
              <w:t xml:space="preserve">2 is a female over the age of 18 years, currently residing in a small coastal town, which is considered a rural area. 2’s language choice is </w:t>
            </w:r>
            <w:proofErr w:type="gramStart"/>
            <w:r w:rsidRPr="0006204B">
              <w:t>English,</w:t>
            </w:r>
            <w:proofErr w:type="gramEnd"/>
            <w:r w:rsidRPr="0006204B">
              <w:t xml:space="preserve"> however, her first language is Welsh (active offer, Welsh language measure 2011) and would be important to consider language sensitivity and language choice in times of distress and crisis to ensure effective communication between 2 and professionals (</w:t>
            </w:r>
            <w:r>
              <w:t>Hardy, 2017</w:t>
            </w:r>
            <w:r w:rsidRPr="0006204B">
              <w:t xml:space="preserve">) and capturing the voice, choice and views of 2 during conversations (SCW, </w:t>
            </w:r>
            <w:r>
              <w:t>2017</w:t>
            </w:r>
            <w:r w:rsidRPr="0006204B">
              <w:t>).</w:t>
            </w:r>
          </w:p>
          <w:p w14:paraId="77DC2E6F" w14:textId="77777777" w:rsidR="00196E07" w:rsidRPr="0006204B" w:rsidRDefault="00196E07" w:rsidP="00196E07"/>
          <w:p w14:paraId="54EE4738" w14:textId="77777777" w:rsidR="00196E07" w:rsidRDefault="00196E07" w:rsidP="00196E07">
            <w:r>
              <w:lastRenderedPageBreak/>
              <w:t xml:space="preserve">The initial safeguarding concerns were raised from police, who attended several incidents of domestic abuse, where 2 had contacted them to report her partner at the time as the perpetrator of the domestic abuse. 2 would retract her initial statements and it was becoming unclear if she were able to protect herself from potential harm and abuse. SSWBA (2014) outlines the types of abuse as; physical, emotional, sexual, financial and neglect, with reference being made to domestic abuse, modern </w:t>
            </w:r>
            <w:proofErr w:type="gramStart"/>
            <w:r>
              <w:t>slavery</w:t>
            </w:r>
            <w:proofErr w:type="gramEnd"/>
            <w:r>
              <w:t xml:space="preserve"> and discrimination. For 2, domestic abuse that consisted of physical, financial, and emotional abuse were the forthcoming safeguarding concerns. </w:t>
            </w:r>
          </w:p>
          <w:p w14:paraId="542F19AB" w14:textId="77777777" w:rsidR="00196E07" w:rsidRDefault="00196E07" w:rsidP="00196E07"/>
          <w:p w14:paraId="2DF8854C" w14:textId="77777777" w:rsidR="00196E07" w:rsidRDefault="00196E07" w:rsidP="00196E07">
            <w:r>
              <w:t xml:space="preserve">Wales safeguarding procedures outline the duty to report concerns relating to adults who may be a risk of abuse. Police raised the concern, which was screened by the safeguarding lead to establish the nature of the concerns and decide if further action is needed at this time, if continued case work is the best option or no further action needed.  WSP outline the importance of addressing each the safeguarding report individually and establishing if further investigations are needed from each report, to ensure the citizen is being protected. </w:t>
            </w:r>
          </w:p>
          <w:p w14:paraId="321E75B9" w14:textId="77777777" w:rsidR="00196E07" w:rsidRDefault="00196E07" w:rsidP="00196E07"/>
          <w:p w14:paraId="55970E20" w14:textId="77777777" w:rsidR="00196E07" w:rsidRDefault="00196E07" w:rsidP="00196E07">
            <w:r>
              <w:t xml:space="preserve">For 2, it was decided the case would be discussed at the multi-agency safeguarding hub (MASH) within the local authority, as the strategy discussion to establish what would be the next steps in safeguarding her. Article two of the Human Rights Act (1998) (HRA), protects ‘the right to life’ meaning no one (including government) can try to end someone’s life. The safeguarding procedures work in conjunction with the HRA (98), at the national level of XXX safeguarding board (2020) and structural levels within local authorities with the safeguarding leads, by putting steps into place to protect the lives of those who are vulnerable and considered at risk of abuse or neglect. With statistics showing domestic abuse and death of a victim at the hands of the perpetrator is on average 2 women each week (Refuge, 2017), therefore, earlier interventions are key to safeguarding and reducing risk of death in domestic abuse cases. </w:t>
            </w:r>
          </w:p>
          <w:p w14:paraId="1F05CC40" w14:textId="77777777" w:rsidR="00196E07" w:rsidRDefault="00196E07" w:rsidP="00196E07"/>
          <w:p w14:paraId="3C7978EF" w14:textId="77777777" w:rsidR="00196E07" w:rsidRDefault="00196E07" w:rsidP="00196E07">
            <w:r>
              <w:t xml:space="preserve">For 2, the risk of being harmed by her partner, perpetrator of domestic abuse has continued to increase and prompted the concerns to be discussed within a Multi-Agency Risk Assessment Conference (MARAC) (2017), to establish ways of protecting 2. The outcome of the meetings was to offer services to 2, which would support her in recognising domestic abuse and where to ask for further support. 2 has not wished to engage with professionals associated with domestic abuse support and felt her only support network was family and her partner. In contrast to article 2 of the HRA (1998) article 8 outlines the right to privacy through respecting ones private and family life, meaning 2 has the right to decline and not engage with services offered. </w:t>
            </w:r>
          </w:p>
          <w:p w14:paraId="1B213FD2" w14:textId="77777777" w:rsidR="00196E07" w:rsidRDefault="00196E07" w:rsidP="00196E07"/>
          <w:p w14:paraId="659A0A58" w14:textId="77777777" w:rsidR="00196E07" w:rsidRDefault="00196E07" w:rsidP="00196E07">
            <w:r>
              <w:t xml:space="preserve">Although the Human Rights Act (1998) acknowledges the ‘right to life’ meaning service involvement would ensure the safety of the citizen via safeguarding procedures, the HRA (1998), also states the ‘right to family life’. in essence this can be viewed as contradictory for practitioners attempting to support adults at risk, as this means they are able to refuse (in their own right) care and support or involvement from professionals. Ethical dilemmas such as this, where the right to life would mean protecting the adult at risk and the right to family life and peace, where they can refuse support increasing the complexities associated with such cases. As this was the case with 2, reflecting on such ethical dilemmas within supervision, enabled me to source ways of working that would reduce the dilemma (Banks, 2021). </w:t>
            </w:r>
          </w:p>
          <w:p w14:paraId="618BAE81" w14:textId="77777777" w:rsidR="00196E07" w:rsidRDefault="00196E07" w:rsidP="00196E07"/>
          <w:p w14:paraId="46B27137" w14:textId="77777777" w:rsidR="00196E07" w:rsidRDefault="00196E07" w:rsidP="00196E07">
            <w:r>
              <w:t xml:space="preserve">As meetings were already taking place regarding 2 and her safety, voicing my concerns in relation to the ethical dilemmas associated with the laws, meant multi-agencies could essentially advice on what steps could be taken next. Gaining additional knowledge into the laws through more case discussions with legal representatives within the local authority, ensured I knew what laws were applicable and where. As I am an accountable professional, and decision-making in complex safeguarding cases would be needed, I was able to confidently work within my role knowing I had the additional support from the legal representatives within the local authority. </w:t>
            </w:r>
          </w:p>
          <w:p w14:paraId="46AE2977" w14:textId="77777777" w:rsidR="00196E07" w:rsidRDefault="00196E07" w:rsidP="00196E07"/>
          <w:p w14:paraId="227995F2" w14:textId="77777777" w:rsidR="00196E07" w:rsidRDefault="00196E07" w:rsidP="00196E07">
            <w:r w:rsidRPr="0023754A">
              <w:t>During my involvement I was part of the safeguarding conversations that were taking place and 2 was still being discussed in MASH every few months. Even though these strategy meetings were done, the risks of 2 being physically, emotionally, and financially abused were not decreasing. 2 was continuing to engage in risky behaviours, quickly beginning new relationships with perpetrators of domestic abuse and misusing both legal and illegal substances. To gain the views of 2 and better understand her circumstances and choices she was making, my role was to revisit previous assessments to review and complete a new comprehensive assessment of care and support needs, risk assessments, capacity assessments and safety planning alongside other agencies involved.</w:t>
            </w:r>
          </w:p>
          <w:p w14:paraId="2D7A24FB" w14:textId="77777777" w:rsidR="00196E07" w:rsidRPr="0023754A" w:rsidRDefault="00196E07" w:rsidP="00196E07"/>
          <w:p w14:paraId="41E97046" w14:textId="77777777" w:rsidR="00196E07" w:rsidRDefault="00196E07" w:rsidP="00196E07">
            <w:r w:rsidRPr="0023754A">
              <w:t xml:space="preserve">Milner et al (2020) acknowledge how assessments within social work is exploration of the situation via a five-stage process; preparation, collecting data, applying knowledge, making judgements and decision-making. When starting my assessment to establish what care and support would be needed to safeguard her, these five stages were applicable to understanding her circumstances. In preparation of completing a comprehensive assessment with 2, I read through all her notes to better understand limitations of engagement with past professionals and found that previous assessments from multi-agencies, risks were the focus, as opposed to outcomes. Outcome focussed approaches enable the citizen to identify what is important to them and have clear outcomes to work toward which will fall under ‘change, maintenance or process’, depending on their outcome, and in turn can improve engagement (community care, 2007). </w:t>
            </w:r>
          </w:p>
          <w:p w14:paraId="33850506" w14:textId="77777777" w:rsidR="00196E07" w:rsidRPr="0023754A" w:rsidRDefault="00196E07" w:rsidP="00196E07"/>
          <w:p w14:paraId="111E779F" w14:textId="77777777" w:rsidR="00196E07" w:rsidRDefault="00196E07" w:rsidP="00196E07">
            <w:r w:rsidRPr="0023754A">
              <w:t xml:space="preserve"> An initial what matters conversation with 2 (SSWBA, part 2), identified that she did want help and support, but found it difficult to express how she was feeling and what support she wanted due to her life involving many complexities. Part of my role was to directly work with 2 as part of her assessment, to understand her circumstances and as part of my decision making, involve services or resources that will encourage, advocate, support, and safeguard 2. </w:t>
            </w:r>
          </w:p>
          <w:p w14:paraId="58DFCA54" w14:textId="77777777" w:rsidR="00196E07" w:rsidRPr="0023754A" w:rsidRDefault="00196E07" w:rsidP="00196E07"/>
          <w:p w14:paraId="1C61E1DE" w14:textId="77777777" w:rsidR="00196E07" w:rsidRDefault="00196E07" w:rsidP="00196E07">
            <w:r w:rsidRPr="0023754A">
              <w:t>As communication is key to gathering information and building rapport with citizens (</w:t>
            </w:r>
            <w:proofErr w:type="spellStart"/>
            <w:r>
              <w:t>Wilshiere</w:t>
            </w:r>
            <w:proofErr w:type="spellEnd"/>
            <w:r>
              <w:t>, 2021</w:t>
            </w:r>
            <w:r w:rsidRPr="0023754A">
              <w:t>), understanding that 2 found it difficult to express and explain her life, approaching a discussion around her background, childhood and life now needed to take a different approach rather than just asking questions. Assessments explore all aspects of an individual’s life to help practitioners identify the right resources, underpinning theories, and approaches to take to ensure support is person centred (M</w:t>
            </w:r>
            <w:r>
              <w:t>ac</w:t>
            </w:r>
            <w:r w:rsidRPr="0023754A">
              <w:t xml:space="preserve">lean, </w:t>
            </w:r>
            <w:r>
              <w:t>2015</w:t>
            </w:r>
            <w:r w:rsidRPr="0023754A">
              <w:t>). By utilising creativ</w:t>
            </w:r>
            <w:r>
              <w:t>ity within assessments</w:t>
            </w:r>
            <w:r w:rsidRPr="0023754A">
              <w:t xml:space="preserve"> </w:t>
            </w:r>
            <w:r>
              <w:t xml:space="preserve">citizens can find it easier to express feelings, voice their wants and wishes and promote co-production. </w:t>
            </w:r>
          </w:p>
          <w:p w14:paraId="7222C3F5" w14:textId="77777777" w:rsidR="00196E07" w:rsidRPr="0023754A" w:rsidRDefault="00196E07" w:rsidP="00196E07"/>
          <w:p w14:paraId="3AC484B1" w14:textId="77777777" w:rsidR="00196E07" w:rsidRDefault="00196E07" w:rsidP="00196E07">
            <w:r w:rsidRPr="0023754A">
              <w:t xml:space="preserve">2 found that through poetry she was able to </w:t>
            </w:r>
            <w:r>
              <w:t>talk about how she was feeling</w:t>
            </w:r>
            <w:r w:rsidRPr="0023754A">
              <w:t xml:space="preserve"> without the need to verbally talk to a professional. Within 2’s poetry she acknowledged how her substance misuse was something she thought she needed help with as a priority. 2 made little reference to the domestic abusive relationships she has been in but acknowledged partners and family as her key support network.</w:t>
            </w:r>
            <w:r>
              <w:t xml:space="preserve"> Putting into context the safeguarding concerns of the professionals being around domestic abuse and 2 stating her concerns as being substance misuse, there was a clear difference in opinions. </w:t>
            </w:r>
          </w:p>
          <w:p w14:paraId="2023495A" w14:textId="77777777" w:rsidR="00196E07" w:rsidRDefault="00196E07" w:rsidP="00196E07"/>
          <w:p w14:paraId="04C1CD60" w14:textId="77777777" w:rsidR="00196E07" w:rsidRDefault="00196E07" w:rsidP="00196E07">
            <w:r w:rsidRPr="0023754A">
              <w:t xml:space="preserve">By 2 expressing herself through poetry and letting me read them, I was able to ask questions of clarity and delve deeper into why things were important to her and other not. The use of open-ended questions or phrases meant 2 would respond in more detail and an open and honest conversation took place. As I wished to understand more of the substance misuse and how that started and impacted on 2’s life, she expressed concerns of self-harming as another way of dealing with her </w:t>
            </w:r>
            <w:r>
              <w:t xml:space="preserve">low moods </w:t>
            </w:r>
            <w:r w:rsidRPr="0023754A">
              <w:t xml:space="preserve">and anxiety. I was able to voice my concerns to 2 and how, in my professional opinion and judgement, felt her complexities and vulnerabilities, due to substance misuse and self-harm could negatively impact on her </w:t>
            </w:r>
            <w:r>
              <w:t xml:space="preserve">wellbeing. 2 felt she was not able to cope with daily stressors and finding ways of managing her anxieties and low moods was becoming increasingly difficult. </w:t>
            </w:r>
          </w:p>
          <w:p w14:paraId="19F0A0E3" w14:textId="77777777" w:rsidR="00196E07" w:rsidRDefault="00196E07" w:rsidP="00196E07"/>
          <w:p w14:paraId="3F58E31B" w14:textId="77777777" w:rsidR="00196E07" w:rsidRDefault="00196E07" w:rsidP="00196E07">
            <w:r>
              <w:t xml:space="preserve">Due to the complexities of the case, I discussed within a supervision session which gave me the opportunity to explore what mattered to 2 and my professional decision-making for the next steps. Supervision provided me the space and time to reflect on my practice (Taylor, 2013), with my strengths being highlighted as the creativity to communication via poetry and my limitations, in the aspect of not being aware how best to move forwards to ensure 2’s outcomes could be met, whilst also safeguarding her. We discussed areas of where my knowledge needed developing, to make my decision-making more effective for 2. We discussed the Self-neglect protocol (2017) and how 2’s self-harming, substance misuse which causes the inability to protect finances and meet basic care needs, could be viewed as a form of self-neglect. </w:t>
            </w:r>
          </w:p>
          <w:p w14:paraId="500D56F4" w14:textId="77777777" w:rsidR="00196E07" w:rsidRDefault="00196E07" w:rsidP="00196E07"/>
          <w:p w14:paraId="2ACDA7CF" w14:textId="77777777" w:rsidR="00196E07" w:rsidRDefault="00196E07" w:rsidP="00196E07">
            <w:r>
              <w:t xml:space="preserve">Social Care Institute (2018) acknowledged the difficulties of engaging citizens who self-neglect for the purpose of offering support and achieving outcomes. This can be due to the complexities within someone’s circumstances and therefore, when trying to engage citizens it must be done without causing distress and being aware of professional’s limitations. As 2 had various professionals already involved, based on my professional judgements it was unclear what roles each person was undertaking and unclear if other services </w:t>
            </w:r>
            <w:r>
              <w:lastRenderedPageBreak/>
              <w:t xml:space="preserve">would be more appropriate. In line with self-neglect protocol of safeguarding, I requested a multi-disciplinary team (MDT) meeting under the protocol for all professionals working with 2, past or current, to attend, so a discussion could take place regarding the appropriate steps to take in safeguarding 2. </w:t>
            </w:r>
          </w:p>
          <w:p w14:paraId="2EAB6985" w14:textId="77777777" w:rsidR="00196E07" w:rsidRDefault="00196E07" w:rsidP="00196E07"/>
          <w:p w14:paraId="00FBEB70" w14:textId="77777777" w:rsidR="00196E07" w:rsidRDefault="00196E07" w:rsidP="00196E07">
            <w:r>
              <w:t xml:space="preserve">As 2 had frequent contact with myself, I was able to explain to purpose of the MDT under self-neglect protocol based on not only the concerns of the professionals, but also the outcomes 2 wanted to achieve and the barriers to achieving these based on her views, including the substance misuse and the want for support with this. As with strategy discussions, MDT meeting provide a range of professionals with a range skills and knowledge that come together as part of the decision-making process in more complex cases (Wales Government, 2020). By doing so, it places the accountability onto </w:t>
            </w:r>
            <w:proofErr w:type="gramStart"/>
            <w:r>
              <w:t>all of</w:t>
            </w:r>
            <w:proofErr w:type="gramEnd"/>
            <w:r>
              <w:t xml:space="preserve"> the professionals involved and within the case of 2, inviting her to the MDT meetings would ensure her voice is heard and remains at the centre of the discussions and outcomes as opposed to just the professional’s opinions. </w:t>
            </w:r>
          </w:p>
          <w:p w14:paraId="5B83CC2D" w14:textId="77777777" w:rsidR="00196E07" w:rsidRDefault="00196E07" w:rsidP="00196E07"/>
          <w:p w14:paraId="6A3CC5CB" w14:textId="77777777" w:rsidR="00196E07" w:rsidRDefault="00196E07" w:rsidP="00196E07">
            <w:r>
              <w:t xml:space="preserve">Due to the nature of the MDT meetings being predominantly professionals, 2 declined the offer of attending the meeting and she felt it would be overwhelming so she would not feel comfortable voicing her views. Cohen (1998) explored how power imbalances in such circumstances can be the barrier to citizens actively being involved. As the chair and social worker for 2, anticipating how this could impact on 2 if she attends and the </w:t>
            </w:r>
            <w:proofErr w:type="gramStart"/>
            <w:r>
              <w:t>approaches</w:t>
            </w:r>
            <w:proofErr w:type="gramEnd"/>
            <w:r>
              <w:t xml:space="preserve"> I can take to reduce power in-balances. As 2’s the expert in her own life and would know the best way for professionals to approach situations, having her input was significant in being able to offer the services in which she would accept (SCW, 2017). Offering advocacy would enable 2’s voice to be heard during the meetings, without her presence, however, 2 felt she already had too many professionals involved and therefore, declined. Myself and 2 decided that meeting prior and after the meetings, would allow me to advocate on her behalf and this was the approach taken. </w:t>
            </w:r>
          </w:p>
          <w:p w14:paraId="387CF42F" w14:textId="77777777" w:rsidR="00196E07" w:rsidRDefault="00196E07" w:rsidP="00196E07"/>
          <w:p w14:paraId="2CB07715" w14:textId="77777777" w:rsidR="00196E07" w:rsidRDefault="00196E07" w:rsidP="00196E07">
            <w:r>
              <w:t xml:space="preserve">With the MDT meetings under self-neglect protocol arranged, my role would be to chair the meeting as the professional who raised the initial safeguarding concerns for self-neglect. Although I had already anticipated power imbalances of 2 being involved within the meetings, I researched into how power-in balances can occur between professionals, resulting in some professionals not being heard during the meetings (TPI, 2018). As such the approach taken in the meetings, would provide time for updates from each professional, to ensure no professional expertise were being missed. </w:t>
            </w:r>
          </w:p>
          <w:p w14:paraId="08D52977" w14:textId="77777777" w:rsidR="00196E07" w:rsidRDefault="00196E07" w:rsidP="00196E07"/>
          <w:p w14:paraId="74A45C9F" w14:textId="77777777" w:rsidR="00196E07" w:rsidRDefault="00196E07" w:rsidP="00196E07">
            <w:r>
              <w:t xml:space="preserve">The MDT meetings would provide time for discussions to take place and share relevant information, so I could be aware of what professionals were already doing and what other actions could be implemented, with the agreement of everyone else. The sharing of information is significant within safeguarding as it ensures everyone is aware of the current circumstances and presenting issues. Information shared with whom and when can have a profound impact on the individual’s life. In the arena of safeguarding and such approaches as MDT meetings, information sharing can ensure the individual receives the right support from the right agency and reduce or prevent further risk to adults (Gov, 2018). </w:t>
            </w:r>
          </w:p>
          <w:p w14:paraId="608227E9" w14:textId="77777777" w:rsidR="00196E07" w:rsidRDefault="00196E07" w:rsidP="00196E07"/>
          <w:p w14:paraId="7C420210" w14:textId="77777777" w:rsidR="00196E07" w:rsidRDefault="00196E07" w:rsidP="00196E07">
            <w:r>
              <w:t xml:space="preserve">The MDT meetings regarding 2, have also shed light on the lack of engagement and conversations took place on how to best to engage 2. Consideration has been taken of limitations to interventions and the ethical dilemmas of respecting autonomy and the duty of care professionals have (Self-neglect Protocol) and how we move forwards with 2 best interests at the centre. Reflecting on similar cases can help practitioners learn from past events and ways of working the decrease or prevent further. Such cases can be found in Adult Practice Reviews (APR), where adults have been at increased risk or outcomes of death.  </w:t>
            </w:r>
          </w:p>
          <w:p w14:paraId="0B5619A6" w14:textId="77777777" w:rsidR="00196E07" w:rsidRDefault="00196E07" w:rsidP="00196E07"/>
          <w:p w14:paraId="0122B646" w14:textId="77777777" w:rsidR="00196E07" w:rsidRDefault="00196E07" w:rsidP="00196E07">
            <w:r>
              <w:t xml:space="preserve">Under part 7 of SSWBA (2014), the implementation of the framework ‘Working together to safeguard people’ Volume 3 discusses the APR. Where a practice case review is required, there is a </w:t>
            </w:r>
            <w:proofErr w:type="gramStart"/>
            <w:r>
              <w:t>criteria</w:t>
            </w:r>
            <w:proofErr w:type="gramEnd"/>
            <w:r>
              <w:t xml:space="preserve"> in which needs to </w:t>
            </w:r>
            <w:proofErr w:type="spellStart"/>
            <w:r>
              <w:t>met</w:t>
            </w:r>
            <w:proofErr w:type="spellEnd"/>
            <w:r>
              <w:t xml:space="preserve"> under the ‘Safeguarding Boards (Functions and Procedures) (Wales) Regulations (2015) prior to APR taking place. The sole purpose of an APR is to identify preventive steps that can be taken to achieve improvements from a multi-agency perspective and learn from </w:t>
            </w:r>
            <w:proofErr w:type="gramStart"/>
            <w:r>
              <w:t>particular complex</w:t>
            </w:r>
            <w:proofErr w:type="gramEnd"/>
            <w:r>
              <w:t xml:space="preserve"> cases (XXX Safeguarding Board). With 2, in the MDT meetings held, an adult safeguarding lead within the local authority also attends, where they </w:t>
            </w:r>
            <w:proofErr w:type="gramStart"/>
            <w:r>
              <w:t>are able to</w:t>
            </w:r>
            <w:proofErr w:type="gramEnd"/>
            <w:r>
              <w:t xml:space="preserve"> advise on practice learning of APR’s, with the view of preventing further risk of serious harm. </w:t>
            </w:r>
          </w:p>
          <w:p w14:paraId="2BB73B0D" w14:textId="77777777" w:rsidR="00196E07" w:rsidRDefault="00196E07" w:rsidP="00196E07"/>
          <w:p w14:paraId="2F612E3A" w14:textId="77777777" w:rsidR="00196E07" w:rsidRDefault="00196E07" w:rsidP="00196E07">
            <w:r>
              <w:lastRenderedPageBreak/>
              <w:t xml:space="preserve">The MDT meeting established an action plan for the professionals involved. My role in this would be to continue with my assessment in better understanding 2’s childhood into adulthood. Whisman (2006) looked at how childhood traumas can later impact on adulthood and when linking to ‘self-fulling prophecy’ (Sternberg, 2011). </w:t>
            </w:r>
            <w:proofErr w:type="gramStart"/>
            <w:r>
              <w:t>Through the use of</w:t>
            </w:r>
            <w:proofErr w:type="gramEnd"/>
            <w:r>
              <w:t xml:space="preserve"> ‘story telling’ 2 told gave indicators of how her life has been through her own words and views on situations. At a young age 2 was a victim of sexual abuse from a family member, and growing up in a rural Welsh community, reporting to the police was not an option. Mesko (2020) </w:t>
            </w:r>
            <w:proofErr w:type="gramStart"/>
            <w:r>
              <w:t>looked into</w:t>
            </w:r>
            <w:proofErr w:type="gramEnd"/>
            <w:r>
              <w:t xml:space="preserve"> criminal activities going unreported as rural and close-net communities would deal with such criminal activity between themselves and in the case of 2, this is what occurred. Although other family members did intervene, 2 felt let down from who she thought was her support network and told to not speak of the incident again. </w:t>
            </w:r>
          </w:p>
          <w:p w14:paraId="3E373782" w14:textId="77777777" w:rsidR="00196E07" w:rsidRDefault="00196E07" w:rsidP="00196E07"/>
          <w:p w14:paraId="67593C8B" w14:textId="77777777" w:rsidR="00196E07" w:rsidRDefault="00196E07" w:rsidP="00196E07">
            <w:proofErr w:type="gramStart"/>
            <w:r>
              <w:t>Adverse Childhood Experiences (ACES),</w:t>
            </w:r>
            <w:proofErr w:type="gramEnd"/>
            <w:r>
              <w:t xml:space="preserve"> can impact how children view and manage in society during adulthood (Webster, 2022) and help practitioners be aware of how adulthood is impacted. For 2, the childhood trauma she experienced was supressed due to the community in which she grew up. 2 explained her view of the situation as not being believed enough for the police to be informed and almost victim blaming. When approaching the subject of past and current partners with 2, she explained following on from the abuse she was subjected to as a child and the domestic abuse she witnessed her mum being subjected to, she felt that was all she deserved and therefore, remaining with an abusive partner was better than being alone. Through understanding self-fulling prophecy, there is clear indication that 2’s childhood and being told what she could and would amount to, could have led to the life she is leading in adulthood of low self-worth (Crum, Philips, 2015). </w:t>
            </w:r>
          </w:p>
          <w:p w14:paraId="65749F93" w14:textId="77777777" w:rsidR="00196E07" w:rsidRDefault="00196E07" w:rsidP="00196E07"/>
          <w:p w14:paraId="461AA6A4" w14:textId="6B6A7DC3" w:rsidR="00196E07" w:rsidRDefault="00196E07" w:rsidP="00196E07">
            <w:r>
              <w:t>Considerations of Maslow’s hierarchy of needs (1943), I could see how 2’s basic needs were met, but as Maslow stated, to progress to the next stage, fulfilment at the other stages needed to be met. For 2, she identified her main outcome as ‘being in a home, with a husband and a dog, that’s how you know you’ve made it’. Utilising an outcome focussed approach (SCW, 201</w:t>
            </w:r>
            <w:r w:rsidR="00334E0E">
              <w:t>7</w:t>
            </w:r>
            <w:r>
              <w:t xml:space="preserve">), I discussed with 2 how she would achieve this outcome, attempting to focus on her strengths. Due to 2’s substance misuse, she found it difficult to see anything past the life she was already living. 2 also </w:t>
            </w:r>
            <w:proofErr w:type="gramStart"/>
            <w:r>
              <w:t>made reference</w:t>
            </w:r>
            <w:proofErr w:type="gramEnd"/>
            <w:r>
              <w:t xml:space="preserve"> to ‘not being good enough for anyone, and this is all she deserved’. Crum and Phillips (2015) further discussed how self-fulling prophecy is essentially one believing or being what they can achieve and them living up to this expectation. </w:t>
            </w:r>
          </w:p>
          <w:p w14:paraId="0777AC10" w14:textId="77777777" w:rsidR="00196E07" w:rsidRDefault="00196E07" w:rsidP="00196E07"/>
          <w:p w14:paraId="1510840F" w14:textId="77777777" w:rsidR="00196E07" w:rsidRDefault="00196E07" w:rsidP="00196E07">
            <w:r>
              <w:t>Understanding that 2 had been told from a young age that not much was expected of her and 2 believing she does not deserve any other type of relationship other than being in an abusive relationship, helped me to understand her rationale for behaviour and discuss within the MDT meeting what approaches may be beneficial for 2, focusing on her outcomes. Discussing within the MDT meeting would provide opportunity for other professionals to advise based on their expertise.</w:t>
            </w:r>
          </w:p>
          <w:p w14:paraId="35A6E74D" w14:textId="77777777" w:rsidR="00196E07" w:rsidRDefault="00196E07" w:rsidP="00196E07"/>
          <w:p w14:paraId="5F04431F" w14:textId="77777777" w:rsidR="00196E07" w:rsidRDefault="00196E07" w:rsidP="00196E07">
            <w:r>
              <w:t>Due to the complexities of 2 remaining in domestic abuse relationships as part of a self-fulling prophecy, discussing in an MDT arena would provide different perspective of how best to support 2 to reduce risk of harm from her current or past partners. Inviting a domestic abuse officer to the meeting, meant they could advise what they would be able to do, such as disclosers through Clare’s Law (</w:t>
            </w:r>
            <w:r w:rsidRPr="004A11F3">
              <w:rPr>
                <w:rFonts w:ascii="Calibri" w:hAnsi="Calibri" w:cs="Calibri"/>
                <w:color w:val="3A3A3A"/>
                <w:sz w:val="22"/>
                <w:szCs w:val="22"/>
                <w:shd w:val="clear" w:color="auto" w:fill="FFFFFF"/>
              </w:rPr>
              <w:t>The Domestic Violence Disclosure Scheme (DVDS)</w:t>
            </w:r>
            <w:r>
              <w:rPr>
                <w:rFonts w:ascii="Calibri" w:hAnsi="Calibri" w:cs="Calibri"/>
                <w:color w:val="3A3A3A"/>
                <w:shd w:val="clear" w:color="auto" w:fill="FFFFFF"/>
              </w:rPr>
              <w:t>, 2014)</w:t>
            </w:r>
            <w:r w:rsidRPr="004A11F3">
              <w:rPr>
                <w:rFonts w:ascii="Calibri" w:hAnsi="Calibri" w:cs="Calibri"/>
                <w:sz w:val="22"/>
                <w:szCs w:val="22"/>
              </w:rPr>
              <w:t>,</w:t>
            </w:r>
            <w:r>
              <w:t xml:space="preserve"> if 2 consented. I discussed openly with 2, that the concerns of the professionals were her current and past partners and wanted 2 to be aware of her options. With 2 consenting for a domestic abuse officer to meet with her, as part of safeguarding 2 and reducing risks, they were able to do a discloser of the current partner and provide 2 with options on support available. </w:t>
            </w:r>
          </w:p>
          <w:p w14:paraId="418FE769" w14:textId="77777777" w:rsidR="00196E07" w:rsidRDefault="00196E07" w:rsidP="00196E07"/>
          <w:p w14:paraId="48AD773E" w14:textId="77777777" w:rsidR="00196E07" w:rsidRDefault="00196E07" w:rsidP="00196E07">
            <w:r>
              <w:t xml:space="preserve">Although I was able to implement such support via the MDT meetings to safeguard 2, understanding how 2 did not feel she was worthy of anymore meant even disclosers did not prompt further engagement with domestic abuse services and risks did not reduce. Considering the risk to 2 from the direct abusing she was experiencing from current and previous partners, and her lack of engagement with services that could support with keeping 2 safe prompted concerns of capacity in relation to 2 being able to keep herself safe. The Mental Capacity Act (2005) outlines principles in which practitioners must work alongside, and therefore, assuming capacity unless there is reasonable concern of an impairment to mind or brain. As 2 misuses substances, there would be an impairment to the functioning of the mind or brain in this </w:t>
            </w:r>
            <w:proofErr w:type="gramStart"/>
            <w:r>
              <w:t>instance, but</w:t>
            </w:r>
            <w:proofErr w:type="gramEnd"/>
            <w:r>
              <w:t xml:space="preserve"> would be an unfair assessment of capacity due would not be able to retain information due intoxication. </w:t>
            </w:r>
          </w:p>
          <w:p w14:paraId="41C46608" w14:textId="77777777" w:rsidR="00196E07" w:rsidRDefault="00196E07" w:rsidP="00196E07"/>
          <w:p w14:paraId="268B18F3" w14:textId="77777777" w:rsidR="00196E07" w:rsidRDefault="00196E07" w:rsidP="00196E07">
            <w:r>
              <w:lastRenderedPageBreak/>
              <w:t xml:space="preserve">As such, a capacity assessment was not completed, as 2 identified rationale of her behaviours, which again links to the self-fulling prophecy and not being worthy of anyone else. Adapting a strengths-based approach to safeguarding was key to utilising 2’s strengths in ways of work with her that maximised her capabilities and reduce barriers (Ahuja, et al, 2022). One of limitations and potential barriers to 2 verbally identifying her strengths, was language. Although 2 preferred to converse in English, with her first language being Welsh in times of crisis and stress individuals prefer to revert to their first language to be able to process the situation and information being given. Being language sensitive is key in times of crisis and the continued offering of services in Welsh meant 2 did not have to request this (More than Just Words, 2012). Without 2’s language choice being considered there was an increased chance she was not ablet to express herself to professionals, leading to miscommunication and ineffective interventions. </w:t>
            </w:r>
          </w:p>
          <w:p w14:paraId="4148E62A" w14:textId="77777777" w:rsidR="00196E07" w:rsidRDefault="00196E07" w:rsidP="00196E07"/>
          <w:p w14:paraId="24B2A277" w14:textId="77777777" w:rsidR="00196E07" w:rsidRDefault="00196E07" w:rsidP="00196E07">
            <w:r>
              <w:t>As 2 did not feel the domestic abusive relationships were the concern or risks, but rather her substance misuse needed the support first, utilising an</w:t>
            </w:r>
            <w:r w:rsidRPr="003F2FF6">
              <w:t xml:space="preserve"> </w:t>
            </w:r>
            <w:r>
              <w:t xml:space="preserve">‘outcome focussed approach’ (SCW, 2017), helped me to identify the long-term goal of 2: wanting to have a house with land, a dog and a husband, which she </w:t>
            </w:r>
            <w:proofErr w:type="gramStart"/>
            <w:r>
              <w:t>stated</w:t>
            </w:r>
            <w:proofErr w:type="gramEnd"/>
            <w:r>
              <w:t xml:space="preserve"> ‘you know you’ve made it once you have these’. Goals and aspirations are important to establish with the citizen as it gives a purpose and motivation to want to engage and make significant changes to their circumstances, to achieve that goal. For 2, she wanted support at her pace and voiced her concerns of professionals assuming what is best, when they are not the ones experiencing the life, she is. </w:t>
            </w:r>
          </w:p>
          <w:p w14:paraId="740F7476" w14:textId="77777777" w:rsidR="00196E07" w:rsidRDefault="00196E07" w:rsidP="00196E07"/>
          <w:p w14:paraId="0FF3CCC7" w14:textId="77777777" w:rsidR="00196E07" w:rsidRDefault="00196E07" w:rsidP="00196E07">
            <w:r>
              <w:t xml:space="preserve">Comparing safeguarding process within Wales and other countries there are similarities of keeping the individual at the centre. As seen in Norway and Wales, acknowledging the Human Rights Act (year), ensures adults at risk still have human rights and therefore, practitioners adapting ways of working the ensure basic human rights are still being met (NPA, 2023).  Norway has also seen the implementation of ‘United Nations Declaration on the Elimination of Violence Against Women (year). As with Wales, this underpins practitioner’s involvement within domestic abuse cases. </w:t>
            </w:r>
          </w:p>
          <w:p w14:paraId="1703B627" w14:textId="77777777" w:rsidR="00196E07" w:rsidRDefault="00196E07" w:rsidP="00196E07"/>
          <w:p w14:paraId="046FB111" w14:textId="77777777" w:rsidR="00196E07" w:rsidRDefault="00196E07" w:rsidP="00196E07">
            <w:r>
              <w:t xml:space="preserve">Although safeguarding was the key component to the involvement of services with 2, prioritising her views, wants and wishes (SCW, 2017), improved communication and engagement. By simply acknowledging that 2 was the expert in her life and support she felt she needed first was implemented, has decreased the overall concerns and 2 is more willing to speak openly and understand why professionals have the concerns they do. From being involved throughout a safeguarding case with 2, the importance of voice, choice and control will continue to be embedded within my practice as a strong value base. Within future practice, seeking support via supervision to further develop my knowledge on areas I have limitations around is something I aim to improve on earlier in complex cases, as being able to reflect during and after will improve my professional decision-making process as I continue my journey as an experienced social worker.  </w:t>
            </w:r>
          </w:p>
          <w:p w14:paraId="4BE883CF" w14:textId="77777777" w:rsidR="00196E07" w:rsidRDefault="00196E07" w:rsidP="00196E07"/>
          <w:p w14:paraId="3215839A" w14:textId="77777777" w:rsidR="00196E07" w:rsidRDefault="00196E07" w:rsidP="00196E07">
            <w:r>
              <w:t>Word Count- 4,049</w:t>
            </w:r>
          </w:p>
          <w:p w14:paraId="6919E47E" w14:textId="77777777" w:rsidR="00196E07" w:rsidRDefault="00196E07"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1B72D" w14:textId="77777777" w:rsidR="00C6685D" w:rsidRDefault="00C6685D">
      <w:r>
        <w:separator/>
      </w:r>
    </w:p>
  </w:endnote>
  <w:endnote w:type="continuationSeparator" w:id="0">
    <w:p w14:paraId="47F2B51E" w14:textId="77777777" w:rsidR="00C6685D" w:rsidRDefault="00C66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58A37" w14:textId="77777777" w:rsidR="00C6685D" w:rsidRDefault="00C6685D">
      <w:r>
        <w:separator/>
      </w:r>
    </w:p>
  </w:footnote>
  <w:footnote w:type="continuationSeparator" w:id="0">
    <w:p w14:paraId="4E24211A" w14:textId="77777777" w:rsidR="00C6685D" w:rsidRDefault="00C668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6E07"/>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E0E"/>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6A1"/>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1BA"/>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85D"/>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4198</Words>
  <Characters>22421</Characters>
  <Application>Microsoft Office Word</Application>
  <DocSecurity>0</DocSecurity>
  <Lines>324</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Lloyd</cp:lastModifiedBy>
  <cp:revision>4</cp:revision>
  <cp:lastPrinted>2020-02-11T19:20:00Z</cp:lastPrinted>
  <dcterms:created xsi:type="dcterms:W3CDTF">2023-08-01T15:41:00Z</dcterms:created>
  <dcterms:modified xsi:type="dcterms:W3CDTF">2023-10-22T23:53:00Z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