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2BC1B91" w14:textId="77777777" w:rsidR="00410BA5" w:rsidRPr="0020339D" w:rsidRDefault="00410BA5">
      <w:pPr>
        <w:jc w:val="center"/>
        <w:rPr>
          <w:b/>
          <w:sz w:val="32"/>
          <w:szCs w:val="32"/>
          <w:lang w:val="en-GB"/>
        </w:rPr>
      </w:pPr>
    </w:p>
    <w:p w14:paraId="557A3223" w14:textId="77777777" w:rsidR="00410BA5" w:rsidRPr="0020339D" w:rsidRDefault="00410BA5">
      <w:pPr>
        <w:jc w:val="center"/>
        <w:rPr>
          <w:b/>
          <w:sz w:val="32"/>
          <w:szCs w:val="32"/>
          <w:lang w:val="en-GB"/>
        </w:rPr>
      </w:pPr>
    </w:p>
    <w:p w14:paraId="4BE245DA" w14:textId="77777777" w:rsidR="00410BA5" w:rsidRPr="0020339D" w:rsidRDefault="00410BA5">
      <w:pPr>
        <w:jc w:val="center"/>
        <w:rPr>
          <w:b/>
          <w:sz w:val="32"/>
          <w:szCs w:val="32"/>
          <w:lang w:val="en-GB"/>
        </w:rPr>
      </w:pPr>
    </w:p>
    <w:p w14:paraId="429E8D91" w14:textId="77777777" w:rsidR="00410BA5" w:rsidRPr="0020339D" w:rsidRDefault="00410BA5">
      <w:pPr>
        <w:jc w:val="center"/>
        <w:rPr>
          <w:b/>
          <w:sz w:val="32"/>
          <w:szCs w:val="32"/>
          <w:lang w:val="en-GB"/>
        </w:rPr>
      </w:pPr>
    </w:p>
    <w:p w14:paraId="57A9D78E" w14:textId="77777777" w:rsidR="00410BA5" w:rsidRPr="0020339D" w:rsidRDefault="00410BA5">
      <w:pPr>
        <w:jc w:val="center"/>
        <w:rPr>
          <w:b/>
          <w:sz w:val="32"/>
          <w:szCs w:val="32"/>
          <w:lang w:val="en-GB"/>
        </w:rPr>
      </w:pPr>
    </w:p>
    <w:p w14:paraId="29BF414C" w14:textId="77777777" w:rsidR="00410BA5" w:rsidRPr="0020339D" w:rsidRDefault="006A40FD">
      <w:pPr>
        <w:jc w:val="center"/>
        <w:rPr>
          <w:b/>
          <w:sz w:val="32"/>
          <w:szCs w:val="32"/>
          <w:lang w:val="en-GB"/>
        </w:rPr>
      </w:pPr>
      <w:r w:rsidRPr="0020339D">
        <w:rPr>
          <w:b/>
          <w:sz w:val="32"/>
          <w:szCs w:val="32"/>
          <w:lang w:val="en-GB"/>
        </w:rPr>
        <w:t>MBA - Master of Business Administration</w:t>
      </w:r>
    </w:p>
    <w:p w14:paraId="2938CADD" w14:textId="77777777" w:rsidR="00410BA5" w:rsidRPr="0020339D" w:rsidRDefault="006A40FD">
      <w:pPr>
        <w:jc w:val="center"/>
        <w:rPr>
          <w:b/>
          <w:sz w:val="32"/>
          <w:szCs w:val="32"/>
          <w:lang w:val="en-GB"/>
        </w:rPr>
      </w:pPr>
      <w:r w:rsidRPr="0020339D">
        <w:rPr>
          <w:b/>
          <w:sz w:val="32"/>
          <w:szCs w:val="32"/>
          <w:lang w:val="en-GB"/>
        </w:rPr>
        <w:t xml:space="preserve">LCMB7002 </w:t>
      </w:r>
      <w:r w:rsidR="00C55C36" w:rsidRPr="0020339D">
        <w:rPr>
          <w:b/>
          <w:sz w:val="32"/>
          <w:szCs w:val="32"/>
          <w:lang w:val="en-GB"/>
        </w:rPr>
        <w:t xml:space="preserve">FINANCIAL MANAGEMENT </w:t>
      </w:r>
    </w:p>
    <w:p w14:paraId="02CB5A5A" w14:textId="77777777" w:rsidR="006A40FD" w:rsidRPr="0020339D" w:rsidRDefault="006A40FD">
      <w:pPr>
        <w:jc w:val="center"/>
        <w:rPr>
          <w:b/>
          <w:sz w:val="28"/>
          <w:szCs w:val="28"/>
          <w:lang w:val="en-GB"/>
        </w:rPr>
      </w:pPr>
    </w:p>
    <w:p w14:paraId="4E55EEE9" w14:textId="77777777" w:rsidR="006A40FD" w:rsidRPr="0020339D" w:rsidRDefault="006A40FD">
      <w:pPr>
        <w:jc w:val="center"/>
        <w:rPr>
          <w:b/>
          <w:sz w:val="28"/>
          <w:szCs w:val="28"/>
          <w:lang w:val="en-GB"/>
        </w:rPr>
      </w:pPr>
    </w:p>
    <w:p w14:paraId="51BB2DAC" w14:textId="3785E0B0" w:rsidR="00410BA5" w:rsidRPr="0020339D" w:rsidRDefault="00C55C36">
      <w:pPr>
        <w:jc w:val="center"/>
        <w:rPr>
          <w:b/>
          <w:szCs w:val="28"/>
          <w:lang w:val="en-GB"/>
        </w:rPr>
      </w:pPr>
      <w:r w:rsidRPr="0020339D">
        <w:rPr>
          <w:b/>
          <w:szCs w:val="28"/>
          <w:lang w:val="en-GB"/>
        </w:rPr>
        <w:t>Student Name:</w:t>
      </w:r>
      <w:r w:rsidR="00455466">
        <w:rPr>
          <w:b/>
          <w:szCs w:val="28"/>
          <w:lang w:val="en-GB"/>
        </w:rPr>
        <w:t xml:space="preserve"> </w:t>
      </w:r>
      <w:r w:rsidR="006A40FD" w:rsidRPr="0020339D">
        <w:rPr>
          <w:b/>
          <w:bCs/>
          <w:szCs w:val="28"/>
        </w:rPr>
        <w:t>MITEN</w:t>
      </w:r>
      <w:r w:rsidR="00CE56F6">
        <w:rPr>
          <w:b/>
          <w:bCs/>
          <w:szCs w:val="28"/>
        </w:rPr>
        <w:t xml:space="preserve"> SAJANBHAI KANARA</w:t>
      </w:r>
    </w:p>
    <w:p w14:paraId="14D405D7" w14:textId="1B7DC59B" w:rsidR="00410BA5" w:rsidRPr="0020339D" w:rsidRDefault="00C55C36">
      <w:pPr>
        <w:jc w:val="center"/>
        <w:rPr>
          <w:b/>
          <w:szCs w:val="28"/>
          <w:lang w:val="en-GB"/>
        </w:rPr>
      </w:pPr>
      <w:r w:rsidRPr="0020339D">
        <w:rPr>
          <w:b/>
          <w:szCs w:val="28"/>
          <w:lang w:val="en-GB"/>
        </w:rPr>
        <w:t>Student ID:</w:t>
      </w:r>
      <w:r w:rsidR="00CE56F6">
        <w:rPr>
          <w:b/>
          <w:szCs w:val="28"/>
          <w:lang w:val="en-GB"/>
        </w:rPr>
        <w:t xml:space="preserve"> 2332670</w:t>
      </w:r>
      <w:r w:rsidRPr="0020339D">
        <w:rPr>
          <w:b/>
          <w:szCs w:val="28"/>
          <w:lang w:val="en-GB"/>
        </w:rPr>
        <w:t xml:space="preserve"> </w:t>
      </w:r>
    </w:p>
    <w:p w14:paraId="24F0C13B" w14:textId="77777777" w:rsidR="006A40FD" w:rsidRPr="0020339D" w:rsidRDefault="006A40FD">
      <w:pPr>
        <w:jc w:val="center"/>
        <w:rPr>
          <w:b/>
          <w:szCs w:val="28"/>
          <w:lang w:val="en-GB"/>
        </w:rPr>
      </w:pPr>
      <w:r w:rsidRPr="0020339D">
        <w:rPr>
          <w:b/>
          <w:szCs w:val="28"/>
          <w:lang w:val="en-GB"/>
        </w:rPr>
        <w:t>Lecturer: Jia Miao</w:t>
      </w:r>
    </w:p>
    <w:p w14:paraId="4331A9C8" w14:textId="77777777" w:rsidR="006A40FD" w:rsidRPr="0020339D" w:rsidRDefault="006A40FD">
      <w:pPr>
        <w:jc w:val="center"/>
        <w:rPr>
          <w:b/>
          <w:szCs w:val="28"/>
          <w:lang w:val="en-GB"/>
        </w:rPr>
      </w:pPr>
      <w:r w:rsidRPr="0020339D">
        <w:rPr>
          <w:b/>
          <w:szCs w:val="28"/>
          <w:lang w:val="en-GB"/>
        </w:rPr>
        <w:t>Internal Verifier: Hoang Nguyen</w:t>
      </w:r>
    </w:p>
    <w:p w14:paraId="634B4415" w14:textId="77777777" w:rsidR="00410BA5" w:rsidRPr="0020339D" w:rsidRDefault="00C55C36">
      <w:pPr>
        <w:jc w:val="center"/>
        <w:rPr>
          <w:lang w:val="en-GB"/>
        </w:rPr>
      </w:pPr>
      <w:r w:rsidRPr="0020339D">
        <w:rPr>
          <w:b/>
          <w:szCs w:val="28"/>
          <w:lang w:val="en-GB"/>
        </w:rPr>
        <w:t xml:space="preserve">Due Date: </w:t>
      </w:r>
      <w:r w:rsidR="006A40FD" w:rsidRPr="0020339D">
        <w:rPr>
          <w:b/>
          <w:szCs w:val="28"/>
          <w:lang w:val="en-GB"/>
        </w:rPr>
        <w:t>21st August 2024 by 2 PM</w:t>
      </w:r>
      <w:r w:rsidRPr="0020339D">
        <w:rPr>
          <w:lang w:val="en-GB"/>
        </w:rPr>
        <w:br w:type="page"/>
      </w:r>
    </w:p>
    <w:p w14:paraId="597FBF15" w14:textId="77777777" w:rsidR="00410BA5" w:rsidRPr="0020339D" w:rsidRDefault="00C55C36">
      <w:pPr>
        <w:jc w:val="center"/>
        <w:rPr>
          <w:b/>
          <w:sz w:val="28"/>
          <w:szCs w:val="28"/>
          <w:lang w:val="en-GB"/>
        </w:rPr>
      </w:pPr>
      <w:r w:rsidRPr="0020339D">
        <w:rPr>
          <w:b/>
          <w:sz w:val="28"/>
          <w:szCs w:val="28"/>
          <w:lang w:val="en-GB"/>
        </w:rPr>
        <w:lastRenderedPageBreak/>
        <w:t>Table of contents</w:t>
      </w:r>
    </w:p>
    <w:sdt>
      <w:sdtPr>
        <w:rPr>
          <w:lang w:val="en-GB"/>
        </w:rPr>
        <w:id w:val="1522894128"/>
        <w:docPartObj>
          <w:docPartGallery w:val="Table of Contents"/>
          <w:docPartUnique/>
        </w:docPartObj>
      </w:sdtPr>
      <w:sdtContent>
        <w:p w14:paraId="14D26039" w14:textId="77777777" w:rsidR="002A7057" w:rsidRDefault="000A47A9" w:rsidP="002A7057">
          <w:pPr>
            <w:pStyle w:val="TOC1"/>
            <w:tabs>
              <w:tab w:val="right" w:leader="dot" w:pos="9350"/>
            </w:tabs>
            <w:rPr>
              <w:rFonts w:asciiTheme="minorHAnsi" w:eastAsiaTheme="minorEastAsia" w:hAnsiTheme="minorHAnsi" w:cstheme="minorBidi"/>
              <w:noProof/>
              <w:sz w:val="22"/>
              <w:szCs w:val="22"/>
              <w:lang w:val="en-US" w:eastAsia="en-US"/>
            </w:rPr>
          </w:pPr>
          <w:r w:rsidRPr="0020339D">
            <w:rPr>
              <w:lang w:val="en-GB"/>
            </w:rPr>
            <w:fldChar w:fldCharType="begin"/>
          </w:r>
          <w:r w:rsidR="00C55C36" w:rsidRPr="0020339D">
            <w:rPr>
              <w:lang w:val="en-GB"/>
            </w:rPr>
            <w:instrText xml:space="preserve"> TOC \h \u \z \t "Heading 1,1,Heading 2,2,Heading 3,3,Heading 4,4,Heading 5,5,Heading 6,6,"</w:instrText>
          </w:r>
          <w:r w:rsidRPr="0020339D">
            <w:rPr>
              <w:lang w:val="en-GB"/>
            </w:rPr>
            <w:fldChar w:fldCharType="separate"/>
          </w:r>
          <w:hyperlink w:anchor="_Toc171804415" w:history="1">
            <w:r w:rsidR="002A7057" w:rsidRPr="00BB1F3C">
              <w:rPr>
                <w:rStyle w:val="Hyperlink"/>
                <w:noProof/>
                <w:lang w:val="en-GB"/>
              </w:rPr>
              <w:t>Part A: Introduction</w:t>
            </w:r>
            <w:r w:rsidR="002A7057">
              <w:rPr>
                <w:noProof/>
                <w:webHidden/>
              </w:rPr>
              <w:tab/>
            </w:r>
            <w:r w:rsidR="002A7057">
              <w:rPr>
                <w:noProof/>
                <w:webHidden/>
              </w:rPr>
              <w:fldChar w:fldCharType="begin"/>
            </w:r>
            <w:r w:rsidR="002A7057">
              <w:rPr>
                <w:noProof/>
                <w:webHidden/>
              </w:rPr>
              <w:instrText xml:space="preserve"> PAGEREF _Toc171804415 \h </w:instrText>
            </w:r>
            <w:r w:rsidR="002A7057">
              <w:rPr>
                <w:noProof/>
                <w:webHidden/>
              </w:rPr>
            </w:r>
            <w:r w:rsidR="002A7057">
              <w:rPr>
                <w:noProof/>
                <w:webHidden/>
              </w:rPr>
              <w:fldChar w:fldCharType="separate"/>
            </w:r>
            <w:r w:rsidR="002A7057">
              <w:rPr>
                <w:noProof/>
                <w:webHidden/>
              </w:rPr>
              <w:t>3</w:t>
            </w:r>
            <w:r w:rsidR="002A7057">
              <w:rPr>
                <w:noProof/>
                <w:webHidden/>
              </w:rPr>
              <w:fldChar w:fldCharType="end"/>
            </w:r>
          </w:hyperlink>
        </w:p>
        <w:p w14:paraId="65C22B25" w14:textId="77777777" w:rsidR="002A7057" w:rsidRDefault="00000000" w:rsidP="002A7057">
          <w:pPr>
            <w:pStyle w:val="TOC2"/>
            <w:tabs>
              <w:tab w:val="right" w:leader="dot" w:pos="9350"/>
            </w:tabs>
            <w:rPr>
              <w:rFonts w:asciiTheme="minorHAnsi" w:eastAsiaTheme="minorEastAsia" w:hAnsiTheme="minorHAnsi" w:cstheme="minorBidi"/>
              <w:noProof/>
              <w:sz w:val="22"/>
              <w:szCs w:val="22"/>
              <w:lang w:val="en-US" w:eastAsia="en-US"/>
            </w:rPr>
          </w:pPr>
          <w:hyperlink w:anchor="_Toc171804416" w:history="1">
            <w:r w:rsidR="002A7057" w:rsidRPr="00BB1F3C">
              <w:rPr>
                <w:rStyle w:val="Hyperlink"/>
                <w:noProof/>
                <w:lang w:val="en-GB"/>
              </w:rPr>
              <w:t>Brief history of Johnson &amp; Johnson</w:t>
            </w:r>
            <w:r w:rsidR="002A7057">
              <w:rPr>
                <w:noProof/>
                <w:webHidden/>
              </w:rPr>
              <w:tab/>
            </w:r>
            <w:r w:rsidR="002A7057">
              <w:rPr>
                <w:noProof/>
                <w:webHidden/>
              </w:rPr>
              <w:fldChar w:fldCharType="begin"/>
            </w:r>
            <w:r w:rsidR="002A7057">
              <w:rPr>
                <w:noProof/>
                <w:webHidden/>
              </w:rPr>
              <w:instrText xml:space="preserve"> PAGEREF _Toc171804416 \h </w:instrText>
            </w:r>
            <w:r w:rsidR="002A7057">
              <w:rPr>
                <w:noProof/>
                <w:webHidden/>
              </w:rPr>
            </w:r>
            <w:r w:rsidR="002A7057">
              <w:rPr>
                <w:noProof/>
                <w:webHidden/>
              </w:rPr>
              <w:fldChar w:fldCharType="separate"/>
            </w:r>
            <w:r w:rsidR="002A7057">
              <w:rPr>
                <w:noProof/>
                <w:webHidden/>
              </w:rPr>
              <w:t>3</w:t>
            </w:r>
            <w:r w:rsidR="002A7057">
              <w:rPr>
                <w:noProof/>
                <w:webHidden/>
              </w:rPr>
              <w:fldChar w:fldCharType="end"/>
            </w:r>
          </w:hyperlink>
        </w:p>
        <w:p w14:paraId="64FE0C5F" w14:textId="77777777" w:rsidR="002A7057" w:rsidRDefault="00000000" w:rsidP="002A7057">
          <w:pPr>
            <w:pStyle w:val="TOC2"/>
            <w:tabs>
              <w:tab w:val="right" w:leader="dot" w:pos="9350"/>
            </w:tabs>
            <w:rPr>
              <w:rFonts w:asciiTheme="minorHAnsi" w:eastAsiaTheme="minorEastAsia" w:hAnsiTheme="minorHAnsi" w:cstheme="minorBidi"/>
              <w:noProof/>
              <w:sz w:val="22"/>
              <w:szCs w:val="22"/>
              <w:lang w:val="en-US" w:eastAsia="en-US"/>
            </w:rPr>
          </w:pPr>
          <w:hyperlink w:anchor="_Toc171804417" w:history="1">
            <w:r w:rsidR="002A7057" w:rsidRPr="00BB1F3C">
              <w:rPr>
                <w:rStyle w:val="Hyperlink"/>
                <w:noProof/>
                <w:lang w:val="en-GB"/>
              </w:rPr>
              <w:t>Business model</w:t>
            </w:r>
            <w:r w:rsidR="002A7057">
              <w:rPr>
                <w:noProof/>
                <w:webHidden/>
              </w:rPr>
              <w:tab/>
            </w:r>
            <w:r w:rsidR="002A7057">
              <w:rPr>
                <w:noProof/>
                <w:webHidden/>
              </w:rPr>
              <w:fldChar w:fldCharType="begin"/>
            </w:r>
            <w:r w:rsidR="002A7057">
              <w:rPr>
                <w:noProof/>
                <w:webHidden/>
              </w:rPr>
              <w:instrText xml:space="preserve"> PAGEREF _Toc171804417 \h </w:instrText>
            </w:r>
            <w:r w:rsidR="002A7057">
              <w:rPr>
                <w:noProof/>
                <w:webHidden/>
              </w:rPr>
            </w:r>
            <w:r w:rsidR="002A7057">
              <w:rPr>
                <w:noProof/>
                <w:webHidden/>
              </w:rPr>
              <w:fldChar w:fldCharType="separate"/>
            </w:r>
            <w:r w:rsidR="002A7057">
              <w:rPr>
                <w:noProof/>
                <w:webHidden/>
              </w:rPr>
              <w:t>4</w:t>
            </w:r>
            <w:r w:rsidR="002A7057">
              <w:rPr>
                <w:noProof/>
                <w:webHidden/>
              </w:rPr>
              <w:fldChar w:fldCharType="end"/>
            </w:r>
          </w:hyperlink>
        </w:p>
        <w:p w14:paraId="012D81DD" w14:textId="77777777" w:rsidR="002A7057" w:rsidRDefault="00000000" w:rsidP="002A7057">
          <w:pPr>
            <w:pStyle w:val="TOC2"/>
            <w:tabs>
              <w:tab w:val="right" w:leader="dot" w:pos="9350"/>
            </w:tabs>
            <w:rPr>
              <w:rFonts w:asciiTheme="minorHAnsi" w:eastAsiaTheme="minorEastAsia" w:hAnsiTheme="minorHAnsi" w:cstheme="minorBidi"/>
              <w:noProof/>
              <w:sz w:val="22"/>
              <w:szCs w:val="22"/>
              <w:lang w:val="en-US" w:eastAsia="en-US"/>
            </w:rPr>
          </w:pPr>
          <w:hyperlink w:anchor="_Toc171804418" w:history="1">
            <w:r w:rsidR="002A7057" w:rsidRPr="00BB1F3C">
              <w:rPr>
                <w:rStyle w:val="Hyperlink"/>
                <w:noProof/>
                <w:lang w:val="en-GB"/>
              </w:rPr>
              <w:t>Marketplace and major competitors</w:t>
            </w:r>
            <w:r w:rsidR="002A7057">
              <w:rPr>
                <w:noProof/>
                <w:webHidden/>
              </w:rPr>
              <w:tab/>
            </w:r>
            <w:r w:rsidR="002A7057">
              <w:rPr>
                <w:noProof/>
                <w:webHidden/>
              </w:rPr>
              <w:fldChar w:fldCharType="begin"/>
            </w:r>
            <w:r w:rsidR="002A7057">
              <w:rPr>
                <w:noProof/>
                <w:webHidden/>
              </w:rPr>
              <w:instrText xml:space="preserve"> PAGEREF _Toc171804418 \h </w:instrText>
            </w:r>
            <w:r w:rsidR="002A7057">
              <w:rPr>
                <w:noProof/>
                <w:webHidden/>
              </w:rPr>
            </w:r>
            <w:r w:rsidR="002A7057">
              <w:rPr>
                <w:noProof/>
                <w:webHidden/>
              </w:rPr>
              <w:fldChar w:fldCharType="separate"/>
            </w:r>
            <w:r w:rsidR="002A7057">
              <w:rPr>
                <w:noProof/>
                <w:webHidden/>
              </w:rPr>
              <w:t>4</w:t>
            </w:r>
            <w:r w:rsidR="002A7057">
              <w:rPr>
                <w:noProof/>
                <w:webHidden/>
              </w:rPr>
              <w:fldChar w:fldCharType="end"/>
            </w:r>
          </w:hyperlink>
        </w:p>
        <w:p w14:paraId="49DBBD99" w14:textId="77777777" w:rsidR="002A7057" w:rsidRDefault="00000000" w:rsidP="002A7057">
          <w:pPr>
            <w:pStyle w:val="TOC2"/>
            <w:tabs>
              <w:tab w:val="right" w:leader="dot" w:pos="9350"/>
            </w:tabs>
            <w:rPr>
              <w:rFonts w:asciiTheme="minorHAnsi" w:eastAsiaTheme="minorEastAsia" w:hAnsiTheme="minorHAnsi" w:cstheme="minorBidi"/>
              <w:noProof/>
              <w:sz w:val="22"/>
              <w:szCs w:val="22"/>
              <w:lang w:val="en-US" w:eastAsia="en-US"/>
            </w:rPr>
          </w:pPr>
          <w:hyperlink w:anchor="_Toc171804419" w:history="1">
            <w:r w:rsidR="002A7057" w:rsidRPr="00BB1F3C">
              <w:rPr>
                <w:rStyle w:val="Hyperlink"/>
                <w:noProof/>
                <w:lang w:val="en-GB"/>
              </w:rPr>
              <w:t>Review of major recent events (Past five years)</w:t>
            </w:r>
            <w:r w:rsidR="002A7057">
              <w:rPr>
                <w:noProof/>
                <w:webHidden/>
              </w:rPr>
              <w:tab/>
            </w:r>
            <w:r w:rsidR="002A7057">
              <w:rPr>
                <w:noProof/>
                <w:webHidden/>
              </w:rPr>
              <w:fldChar w:fldCharType="begin"/>
            </w:r>
            <w:r w:rsidR="002A7057">
              <w:rPr>
                <w:noProof/>
                <w:webHidden/>
              </w:rPr>
              <w:instrText xml:space="preserve"> PAGEREF _Toc171804419 \h </w:instrText>
            </w:r>
            <w:r w:rsidR="002A7057">
              <w:rPr>
                <w:noProof/>
                <w:webHidden/>
              </w:rPr>
            </w:r>
            <w:r w:rsidR="002A7057">
              <w:rPr>
                <w:noProof/>
                <w:webHidden/>
              </w:rPr>
              <w:fldChar w:fldCharType="separate"/>
            </w:r>
            <w:r w:rsidR="002A7057">
              <w:rPr>
                <w:noProof/>
                <w:webHidden/>
              </w:rPr>
              <w:t>6</w:t>
            </w:r>
            <w:r w:rsidR="002A7057">
              <w:rPr>
                <w:noProof/>
                <w:webHidden/>
              </w:rPr>
              <w:fldChar w:fldCharType="end"/>
            </w:r>
          </w:hyperlink>
        </w:p>
        <w:p w14:paraId="0E0566E9" w14:textId="77777777" w:rsidR="002A7057" w:rsidRDefault="00000000" w:rsidP="002A7057">
          <w:pPr>
            <w:pStyle w:val="TOC1"/>
            <w:tabs>
              <w:tab w:val="right" w:leader="dot" w:pos="9350"/>
            </w:tabs>
            <w:rPr>
              <w:rFonts w:asciiTheme="minorHAnsi" w:eastAsiaTheme="minorEastAsia" w:hAnsiTheme="minorHAnsi" w:cstheme="minorBidi"/>
              <w:noProof/>
              <w:sz w:val="22"/>
              <w:szCs w:val="22"/>
              <w:lang w:val="en-US" w:eastAsia="en-US"/>
            </w:rPr>
          </w:pPr>
          <w:hyperlink w:anchor="_Toc171804420" w:history="1">
            <w:r w:rsidR="002A7057" w:rsidRPr="00BB1F3C">
              <w:rPr>
                <w:rStyle w:val="Hyperlink"/>
                <w:noProof/>
                <w:lang w:val="en-GB"/>
              </w:rPr>
              <w:t>Part B: Financial Performance Review</w:t>
            </w:r>
            <w:r w:rsidR="002A7057">
              <w:rPr>
                <w:noProof/>
                <w:webHidden/>
              </w:rPr>
              <w:tab/>
            </w:r>
            <w:r w:rsidR="002A7057">
              <w:rPr>
                <w:noProof/>
                <w:webHidden/>
              </w:rPr>
              <w:fldChar w:fldCharType="begin"/>
            </w:r>
            <w:r w:rsidR="002A7057">
              <w:rPr>
                <w:noProof/>
                <w:webHidden/>
              </w:rPr>
              <w:instrText xml:space="preserve"> PAGEREF _Toc171804420 \h </w:instrText>
            </w:r>
            <w:r w:rsidR="002A7057">
              <w:rPr>
                <w:noProof/>
                <w:webHidden/>
              </w:rPr>
            </w:r>
            <w:r w:rsidR="002A7057">
              <w:rPr>
                <w:noProof/>
                <w:webHidden/>
              </w:rPr>
              <w:fldChar w:fldCharType="separate"/>
            </w:r>
            <w:r w:rsidR="002A7057">
              <w:rPr>
                <w:noProof/>
                <w:webHidden/>
              </w:rPr>
              <w:t>7</w:t>
            </w:r>
            <w:r w:rsidR="002A7057">
              <w:rPr>
                <w:noProof/>
                <w:webHidden/>
              </w:rPr>
              <w:fldChar w:fldCharType="end"/>
            </w:r>
          </w:hyperlink>
        </w:p>
        <w:p w14:paraId="0049ACCD" w14:textId="77777777" w:rsidR="002A7057" w:rsidRDefault="00000000" w:rsidP="002A7057">
          <w:pPr>
            <w:pStyle w:val="TOC2"/>
            <w:tabs>
              <w:tab w:val="right" w:leader="dot" w:pos="9350"/>
            </w:tabs>
            <w:rPr>
              <w:rFonts w:asciiTheme="minorHAnsi" w:eastAsiaTheme="minorEastAsia" w:hAnsiTheme="minorHAnsi" w:cstheme="minorBidi"/>
              <w:noProof/>
              <w:sz w:val="22"/>
              <w:szCs w:val="22"/>
              <w:lang w:val="en-US" w:eastAsia="en-US"/>
            </w:rPr>
          </w:pPr>
          <w:hyperlink w:anchor="_Toc171804421" w:history="1">
            <w:r w:rsidR="002A7057" w:rsidRPr="00BB1F3C">
              <w:rPr>
                <w:rStyle w:val="Hyperlink"/>
                <w:noProof/>
                <w:lang w:val="en-GB"/>
              </w:rPr>
              <w:t>Financial Ratios Calculation</w:t>
            </w:r>
            <w:r w:rsidR="002A7057">
              <w:rPr>
                <w:noProof/>
                <w:webHidden/>
              </w:rPr>
              <w:tab/>
            </w:r>
            <w:r w:rsidR="002A7057">
              <w:rPr>
                <w:noProof/>
                <w:webHidden/>
              </w:rPr>
              <w:fldChar w:fldCharType="begin"/>
            </w:r>
            <w:r w:rsidR="002A7057">
              <w:rPr>
                <w:noProof/>
                <w:webHidden/>
              </w:rPr>
              <w:instrText xml:space="preserve"> PAGEREF _Toc171804421 \h </w:instrText>
            </w:r>
            <w:r w:rsidR="002A7057">
              <w:rPr>
                <w:noProof/>
                <w:webHidden/>
              </w:rPr>
            </w:r>
            <w:r w:rsidR="002A7057">
              <w:rPr>
                <w:noProof/>
                <w:webHidden/>
              </w:rPr>
              <w:fldChar w:fldCharType="separate"/>
            </w:r>
            <w:r w:rsidR="002A7057">
              <w:rPr>
                <w:noProof/>
                <w:webHidden/>
              </w:rPr>
              <w:t>7</w:t>
            </w:r>
            <w:r w:rsidR="002A7057">
              <w:rPr>
                <w:noProof/>
                <w:webHidden/>
              </w:rPr>
              <w:fldChar w:fldCharType="end"/>
            </w:r>
          </w:hyperlink>
        </w:p>
        <w:p w14:paraId="2576D1C6" w14:textId="77777777" w:rsidR="002A7057" w:rsidRDefault="00000000" w:rsidP="002A7057">
          <w:pPr>
            <w:pStyle w:val="TOC3"/>
            <w:tabs>
              <w:tab w:val="right" w:leader="dot" w:pos="9350"/>
            </w:tabs>
            <w:rPr>
              <w:rFonts w:asciiTheme="minorHAnsi" w:eastAsiaTheme="minorEastAsia" w:hAnsiTheme="minorHAnsi" w:cstheme="minorBidi"/>
              <w:noProof/>
              <w:sz w:val="22"/>
              <w:szCs w:val="22"/>
              <w:lang w:val="en-US" w:eastAsia="en-US"/>
            </w:rPr>
          </w:pPr>
          <w:hyperlink w:anchor="_Toc171804422" w:history="1">
            <w:r w:rsidR="002A7057" w:rsidRPr="00BB1F3C">
              <w:rPr>
                <w:rStyle w:val="Hyperlink"/>
                <w:noProof/>
                <w:lang w:val="en-GB"/>
              </w:rPr>
              <w:t>Profitability Ratios</w:t>
            </w:r>
            <w:r w:rsidR="002A7057">
              <w:rPr>
                <w:noProof/>
                <w:webHidden/>
              </w:rPr>
              <w:tab/>
            </w:r>
            <w:r w:rsidR="002A7057">
              <w:rPr>
                <w:noProof/>
                <w:webHidden/>
              </w:rPr>
              <w:fldChar w:fldCharType="begin"/>
            </w:r>
            <w:r w:rsidR="002A7057">
              <w:rPr>
                <w:noProof/>
                <w:webHidden/>
              </w:rPr>
              <w:instrText xml:space="preserve"> PAGEREF _Toc171804422 \h </w:instrText>
            </w:r>
            <w:r w:rsidR="002A7057">
              <w:rPr>
                <w:noProof/>
                <w:webHidden/>
              </w:rPr>
            </w:r>
            <w:r w:rsidR="002A7057">
              <w:rPr>
                <w:noProof/>
                <w:webHidden/>
              </w:rPr>
              <w:fldChar w:fldCharType="separate"/>
            </w:r>
            <w:r w:rsidR="002A7057">
              <w:rPr>
                <w:noProof/>
                <w:webHidden/>
              </w:rPr>
              <w:t>7</w:t>
            </w:r>
            <w:r w:rsidR="002A7057">
              <w:rPr>
                <w:noProof/>
                <w:webHidden/>
              </w:rPr>
              <w:fldChar w:fldCharType="end"/>
            </w:r>
          </w:hyperlink>
        </w:p>
        <w:p w14:paraId="5A5A4D3B" w14:textId="77777777" w:rsidR="002A7057" w:rsidRDefault="00000000" w:rsidP="002A7057">
          <w:pPr>
            <w:pStyle w:val="TOC3"/>
            <w:tabs>
              <w:tab w:val="right" w:leader="dot" w:pos="9350"/>
            </w:tabs>
            <w:rPr>
              <w:rFonts w:asciiTheme="minorHAnsi" w:eastAsiaTheme="minorEastAsia" w:hAnsiTheme="minorHAnsi" w:cstheme="minorBidi"/>
              <w:noProof/>
              <w:sz w:val="22"/>
              <w:szCs w:val="22"/>
              <w:lang w:val="en-US" w:eastAsia="en-US"/>
            </w:rPr>
          </w:pPr>
          <w:hyperlink w:anchor="_Toc171804423" w:history="1">
            <w:r w:rsidR="002A7057" w:rsidRPr="00BB1F3C">
              <w:rPr>
                <w:rStyle w:val="Hyperlink"/>
                <w:noProof/>
                <w:lang w:val="en-GB"/>
              </w:rPr>
              <w:t>Liquidity Ratios</w:t>
            </w:r>
            <w:r w:rsidR="002A7057">
              <w:rPr>
                <w:noProof/>
                <w:webHidden/>
              </w:rPr>
              <w:tab/>
            </w:r>
            <w:r w:rsidR="002A7057">
              <w:rPr>
                <w:noProof/>
                <w:webHidden/>
              </w:rPr>
              <w:fldChar w:fldCharType="begin"/>
            </w:r>
            <w:r w:rsidR="002A7057">
              <w:rPr>
                <w:noProof/>
                <w:webHidden/>
              </w:rPr>
              <w:instrText xml:space="preserve"> PAGEREF _Toc171804423 \h </w:instrText>
            </w:r>
            <w:r w:rsidR="002A7057">
              <w:rPr>
                <w:noProof/>
                <w:webHidden/>
              </w:rPr>
            </w:r>
            <w:r w:rsidR="002A7057">
              <w:rPr>
                <w:noProof/>
                <w:webHidden/>
              </w:rPr>
              <w:fldChar w:fldCharType="separate"/>
            </w:r>
            <w:r w:rsidR="002A7057">
              <w:rPr>
                <w:noProof/>
                <w:webHidden/>
              </w:rPr>
              <w:t>7</w:t>
            </w:r>
            <w:r w:rsidR="002A7057">
              <w:rPr>
                <w:noProof/>
                <w:webHidden/>
              </w:rPr>
              <w:fldChar w:fldCharType="end"/>
            </w:r>
          </w:hyperlink>
        </w:p>
        <w:p w14:paraId="5551B06A" w14:textId="77777777" w:rsidR="002A7057" w:rsidRDefault="00000000" w:rsidP="002A7057">
          <w:pPr>
            <w:pStyle w:val="TOC3"/>
            <w:tabs>
              <w:tab w:val="right" w:leader="dot" w:pos="9350"/>
            </w:tabs>
            <w:rPr>
              <w:rFonts w:asciiTheme="minorHAnsi" w:eastAsiaTheme="minorEastAsia" w:hAnsiTheme="minorHAnsi" w:cstheme="minorBidi"/>
              <w:noProof/>
              <w:sz w:val="22"/>
              <w:szCs w:val="22"/>
              <w:lang w:val="en-US" w:eastAsia="en-US"/>
            </w:rPr>
          </w:pPr>
          <w:hyperlink w:anchor="_Toc171804424" w:history="1">
            <w:r w:rsidR="002A7057" w:rsidRPr="00BB1F3C">
              <w:rPr>
                <w:rStyle w:val="Hyperlink"/>
                <w:noProof/>
                <w:lang w:val="en-GB"/>
              </w:rPr>
              <w:t>Gearing Ratios (Leverage Ratios)</w:t>
            </w:r>
            <w:r w:rsidR="002A7057">
              <w:rPr>
                <w:noProof/>
                <w:webHidden/>
              </w:rPr>
              <w:tab/>
            </w:r>
            <w:r w:rsidR="002A7057">
              <w:rPr>
                <w:noProof/>
                <w:webHidden/>
              </w:rPr>
              <w:fldChar w:fldCharType="begin"/>
            </w:r>
            <w:r w:rsidR="002A7057">
              <w:rPr>
                <w:noProof/>
                <w:webHidden/>
              </w:rPr>
              <w:instrText xml:space="preserve"> PAGEREF _Toc171804424 \h </w:instrText>
            </w:r>
            <w:r w:rsidR="002A7057">
              <w:rPr>
                <w:noProof/>
                <w:webHidden/>
              </w:rPr>
            </w:r>
            <w:r w:rsidR="002A7057">
              <w:rPr>
                <w:noProof/>
                <w:webHidden/>
              </w:rPr>
              <w:fldChar w:fldCharType="separate"/>
            </w:r>
            <w:r w:rsidR="002A7057">
              <w:rPr>
                <w:noProof/>
                <w:webHidden/>
              </w:rPr>
              <w:t>7</w:t>
            </w:r>
            <w:r w:rsidR="002A7057">
              <w:rPr>
                <w:noProof/>
                <w:webHidden/>
              </w:rPr>
              <w:fldChar w:fldCharType="end"/>
            </w:r>
          </w:hyperlink>
        </w:p>
        <w:p w14:paraId="39E9C67F" w14:textId="77777777" w:rsidR="002A7057" w:rsidRDefault="00000000" w:rsidP="002A7057">
          <w:pPr>
            <w:pStyle w:val="TOC3"/>
            <w:tabs>
              <w:tab w:val="right" w:leader="dot" w:pos="9350"/>
            </w:tabs>
            <w:rPr>
              <w:rFonts w:asciiTheme="minorHAnsi" w:eastAsiaTheme="minorEastAsia" w:hAnsiTheme="minorHAnsi" w:cstheme="minorBidi"/>
              <w:noProof/>
              <w:sz w:val="22"/>
              <w:szCs w:val="22"/>
              <w:lang w:val="en-US" w:eastAsia="en-US"/>
            </w:rPr>
          </w:pPr>
          <w:hyperlink w:anchor="_Toc171804425" w:history="1">
            <w:r w:rsidR="002A7057" w:rsidRPr="00BB1F3C">
              <w:rPr>
                <w:rStyle w:val="Hyperlink"/>
                <w:noProof/>
                <w:lang w:val="en-GB"/>
              </w:rPr>
              <w:t>Efficiency Ratios</w:t>
            </w:r>
            <w:r w:rsidR="002A7057">
              <w:rPr>
                <w:noProof/>
                <w:webHidden/>
              </w:rPr>
              <w:tab/>
            </w:r>
            <w:r w:rsidR="002A7057">
              <w:rPr>
                <w:noProof/>
                <w:webHidden/>
              </w:rPr>
              <w:fldChar w:fldCharType="begin"/>
            </w:r>
            <w:r w:rsidR="002A7057">
              <w:rPr>
                <w:noProof/>
                <w:webHidden/>
              </w:rPr>
              <w:instrText xml:space="preserve"> PAGEREF _Toc171804425 \h </w:instrText>
            </w:r>
            <w:r w:rsidR="002A7057">
              <w:rPr>
                <w:noProof/>
                <w:webHidden/>
              </w:rPr>
            </w:r>
            <w:r w:rsidR="002A7057">
              <w:rPr>
                <w:noProof/>
                <w:webHidden/>
              </w:rPr>
              <w:fldChar w:fldCharType="separate"/>
            </w:r>
            <w:r w:rsidR="002A7057">
              <w:rPr>
                <w:noProof/>
                <w:webHidden/>
              </w:rPr>
              <w:t>8</w:t>
            </w:r>
            <w:r w:rsidR="002A7057">
              <w:rPr>
                <w:noProof/>
                <w:webHidden/>
              </w:rPr>
              <w:fldChar w:fldCharType="end"/>
            </w:r>
          </w:hyperlink>
        </w:p>
        <w:p w14:paraId="5870D6DE" w14:textId="77777777" w:rsidR="002A7057" w:rsidRDefault="00000000" w:rsidP="002A7057">
          <w:pPr>
            <w:pStyle w:val="TOC3"/>
            <w:tabs>
              <w:tab w:val="right" w:leader="dot" w:pos="9350"/>
            </w:tabs>
            <w:rPr>
              <w:rFonts w:asciiTheme="minorHAnsi" w:eastAsiaTheme="minorEastAsia" w:hAnsiTheme="minorHAnsi" w:cstheme="minorBidi"/>
              <w:noProof/>
              <w:sz w:val="22"/>
              <w:szCs w:val="22"/>
              <w:lang w:val="en-US" w:eastAsia="en-US"/>
            </w:rPr>
          </w:pPr>
          <w:hyperlink w:anchor="_Toc171804426" w:history="1">
            <w:r w:rsidR="002A7057" w:rsidRPr="00BB1F3C">
              <w:rPr>
                <w:rStyle w:val="Hyperlink"/>
                <w:noProof/>
                <w:lang w:val="en-GB"/>
              </w:rPr>
              <w:t>Valuation Ratios</w:t>
            </w:r>
            <w:r w:rsidR="002A7057">
              <w:rPr>
                <w:noProof/>
                <w:webHidden/>
              </w:rPr>
              <w:tab/>
            </w:r>
            <w:r w:rsidR="002A7057">
              <w:rPr>
                <w:noProof/>
                <w:webHidden/>
              </w:rPr>
              <w:fldChar w:fldCharType="begin"/>
            </w:r>
            <w:r w:rsidR="002A7057">
              <w:rPr>
                <w:noProof/>
                <w:webHidden/>
              </w:rPr>
              <w:instrText xml:space="preserve"> PAGEREF _Toc171804426 \h </w:instrText>
            </w:r>
            <w:r w:rsidR="002A7057">
              <w:rPr>
                <w:noProof/>
                <w:webHidden/>
              </w:rPr>
            </w:r>
            <w:r w:rsidR="002A7057">
              <w:rPr>
                <w:noProof/>
                <w:webHidden/>
              </w:rPr>
              <w:fldChar w:fldCharType="separate"/>
            </w:r>
            <w:r w:rsidR="002A7057">
              <w:rPr>
                <w:noProof/>
                <w:webHidden/>
              </w:rPr>
              <w:t>8</w:t>
            </w:r>
            <w:r w:rsidR="002A7057">
              <w:rPr>
                <w:noProof/>
                <w:webHidden/>
              </w:rPr>
              <w:fldChar w:fldCharType="end"/>
            </w:r>
          </w:hyperlink>
        </w:p>
        <w:p w14:paraId="7BEFEF97" w14:textId="77777777" w:rsidR="002A7057" w:rsidRDefault="00000000" w:rsidP="002A7057">
          <w:pPr>
            <w:pStyle w:val="TOC2"/>
            <w:tabs>
              <w:tab w:val="right" w:leader="dot" w:pos="9350"/>
            </w:tabs>
            <w:rPr>
              <w:rFonts w:asciiTheme="minorHAnsi" w:eastAsiaTheme="minorEastAsia" w:hAnsiTheme="minorHAnsi" w:cstheme="minorBidi"/>
              <w:noProof/>
              <w:sz w:val="22"/>
              <w:szCs w:val="22"/>
              <w:lang w:val="en-US" w:eastAsia="en-US"/>
            </w:rPr>
          </w:pPr>
          <w:hyperlink w:anchor="_Toc171804427" w:history="1">
            <w:r w:rsidR="002A7057" w:rsidRPr="00BB1F3C">
              <w:rPr>
                <w:rStyle w:val="Hyperlink"/>
                <w:noProof/>
                <w:lang w:val="en-GB"/>
              </w:rPr>
              <w:t>Critical Evaluation of Ratios</w:t>
            </w:r>
            <w:r w:rsidR="002A7057">
              <w:rPr>
                <w:noProof/>
                <w:webHidden/>
              </w:rPr>
              <w:tab/>
            </w:r>
            <w:r w:rsidR="002A7057">
              <w:rPr>
                <w:noProof/>
                <w:webHidden/>
              </w:rPr>
              <w:fldChar w:fldCharType="begin"/>
            </w:r>
            <w:r w:rsidR="002A7057">
              <w:rPr>
                <w:noProof/>
                <w:webHidden/>
              </w:rPr>
              <w:instrText xml:space="preserve"> PAGEREF _Toc171804427 \h </w:instrText>
            </w:r>
            <w:r w:rsidR="002A7057">
              <w:rPr>
                <w:noProof/>
                <w:webHidden/>
              </w:rPr>
            </w:r>
            <w:r w:rsidR="002A7057">
              <w:rPr>
                <w:noProof/>
                <w:webHidden/>
              </w:rPr>
              <w:fldChar w:fldCharType="separate"/>
            </w:r>
            <w:r w:rsidR="002A7057">
              <w:rPr>
                <w:noProof/>
                <w:webHidden/>
              </w:rPr>
              <w:t>9</w:t>
            </w:r>
            <w:r w:rsidR="002A7057">
              <w:rPr>
                <w:noProof/>
                <w:webHidden/>
              </w:rPr>
              <w:fldChar w:fldCharType="end"/>
            </w:r>
          </w:hyperlink>
        </w:p>
        <w:p w14:paraId="3EC7781B" w14:textId="77777777" w:rsidR="002A7057" w:rsidRDefault="00000000" w:rsidP="002A7057">
          <w:pPr>
            <w:pStyle w:val="TOC2"/>
            <w:tabs>
              <w:tab w:val="right" w:leader="dot" w:pos="9350"/>
            </w:tabs>
            <w:rPr>
              <w:rFonts w:asciiTheme="minorHAnsi" w:eastAsiaTheme="minorEastAsia" w:hAnsiTheme="minorHAnsi" w:cstheme="minorBidi"/>
              <w:noProof/>
              <w:sz w:val="22"/>
              <w:szCs w:val="22"/>
              <w:lang w:val="en-US" w:eastAsia="en-US"/>
            </w:rPr>
          </w:pPr>
          <w:hyperlink w:anchor="_Toc171804428" w:history="1">
            <w:r w:rsidR="002A7057" w:rsidRPr="00BB1F3C">
              <w:rPr>
                <w:rStyle w:val="Hyperlink"/>
                <w:noProof/>
                <w:lang w:val="en-GB"/>
              </w:rPr>
              <w:t>Comparison to major competitors and sector average</w:t>
            </w:r>
            <w:r w:rsidR="002A7057">
              <w:rPr>
                <w:noProof/>
                <w:webHidden/>
              </w:rPr>
              <w:tab/>
            </w:r>
            <w:r w:rsidR="002A7057">
              <w:rPr>
                <w:noProof/>
                <w:webHidden/>
              </w:rPr>
              <w:fldChar w:fldCharType="begin"/>
            </w:r>
            <w:r w:rsidR="002A7057">
              <w:rPr>
                <w:noProof/>
                <w:webHidden/>
              </w:rPr>
              <w:instrText xml:space="preserve"> PAGEREF _Toc171804428 \h </w:instrText>
            </w:r>
            <w:r w:rsidR="002A7057">
              <w:rPr>
                <w:noProof/>
                <w:webHidden/>
              </w:rPr>
            </w:r>
            <w:r w:rsidR="002A7057">
              <w:rPr>
                <w:noProof/>
                <w:webHidden/>
              </w:rPr>
              <w:fldChar w:fldCharType="separate"/>
            </w:r>
            <w:r w:rsidR="002A7057">
              <w:rPr>
                <w:noProof/>
                <w:webHidden/>
              </w:rPr>
              <w:t>14</w:t>
            </w:r>
            <w:r w:rsidR="002A7057">
              <w:rPr>
                <w:noProof/>
                <w:webHidden/>
              </w:rPr>
              <w:fldChar w:fldCharType="end"/>
            </w:r>
          </w:hyperlink>
        </w:p>
        <w:p w14:paraId="05576E37" w14:textId="77777777" w:rsidR="002A7057" w:rsidRDefault="00000000" w:rsidP="002A7057">
          <w:pPr>
            <w:pStyle w:val="TOC2"/>
            <w:tabs>
              <w:tab w:val="right" w:leader="dot" w:pos="9350"/>
            </w:tabs>
            <w:rPr>
              <w:rFonts w:asciiTheme="minorHAnsi" w:eastAsiaTheme="minorEastAsia" w:hAnsiTheme="minorHAnsi" w:cstheme="minorBidi"/>
              <w:noProof/>
              <w:sz w:val="22"/>
              <w:szCs w:val="22"/>
              <w:lang w:val="en-US" w:eastAsia="en-US"/>
            </w:rPr>
          </w:pPr>
          <w:hyperlink w:anchor="_Toc171804429" w:history="1">
            <w:r w:rsidR="002A7057" w:rsidRPr="00BB1F3C">
              <w:rPr>
                <w:rStyle w:val="Hyperlink"/>
                <w:noProof/>
                <w:lang w:val="en-GB"/>
              </w:rPr>
              <w:t>Recommendations for Financial Management Improvement</w:t>
            </w:r>
            <w:r w:rsidR="002A7057">
              <w:rPr>
                <w:noProof/>
                <w:webHidden/>
              </w:rPr>
              <w:tab/>
            </w:r>
            <w:r w:rsidR="002A7057">
              <w:rPr>
                <w:noProof/>
                <w:webHidden/>
              </w:rPr>
              <w:fldChar w:fldCharType="begin"/>
            </w:r>
            <w:r w:rsidR="002A7057">
              <w:rPr>
                <w:noProof/>
                <w:webHidden/>
              </w:rPr>
              <w:instrText xml:space="preserve"> PAGEREF _Toc171804429 \h </w:instrText>
            </w:r>
            <w:r w:rsidR="002A7057">
              <w:rPr>
                <w:noProof/>
                <w:webHidden/>
              </w:rPr>
            </w:r>
            <w:r w:rsidR="002A7057">
              <w:rPr>
                <w:noProof/>
                <w:webHidden/>
              </w:rPr>
              <w:fldChar w:fldCharType="separate"/>
            </w:r>
            <w:r w:rsidR="002A7057">
              <w:rPr>
                <w:noProof/>
                <w:webHidden/>
              </w:rPr>
              <w:t>19</w:t>
            </w:r>
            <w:r w:rsidR="002A7057">
              <w:rPr>
                <w:noProof/>
                <w:webHidden/>
              </w:rPr>
              <w:fldChar w:fldCharType="end"/>
            </w:r>
          </w:hyperlink>
        </w:p>
        <w:p w14:paraId="062BF59F" w14:textId="77777777" w:rsidR="002A7057" w:rsidRDefault="00000000" w:rsidP="002A7057">
          <w:pPr>
            <w:pStyle w:val="TOC1"/>
            <w:tabs>
              <w:tab w:val="right" w:leader="dot" w:pos="9350"/>
            </w:tabs>
            <w:rPr>
              <w:rFonts w:asciiTheme="minorHAnsi" w:eastAsiaTheme="minorEastAsia" w:hAnsiTheme="minorHAnsi" w:cstheme="minorBidi"/>
              <w:noProof/>
              <w:sz w:val="22"/>
              <w:szCs w:val="22"/>
              <w:lang w:val="en-US" w:eastAsia="en-US"/>
            </w:rPr>
          </w:pPr>
          <w:hyperlink w:anchor="_Toc171804430" w:history="1">
            <w:r w:rsidR="002A7057" w:rsidRPr="00BB1F3C">
              <w:rPr>
                <w:rStyle w:val="Hyperlink"/>
                <w:noProof/>
                <w:lang w:val="en-GB"/>
              </w:rPr>
              <w:t>Part C: Investment Appraisal</w:t>
            </w:r>
            <w:r w:rsidR="002A7057">
              <w:rPr>
                <w:noProof/>
                <w:webHidden/>
              </w:rPr>
              <w:tab/>
            </w:r>
            <w:r w:rsidR="002A7057">
              <w:rPr>
                <w:noProof/>
                <w:webHidden/>
              </w:rPr>
              <w:fldChar w:fldCharType="begin"/>
            </w:r>
            <w:r w:rsidR="002A7057">
              <w:rPr>
                <w:noProof/>
                <w:webHidden/>
              </w:rPr>
              <w:instrText xml:space="preserve"> PAGEREF _Toc171804430 \h </w:instrText>
            </w:r>
            <w:r w:rsidR="002A7057">
              <w:rPr>
                <w:noProof/>
                <w:webHidden/>
              </w:rPr>
            </w:r>
            <w:r w:rsidR="002A7057">
              <w:rPr>
                <w:noProof/>
                <w:webHidden/>
              </w:rPr>
              <w:fldChar w:fldCharType="separate"/>
            </w:r>
            <w:r w:rsidR="002A7057">
              <w:rPr>
                <w:noProof/>
                <w:webHidden/>
              </w:rPr>
              <w:t>22</w:t>
            </w:r>
            <w:r w:rsidR="002A7057">
              <w:rPr>
                <w:noProof/>
                <w:webHidden/>
              </w:rPr>
              <w:fldChar w:fldCharType="end"/>
            </w:r>
          </w:hyperlink>
        </w:p>
        <w:p w14:paraId="5F7A8CBB" w14:textId="77777777" w:rsidR="002A7057" w:rsidRDefault="00000000" w:rsidP="002A7057">
          <w:pPr>
            <w:pStyle w:val="TOC2"/>
            <w:tabs>
              <w:tab w:val="right" w:leader="dot" w:pos="9350"/>
            </w:tabs>
            <w:rPr>
              <w:rFonts w:asciiTheme="minorHAnsi" w:eastAsiaTheme="minorEastAsia" w:hAnsiTheme="minorHAnsi" w:cstheme="minorBidi"/>
              <w:noProof/>
              <w:sz w:val="22"/>
              <w:szCs w:val="22"/>
              <w:lang w:val="en-US" w:eastAsia="en-US"/>
            </w:rPr>
          </w:pPr>
          <w:hyperlink w:anchor="_Toc171804431" w:history="1">
            <w:r w:rsidR="002A7057" w:rsidRPr="00BB1F3C">
              <w:rPr>
                <w:rStyle w:val="Hyperlink"/>
                <w:noProof/>
                <w:lang w:val="en-GB"/>
              </w:rPr>
              <w:t>Project Evaluation and recommendation (Cash Flow Analysis)</w:t>
            </w:r>
            <w:r w:rsidR="002A7057">
              <w:rPr>
                <w:noProof/>
                <w:webHidden/>
              </w:rPr>
              <w:tab/>
            </w:r>
            <w:r w:rsidR="002A7057">
              <w:rPr>
                <w:noProof/>
                <w:webHidden/>
              </w:rPr>
              <w:fldChar w:fldCharType="begin"/>
            </w:r>
            <w:r w:rsidR="002A7057">
              <w:rPr>
                <w:noProof/>
                <w:webHidden/>
              </w:rPr>
              <w:instrText xml:space="preserve"> PAGEREF _Toc171804431 \h </w:instrText>
            </w:r>
            <w:r w:rsidR="002A7057">
              <w:rPr>
                <w:noProof/>
                <w:webHidden/>
              </w:rPr>
            </w:r>
            <w:r w:rsidR="002A7057">
              <w:rPr>
                <w:noProof/>
                <w:webHidden/>
              </w:rPr>
              <w:fldChar w:fldCharType="separate"/>
            </w:r>
            <w:r w:rsidR="002A7057">
              <w:rPr>
                <w:noProof/>
                <w:webHidden/>
              </w:rPr>
              <w:t>22</w:t>
            </w:r>
            <w:r w:rsidR="002A7057">
              <w:rPr>
                <w:noProof/>
                <w:webHidden/>
              </w:rPr>
              <w:fldChar w:fldCharType="end"/>
            </w:r>
          </w:hyperlink>
        </w:p>
        <w:p w14:paraId="7B75D612" w14:textId="77777777" w:rsidR="002A7057" w:rsidRDefault="00000000" w:rsidP="002A7057">
          <w:pPr>
            <w:pStyle w:val="TOC2"/>
            <w:tabs>
              <w:tab w:val="right" w:leader="dot" w:pos="9350"/>
            </w:tabs>
            <w:rPr>
              <w:rFonts w:asciiTheme="minorHAnsi" w:eastAsiaTheme="minorEastAsia" w:hAnsiTheme="minorHAnsi" w:cstheme="minorBidi"/>
              <w:noProof/>
              <w:sz w:val="22"/>
              <w:szCs w:val="22"/>
              <w:lang w:val="en-US" w:eastAsia="en-US"/>
            </w:rPr>
          </w:pPr>
          <w:hyperlink w:anchor="_Toc171804432" w:history="1">
            <w:r w:rsidR="002A7057" w:rsidRPr="00BB1F3C">
              <w:rPr>
                <w:rStyle w:val="Hyperlink"/>
                <w:noProof/>
                <w:lang w:val="en-GB"/>
              </w:rPr>
              <w:t>Critical Discussion of Investment Appraisal Techniques</w:t>
            </w:r>
            <w:r w:rsidR="002A7057">
              <w:rPr>
                <w:noProof/>
                <w:webHidden/>
              </w:rPr>
              <w:tab/>
            </w:r>
            <w:r w:rsidR="002A7057">
              <w:rPr>
                <w:noProof/>
                <w:webHidden/>
              </w:rPr>
              <w:fldChar w:fldCharType="begin"/>
            </w:r>
            <w:r w:rsidR="002A7057">
              <w:rPr>
                <w:noProof/>
                <w:webHidden/>
              </w:rPr>
              <w:instrText xml:space="preserve"> PAGEREF _Toc171804432 \h </w:instrText>
            </w:r>
            <w:r w:rsidR="002A7057">
              <w:rPr>
                <w:noProof/>
                <w:webHidden/>
              </w:rPr>
            </w:r>
            <w:r w:rsidR="002A7057">
              <w:rPr>
                <w:noProof/>
                <w:webHidden/>
              </w:rPr>
              <w:fldChar w:fldCharType="separate"/>
            </w:r>
            <w:r w:rsidR="002A7057">
              <w:rPr>
                <w:noProof/>
                <w:webHidden/>
              </w:rPr>
              <w:t>25</w:t>
            </w:r>
            <w:r w:rsidR="002A7057">
              <w:rPr>
                <w:noProof/>
                <w:webHidden/>
              </w:rPr>
              <w:fldChar w:fldCharType="end"/>
            </w:r>
          </w:hyperlink>
        </w:p>
        <w:p w14:paraId="72A25F35" w14:textId="77777777" w:rsidR="002A7057" w:rsidRDefault="00000000" w:rsidP="002A7057">
          <w:pPr>
            <w:pStyle w:val="TOC1"/>
            <w:tabs>
              <w:tab w:val="right" w:leader="dot" w:pos="9350"/>
            </w:tabs>
            <w:rPr>
              <w:rFonts w:asciiTheme="minorHAnsi" w:eastAsiaTheme="minorEastAsia" w:hAnsiTheme="minorHAnsi" w:cstheme="minorBidi"/>
              <w:noProof/>
              <w:sz w:val="22"/>
              <w:szCs w:val="22"/>
              <w:lang w:val="en-US" w:eastAsia="en-US"/>
            </w:rPr>
          </w:pPr>
          <w:hyperlink w:anchor="_Toc171804433" w:history="1">
            <w:r w:rsidR="002A7057" w:rsidRPr="00BB1F3C">
              <w:rPr>
                <w:rStyle w:val="Hyperlink"/>
                <w:noProof/>
                <w:lang w:val="en-GB"/>
              </w:rPr>
              <w:t>References</w:t>
            </w:r>
            <w:r w:rsidR="002A7057">
              <w:rPr>
                <w:noProof/>
                <w:webHidden/>
              </w:rPr>
              <w:tab/>
            </w:r>
            <w:r w:rsidR="002A7057">
              <w:rPr>
                <w:noProof/>
                <w:webHidden/>
              </w:rPr>
              <w:fldChar w:fldCharType="begin"/>
            </w:r>
            <w:r w:rsidR="002A7057">
              <w:rPr>
                <w:noProof/>
                <w:webHidden/>
              </w:rPr>
              <w:instrText xml:space="preserve"> PAGEREF _Toc171804433 \h </w:instrText>
            </w:r>
            <w:r w:rsidR="002A7057">
              <w:rPr>
                <w:noProof/>
                <w:webHidden/>
              </w:rPr>
            </w:r>
            <w:r w:rsidR="002A7057">
              <w:rPr>
                <w:noProof/>
                <w:webHidden/>
              </w:rPr>
              <w:fldChar w:fldCharType="separate"/>
            </w:r>
            <w:r w:rsidR="002A7057">
              <w:rPr>
                <w:noProof/>
                <w:webHidden/>
              </w:rPr>
              <w:t>27</w:t>
            </w:r>
            <w:r w:rsidR="002A7057">
              <w:rPr>
                <w:noProof/>
                <w:webHidden/>
              </w:rPr>
              <w:fldChar w:fldCharType="end"/>
            </w:r>
          </w:hyperlink>
        </w:p>
        <w:p w14:paraId="5A2B5908" w14:textId="77777777" w:rsidR="002A7057" w:rsidRDefault="00000000" w:rsidP="002A7057">
          <w:pPr>
            <w:pStyle w:val="TOC1"/>
            <w:tabs>
              <w:tab w:val="right" w:leader="dot" w:pos="9350"/>
            </w:tabs>
            <w:rPr>
              <w:rFonts w:asciiTheme="minorHAnsi" w:eastAsiaTheme="minorEastAsia" w:hAnsiTheme="minorHAnsi" w:cstheme="minorBidi"/>
              <w:noProof/>
              <w:sz w:val="22"/>
              <w:szCs w:val="22"/>
              <w:lang w:val="en-US" w:eastAsia="en-US"/>
            </w:rPr>
          </w:pPr>
          <w:hyperlink w:anchor="_Toc171804434" w:history="1">
            <w:r w:rsidR="002A7057" w:rsidRPr="00BB1F3C">
              <w:rPr>
                <w:rStyle w:val="Hyperlink"/>
                <w:noProof/>
                <w:lang w:val="en-GB"/>
              </w:rPr>
              <w:t>Appendices</w:t>
            </w:r>
            <w:r w:rsidR="002A7057">
              <w:rPr>
                <w:noProof/>
                <w:webHidden/>
              </w:rPr>
              <w:tab/>
            </w:r>
            <w:r w:rsidR="002A7057">
              <w:rPr>
                <w:noProof/>
                <w:webHidden/>
              </w:rPr>
              <w:fldChar w:fldCharType="begin"/>
            </w:r>
            <w:r w:rsidR="002A7057">
              <w:rPr>
                <w:noProof/>
                <w:webHidden/>
              </w:rPr>
              <w:instrText xml:space="preserve"> PAGEREF _Toc171804434 \h </w:instrText>
            </w:r>
            <w:r w:rsidR="002A7057">
              <w:rPr>
                <w:noProof/>
                <w:webHidden/>
              </w:rPr>
            </w:r>
            <w:r w:rsidR="002A7057">
              <w:rPr>
                <w:noProof/>
                <w:webHidden/>
              </w:rPr>
              <w:fldChar w:fldCharType="separate"/>
            </w:r>
            <w:r w:rsidR="002A7057">
              <w:rPr>
                <w:noProof/>
                <w:webHidden/>
              </w:rPr>
              <w:t>32</w:t>
            </w:r>
            <w:r w:rsidR="002A7057">
              <w:rPr>
                <w:noProof/>
                <w:webHidden/>
              </w:rPr>
              <w:fldChar w:fldCharType="end"/>
            </w:r>
          </w:hyperlink>
        </w:p>
        <w:p w14:paraId="4C036D95" w14:textId="77777777" w:rsidR="002A7057" w:rsidRDefault="00000000" w:rsidP="002A7057">
          <w:pPr>
            <w:pStyle w:val="TOC2"/>
            <w:tabs>
              <w:tab w:val="right" w:leader="dot" w:pos="9350"/>
            </w:tabs>
            <w:rPr>
              <w:rFonts w:asciiTheme="minorHAnsi" w:eastAsiaTheme="minorEastAsia" w:hAnsiTheme="minorHAnsi" w:cstheme="minorBidi"/>
              <w:noProof/>
              <w:sz w:val="22"/>
              <w:szCs w:val="22"/>
              <w:lang w:val="en-US" w:eastAsia="en-US"/>
            </w:rPr>
          </w:pPr>
          <w:hyperlink w:anchor="_Toc171804435" w:history="1">
            <w:r w:rsidR="002A7057" w:rsidRPr="00BB1F3C">
              <w:rPr>
                <w:rStyle w:val="Hyperlink"/>
                <w:noProof/>
                <w:lang w:val="en-GB"/>
              </w:rPr>
              <w:t>Appendix 1: Ratios Calculation</w:t>
            </w:r>
            <w:r w:rsidR="002A7057">
              <w:rPr>
                <w:noProof/>
                <w:webHidden/>
              </w:rPr>
              <w:tab/>
            </w:r>
            <w:r w:rsidR="002A7057">
              <w:rPr>
                <w:noProof/>
                <w:webHidden/>
              </w:rPr>
              <w:fldChar w:fldCharType="begin"/>
            </w:r>
            <w:r w:rsidR="002A7057">
              <w:rPr>
                <w:noProof/>
                <w:webHidden/>
              </w:rPr>
              <w:instrText xml:space="preserve"> PAGEREF _Toc171804435 \h </w:instrText>
            </w:r>
            <w:r w:rsidR="002A7057">
              <w:rPr>
                <w:noProof/>
                <w:webHidden/>
              </w:rPr>
            </w:r>
            <w:r w:rsidR="002A7057">
              <w:rPr>
                <w:noProof/>
                <w:webHidden/>
              </w:rPr>
              <w:fldChar w:fldCharType="separate"/>
            </w:r>
            <w:r w:rsidR="002A7057">
              <w:rPr>
                <w:noProof/>
                <w:webHidden/>
              </w:rPr>
              <w:t>32</w:t>
            </w:r>
            <w:r w:rsidR="002A7057">
              <w:rPr>
                <w:noProof/>
                <w:webHidden/>
              </w:rPr>
              <w:fldChar w:fldCharType="end"/>
            </w:r>
          </w:hyperlink>
        </w:p>
        <w:p w14:paraId="3A8FD9A0" w14:textId="77777777" w:rsidR="00410BA5" w:rsidRPr="0020339D" w:rsidRDefault="000A47A9" w:rsidP="002A7057">
          <w:pPr>
            <w:widowControl w:val="0"/>
            <w:tabs>
              <w:tab w:val="right" w:leader="dot" w:pos="12000"/>
            </w:tabs>
            <w:spacing w:before="60" w:after="0"/>
            <w:ind w:left="360"/>
            <w:jc w:val="left"/>
            <w:rPr>
              <w:lang w:val="en-GB"/>
            </w:rPr>
          </w:pPr>
          <w:r w:rsidRPr="0020339D">
            <w:rPr>
              <w:lang w:val="en-GB"/>
            </w:rPr>
            <w:fldChar w:fldCharType="end"/>
          </w:r>
        </w:p>
      </w:sdtContent>
    </w:sdt>
    <w:p w14:paraId="3B9CA990" w14:textId="77777777" w:rsidR="00410BA5" w:rsidRPr="0020339D" w:rsidRDefault="00410BA5">
      <w:pPr>
        <w:rPr>
          <w:lang w:val="en-GB"/>
        </w:rPr>
      </w:pPr>
    </w:p>
    <w:p w14:paraId="0421DC5F" w14:textId="77777777" w:rsidR="00410BA5" w:rsidRPr="0020339D" w:rsidRDefault="00C55C36">
      <w:pPr>
        <w:pStyle w:val="Heading1"/>
        <w:rPr>
          <w:lang w:val="en-GB"/>
        </w:rPr>
      </w:pPr>
      <w:bookmarkStart w:id="0" w:name="_oygs96jgr9kh" w:colFirst="0" w:colLast="0"/>
      <w:bookmarkEnd w:id="0"/>
      <w:r w:rsidRPr="0020339D">
        <w:rPr>
          <w:lang w:val="en-GB"/>
        </w:rPr>
        <w:br w:type="page"/>
      </w:r>
    </w:p>
    <w:p w14:paraId="220FE0EF" w14:textId="77777777" w:rsidR="00410BA5" w:rsidRPr="0020339D" w:rsidRDefault="00C55C36">
      <w:pPr>
        <w:pStyle w:val="Heading1"/>
        <w:rPr>
          <w:lang w:val="en-GB"/>
        </w:rPr>
      </w:pPr>
      <w:bookmarkStart w:id="1" w:name="_Toc171804415"/>
      <w:r w:rsidRPr="0020339D">
        <w:rPr>
          <w:lang w:val="en-GB"/>
        </w:rPr>
        <w:lastRenderedPageBreak/>
        <w:t>Part A: Introduction</w:t>
      </w:r>
      <w:bookmarkEnd w:id="1"/>
    </w:p>
    <w:p w14:paraId="5635020C" w14:textId="77777777" w:rsidR="00410BA5" w:rsidRPr="0020339D" w:rsidRDefault="00C55C36">
      <w:pPr>
        <w:pStyle w:val="Heading2"/>
        <w:rPr>
          <w:lang w:val="en-GB"/>
        </w:rPr>
      </w:pPr>
      <w:bookmarkStart w:id="2" w:name="_Toc171804416"/>
      <w:r w:rsidRPr="0020339D">
        <w:rPr>
          <w:lang w:val="en-GB"/>
        </w:rPr>
        <w:t>Brief history of Johnson &amp; Johnson</w:t>
      </w:r>
      <w:bookmarkEnd w:id="2"/>
    </w:p>
    <w:p w14:paraId="4A9C5C4D" w14:textId="77777777" w:rsidR="00410BA5" w:rsidRPr="0020339D" w:rsidRDefault="00C55C36">
      <w:pPr>
        <w:rPr>
          <w:lang w:val="en-GB"/>
        </w:rPr>
      </w:pPr>
      <w:r w:rsidRPr="0020339D">
        <w:rPr>
          <w:lang w:val="en-GB"/>
        </w:rPr>
        <w:t xml:space="preserve">Johnson &amp; Johnson (J&amp;J) was founded by three brothers James Wood Johnson, Robert </w:t>
      </w:r>
      <w:r w:rsidR="00FA6877" w:rsidRPr="0020339D">
        <w:rPr>
          <w:lang w:val="en-GB"/>
        </w:rPr>
        <w:t>Wood Johnson</w:t>
      </w:r>
      <w:r w:rsidRPr="0020339D">
        <w:rPr>
          <w:lang w:val="en-GB"/>
        </w:rPr>
        <w:t xml:space="preserve"> and Edward Mead Johnson in 1886, in New Brunswick, New Jersey.  The company started with 14 employees and now the company is one of the most valuable companies in the </w:t>
      </w:r>
      <w:r w:rsidR="00FA6877" w:rsidRPr="0020339D">
        <w:rPr>
          <w:lang w:val="en-GB"/>
        </w:rPr>
        <w:t>world (</w:t>
      </w:r>
      <w:r w:rsidRPr="0020339D">
        <w:rPr>
          <w:lang w:val="en-GB"/>
        </w:rPr>
        <w:t xml:space="preserve">Ourstory.jnj.com, 2021). More than 130,000 workers are working across more than 60 countries around the world. J&amp;J provides extensive healthcare products to its customers and continuous research &amp; development (R&amp;D) and continuous innovation to find solutions to meet people’s medical and wellness needs. J&amp;J is committed to providing quality health and medical products and services to cure complex diseases, provide personal solutions, and improve access and affordability (Johnson &amp; Johnson, 2024). </w:t>
      </w:r>
    </w:p>
    <w:p w14:paraId="6B8DDCEC" w14:textId="77777777" w:rsidR="00410BA5" w:rsidRPr="0020339D" w:rsidRDefault="00C55C36">
      <w:pPr>
        <w:jc w:val="center"/>
        <w:rPr>
          <w:lang w:val="en-GB"/>
        </w:rPr>
      </w:pPr>
      <w:r w:rsidRPr="0020339D">
        <w:rPr>
          <w:noProof/>
          <w:lang w:val="en-US" w:eastAsia="en-US"/>
        </w:rPr>
        <w:drawing>
          <wp:inline distT="114300" distB="114300" distL="114300" distR="114300" wp14:anchorId="12E7A5B0" wp14:editId="5BCBFB1F">
            <wp:extent cx="5943600" cy="2565400"/>
            <wp:effectExtent l="25400" t="25400" r="25400" b="2540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6"/>
                    <a:srcRect/>
                    <a:stretch>
                      <a:fillRect/>
                    </a:stretch>
                  </pic:blipFill>
                  <pic:spPr>
                    <a:xfrm>
                      <a:off x="0" y="0"/>
                      <a:ext cx="5943600" cy="2565400"/>
                    </a:xfrm>
                    <a:prstGeom prst="rect">
                      <a:avLst/>
                    </a:prstGeom>
                    <a:ln w="25400">
                      <a:solidFill>
                        <a:srgbClr val="000000"/>
                      </a:solidFill>
                      <a:prstDash val="solid"/>
                    </a:ln>
                  </pic:spPr>
                </pic:pic>
              </a:graphicData>
            </a:graphic>
          </wp:inline>
        </w:drawing>
      </w:r>
    </w:p>
    <w:p w14:paraId="3C61399A" w14:textId="77777777" w:rsidR="00410BA5" w:rsidRPr="0020339D" w:rsidRDefault="00C55C36">
      <w:pPr>
        <w:jc w:val="center"/>
        <w:rPr>
          <w:b/>
          <w:lang w:val="en-GB"/>
        </w:rPr>
      </w:pPr>
      <w:r w:rsidRPr="0020339D">
        <w:rPr>
          <w:b/>
          <w:lang w:val="en-GB"/>
        </w:rPr>
        <w:t>Figure 1.1: Key information about J&amp;J</w:t>
      </w:r>
    </w:p>
    <w:p w14:paraId="78EBAA20" w14:textId="77777777" w:rsidR="00410BA5" w:rsidRPr="0020339D" w:rsidRDefault="00C55C36">
      <w:pPr>
        <w:jc w:val="center"/>
        <w:rPr>
          <w:lang w:val="en-GB"/>
        </w:rPr>
      </w:pPr>
      <w:r w:rsidRPr="0020339D">
        <w:rPr>
          <w:lang w:val="en-GB"/>
        </w:rPr>
        <w:t>(Source: Pereira, 2023)</w:t>
      </w:r>
    </w:p>
    <w:p w14:paraId="03EA7E05" w14:textId="77777777" w:rsidR="00410BA5" w:rsidRPr="0020339D" w:rsidRDefault="00C55C36">
      <w:pPr>
        <w:pStyle w:val="Heading2"/>
        <w:rPr>
          <w:lang w:val="en-GB"/>
        </w:rPr>
      </w:pPr>
      <w:bookmarkStart w:id="3" w:name="_Toc171804417"/>
      <w:r w:rsidRPr="0020339D">
        <w:rPr>
          <w:lang w:val="en-GB"/>
        </w:rPr>
        <w:lastRenderedPageBreak/>
        <w:t>Business model</w:t>
      </w:r>
      <w:bookmarkEnd w:id="3"/>
    </w:p>
    <w:p w14:paraId="55F14AF9" w14:textId="77777777" w:rsidR="00410BA5" w:rsidRPr="0020339D" w:rsidRDefault="00C55C36">
      <w:pPr>
        <w:jc w:val="center"/>
        <w:rPr>
          <w:lang w:val="en-GB"/>
        </w:rPr>
      </w:pPr>
      <w:r w:rsidRPr="0020339D">
        <w:rPr>
          <w:noProof/>
          <w:lang w:val="en-US" w:eastAsia="en-US"/>
        </w:rPr>
        <w:drawing>
          <wp:inline distT="114300" distB="114300" distL="114300" distR="114300" wp14:anchorId="3B6DB837" wp14:editId="7B40FBA8">
            <wp:extent cx="5943600" cy="3126764"/>
            <wp:effectExtent l="25400" t="25400" r="25400" b="25400"/>
            <wp:docPr id="15"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7"/>
                    <a:srcRect/>
                    <a:stretch>
                      <a:fillRect/>
                    </a:stretch>
                  </pic:blipFill>
                  <pic:spPr>
                    <a:xfrm>
                      <a:off x="0" y="0"/>
                      <a:ext cx="5943600" cy="3126764"/>
                    </a:xfrm>
                    <a:prstGeom prst="rect">
                      <a:avLst/>
                    </a:prstGeom>
                    <a:ln w="25400">
                      <a:solidFill>
                        <a:srgbClr val="000000"/>
                      </a:solidFill>
                      <a:prstDash val="solid"/>
                    </a:ln>
                  </pic:spPr>
                </pic:pic>
              </a:graphicData>
            </a:graphic>
          </wp:inline>
        </w:drawing>
      </w:r>
    </w:p>
    <w:p w14:paraId="24D62566" w14:textId="77777777" w:rsidR="00410BA5" w:rsidRPr="0020339D" w:rsidRDefault="00C55C36">
      <w:pPr>
        <w:jc w:val="center"/>
        <w:rPr>
          <w:b/>
          <w:lang w:val="en-GB"/>
        </w:rPr>
      </w:pPr>
      <w:r w:rsidRPr="0020339D">
        <w:rPr>
          <w:b/>
          <w:lang w:val="en-GB"/>
        </w:rPr>
        <w:t>Figure 1.2: J&amp;J Business model canvas</w:t>
      </w:r>
    </w:p>
    <w:p w14:paraId="466585F5" w14:textId="77777777" w:rsidR="00410BA5" w:rsidRPr="0020339D" w:rsidRDefault="00C55C36">
      <w:pPr>
        <w:jc w:val="center"/>
        <w:rPr>
          <w:lang w:val="en-GB"/>
        </w:rPr>
      </w:pPr>
      <w:r w:rsidRPr="0020339D">
        <w:rPr>
          <w:lang w:val="en-GB"/>
        </w:rPr>
        <w:t xml:space="preserve">(Source: ‌Osterwalder </w:t>
      </w:r>
      <w:r w:rsidRPr="0020339D">
        <w:rPr>
          <w:i/>
          <w:lang w:val="en-GB"/>
        </w:rPr>
        <w:t>et al</w:t>
      </w:r>
      <w:r w:rsidRPr="0020339D">
        <w:rPr>
          <w:lang w:val="en-GB"/>
        </w:rPr>
        <w:t>. 2020)</w:t>
      </w:r>
    </w:p>
    <w:p w14:paraId="3FD0E1EB" w14:textId="77777777" w:rsidR="00410BA5" w:rsidRPr="0020339D" w:rsidRDefault="00C55C36">
      <w:pPr>
        <w:rPr>
          <w:lang w:val="en-GB"/>
        </w:rPr>
      </w:pPr>
      <w:r w:rsidRPr="0020339D">
        <w:rPr>
          <w:lang w:val="en-GB"/>
        </w:rPr>
        <w:t>J&amp;</w:t>
      </w:r>
      <w:r w:rsidR="00FA6877" w:rsidRPr="0020339D">
        <w:rPr>
          <w:lang w:val="en-GB"/>
        </w:rPr>
        <w:t>J mainly</w:t>
      </w:r>
      <w:r w:rsidRPr="0020339D">
        <w:rPr>
          <w:lang w:val="en-GB"/>
        </w:rPr>
        <w:t xml:space="preserve"> focus on manufacturing, developing, and marketing vast medical and healthcare product ranges to customers and improving the lives and well-being of people. Starting from personal-care products to prescription drugs and medical devices J&amp;J offer a diverse range of product portfolios to meet their business aims. Pereira (2023) stated that the commitment towards continuous development and innovation has made this organisation successful for more than 130 years in the healthcare industry. Further, embracing a customer-centric approach promotes the understanding of customer loyalty and trust in the organisation, and to achieve this J&amp;J working hard through effective quality products &amp; services, </w:t>
      </w:r>
      <w:r w:rsidR="00FA6877" w:rsidRPr="0020339D">
        <w:rPr>
          <w:lang w:val="en-GB"/>
        </w:rPr>
        <w:t>effective</w:t>
      </w:r>
      <w:r w:rsidRPr="0020339D">
        <w:rPr>
          <w:lang w:val="en-GB"/>
        </w:rPr>
        <w:t xml:space="preserve"> marketing initiatives and brand management tactics (Osterwalder </w:t>
      </w:r>
      <w:r w:rsidRPr="0020339D">
        <w:rPr>
          <w:i/>
          <w:lang w:val="en-GB"/>
        </w:rPr>
        <w:t>et al.</w:t>
      </w:r>
      <w:r w:rsidRPr="0020339D">
        <w:rPr>
          <w:lang w:val="en-GB"/>
        </w:rPr>
        <w:t xml:space="preserve"> 2020). </w:t>
      </w:r>
    </w:p>
    <w:p w14:paraId="4B77CD03" w14:textId="77777777" w:rsidR="00410BA5" w:rsidRPr="0020339D" w:rsidRDefault="00C55C36">
      <w:pPr>
        <w:pStyle w:val="Heading2"/>
        <w:rPr>
          <w:lang w:val="en-GB"/>
        </w:rPr>
      </w:pPr>
      <w:bookmarkStart w:id="4" w:name="_Toc171804418"/>
      <w:r w:rsidRPr="0020339D">
        <w:rPr>
          <w:lang w:val="en-GB"/>
        </w:rPr>
        <w:t>Marketplace and major competitors</w:t>
      </w:r>
      <w:bookmarkEnd w:id="4"/>
    </w:p>
    <w:p w14:paraId="4E00C15C" w14:textId="77777777" w:rsidR="00410BA5" w:rsidRPr="0020339D" w:rsidRDefault="00C55C36">
      <w:pPr>
        <w:rPr>
          <w:lang w:val="en-GB"/>
        </w:rPr>
      </w:pPr>
      <w:r w:rsidRPr="0020339D">
        <w:rPr>
          <w:lang w:val="en-GB"/>
        </w:rPr>
        <w:t xml:space="preserve">J&amp;J remains a highly diversified global pharmaceutical leader yielding 65% areas and the rest areas are in medical devices which includes instrumental solutions, surgery, orthopaedics and many more (Bioworld.com, 2024). The company operates in more than 60 countries with a </w:t>
      </w:r>
      <w:r w:rsidR="00FA6877" w:rsidRPr="0020339D">
        <w:rPr>
          <w:lang w:val="en-GB"/>
        </w:rPr>
        <w:t xml:space="preserve">total </w:t>
      </w:r>
      <w:r w:rsidR="00FA6877" w:rsidRPr="0020339D">
        <w:rPr>
          <w:lang w:val="en-GB"/>
        </w:rPr>
        <w:lastRenderedPageBreak/>
        <w:t>employee</w:t>
      </w:r>
      <w:r w:rsidRPr="0020339D">
        <w:rPr>
          <w:lang w:val="en-GB"/>
        </w:rPr>
        <w:t xml:space="preserve"> of 12,500 and mainly offers its products in the US, Europe; Asia-Pacific &amp; Africa, the Western Hemisphere (excluding the US) and Latin America (Global Data, 2022). The firm also leverages its extensive distribution networks as well as a strong brand to effectively penetrate diverse healthcare sectors worldwide. </w:t>
      </w:r>
    </w:p>
    <w:p w14:paraId="0E06B506" w14:textId="77777777" w:rsidR="00410BA5" w:rsidRPr="0020339D" w:rsidRDefault="00C55C36">
      <w:pPr>
        <w:jc w:val="center"/>
        <w:rPr>
          <w:lang w:val="en-GB"/>
        </w:rPr>
      </w:pPr>
      <w:r w:rsidRPr="0020339D">
        <w:rPr>
          <w:noProof/>
          <w:lang w:val="en-US" w:eastAsia="en-US"/>
        </w:rPr>
        <w:drawing>
          <wp:inline distT="114300" distB="114300" distL="114300" distR="114300" wp14:anchorId="07034888" wp14:editId="24023D7C">
            <wp:extent cx="5943600" cy="4167188"/>
            <wp:effectExtent l="25400" t="25400" r="25400" b="25400"/>
            <wp:docPr id="1"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8"/>
                    <a:srcRect/>
                    <a:stretch>
                      <a:fillRect/>
                    </a:stretch>
                  </pic:blipFill>
                  <pic:spPr>
                    <a:xfrm>
                      <a:off x="0" y="0"/>
                      <a:ext cx="5943600" cy="4167188"/>
                    </a:xfrm>
                    <a:prstGeom prst="rect">
                      <a:avLst/>
                    </a:prstGeom>
                    <a:ln w="25400">
                      <a:solidFill>
                        <a:srgbClr val="000000"/>
                      </a:solidFill>
                      <a:prstDash val="solid"/>
                    </a:ln>
                  </pic:spPr>
                </pic:pic>
              </a:graphicData>
            </a:graphic>
          </wp:inline>
        </w:drawing>
      </w:r>
    </w:p>
    <w:p w14:paraId="325B6F69" w14:textId="77777777" w:rsidR="00410BA5" w:rsidRPr="0020339D" w:rsidRDefault="00C55C36">
      <w:pPr>
        <w:jc w:val="center"/>
        <w:rPr>
          <w:b/>
          <w:lang w:val="en-GB"/>
        </w:rPr>
      </w:pPr>
      <w:r w:rsidRPr="0020339D">
        <w:rPr>
          <w:b/>
          <w:lang w:val="en-GB"/>
        </w:rPr>
        <w:t>Figure 1.3: Leading pharmaceutical and healthcare companies in the UK</w:t>
      </w:r>
    </w:p>
    <w:p w14:paraId="78CDECE0" w14:textId="77777777" w:rsidR="00410BA5" w:rsidRPr="0020339D" w:rsidRDefault="00C55C36">
      <w:pPr>
        <w:jc w:val="center"/>
        <w:rPr>
          <w:lang w:val="en-GB"/>
        </w:rPr>
      </w:pPr>
      <w:r w:rsidRPr="0020339D">
        <w:rPr>
          <w:lang w:val="en-GB"/>
        </w:rPr>
        <w:t>(Source: Statista, 2018)</w:t>
      </w:r>
    </w:p>
    <w:p w14:paraId="0F05567F" w14:textId="77777777" w:rsidR="00410BA5" w:rsidRPr="0020339D" w:rsidRDefault="00C55C36">
      <w:pPr>
        <w:rPr>
          <w:lang w:val="en-GB"/>
        </w:rPr>
      </w:pPr>
      <w:r w:rsidRPr="0020339D">
        <w:rPr>
          <w:lang w:val="en-GB"/>
        </w:rPr>
        <w:t xml:space="preserve">This statistic displays the leading pharmaceutical companies by market share in which Pfizer topped the list with 8.2% followed by Novartis. However, considering innovative drugs and global market reach, J&amp;J effectively compete with Pfizer along with GSK and others. In contrast, Luigi </w:t>
      </w:r>
      <w:r w:rsidRPr="0020339D">
        <w:rPr>
          <w:i/>
          <w:lang w:val="en-GB"/>
        </w:rPr>
        <w:t>et al</w:t>
      </w:r>
      <w:r w:rsidRPr="0020339D">
        <w:rPr>
          <w:lang w:val="en-GB"/>
        </w:rPr>
        <w:t xml:space="preserve">. (2021) claimed that in the field of consumer health, it faces serious competition from P&amp;G which sells personal care items as well as baby care essentials. In addition, in medical devices, J&amp;J closely competes with Medtronic focusing on both the surgical and cardiovascular implant services. </w:t>
      </w:r>
    </w:p>
    <w:p w14:paraId="5AD40932" w14:textId="77777777" w:rsidR="00410BA5" w:rsidRPr="0020339D" w:rsidRDefault="00C55C36">
      <w:pPr>
        <w:pStyle w:val="Heading2"/>
        <w:rPr>
          <w:lang w:val="en-GB"/>
        </w:rPr>
      </w:pPr>
      <w:bookmarkStart w:id="5" w:name="_Toc171804419"/>
      <w:r w:rsidRPr="0020339D">
        <w:rPr>
          <w:lang w:val="en-GB"/>
        </w:rPr>
        <w:lastRenderedPageBreak/>
        <w:t>Review of major recent events (Past five years)</w:t>
      </w:r>
      <w:bookmarkEnd w:id="5"/>
    </w:p>
    <w:p w14:paraId="1371B2CF" w14:textId="77777777" w:rsidR="00410BA5" w:rsidRPr="0020339D" w:rsidRDefault="00C55C36">
      <w:pPr>
        <w:jc w:val="center"/>
        <w:rPr>
          <w:lang w:val="en-GB"/>
        </w:rPr>
      </w:pPr>
      <w:r w:rsidRPr="0020339D">
        <w:rPr>
          <w:noProof/>
          <w:lang w:val="en-US" w:eastAsia="en-US"/>
        </w:rPr>
        <w:drawing>
          <wp:inline distT="114300" distB="114300" distL="114300" distR="114300" wp14:anchorId="04FD7ABE" wp14:editId="0B5A8373">
            <wp:extent cx="5943600" cy="5283200"/>
            <wp:effectExtent l="25400" t="25400" r="25400" b="25400"/>
            <wp:docPr id="14"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9"/>
                    <a:srcRect/>
                    <a:stretch>
                      <a:fillRect/>
                    </a:stretch>
                  </pic:blipFill>
                  <pic:spPr>
                    <a:xfrm>
                      <a:off x="0" y="0"/>
                      <a:ext cx="5943600" cy="5283200"/>
                    </a:xfrm>
                    <a:prstGeom prst="rect">
                      <a:avLst/>
                    </a:prstGeom>
                    <a:ln w="25400">
                      <a:solidFill>
                        <a:srgbClr val="000000"/>
                      </a:solidFill>
                      <a:prstDash val="solid"/>
                    </a:ln>
                  </pic:spPr>
                </pic:pic>
              </a:graphicData>
            </a:graphic>
          </wp:inline>
        </w:drawing>
      </w:r>
    </w:p>
    <w:p w14:paraId="0BE57B68" w14:textId="77777777" w:rsidR="00410BA5" w:rsidRPr="0020339D" w:rsidRDefault="00C55C36">
      <w:pPr>
        <w:jc w:val="center"/>
        <w:rPr>
          <w:b/>
          <w:lang w:val="en-GB"/>
        </w:rPr>
      </w:pPr>
      <w:r w:rsidRPr="0020339D">
        <w:rPr>
          <w:b/>
          <w:lang w:val="en-GB"/>
        </w:rPr>
        <w:t xml:space="preserve">Table 1.1: Recent events in J&amp;J in the last five years </w:t>
      </w:r>
    </w:p>
    <w:p w14:paraId="7DBBEDD7" w14:textId="77777777" w:rsidR="00410BA5" w:rsidRPr="0020339D" w:rsidRDefault="00C55C36">
      <w:pPr>
        <w:jc w:val="center"/>
        <w:rPr>
          <w:lang w:val="en-GB"/>
        </w:rPr>
      </w:pPr>
      <w:r w:rsidRPr="0020339D">
        <w:rPr>
          <w:lang w:val="en-GB"/>
        </w:rPr>
        <w:t>(Source: Jnj</w:t>
      </w:r>
      <w:r w:rsidR="00FA6877" w:rsidRPr="0020339D">
        <w:rPr>
          <w:lang w:val="en-GB"/>
        </w:rPr>
        <w:t>.com</w:t>
      </w:r>
      <w:r w:rsidRPr="0020339D">
        <w:rPr>
          <w:lang w:val="en-GB"/>
        </w:rPr>
        <w:t>, 2024)</w:t>
      </w:r>
    </w:p>
    <w:p w14:paraId="2DA03FA0" w14:textId="77777777" w:rsidR="00410BA5" w:rsidRPr="0020339D" w:rsidRDefault="00C55C36">
      <w:pPr>
        <w:rPr>
          <w:lang w:val="en-GB"/>
        </w:rPr>
      </w:pPr>
      <w:r w:rsidRPr="0020339D">
        <w:rPr>
          <w:lang w:val="en-GB"/>
        </w:rPr>
        <w:t xml:space="preserve">The above description demonstrates a clear picture of the significant events that affected J&amp;J operations as well as performance over a certain period in the healthcare and pharmaceutical sectors. The leadership position changed in the year 2022 and strategic initiatives in the form of expansion in robotics were delivered in the year 2023. On the other hand, legal issues such as sentiments related to device safety closely followed over the last two years. </w:t>
      </w:r>
      <w:r w:rsidRPr="0020339D">
        <w:rPr>
          <w:lang w:val="en-GB"/>
        </w:rPr>
        <w:br w:type="page"/>
      </w:r>
    </w:p>
    <w:p w14:paraId="77B5B3F7" w14:textId="77777777" w:rsidR="00410BA5" w:rsidRPr="0020339D" w:rsidRDefault="00C55C36">
      <w:pPr>
        <w:pStyle w:val="Heading1"/>
        <w:rPr>
          <w:lang w:val="en-GB"/>
        </w:rPr>
      </w:pPr>
      <w:bookmarkStart w:id="6" w:name="_Toc171804420"/>
      <w:r w:rsidRPr="0020339D">
        <w:rPr>
          <w:lang w:val="en-GB"/>
        </w:rPr>
        <w:lastRenderedPageBreak/>
        <w:t>Part B: Financial Performance Review</w:t>
      </w:r>
      <w:bookmarkEnd w:id="6"/>
    </w:p>
    <w:p w14:paraId="10C5F894" w14:textId="77777777" w:rsidR="00410BA5" w:rsidRPr="0020339D" w:rsidRDefault="00C55C36">
      <w:pPr>
        <w:pStyle w:val="Heading2"/>
        <w:rPr>
          <w:lang w:val="en-GB"/>
        </w:rPr>
      </w:pPr>
      <w:bookmarkStart w:id="7" w:name="_Toc171804421"/>
      <w:r w:rsidRPr="0020339D">
        <w:rPr>
          <w:lang w:val="en-GB"/>
        </w:rPr>
        <w:t>Financial Ratios Calculation</w:t>
      </w:r>
      <w:bookmarkEnd w:id="7"/>
    </w:p>
    <w:p w14:paraId="15DE0455" w14:textId="77777777" w:rsidR="00410BA5" w:rsidRPr="0020339D" w:rsidRDefault="00C55C36">
      <w:pPr>
        <w:pStyle w:val="Heading3"/>
        <w:rPr>
          <w:lang w:val="en-GB"/>
        </w:rPr>
      </w:pPr>
      <w:bookmarkStart w:id="8" w:name="_Toc171804422"/>
      <w:r w:rsidRPr="0020339D">
        <w:rPr>
          <w:lang w:val="en-GB"/>
        </w:rPr>
        <w:t>Profitability Ratios</w:t>
      </w:r>
      <w:bookmarkEnd w:id="8"/>
    </w:p>
    <w:tbl>
      <w:tblPr>
        <w:tblStyle w:val="a"/>
        <w:tblW w:w="5000" w:type="pct"/>
        <w:tblBorders>
          <w:top w:val="nil"/>
          <w:left w:val="nil"/>
          <w:bottom w:val="nil"/>
          <w:right w:val="nil"/>
          <w:insideH w:val="nil"/>
          <w:insideV w:val="nil"/>
        </w:tblBorders>
        <w:tblLook w:val="0600" w:firstRow="0" w:lastRow="0" w:firstColumn="0" w:lastColumn="0" w:noHBand="1" w:noVBand="1"/>
      </w:tblPr>
      <w:tblGrid>
        <w:gridCol w:w="2273"/>
        <w:gridCol w:w="1001"/>
        <w:gridCol w:w="910"/>
        <w:gridCol w:w="895"/>
        <w:gridCol w:w="940"/>
        <w:gridCol w:w="970"/>
        <w:gridCol w:w="2451"/>
      </w:tblGrid>
      <w:tr w:rsidR="00410BA5" w:rsidRPr="0020339D" w14:paraId="21DFB5C6" w14:textId="77777777" w:rsidTr="00FA6877">
        <w:trPr>
          <w:trHeight w:val="315"/>
        </w:trPr>
        <w:tc>
          <w:tcPr>
            <w:tcW w:w="1204" w:type="pct"/>
            <w:tcBorders>
              <w:top w:val="single" w:sz="6" w:space="0" w:color="000000"/>
              <w:left w:val="single" w:sz="6" w:space="0" w:color="000000"/>
              <w:bottom w:val="single" w:sz="6" w:space="0" w:color="000000"/>
              <w:right w:val="single" w:sz="6" w:space="0" w:color="000000"/>
            </w:tcBorders>
            <w:shd w:val="clear" w:color="auto" w:fill="D5A6BD"/>
            <w:tcMar>
              <w:top w:w="0" w:type="dxa"/>
              <w:left w:w="40" w:type="dxa"/>
              <w:bottom w:w="0" w:type="dxa"/>
              <w:right w:w="40" w:type="dxa"/>
            </w:tcMar>
            <w:vAlign w:val="bottom"/>
          </w:tcPr>
          <w:p w14:paraId="0158FE0F" w14:textId="77777777" w:rsidR="00410BA5" w:rsidRPr="0020339D" w:rsidRDefault="00C55C36">
            <w:pPr>
              <w:widowControl w:val="0"/>
              <w:spacing w:before="0" w:after="0"/>
              <w:jc w:val="center"/>
              <w:rPr>
                <w:rFonts w:ascii="Arial" w:eastAsia="Arial" w:hAnsi="Arial" w:cs="Arial"/>
                <w:sz w:val="20"/>
                <w:szCs w:val="20"/>
                <w:lang w:val="en-GB"/>
              </w:rPr>
            </w:pPr>
            <w:r w:rsidRPr="0020339D">
              <w:rPr>
                <w:b/>
                <w:lang w:val="en-GB"/>
              </w:rPr>
              <w:t>Profitability Ratios</w:t>
            </w:r>
          </w:p>
        </w:tc>
        <w:tc>
          <w:tcPr>
            <w:tcW w:w="530" w:type="pct"/>
            <w:tcBorders>
              <w:top w:val="single" w:sz="6" w:space="0" w:color="000000"/>
              <w:left w:val="single" w:sz="6" w:space="0" w:color="CCCCCC"/>
              <w:bottom w:val="single" w:sz="6" w:space="0" w:color="000000"/>
              <w:right w:val="single" w:sz="6" w:space="0" w:color="000000"/>
            </w:tcBorders>
            <w:shd w:val="clear" w:color="auto" w:fill="D5A6BD"/>
            <w:tcMar>
              <w:top w:w="0" w:type="dxa"/>
              <w:left w:w="40" w:type="dxa"/>
              <w:bottom w:w="0" w:type="dxa"/>
              <w:right w:w="40" w:type="dxa"/>
            </w:tcMar>
            <w:vAlign w:val="bottom"/>
          </w:tcPr>
          <w:p w14:paraId="4E173C5F" w14:textId="77777777" w:rsidR="00410BA5" w:rsidRPr="0020339D" w:rsidRDefault="00410BA5">
            <w:pPr>
              <w:widowControl w:val="0"/>
              <w:spacing w:before="0" w:after="0"/>
              <w:jc w:val="left"/>
              <w:rPr>
                <w:rFonts w:ascii="Arial" w:eastAsia="Arial" w:hAnsi="Arial" w:cs="Arial"/>
                <w:sz w:val="20"/>
                <w:szCs w:val="20"/>
                <w:lang w:val="en-GB"/>
              </w:rPr>
            </w:pPr>
          </w:p>
        </w:tc>
        <w:tc>
          <w:tcPr>
            <w:tcW w:w="1966" w:type="pct"/>
            <w:gridSpan w:val="4"/>
            <w:tcBorders>
              <w:top w:val="single" w:sz="6" w:space="0" w:color="000000"/>
              <w:left w:val="single" w:sz="6" w:space="0" w:color="CCCCCC"/>
              <w:bottom w:val="single" w:sz="6" w:space="0" w:color="000000"/>
              <w:right w:val="single" w:sz="6" w:space="0" w:color="000000"/>
            </w:tcBorders>
            <w:shd w:val="clear" w:color="auto" w:fill="D5A6BD"/>
            <w:tcMar>
              <w:top w:w="0" w:type="dxa"/>
              <w:left w:w="40" w:type="dxa"/>
              <w:bottom w:w="0" w:type="dxa"/>
              <w:right w:w="40" w:type="dxa"/>
            </w:tcMar>
            <w:vAlign w:val="bottom"/>
          </w:tcPr>
          <w:p w14:paraId="6C73E7D2" w14:textId="77777777" w:rsidR="00410BA5" w:rsidRPr="0020339D" w:rsidRDefault="00C55C36">
            <w:pPr>
              <w:widowControl w:val="0"/>
              <w:spacing w:before="0" w:after="0"/>
              <w:jc w:val="center"/>
              <w:rPr>
                <w:rFonts w:ascii="Arial" w:eastAsia="Arial" w:hAnsi="Arial" w:cs="Arial"/>
                <w:sz w:val="20"/>
                <w:szCs w:val="20"/>
                <w:lang w:val="en-GB"/>
              </w:rPr>
            </w:pPr>
            <w:r w:rsidRPr="0020339D">
              <w:rPr>
                <w:b/>
                <w:lang w:val="en-GB"/>
              </w:rPr>
              <w:t xml:space="preserve">Johnson &amp; Johnson </w:t>
            </w:r>
          </w:p>
        </w:tc>
        <w:tc>
          <w:tcPr>
            <w:tcW w:w="1300" w:type="pct"/>
            <w:tcBorders>
              <w:top w:val="single" w:sz="6" w:space="0" w:color="000000"/>
              <w:left w:val="single" w:sz="6" w:space="0" w:color="CCCCCC"/>
              <w:bottom w:val="single" w:sz="6" w:space="0" w:color="000000"/>
              <w:right w:val="single" w:sz="6" w:space="0" w:color="000000"/>
            </w:tcBorders>
            <w:shd w:val="clear" w:color="auto" w:fill="D5A6BD"/>
            <w:tcMar>
              <w:top w:w="0" w:type="dxa"/>
              <w:left w:w="40" w:type="dxa"/>
              <w:bottom w:w="0" w:type="dxa"/>
              <w:right w:w="40" w:type="dxa"/>
            </w:tcMar>
            <w:vAlign w:val="bottom"/>
          </w:tcPr>
          <w:p w14:paraId="35914A64" w14:textId="77777777" w:rsidR="00410BA5" w:rsidRPr="0020339D" w:rsidRDefault="00410BA5">
            <w:pPr>
              <w:widowControl w:val="0"/>
              <w:spacing w:before="0" w:after="0"/>
              <w:jc w:val="left"/>
              <w:rPr>
                <w:rFonts w:ascii="Arial" w:eastAsia="Arial" w:hAnsi="Arial" w:cs="Arial"/>
                <w:sz w:val="20"/>
                <w:szCs w:val="20"/>
                <w:lang w:val="en-GB"/>
              </w:rPr>
            </w:pPr>
          </w:p>
        </w:tc>
      </w:tr>
      <w:tr w:rsidR="00410BA5" w:rsidRPr="0020339D" w14:paraId="2F7825F0" w14:textId="77777777" w:rsidTr="00FA6877">
        <w:trPr>
          <w:trHeight w:val="315"/>
        </w:trPr>
        <w:tc>
          <w:tcPr>
            <w:tcW w:w="1204" w:type="pct"/>
            <w:tcBorders>
              <w:top w:val="single" w:sz="6" w:space="0" w:color="CCCCCC"/>
              <w:left w:val="single" w:sz="6" w:space="0" w:color="000000"/>
              <w:bottom w:val="single" w:sz="6" w:space="0" w:color="000000"/>
              <w:right w:val="single" w:sz="6" w:space="0" w:color="000000"/>
            </w:tcBorders>
            <w:shd w:val="clear" w:color="auto" w:fill="F7CB4D"/>
            <w:tcMar>
              <w:top w:w="0" w:type="dxa"/>
              <w:left w:w="40" w:type="dxa"/>
              <w:bottom w:w="0" w:type="dxa"/>
              <w:right w:w="40" w:type="dxa"/>
            </w:tcMar>
            <w:vAlign w:val="bottom"/>
          </w:tcPr>
          <w:p w14:paraId="1E4D1F6F" w14:textId="77777777" w:rsidR="00410BA5" w:rsidRPr="0020339D" w:rsidRDefault="00410BA5">
            <w:pPr>
              <w:widowControl w:val="0"/>
              <w:spacing w:before="0" w:after="0"/>
              <w:jc w:val="left"/>
              <w:rPr>
                <w:rFonts w:ascii="Arial" w:eastAsia="Arial" w:hAnsi="Arial" w:cs="Arial"/>
                <w:sz w:val="20"/>
                <w:szCs w:val="20"/>
                <w:lang w:val="en-GB"/>
              </w:rPr>
            </w:pPr>
          </w:p>
        </w:tc>
        <w:tc>
          <w:tcPr>
            <w:tcW w:w="530" w:type="pct"/>
            <w:tcBorders>
              <w:top w:val="single" w:sz="6" w:space="0" w:color="CCCCCC"/>
              <w:left w:val="single" w:sz="6" w:space="0" w:color="CCCCCC"/>
              <w:bottom w:val="single" w:sz="6" w:space="0" w:color="000000"/>
              <w:right w:val="single" w:sz="6" w:space="0" w:color="000000"/>
            </w:tcBorders>
            <w:shd w:val="clear" w:color="auto" w:fill="F7CB4D"/>
            <w:tcMar>
              <w:top w:w="0" w:type="dxa"/>
              <w:left w:w="40" w:type="dxa"/>
              <w:bottom w:w="0" w:type="dxa"/>
              <w:right w:w="40" w:type="dxa"/>
            </w:tcMar>
            <w:vAlign w:val="bottom"/>
          </w:tcPr>
          <w:p w14:paraId="0FBBA923" w14:textId="77777777" w:rsidR="00410BA5" w:rsidRPr="0020339D" w:rsidRDefault="00C55C36">
            <w:pPr>
              <w:widowControl w:val="0"/>
              <w:spacing w:before="0" w:after="0"/>
              <w:jc w:val="center"/>
              <w:rPr>
                <w:rFonts w:ascii="Arial" w:eastAsia="Arial" w:hAnsi="Arial" w:cs="Arial"/>
                <w:sz w:val="20"/>
                <w:szCs w:val="20"/>
                <w:lang w:val="en-GB"/>
              </w:rPr>
            </w:pPr>
            <w:r w:rsidRPr="0020339D">
              <w:rPr>
                <w:b/>
                <w:lang w:val="en-GB"/>
              </w:rPr>
              <w:t>2023</w:t>
            </w:r>
          </w:p>
        </w:tc>
        <w:tc>
          <w:tcPr>
            <w:tcW w:w="482" w:type="pct"/>
            <w:tcBorders>
              <w:top w:val="single" w:sz="6" w:space="0" w:color="CCCCCC"/>
              <w:left w:val="single" w:sz="6" w:space="0" w:color="CCCCCC"/>
              <w:bottom w:val="single" w:sz="6" w:space="0" w:color="000000"/>
              <w:right w:val="single" w:sz="6" w:space="0" w:color="000000"/>
            </w:tcBorders>
            <w:shd w:val="clear" w:color="auto" w:fill="F7CB4D"/>
            <w:tcMar>
              <w:top w:w="0" w:type="dxa"/>
              <w:left w:w="40" w:type="dxa"/>
              <w:bottom w:w="0" w:type="dxa"/>
              <w:right w:w="40" w:type="dxa"/>
            </w:tcMar>
            <w:vAlign w:val="bottom"/>
          </w:tcPr>
          <w:p w14:paraId="2D5465F4" w14:textId="77777777" w:rsidR="00410BA5" w:rsidRPr="0020339D" w:rsidRDefault="00C55C36">
            <w:pPr>
              <w:widowControl w:val="0"/>
              <w:spacing w:before="0" w:after="0"/>
              <w:jc w:val="center"/>
              <w:rPr>
                <w:rFonts w:ascii="Arial" w:eastAsia="Arial" w:hAnsi="Arial" w:cs="Arial"/>
                <w:sz w:val="20"/>
                <w:szCs w:val="20"/>
                <w:lang w:val="en-GB"/>
              </w:rPr>
            </w:pPr>
            <w:r w:rsidRPr="0020339D">
              <w:rPr>
                <w:b/>
                <w:lang w:val="en-GB"/>
              </w:rPr>
              <w:t>2022</w:t>
            </w:r>
          </w:p>
        </w:tc>
        <w:tc>
          <w:tcPr>
            <w:tcW w:w="474" w:type="pct"/>
            <w:tcBorders>
              <w:top w:val="single" w:sz="6" w:space="0" w:color="CCCCCC"/>
              <w:left w:val="single" w:sz="6" w:space="0" w:color="CCCCCC"/>
              <w:bottom w:val="single" w:sz="6" w:space="0" w:color="000000"/>
              <w:right w:val="single" w:sz="6" w:space="0" w:color="000000"/>
            </w:tcBorders>
            <w:shd w:val="clear" w:color="auto" w:fill="F7CB4D"/>
            <w:tcMar>
              <w:top w:w="0" w:type="dxa"/>
              <w:left w:w="40" w:type="dxa"/>
              <w:bottom w:w="0" w:type="dxa"/>
              <w:right w:w="40" w:type="dxa"/>
            </w:tcMar>
            <w:vAlign w:val="bottom"/>
          </w:tcPr>
          <w:p w14:paraId="19D80B00" w14:textId="77777777" w:rsidR="00410BA5" w:rsidRPr="0020339D" w:rsidRDefault="00C55C36">
            <w:pPr>
              <w:widowControl w:val="0"/>
              <w:spacing w:before="0" w:after="0"/>
              <w:jc w:val="center"/>
              <w:rPr>
                <w:rFonts w:ascii="Arial" w:eastAsia="Arial" w:hAnsi="Arial" w:cs="Arial"/>
                <w:sz w:val="20"/>
                <w:szCs w:val="20"/>
                <w:lang w:val="en-GB"/>
              </w:rPr>
            </w:pPr>
            <w:r w:rsidRPr="0020339D">
              <w:rPr>
                <w:b/>
                <w:lang w:val="en-GB"/>
              </w:rPr>
              <w:t>2021</w:t>
            </w:r>
          </w:p>
        </w:tc>
        <w:tc>
          <w:tcPr>
            <w:tcW w:w="498" w:type="pct"/>
            <w:tcBorders>
              <w:top w:val="single" w:sz="6" w:space="0" w:color="CCCCCC"/>
              <w:left w:val="single" w:sz="6" w:space="0" w:color="CCCCCC"/>
              <w:bottom w:val="single" w:sz="6" w:space="0" w:color="000000"/>
              <w:right w:val="single" w:sz="6" w:space="0" w:color="000000"/>
            </w:tcBorders>
            <w:shd w:val="clear" w:color="auto" w:fill="F7CB4D"/>
            <w:tcMar>
              <w:top w:w="0" w:type="dxa"/>
              <w:left w:w="40" w:type="dxa"/>
              <w:bottom w:w="0" w:type="dxa"/>
              <w:right w:w="40" w:type="dxa"/>
            </w:tcMar>
            <w:vAlign w:val="bottom"/>
          </w:tcPr>
          <w:p w14:paraId="102AABCF" w14:textId="77777777" w:rsidR="00410BA5" w:rsidRPr="0020339D" w:rsidRDefault="00C55C36">
            <w:pPr>
              <w:widowControl w:val="0"/>
              <w:spacing w:before="0" w:after="0"/>
              <w:jc w:val="center"/>
              <w:rPr>
                <w:rFonts w:ascii="Arial" w:eastAsia="Arial" w:hAnsi="Arial" w:cs="Arial"/>
                <w:sz w:val="20"/>
                <w:szCs w:val="20"/>
                <w:lang w:val="en-GB"/>
              </w:rPr>
            </w:pPr>
            <w:r w:rsidRPr="0020339D">
              <w:rPr>
                <w:b/>
                <w:lang w:val="en-GB"/>
              </w:rPr>
              <w:t>2020</w:t>
            </w:r>
          </w:p>
        </w:tc>
        <w:tc>
          <w:tcPr>
            <w:tcW w:w="514" w:type="pct"/>
            <w:tcBorders>
              <w:top w:val="single" w:sz="6" w:space="0" w:color="CCCCCC"/>
              <w:left w:val="single" w:sz="6" w:space="0" w:color="CCCCCC"/>
              <w:bottom w:val="single" w:sz="6" w:space="0" w:color="000000"/>
              <w:right w:val="single" w:sz="6" w:space="0" w:color="000000"/>
            </w:tcBorders>
            <w:shd w:val="clear" w:color="auto" w:fill="F7CB4D"/>
            <w:tcMar>
              <w:top w:w="0" w:type="dxa"/>
              <w:left w:w="40" w:type="dxa"/>
              <w:bottom w:w="0" w:type="dxa"/>
              <w:right w:w="40" w:type="dxa"/>
            </w:tcMar>
            <w:vAlign w:val="bottom"/>
          </w:tcPr>
          <w:p w14:paraId="500DEF80" w14:textId="77777777" w:rsidR="00410BA5" w:rsidRPr="0020339D" w:rsidRDefault="00C55C36">
            <w:pPr>
              <w:widowControl w:val="0"/>
              <w:spacing w:before="0" w:after="0"/>
              <w:jc w:val="center"/>
              <w:rPr>
                <w:rFonts w:ascii="Arial" w:eastAsia="Arial" w:hAnsi="Arial" w:cs="Arial"/>
                <w:sz w:val="20"/>
                <w:szCs w:val="20"/>
                <w:lang w:val="en-GB"/>
              </w:rPr>
            </w:pPr>
            <w:r w:rsidRPr="0020339D">
              <w:rPr>
                <w:b/>
                <w:lang w:val="en-GB"/>
              </w:rPr>
              <w:t>2019</w:t>
            </w:r>
          </w:p>
        </w:tc>
        <w:tc>
          <w:tcPr>
            <w:tcW w:w="1300" w:type="pct"/>
            <w:tcBorders>
              <w:top w:val="single" w:sz="6" w:space="0" w:color="CCCCCC"/>
              <w:left w:val="single" w:sz="6" w:space="0" w:color="CCCCCC"/>
              <w:bottom w:val="single" w:sz="6" w:space="0" w:color="000000"/>
              <w:right w:val="single" w:sz="6" w:space="0" w:color="000000"/>
            </w:tcBorders>
            <w:shd w:val="clear" w:color="auto" w:fill="F7CB4D"/>
            <w:tcMar>
              <w:top w:w="0" w:type="dxa"/>
              <w:left w:w="40" w:type="dxa"/>
              <w:bottom w:w="0" w:type="dxa"/>
              <w:right w:w="40" w:type="dxa"/>
            </w:tcMar>
            <w:vAlign w:val="bottom"/>
          </w:tcPr>
          <w:p w14:paraId="41A9F065" w14:textId="77777777" w:rsidR="00410BA5" w:rsidRPr="0020339D" w:rsidRDefault="00C55C36">
            <w:pPr>
              <w:widowControl w:val="0"/>
              <w:spacing w:before="0" w:after="0"/>
              <w:jc w:val="center"/>
              <w:rPr>
                <w:rFonts w:ascii="Arial" w:eastAsia="Arial" w:hAnsi="Arial" w:cs="Arial"/>
                <w:sz w:val="20"/>
                <w:szCs w:val="20"/>
                <w:lang w:val="en-GB"/>
              </w:rPr>
            </w:pPr>
            <w:r w:rsidRPr="0020339D">
              <w:rPr>
                <w:b/>
                <w:lang w:val="en-GB"/>
              </w:rPr>
              <w:t>Formulas</w:t>
            </w:r>
          </w:p>
        </w:tc>
      </w:tr>
      <w:tr w:rsidR="00410BA5" w:rsidRPr="0020339D" w14:paraId="418D679E" w14:textId="77777777" w:rsidTr="00FA6877">
        <w:trPr>
          <w:trHeight w:val="315"/>
        </w:trPr>
        <w:tc>
          <w:tcPr>
            <w:tcW w:w="1204" w:type="pct"/>
            <w:tcBorders>
              <w:top w:val="single" w:sz="6" w:space="0" w:color="CCCCCC"/>
              <w:left w:val="single" w:sz="6" w:space="0" w:color="000000"/>
              <w:bottom w:val="single" w:sz="6" w:space="0" w:color="000000"/>
              <w:right w:val="single" w:sz="6" w:space="0" w:color="000000"/>
            </w:tcBorders>
            <w:shd w:val="clear" w:color="auto" w:fill="C9DAF8"/>
            <w:tcMar>
              <w:top w:w="0" w:type="dxa"/>
              <w:left w:w="40" w:type="dxa"/>
              <w:bottom w:w="0" w:type="dxa"/>
              <w:right w:w="40" w:type="dxa"/>
            </w:tcMar>
            <w:vAlign w:val="bottom"/>
          </w:tcPr>
          <w:p w14:paraId="2F543A76" w14:textId="77777777" w:rsidR="00410BA5" w:rsidRPr="0020339D" w:rsidRDefault="00C55C36">
            <w:pPr>
              <w:widowControl w:val="0"/>
              <w:spacing w:before="0" w:after="0"/>
              <w:jc w:val="left"/>
              <w:rPr>
                <w:rFonts w:ascii="Arial" w:eastAsia="Arial" w:hAnsi="Arial" w:cs="Arial"/>
                <w:sz w:val="20"/>
                <w:szCs w:val="20"/>
                <w:lang w:val="en-GB"/>
              </w:rPr>
            </w:pPr>
            <w:r w:rsidRPr="0020339D">
              <w:rPr>
                <w:b/>
                <w:lang w:val="en-GB"/>
              </w:rPr>
              <w:t>Gross Margin</w:t>
            </w:r>
          </w:p>
        </w:tc>
        <w:tc>
          <w:tcPr>
            <w:tcW w:w="530" w:type="pct"/>
            <w:tcBorders>
              <w:top w:val="single" w:sz="6" w:space="0" w:color="CCCCCC"/>
              <w:left w:val="single" w:sz="6" w:space="0" w:color="CCCCCC"/>
              <w:bottom w:val="single" w:sz="6" w:space="0" w:color="000000"/>
              <w:right w:val="single" w:sz="6" w:space="0" w:color="000000"/>
            </w:tcBorders>
            <w:shd w:val="clear" w:color="auto" w:fill="C9DAF8"/>
            <w:tcMar>
              <w:top w:w="0" w:type="dxa"/>
              <w:left w:w="40" w:type="dxa"/>
              <w:bottom w:w="0" w:type="dxa"/>
              <w:right w:w="40" w:type="dxa"/>
            </w:tcMar>
            <w:vAlign w:val="bottom"/>
          </w:tcPr>
          <w:p w14:paraId="4D538547" w14:textId="77777777" w:rsidR="00410BA5" w:rsidRPr="0020339D" w:rsidRDefault="00C55C36">
            <w:pPr>
              <w:widowControl w:val="0"/>
              <w:spacing w:before="0" w:after="0"/>
              <w:jc w:val="left"/>
              <w:rPr>
                <w:rFonts w:ascii="Arial" w:eastAsia="Arial" w:hAnsi="Arial" w:cs="Arial"/>
                <w:sz w:val="20"/>
                <w:szCs w:val="20"/>
                <w:lang w:val="en-GB"/>
              </w:rPr>
            </w:pPr>
            <w:r w:rsidRPr="0020339D">
              <w:rPr>
                <w:lang w:val="en-GB"/>
              </w:rPr>
              <w:t>68.82%</w:t>
            </w:r>
          </w:p>
        </w:tc>
        <w:tc>
          <w:tcPr>
            <w:tcW w:w="482" w:type="pct"/>
            <w:tcBorders>
              <w:top w:val="single" w:sz="6" w:space="0" w:color="CCCCCC"/>
              <w:left w:val="single" w:sz="6" w:space="0" w:color="CCCCCC"/>
              <w:bottom w:val="single" w:sz="6" w:space="0" w:color="000000"/>
              <w:right w:val="single" w:sz="6" w:space="0" w:color="000000"/>
            </w:tcBorders>
            <w:shd w:val="clear" w:color="auto" w:fill="C9DAF8"/>
            <w:tcMar>
              <w:top w:w="0" w:type="dxa"/>
              <w:left w:w="40" w:type="dxa"/>
              <w:bottom w:w="0" w:type="dxa"/>
              <w:right w:w="40" w:type="dxa"/>
            </w:tcMar>
            <w:vAlign w:val="bottom"/>
          </w:tcPr>
          <w:p w14:paraId="182CC86A" w14:textId="77777777" w:rsidR="00410BA5" w:rsidRPr="0020339D" w:rsidRDefault="00C55C36">
            <w:pPr>
              <w:widowControl w:val="0"/>
              <w:spacing w:before="0" w:after="0"/>
              <w:jc w:val="left"/>
              <w:rPr>
                <w:rFonts w:ascii="Arial" w:eastAsia="Arial" w:hAnsi="Arial" w:cs="Arial"/>
                <w:sz w:val="20"/>
                <w:szCs w:val="20"/>
                <w:lang w:val="en-GB"/>
              </w:rPr>
            </w:pPr>
            <w:r w:rsidRPr="0020339D">
              <w:rPr>
                <w:lang w:val="en-GB"/>
              </w:rPr>
              <w:t>67.26%</w:t>
            </w:r>
          </w:p>
        </w:tc>
        <w:tc>
          <w:tcPr>
            <w:tcW w:w="474" w:type="pct"/>
            <w:tcBorders>
              <w:top w:val="single" w:sz="6" w:space="0" w:color="CCCCCC"/>
              <w:left w:val="single" w:sz="6" w:space="0" w:color="CCCCCC"/>
              <w:bottom w:val="single" w:sz="6" w:space="0" w:color="000000"/>
              <w:right w:val="single" w:sz="6" w:space="0" w:color="000000"/>
            </w:tcBorders>
            <w:shd w:val="clear" w:color="auto" w:fill="C9DAF8"/>
            <w:tcMar>
              <w:top w:w="0" w:type="dxa"/>
              <w:left w:w="40" w:type="dxa"/>
              <w:bottom w:w="0" w:type="dxa"/>
              <w:right w:w="40" w:type="dxa"/>
            </w:tcMar>
            <w:vAlign w:val="bottom"/>
          </w:tcPr>
          <w:p w14:paraId="09115943" w14:textId="77777777" w:rsidR="00410BA5" w:rsidRPr="0020339D" w:rsidRDefault="00C55C36">
            <w:pPr>
              <w:widowControl w:val="0"/>
              <w:spacing w:before="0" w:after="0"/>
              <w:jc w:val="left"/>
              <w:rPr>
                <w:rFonts w:ascii="Arial" w:eastAsia="Arial" w:hAnsi="Arial" w:cs="Arial"/>
                <w:sz w:val="20"/>
                <w:szCs w:val="20"/>
                <w:lang w:val="en-GB"/>
              </w:rPr>
            </w:pPr>
            <w:r w:rsidRPr="0020339D">
              <w:rPr>
                <w:lang w:val="en-GB"/>
              </w:rPr>
              <w:t>68.16%</w:t>
            </w:r>
          </w:p>
        </w:tc>
        <w:tc>
          <w:tcPr>
            <w:tcW w:w="498" w:type="pct"/>
            <w:tcBorders>
              <w:top w:val="single" w:sz="6" w:space="0" w:color="CCCCCC"/>
              <w:left w:val="single" w:sz="6" w:space="0" w:color="CCCCCC"/>
              <w:bottom w:val="single" w:sz="6" w:space="0" w:color="000000"/>
              <w:right w:val="single" w:sz="6" w:space="0" w:color="000000"/>
            </w:tcBorders>
            <w:shd w:val="clear" w:color="auto" w:fill="C9DAF8"/>
            <w:tcMar>
              <w:top w:w="0" w:type="dxa"/>
              <w:left w:w="40" w:type="dxa"/>
              <w:bottom w:w="0" w:type="dxa"/>
              <w:right w:w="40" w:type="dxa"/>
            </w:tcMar>
            <w:vAlign w:val="bottom"/>
          </w:tcPr>
          <w:p w14:paraId="799A0F24" w14:textId="77777777" w:rsidR="00410BA5" w:rsidRPr="0020339D" w:rsidRDefault="00C55C36">
            <w:pPr>
              <w:widowControl w:val="0"/>
              <w:spacing w:before="0" w:after="0"/>
              <w:jc w:val="left"/>
              <w:rPr>
                <w:rFonts w:ascii="Arial" w:eastAsia="Arial" w:hAnsi="Arial" w:cs="Arial"/>
                <w:sz w:val="20"/>
                <w:szCs w:val="20"/>
                <w:lang w:val="en-GB"/>
              </w:rPr>
            </w:pPr>
            <w:r w:rsidRPr="0020339D">
              <w:rPr>
                <w:lang w:val="en-GB"/>
              </w:rPr>
              <w:t>65.58%</w:t>
            </w:r>
          </w:p>
        </w:tc>
        <w:tc>
          <w:tcPr>
            <w:tcW w:w="514" w:type="pct"/>
            <w:tcBorders>
              <w:top w:val="single" w:sz="6" w:space="0" w:color="CCCCCC"/>
              <w:left w:val="single" w:sz="6" w:space="0" w:color="CCCCCC"/>
              <w:bottom w:val="single" w:sz="6" w:space="0" w:color="000000"/>
              <w:right w:val="single" w:sz="6" w:space="0" w:color="000000"/>
            </w:tcBorders>
            <w:shd w:val="clear" w:color="auto" w:fill="C9DAF8"/>
            <w:tcMar>
              <w:top w:w="0" w:type="dxa"/>
              <w:left w:w="40" w:type="dxa"/>
              <w:bottom w:w="0" w:type="dxa"/>
              <w:right w:w="40" w:type="dxa"/>
            </w:tcMar>
            <w:vAlign w:val="bottom"/>
          </w:tcPr>
          <w:p w14:paraId="2643D3F0" w14:textId="77777777" w:rsidR="00410BA5" w:rsidRPr="0020339D" w:rsidRDefault="00C55C36">
            <w:pPr>
              <w:widowControl w:val="0"/>
              <w:spacing w:before="0" w:after="0"/>
              <w:jc w:val="left"/>
              <w:rPr>
                <w:rFonts w:ascii="Arial" w:eastAsia="Arial" w:hAnsi="Arial" w:cs="Arial"/>
                <w:sz w:val="20"/>
                <w:szCs w:val="20"/>
                <w:lang w:val="en-GB"/>
              </w:rPr>
            </w:pPr>
            <w:r w:rsidRPr="0020339D">
              <w:rPr>
                <w:lang w:val="en-GB"/>
              </w:rPr>
              <w:t>66.42%</w:t>
            </w:r>
          </w:p>
        </w:tc>
        <w:tc>
          <w:tcPr>
            <w:tcW w:w="1300" w:type="pct"/>
            <w:tcBorders>
              <w:top w:val="single" w:sz="6" w:space="0" w:color="CCCCCC"/>
              <w:left w:val="single" w:sz="6" w:space="0" w:color="CCCCCC"/>
              <w:bottom w:val="single" w:sz="6" w:space="0" w:color="000000"/>
              <w:right w:val="single" w:sz="6" w:space="0" w:color="000000"/>
            </w:tcBorders>
            <w:shd w:val="clear" w:color="auto" w:fill="C9DAF8"/>
            <w:tcMar>
              <w:top w:w="0" w:type="dxa"/>
              <w:left w:w="40" w:type="dxa"/>
              <w:bottom w:w="0" w:type="dxa"/>
              <w:right w:w="40" w:type="dxa"/>
            </w:tcMar>
            <w:vAlign w:val="bottom"/>
          </w:tcPr>
          <w:p w14:paraId="13265B68" w14:textId="77777777" w:rsidR="00410BA5" w:rsidRPr="0020339D" w:rsidRDefault="00C55C36">
            <w:pPr>
              <w:widowControl w:val="0"/>
              <w:spacing w:before="0" w:after="0"/>
              <w:jc w:val="left"/>
              <w:rPr>
                <w:rFonts w:ascii="Arial" w:eastAsia="Arial" w:hAnsi="Arial" w:cs="Arial"/>
                <w:sz w:val="20"/>
                <w:szCs w:val="20"/>
                <w:lang w:val="en-GB"/>
              </w:rPr>
            </w:pPr>
            <w:r w:rsidRPr="0020339D">
              <w:rPr>
                <w:lang w:val="en-GB"/>
              </w:rPr>
              <w:t>“Gross Profit/Sales”</w:t>
            </w:r>
          </w:p>
        </w:tc>
      </w:tr>
      <w:tr w:rsidR="00410BA5" w:rsidRPr="0020339D" w14:paraId="19BCFA91" w14:textId="77777777" w:rsidTr="00FA6877">
        <w:trPr>
          <w:trHeight w:val="315"/>
        </w:trPr>
        <w:tc>
          <w:tcPr>
            <w:tcW w:w="1204" w:type="pct"/>
            <w:tcBorders>
              <w:top w:val="single" w:sz="6" w:space="0" w:color="CCCCCC"/>
              <w:left w:val="single" w:sz="6" w:space="0" w:color="000000"/>
              <w:bottom w:val="single" w:sz="6" w:space="0" w:color="000000"/>
              <w:right w:val="single" w:sz="6" w:space="0" w:color="000000"/>
            </w:tcBorders>
            <w:shd w:val="clear" w:color="auto" w:fill="C9DAF8"/>
            <w:tcMar>
              <w:top w:w="0" w:type="dxa"/>
              <w:left w:w="40" w:type="dxa"/>
              <w:bottom w:w="0" w:type="dxa"/>
              <w:right w:w="40" w:type="dxa"/>
            </w:tcMar>
            <w:vAlign w:val="bottom"/>
          </w:tcPr>
          <w:p w14:paraId="68CCF322" w14:textId="77777777" w:rsidR="00410BA5" w:rsidRPr="0020339D" w:rsidRDefault="00C55C36">
            <w:pPr>
              <w:widowControl w:val="0"/>
              <w:spacing w:before="0" w:after="0"/>
              <w:jc w:val="left"/>
              <w:rPr>
                <w:rFonts w:ascii="Arial" w:eastAsia="Arial" w:hAnsi="Arial" w:cs="Arial"/>
                <w:sz w:val="20"/>
                <w:szCs w:val="20"/>
                <w:lang w:val="en-GB"/>
              </w:rPr>
            </w:pPr>
            <w:r w:rsidRPr="0020339D">
              <w:rPr>
                <w:b/>
                <w:lang w:val="en-GB"/>
              </w:rPr>
              <w:t>Operating Margin</w:t>
            </w:r>
          </w:p>
        </w:tc>
        <w:tc>
          <w:tcPr>
            <w:tcW w:w="530" w:type="pct"/>
            <w:tcBorders>
              <w:top w:val="single" w:sz="6" w:space="0" w:color="CCCCCC"/>
              <w:left w:val="single" w:sz="6" w:space="0" w:color="CCCCCC"/>
              <w:bottom w:val="single" w:sz="6" w:space="0" w:color="000000"/>
              <w:right w:val="single" w:sz="6" w:space="0" w:color="000000"/>
            </w:tcBorders>
            <w:shd w:val="clear" w:color="auto" w:fill="C9DAF8"/>
            <w:tcMar>
              <w:top w:w="0" w:type="dxa"/>
              <w:left w:w="40" w:type="dxa"/>
              <w:bottom w:w="0" w:type="dxa"/>
              <w:right w:w="40" w:type="dxa"/>
            </w:tcMar>
            <w:vAlign w:val="bottom"/>
          </w:tcPr>
          <w:p w14:paraId="19985E48" w14:textId="77777777" w:rsidR="00410BA5" w:rsidRPr="0020339D" w:rsidRDefault="00C55C36">
            <w:pPr>
              <w:widowControl w:val="0"/>
              <w:spacing w:before="0" w:after="0"/>
              <w:jc w:val="left"/>
              <w:rPr>
                <w:rFonts w:ascii="Arial" w:eastAsia="Arial" w:hAnsi="Arial" w:cs="Arial"/>
                <w:sz w:val="20"/>
                <w:szCs w:val="20"/>
                <w:lang w:val="en-GB"/>
              </w:rPr>
            </w:pPr>
            <w:r w:rsidRPr="0020339D">
              <w:rPr>
                <w:lang w:val="en-GB"/>
              </w:rPr>
              <w:t>18.64%</w:t>
            </w:r>
          </w:p>
        </w:tc>
        <w:tc>
          <w:tcPr>
            <w:tcW w:w="482" w:type="pct"/>
            <w:tcBorders>
              <w:top w:val="single" w:sz="6" w:space="0" w:color="CCCCCC"/>
              <w:left w:val="single" w:sz="6" w:space="0" w:color="CCCCCC"/>
              <w:bottom w:val="single" w:sz="6" w:space="0" w:color="000000"/>
              <w:right w:val="single" w:sz="6" w:space="0" w:color="000000"/>
            </w:tcBorders>
            <w:shd w:val="clear" w:color="auto" w:fill="C9DAF8"/>
            <w:tcMar>
              <w:top w:w="0" w:type="dxa"/>
              <w:left w:w="40" w:type="dxa"/>
              <w:bottom w:w="0" w:type="dxa"/>
              <w:right w:w="40" w:type="dxa"/>
            </w:tcMar>
            <w:vAlign w:val="bottom"/>
          </w:tcPr>
          <w:p w14:paraId="0565BE76" w14:textId="77777777" w:rsidR="00410BA5" w:rsidRPr="0020339D" w:rsidRDefault="00C55C36">
            <w:pPr>
              <w:widowControl w:val="0"/>
              <w:spacing w:before="0" w:after="0"/>
              <w:jc w:val="left"/>
              <w:rPr>
                <w:rFonts w:ascii="Arial" w:eastAsia="Arial" w:hAnsi="Arial" w:cs="Arial"/>
                <w:sz w:val="20"/>
                <w:szCs w:val="20"/>
                <w:lang w:val="en-GB"/>
              </w:rPr>
            </w:pPr>
            <w:r w:rsidRPr="0020339D">
              <w:rPr>
                <w:lang w:val="en-GB"/>
              </w:rPr>
              <w:t>1.97%</w:t>
            </w:r>
          </w:p>
        </w:tc>
        <w:tc>
          <w:tcPr>
            <w:tcW w:w="474" w:type="pct"/>
            <w:tcBorders>
              <w:top w:val="single" w:sz="6" w:space="0" w:color="CCCCCC"/>
              <w:left w:val="single" w:sz="6" w:space="0" w:color="CCCCCC"/>
              <w:bottom w:val="single" w:sz="6" w:space="0" w:color="000000"/>
              <w:right w:val="single" w:sz="6" w:space="0" w:color="000000"/>
            </w:tcBorders>
            <w:shd w:val="clear" w:color="auto" w:fill="C9DAF8"/>
            <w:tcMar>
              <w:top w:w="0" w:type="dxa"/>
              <w:left w:w="40" w:type="dxa"/>
              <w:bottom w:w="0" w:type="dxa"/>
              <w:right w:w="40" w:type="dxa"/>
            </w:tcMar>
            <w:vAlign w:val="bottom"/>
          </w:tcPr>
          <w:p w14:paraId="2B48613A" w14:textId="77777777" w:rsidR="00410BA5" w:rsidRPr="0020339D" w:rsidRDefault="00C55C36">
            <w:pPr>
              <w:widowControl w:val="0"/>
              <w:spacing w:before="0" w:after="0"/>
              <w:jc w:val="left"/>
              <w:rPr>
                <w:rFonts w:ascii="Arial" w:eastAsia="Arial" w:hAnsi="Arial" w:cs="Arial"/>
                <w:sz w:val="20"/>
                <w:szCs w:val="20"/>
                <w:lang w:val="en-GB"/>
              </w:rPr>
            </w:pPr>
            <w:r w:rsidRPr="0020339D">
              <w:rPr>
                <w:lang w:val="en-GB"/>
              </w:rPr>
              <w:t>26.18%</w:t>
            </w:r>
          </w:p>
        </w:tc>
        <w:tc>
          <w:tcPr>
            <w:tcW w:w="498" w:type="pct"/>
            <w:tcBorders>
              <w:top w:val="single" w:sz="6" w:space="0" w:color="CCCCCC"/>
              <w:left w:val="single" w:sz="6" w:space="0" w:color="CCCCCC"/>
              <w:bottom w:val="single" w:sz="6" w:space="0" w:color="000000"/>
              <w:right w:val="single" w:sz="6" w:space="0" w:color="000000"/>
            </w:tcBorders>
            <w:shd w:val="clear" w:color="auto" w:fill="C9DAF8"/>
            <w:tcMar>
              <w:top w:w="0" w:type="dxa"/>
              <w:left w:w="40" w:type="dxa"/>
              <w:bottom w:w="0" w:type="dxa"/>
              <w:right w:w="40" w:type="dxa"/>
            </w:tcMar>
            <w:vAlign w:val="bottom"/>
          </w:tcPr>
          <w:p w14:paraId="12C6B5EE" w14:textId="77777777" w:rsidR="00410BA5" w:rsidRPr="0020339D" w:rsidRDefault="00C55C36">
            <w:pPr>
              <w:widowControl w:val="0"/>
              <w:spacing w:before="0" w:after="0"/>
              <w:jc w:val="left"/>
              <w:rPr>
                <w:rFonts w:ascii="Arial" w:eastAsia="Arial" w:hAnsi="Arial" w:cs="Arial"/>
                <w:sz w:val="20"/>
                <w:szCs w:val="20"/>
                <w:lang w:val="en-GB"/>
              </w:rPr>
            </w:pPr>
            <w:r w:rsidRPr="0020339D">
              <w:rPr>
                <w:lang w:val="en-GB"/>
              </w:rPr>
              <w:t>24.11%</w:t>
            </w:r>
          </w:p>
        </w:tc>
        <w:tc>
          <w:tcPr>
            <w:tcW w:w="514" w:type="pct"/>
            <w:tcBorders>
              <w:top w:val="single" w:sz="6" w:space="0" w:color="CCCCCC"/>
              <w:left w:val="single" w:sz="6" w:space="0" w:color="CCCCCC"/>
              <w:bottom w:val="single" w:sz="6" w:space="0" w:color="000000"/>
              <w:right w:val="single" w:sz="6" w:space="0" w:color="000000"/>
            </w:tcBorders>
            <w:shd w:val="clear" w:color="auto" w:fill="C9DAF8"/>
            <w:tcMar>
              <w:top w:w="0" w:type="dxa"/>
              <w:left w:w="40" w:type="dxa"/>
              <w:bottom w:w="0" w:type="dxa"/>
              <w:right w:w="40" w:type="dxa"/>
            </w:tcMar>
            <w:vAlign w:val="bottom"/>
          </w:tcPr>
          <w:p w14:paraId="6C3E265A" w14:textId="77777777" w:rsidR="00410BA5" w:rsidRPr="0020339D" w:rsidRDefault="00C55C36">
            <w:pPr>
              <w:widowControl w:val="0"/>
              <w:spacing w:before="0" w:after="0"/>
              <w:jc w:val="left"/>
              <w:rPr>
                <w:rFonts w:ascii="Arial" w:eastAsia="Arial" w:hAnsi="Arial" w:cs="Arial"/>
                <w:sz w:val="20"/>
                <w:szCs w:val="20"/>
                <w:lang w:val="en-GB"/>
              </w:rPr>
            </w:pPr>
            <w:r w:rsidRPr="0020339D">
              <w:rPr>
                <w:lang w:val="en-GB"/>
              </w:rPr>
              <w:t>25.55%</w:t>
            </w:r>
          </w:p>
        </w:tc>
        <w:tc>
          <w:tcPr>
            <w:tcW w:w="1300" w:type="pct"/>
            <w:tcBorders>
              <w:top w:val="single" w:sz="6" w:space="0" w:color="CCCCCC"/>
              <w:left w:val="single" w:sz="6" w:space="0" w:color="CCCCCC"/>
              <w:bottom w:val="single" w:sz="6" w:space="0" w:color="000000"/>
              <w:right w:val="single" w:sz="6" w:space="0" w:color="000000"/>
            </w:tcBorders>
            <w:shd w:val="clear" w:color="auto" w:fill="C9DAF8"/>
            <w:tcMar>
              <w:top w:w="0" w:type="dxa"/>
              <w:left w:w="40" w:type="dxa"/>
              <w:bottom w:w="0" w:type="dxa"/>
              <w:right w:w="40" w:type="dxa"/>
            </w:tcMar>
            <w:vAlign w:val="bottom"/>
          </w:tcPr>
          <w:p w14:paraId="2752420F" w14:textId="77777777" w:rsidR="00410BA5" w:rsidRPr="0020339D" w:rsidRDefault="00C55C36">
            <w:pPr>
              <w:widowControl w:val="0"/>
              <w:spacing w:before="0" w:after="0"/>
              <w:jc w:val="left"/>
              <w:rPr>
                <w:rFonts w:ascii="Arial" w:eastAsia="Arial" w:hAnsi="Arial" w:cs="Arial"/>
                <w:sz w:val="20"/>
                <w:szCs w:val="20"/>
                <w:lang w:val="en-GB"/>
              </w:rPr>
            </w:pPr>
            <w:r w:rsidRPr="0020339D">
              <w:rPr>
                <w:lang w:val="en-GB"/>
              </w:rPr>
              <w:t>“Operating Income/Sales”</w:t>
            </w:r>
          </w:p>
        </w:tc>
      </w:tr>
      <w:tr w:rsidR="00410BA5" w:rsidRPr="0020339D" w14:paraId="5C1662F6" w14:textId="77777777" w:rsidTr="00FA6877">
        <w:trPr>
          <w:trHeight w:val="315"/>
        </w:trPr>
        <w:tc>
          <w:tcPr>
            <w:tcW w:w="1204" w:type="pct"/>
            <w:tcBorders>
              <w:top w:val="single" w:sz="6" w:space="0" w:color="CCCCCC"/>
              <w:left w:val="single" w:sz="6" w:space="0" w:color="000000"/>
              <w:bottom w:val="single" w:sz="6" w:space="0" w:color="000000"/>
              <w:right w:val="single" w:sz="6" w:space="0" w:color="000000"/>
            </w:tcBorders>
            <w:shd w:val="clear" w:color="auto" w:fill="C9DAF8"/>
            <w:tcMar>
              <w:top w:w="0" w:type="dxa"/>
              <w:left w:w="40" w:type="dxa"/>
              <w:bottom w:w="0" w:type="dxa"/>
              <w:right w:w="40" w:type="dxa"/>
            </w:tcMar>
            <w:vAlign w:val="bottom"/>
          </w:tcPr>
          <w:p w14:paraId="01E53A3C" w14:textId="77777777" w:rsidR="00410BA5" w:rsidRPr="0020339D" w:rsidRDefault="00C55C36">
            <w:pPr>
              <w:widowControl w:val="0"/>
              <w:spacing w:before="0" w:after="0"/>
              <w:jc w:val="left"/>
              <w:rPr>
                <w:rFonts w:ascii="Arial" w:eastAsia="Arial" w:hAnsi="Arial" w:cs="Arial"/>
                <w:sz w:val="20"/>
                <w:szCs w:val="20"/>
                <w:lang w:val="en-GB"/>
              </w:rPr>
            </w:pPr>
            <w:r w:rsidRPr="0020339D">
              <w:rPr>
                <w:b/>
                <w:lang w:val="en-GB"/>
              </w:rPr>
              <w:t>Net Profit Margin</w:t>
            </w:r>
          </w:p>
        </w:tc>
        <w:tc>
          <w:tcPr>
            <w:tcW w:w="530" w:type="pct"/>
            <w:tcBorders>
              <w:top w:val="single" w:sz="6" w:space="0" w:color="CCCCCC"/>
              <w:left w:val="single" w:sz="6" w:space="0" w:color="CCCCCC"/>
              <w:bottom w:val="single" w:sz="6" w:space="0" w:color="000000"/>
              <w:right w:val="single" w:sz="6" w:space="0" w:color="000000"/>
            </w:tcBorders>
            <w:shd w:val="clear" w:color="auto" w:fill="C9DAF8"/>
            <w:tcMar>
              <w:top w:w="0" w:type="dxa"/>
              <w:left w:w="40" w:type="dxa"/>
              <w:bottom w:w="0" w:type="dxa"/>
              <w:right w:w="40" w:type="dxa"/>
            </w:tcMar>
            <w:vAlign w:val="bottom"/>
          </w:tcPr>
          <w:p w14:paraId="51F7D40E" w14:textId="77777777" w:rsidR="00410BA5" w:rsidRPr="0020339D" w:rsidRDefault="00C55C36">
            <w:pPr>
              <w:widowControl w:val="0"/>
              <w:spacing w:before="0" w:after="0"/>
              <w:jc w:val="left"/>
              <w:rPr>
                <w:rFonts w:ascii="Arial" w:eastAsia="Arial" w:hAnsi="Arial" w:cs="Arial"/>
                <w:sz w:val="20"/>
                <w:szCs w:val="20"/>
                <w:lang w:val="en-GB"/>
              </w:rPr>
            </w:pPr>
            <w:r w:rsidRPr="0020339D">
              <w:rPr>
                <w:lang w:val="en-GB"/>
              </w:rPr>
              <w:t>41.28%</w:t>
            </w:r>
          </w:p>
        </w:tc>
        <w:tc>
          <w:tcPr>
            <w:tcW w:w="482" w:type="pct"/>
            <w:tcBorders>
              <w:top w:val="single" w:sz="6" w:space="0" w:color="CCCCCC"/>
              <w:left w:val="single" w:sz="6" w:space="0" w:color="CCCCCC"/>
              <w:bottom w:val="single" w:sz="6" w:space="0" w:color="000000"/>
              <w:right w:val="single" w:sz="6" w:space="0" w:color="000000"/>
            </w:tcBorders>
            <w:shd w:val="clear" w:color="auto" w:fill="C9DAF8"/>
            <w:tcMar>
              <w:top w:w="0" w:type="dxa"/>
              <w:left w:w="40" w:type="dxa"/>
              <w:bottom w:w="0" w:type="dxa"/>
              <w:right w:w="40" w:type="dxa"/>
            </w:tcMar>
            <w:vAlign w:val="bottom"/>
          </w:tcPr>
          <w:p w14:paraId="2B8F0923" w14:textId="77777777" w:rsidR="00410BA5" w:rsidRPr="0020339D" w:rsidRDefault="00C55C36">
            <w:pPr>
              <w:widowControl w:val="0"/>
              <w:spacing w:before="0" w:after="0"/>
              <w:jc w:val="left"/>
              <w:rPr>
                <w:rFonts w:ascii="Arial" w:eastAsia="Arial" w:hAnsi="Arial" w:cs="Arial"/>
                <w:sz w:val="20"/>
                <w:szCs w:val="20"/>
                <w:lang w:val="en-GB"/>
              </w:rPr>
            </w:pPr>
            <w:r w:rsidRPr="0020339D">
              <w:rPr>
                <w:lang w:val="en-GB"/>
              </w:rPr>
              <w:t>18.90%</w:t>
            </w:r>
          </w:p>
        </w:tc>
        <w:tc>
          <w:tcPr>
            <w:tcW w:w="474" w:type="pct"/>
            <w:tcBorders>
              <w:top w:val="single" w:sz="6" w:space="0" w:color="CCCCCC"/>
              <w:left w:val="single" w:sz="6" w:space="0" w:color="CCCCCC"/>
              <w:bottom w:val="single" w:sz="6" w:space="0" w:color="000000"/>
              <w:right w:val="single" w:sz="6" w:space="0" w:color="000000"/>
            </w:tcBorders>
            <w:shd w:val="clear" w:color="auto" w:fill="C9DAF8"/>
            <w:tcMar>
              <w:top w:w="0" w:type="dxa"/>
              <w:left w:w="40" w:type="dxa"/>
              <w:bottom w:w="0" w:type="dxa"/>
              <w:right w:w="40" w:type="dxa"/>
            </w:tcMar>
            <w:vAlign w:val="bottom"/>
          </w:tcPr>
          <w:p w14:paraId="295E4B59" w14:textId="77777777" w:rsidR="00410BA5" w:rsidRPr="0020339D" w:rsidRDefault="00C55C36">
            <w:pPr>
              <w:widowControl w:val="0"/>
              <w:spacing w:before="0" w:after="0"/>
              <w:jc w:val="left"/>
              <w:rPr>
                <w:rFonts w:ascii="Arial" w:eastAsia="Arial" w:hAnsi="Arial" w:cs="Arial"/>
                <w:sz w:val="20"/>
                <w:szCs w:val="20"/>
                <w:lang w:val="en-GB"/>
              </w:rPr>
            </w:pPr>
            <w:r w:rsidRPr="0020339D">
              <w:rPr>
                <w:lang w:val="en-GB"/>
              </w:rPr>
              <w:t>22.26%</w:t>
            </w:r>
          </w:p>
        </w:tc>
        <w:tc>
          <w:tcPr>
            <w:tcW w:w="498" w:type="pct"/>
            <w:tcBorders>
              <w:top w:val="single" w:sz="6" w:space="0" w:color="CCCCCC"/>
              <w:left w:val="single" w:sz="6" w:space="0" w:color="CCCCCC"/>
              <w:bottom w:val="single" w:sz="6" w:space="0" w:color="000000"/>
              <w:right w:val="single" w:sz="6" w:space="0" w:color="000000"/>
            </w:tcBorders>
            <w:shd w:val="clear" w:color="auto" w:fill="C9DAF8"/>
            <w:tcMar>
              <w:top w:w="0" w:type="dxa"/>
              <w:left w:w="40" w:type="dxa"/>
              <w:bottom w:w="0" w:type="dxa"/>
              <w:right w:w="40" w:type="dxa"/>
            </w:tcMar>
            <w:vAlign w:val="bottom"/>
          </w:tcPr>
          <w:p w14:paraId="217D61B0" w14:textId="77777777" w:rsidR="00410BA5" w:rsidRPr="0020339D" w:rsidRDefault="00C55C36">
            <w:pPr>
              <w:widowControl w:val="0"/>
              <w:spacing w:before="0" w:after="0"/>
              <w:jc w:val="left"/>
              <w:rPr>
                <w:rFonts w:ascii="Arial" w:eastAsia="Arial" w:hAnsi="Arial" w:cs="Arial"/>
                <w:sz w:val="20"/>
                <w:szCs w:val="20"/>
                <w:lang w:val="en-GB"/>
              </w:rPr>
            </w:pPr>
            <w:r w:rsidRPr="0020339D">
              <w:rPr>
                <w:lang w:val="en-GB"/>
              </w:rPr>
              <w:t>17.82%</w:t>
            </w:r>
          </w:p>
        </w:tc>
        <w:tc>
          <w:tcPr>
            <w:tcW w:w="514" w:type="pct"/>
            <w:tcBorders>
              <w:top w:val="single" w:sz="6" w:space="0" w:color="CCCCCC"/>
              <w:left w:val="single" w:sz="6" w:space="0" w:color="CCCCCC"/>
              <w:bottom w:val="single" w:sz="6" w:space="0" w:color="000000"/>
              <w:right w:val="single" w:sz="6" w:space="0" w:color="000000"/>
            </w:tcBorders>
            <w:shd w:val="clear" w:color="auto" w:fill="C9DAF8"/>
            <w:tcMar>
              <w:top w:w="0" w:type="dxa"/>
              <w:left w:w="40" w:type="dxa"/>
              <w:bottom w:w="0" w:type="dxa"/>
              <w:right w:w="40" w:type="dxa"/>
            </w:tcMar>
            <w:vAlign w:val="bottom"/>
          </w:tcPr>
          <w:p w14:paraId="621953EF" w14:textId="77777777" w:rsidR="00410BA5" w:rsidRPr="0020339D" w:rsidRDefault="00C55C36">
            <w:pPr>
              <w:widowControl w:val="0"/>
              <w:spacing w:before="0" w:after="0"/>
              <w:jc w:val="left"/>
              <w:rPr>
                <w:rFonts w:ascii="Arial" w:eastAsia="Arial" w:hAnsi="Arial" w:cs="Arial"/>
                <w:sz w:val="20"/>
                <w:szCs w:val="20"/>
                <w:lang w:val="en-GB"/>
              </w:rPr>
            </w:pPr>
            <w:r w:rsidRPr="0020339D">
              <w:rPr>
                <w:lang w:val="en-GB"/>
              </w:rPr>
              <w:t>18.42%</w:t>
            </w:r>
          </w:p>
        </w:tc>
        <w:tc>
          <w:tcPr>
            <w:tcW w:w="1300" w:type="pct"/>
            <w:tcBorders>
              <w:top w:val="single" w:sz="6" w:space="0" w:color="CCCCCC"/>
              <w:left w:val="single" w:sz="6" w:space="0" w:color="CCCCCC"/>
              <w:bottom w:val="single" w:sz="6" w:space="0" w:color="000000"/>
              <w:right w:val="single" w:sz="6" w:space="0" w:color="000000"/>
            </w:tcBorders>
            <w:shd w:val="clear" w:color="auto" w:fill="C9DAF8"/>
            <w:tcMar>
              <w:top w:w="0" w:type="dxa"/>
              <w:left w:w="40" w:type="dxa"/>
              <w:bottom w:w="0" w:type="dxa"/>
              <w:right w:w="40" w:type="dxa"/>
            </w:tcMar>
            <w:vAlign w:val="bottom"/>
          </w:tcPr>
          <w:p w14:paraId="00B5DE1B" w14:textId="77777777" w:rsidR="00410BA5" w:rsidRPr="0020339D" w:rsidRDefault="00C55C36">
            <w:pPr>
              <w:widowControl w:val="0"/>
              <w:spacing w:before="0" w:after="0"/>
              <w:jc w:val="left"/>
              <w:rPr>
                <w:rFonts w:ascii="Arial" w:eastAsia="Arial" w:hAnsi="Arial" w:cs="Arial"/>
                <w:sz w:val="20"/>
                <w:szCs w:val="20"/>
                <w:lang w:val="en-GB"/>
              </w:rPr>
            </w:pPr>
            <w:r w:rsidRPr="0020339D">
              <w:rPr>
                <w:lang w:val="en-GB"/>
              </w:rPr>
              <w:t>“Net Income/Sales”</w:t>
            </w:r>
          </w:p>
        </w:tc>
      </w:tr>
      <w:tr w:rsidR="00410BA5" w:rsidRPr="0020339D" w14:paraId="671E133B" w14:textId="77777777" w:rsidTr="00FA6877">
        <w:trPr>
          <w:trHeight w:val="315"/>
        </w:trPr>
        <w:tc>
          <w:tcPr>
            <w:tcW w:w="1204" w:type="pct"/>
            <w:tcBorders>
              <w:top w:val="single" w:sz="6" w:space="0" w:color="CCCCCC"/>
              <w:left w:val="single" w:sz="6" w:space="0" w:color="000000"/>
              <w:bottom w:val="single" w:sz="6" w:space="0" w:color="000000"/>
              <w:right w:val="single" w:sz="6" w:space="0" w:color="000000"/>
            </w:tcBorders>
            <w:shd w:val="clear" w:color="auto" w:fill="C9DAF8"/>
            <w:tcMar>
              <w:top w:w="0" w:type="dxa"/>
              <w:left w:w="40" w:type="dxa"/>
              <w:bottom w:w="0" w:type="dxa"/>
              <w:right w:w="40" w:type="dxa"/>
            </w:tcMar>
            <w:vAlign w:val="bottom"/>
          </w:tcPr>
          <w:p w14:paraId="61DF5733" w14:textId="77777777" w:rsidR="00410BA5" w:rsidRPr="0020339D" w:rsidRDefault="00C55C36">
            <w:pPr>
              <w:widowControl w:val="0"/>
              <w:spacing w:before="0" w:after="0"/>
              <w:jc w:val="left"/>
              <w:rPr>
                <w:rFonts w:ascii="Arial" w:eastAsia="Arial" w:hAnsi="Arial" w:cs="Arial"/>
                <w:sz w:val="20"/>
                <w:szCs w:val="20"/>
                <w:lang w:val="en-GB"/>
              </w:rPr>
            </w:pPr>
            <w:r w:rsidRPr="0020339D">
              <w:rPr>
                <w:b/>
                <w:lang w:val="en-GB"/>
              </w:rPr>
              <w:t>Return on Equity (ROE)</w:t>
            </w:r>
          </w:p>
        </w:tc>
        <w:tc>
          <w:tcPr>
            <w:tcW w:w="530" w:type="pct"/>
            <w:tcBorders>
              <w:top w:val="single" w:sz="6" w:space="0" w:color="CCCCCC"/>
              <w:left w:val="single" w:sz="6" w:space="0" w:color="CCCCCC"/>
              <w:bottom w:val="single" w:sz="6" w:space="0" w:color="000000"/>
              <w:right w:val="single" w:sz="6" w:space="0" w:color="000000"/>
            </w:tcBorders>
            <w:shd w:val="clear" w:color="auto" w:fill="C9DAF8"/>
            <w:tcMar>
              <w:top w:w="0" w:type="dxa"/>
              <w:left w:w="40" w:type="dxa"/>
              <w:bottom w:w="0" w:type="dxa"/>
              <w:right w:w="40" w:type="dxa"/>
            </w:tcMar>
            <w:vAlign w:val="bottom"/>
          </w:tcPr>
          <w:p w14:paraId="5021310B" w14:textId="77777777" w:rsidR="00410BA5" w:rsidRPr="0020339D" w:rsidRDefault="00C55C36">
            <w:pPr>
              <w:widowControl w:val="0"/>
              <w:spacing w:before="0" w:after="0"/>
              <w:jc w:val="left"/>
              <w:rPr>
                <w:rFonts w:ascii="Arial" w:eastAsia="Arial" w:hAnsi="Arial" w:cs="Arial"/>
                <w:sz w:val="20"/>
                <w:szCs w:val="20"/>
                <w:lang w:val="en-GB"/>
              </w:rPr>
            </w:pPr>
            <w:r w:rsidRPr="0020339D">
              <w:rPr>
                <w:lang w:val="en-GB"/>
              </w:rPr>
              <w:t>51.14%</w:t>
            </w:r>
          </w:p>
        </w:tc>
        <w:tc>
          <w:tcPr>
            <w:tcW w:w="482" w:type="pct"/>
            <w:tcBorders>
              <w:top w:val="single" w:sz="6" w:space="0" w:color="CCCCCC"/>
              <w:left w:val="single" w:sz="6" w:space="0" w:color="CCCCCC"/>
              <w:bottom w:val="single" w:sz="6" w:space="0" w:color="000000"/>
              <w:right w:val="single" w:sz="6" w:space="0" w:color="000000"/>
            </w:tcBorders>
            <w:shd w:val="clear" w:color="auto" w:fill="C9DAF8"/>
            <w:tcMar>
              <w:top w:w="0" w:type="dxa"/>
              <w:left w:w="40" w:type="dxa"/>
              <w:bottom w:w="0" w:type="dxa"/>
              <w:right w:w="40" w:type="dxa"/>
            </w:tcMar>
            <w:vAlign w:val="bottom"/>
          </w:tcPr>
          <w:p w14:paraId="246353F5" w14:textId="77777777" w:rsidR="00410BA5" w:rsidRPr="0020339D" w:rsidRDefault="00C55C36">
            <w:pPr>
              <w:widowControl w:val="0"/>
              <w:spacing w:before="0" w:after="0"/>
              <w:jc w:val="left"/>
              <w:rPr>
                <w:rFonts w:ascii="Arial" w:eastAsia="Arial" w:hAnsi="Arial" w:cs="Arial"/>
                <w:sz w:val="20"/>
                <w:szCs w:val="20"/>
                <w:lang w:val="en-GB"/>
              </w:rPr>
            </w:pPr>
            <w:r w:rsidRPr="0020339D">
              <w:rPr>
                <w:lang w:val="en-GB"/>
              </w:rPr>
              <w:t>23.36%</w:t>
            </w:r>
          </w:p>
        </w:tc>
        <w:tc>
          <w:tcPr>
            <w:tcW w:w="474" w:type="pct"/>
            <w:tcBorders>
              <w:top w:val="single" w:sz="6" w:space="0" w:color="CCCCCC"/>
              <w:left w:val="single" w:sz="6" w:space="0" w:color="CCCCCC"/>
              <w:bottom w:val="single" w:sz="6" w:space="0" w:color="000000"/>
              <w:right w:val="single" w:sz="6" w:space="0" w:color="000000"/>
            </w:tcBorders>
            <w:shd w:val="clear" w:color="auto" w:fill="C9DAF8"/>
            <w:tcMar>
              <w:top w:w="0" w:type="dxa"/>
              <w:left w:w="40" w:type="dxa"/>
              <w:bottom w:w="0" w:type="dxa"/>
              <w:right w:w="40" w:type="dxa"/>
            </w:tcMar>
            <w:vAlign w:val="bottom"/>
          </w:tcPr>
          <w:p w14:paraId="11989322" w14:textId="77777777" w:rsidR="00410BA5" w:rsidRPr="0020339D" w:rsidRDefault="00C55C36">
            <w:pPr>
              <w:widowControl w:val="0"/>
              <w:spacing w:before="0" w:after="0"/>
              <w:jc w:val="left"/>
              <w:rPr>
                <w:rFonts w:ascii="Arial" w:eastAsia="Arial" w:hAnsi="Arial" w:cs="Arial"/>
                <w:sz w:val="20"/>
                <w:szCs w:val="20"/>
                <w:lang w:val="en-GB"/>
              </w:rPr>
            </w:pPr>
            <w:r w:rsidRPr="0020339D">
              <w:rPr>
                <w:lang w:val="en-GB"/>
              </w:rPr>
              <w:t>28.20%</w:t>
            </w:r>
          </w:p>
        </w:tc>
        <w:tc>
          <w:tcPr>
            <w:tcW w:w="498" w:type="pct"/>
            <w:tcBorders>
              <w:top w:val="single" w:sz="6" w:space="0" w:color="CCCCCC"/>
              <w:left w:val="single" w:sz="6" w:space="0" w:color="CCCCCC"/>
              <w:bottom w:val="single" w:sz="6" w:space="0" w:color="000000"/>
              <w:right w:val="single" w:sz="6" w:space="0" w:color="000000"/>
            </w:tcBorders>
            <w:shd w:val="clear" w:color="auto" w:fill="C9DAF8"/>
            <w:tcMar>
              <w:top w:w="0" w:type="dxa"/>
              <w:left w:w="40" w:type="dxa"/>
              <w:bottom w:w="0" w:type="dxa"/>
              <w:right w:w="40" w:type="dxa"/>
            </w:tcMar>
            <w:vAlign w:val="bottom"/>
          </w:tcPr>
          <w:p w14:paraId="25512A83" w14:textId="77777777" w:rsidR="00410BA5" w:rsidRPr="0020339D" w:rsidRDefault="00C55C36">
            <w:pPr>
              <w:widowControl w:val="0"/>
              <w:spacing w:before="0" w:after="0"/>
              <w:jc w:val="left"/>
              <w:rPr>
                <w:rFonts w:ascii="Arial" w:eastAsia="Arial" w:hAnsi="Arial" w:cs="Arial"/>
                <w:sz w:val="20"/>
                <w:szCs w:val="20"/>
                <w:lang w:val="en-GB"/>
              </w:rPr>
            </w:pPr>
            <w:r w:rsidRPr="0020339D">
              <w:rPr>
                <w:lang w:val="en-GB"/>
              </w:rPr>
              <w:t>8.41%</w:t>
            </w:r>
          </w:p>
        </w:tc>
        <w:tc>
          <w:tcPr>
            <w:tcW w:w="514" w:type="pct"/>
            <w:tcBorders>
              <w:top w:val="single" w:sz="6" w:space="0" w:color="CCCCCC"/>
              <w:left w:val="single" w:sz="6" w:space="0" w:color="CCCCCC"/>
              <w:bottom w:val="single" w:sz="6" w:space="0" w:color="000000"/>
              <w:right w:val="single" w:sz="6" w:space="0" w:color="000000"/>
            </w:tcBorders>
            <w:shd w:val="clear" w:color="auto" w:fill="C9DAF8"/>
            <w:tcMar>
              <w:top w:w="0" w:type="dxa"/>
              <w:left w:w="40" w:type="dxa"/>
              <w:bottom w:w="0" w:type="dxa"/>
              <w:right w:w="40" w:type="dxa"/>
            </w:tcMar>
            <w:vAlign w:val="bottom"/>
          </w:tcPr>
          <w:p w14:paraId="35D8AF0B" w14:textId="77777777" w:rsidR="00410BA5" w:rsidRPr="0020339D" w:rsidRDefault="00C55C36">
            <w:pPr>
              <w:widowControl w:val="0"/>
              <w:spacing w:before="0" w:after="0"/>
              <w:jc w:val="left"/>
              <w:rPr>
                <w:rFonts w:ascii="Arial" w:eastAsia="Arial" w:hAnsi="Arial" w:cs="Arial"/>
                <w:sz w:val="20"/>
                <w:szCs w:val="20"/>
                <w:lang w:val="en-GB"/>
              </w:rPr>
            </w:pPr>
            <w:r w:rsidRPr="0020339D">
              <w:rPr>
                <w:lang w:val="en-GB"/>
              </w:rPr>
              <w:t>9.59%</w:t>
            </w:r>
          </w:p>
        </w:tc>
        <w:tc>
          <w:tcPr>
            <w:tcW w:w="1300" w:type="pct"/>
            <w:tcBorders>
              <w:top w:val="single" w:sz="6" w:space="0" w:color="CCCCCC"/>
              <w:left w:val="single" w:sz="6" w:space="0" w:color="CCCCCC"/>
              <w:bottom w:val="single" w:sz="6" w:space="0" w:color="000000"/>
              <w:right w:val="single" w:sz="6" w:space="0" w:color="000000"/>
            </w:tcBorders>
            <w:shd w:val="clear" w:color="auto" w:fill="C9DAF8"/>
            <w:tcMar>
              <w:top w:w="0" w:type="dxa"/>
              <w:left w:w="40" w:type="dxa"/>
              <w:bottom w:w="0" w:type="dxa"/>
              <w:right w:w="40" w:type="dxa"/>
            </w:tcMar>
            <w:vAlign w:val="bottom"/>
          </w:tcPr>
          <w:p w14:paraId="54C00F76" w14:textId="77777777" w:rsidR="00410BA5" w:rsidRPr="0020339D" w:rsidRDefault="00C55C36">
            <w:pPr>
              <w:widowControl w:val="0"/>
              <w:spacing w:before="0" w:after="0"/>
              <w:jc w:val="left"/>
              <w:rPr>
                <w:rFonts w:ascii="Arial" w:eastAsia="Arial" w:hAnsi="Arial" w:cs="Arial"/>
                <w:sz w:val="20"/>
                <w:szCs w:val="20"/>
                <w:lang w:val="en-GB"/>
              </w:rPr>
            </w:pPr>
            <w:r w:rsidRPr="0020339D">
              <w:rPr>
                <w:lang w:val="en-GB"/>
              </w:rPr>
              <w:t>“Net Income/Total Equity”</w:t>
            </w:r>
          </w:p>
        </w:tc>
      </w:tr>
      <w:tr w:rsidR="00410BA5" w:rsidRPr="0020339D" w14:paraId="6325A5C6" w14:textId="77777777" w:rsidTr="00FA6877">
        <w:trPr>
          <w:trHeight w:val="315"/>
        </w:trPr>
        <w:tc>
          <w:tcPr>
            <w:tcW w:w="1204" w:type="pct"/>
            <w:tcBorders>
              <w:top w:val="single" w:sz="6" w:space="0" w:color="CCCCCC"/>
              <w:left w:val="single" w:sz="6" w:space="0" w:color="000000"/>
              <w:bottom w:val="single" w:sz="6" w:space="0" w:color="000000"/>
              <w:right w:val="single" w:sz="6" w:space="0" w:color="000000"/>
            </w:tcBorders>
            <w:shd w:val="clear" w:color="auto" w:fill="C9DAF8"/>
            <w:tcMar>
              <w:top w:w="0" w:type="dxa"/>
              <w:left w:w="40" w:type="dxa"/>
              <w:bottom w:w="0" w:type="dxa"/>
              <w:right w:w="40" w:type="dxa"/>
            </w:tcMar>
            <w:vAlign w:val="bottom"/>
          </w:tcPr>
          <w:p w14:paraId="07D4B7D2" w14:textId="77777777" w:rsidR="00410BA5" w:rsidRPr="0020339D" w:rsidRDefault="00C55C36">
            <w:pPr>
              <w:widowControl w:val="0"/>
              <w:spacing w:before="0" w:after="0"/>
              <w:jc w:val="left"/>
              <w:rPr>
                <w:rFonts w:ascii="Arial" w:eastAsia="Arial" w:hAnsi="Arial" w:cs="Arial"/>
                <w:sz w:val="20"/>
                <w:szCs w:val="20"/>
                <w:lang w:val="en-GB"/>
              </w:rPr>
            </w:pPr>
            <w:r w:rsidRPr="0020339D">
              <w:rPr>
                <w:b/>
                <w:lang w:val="en-GB"/>
              </w:rPr>
              <w:t>Return on Assets (ROA)</w:t>
            </w:r>
          </w:p>
        </w:tc>
        <w:tc>
          <w:tcPr>
            <w:tcW w:w="530" w:type="pct"/>
            <w:tcBorders>
              <w:top w:val="single" w:sz="6" w:space="0" w:color="CCCCCC"/>
              <w:left w:val="single" w:sz="6" w:space="0" w:color="CCCCCC"/>
              <w:bottom w:val="single" w:sz="6" w:space="0" w:color="000000"/>
              <w:right w:val="single" w:sz="6" w:space="0" w:color="000000"/>
            </w:tcBorders>
            <w:shd w:val="clear" w:color="auto" w:fill="C9DAF8"/>
            <w:tcMar>
              <w:top w:w="0" w:type="dxa"/>
              <w:left w:w="40" w:type="dxa"/>
              <w:bottom w:w="0" w:type="dxa"/>
              <w:right w:w="40" w:type="dxa"/>
            </w:tcMar>
            <w:vAlign w:val="bottom"/>
          </w:tcPr>
          <w:p w14:paraId="069CB0A9" w14:textId="77777777" w:rsidR="00410BA5" w:rsidRPr="0020339D" w:rsidRDefault="00C55C36">
            <w:pPr>
              <w:widowControl w:val="0"/>
              <w:spacing w:before="0" w:after="0"/>
              <w:jc w:val="left"/>
              <w:rPr>
                <w:rFonts w:ascii="Arial" w:eastAsia="Arial" w:hAnsi="Arial" w:cs="Arial"/>
                <w:sz w:val="20"/>
                <w:szCs w:val="20"/>
                <w:lang w:val="en-GB"/>
              </w:rPr>
            </w:pPr>
            <w:r w:rsidRPr="0020339D">
              <w:rPr>
                <w:lang w:val="en-GB"/>
              </w:rPr>
              <w:t>20.98%</w:t>
            </w:r>
          </w:p>
        </w:tc>
        <w:tc>
          <w:tcPr>
            <w:tcW w:w="482" w:type="pct"/>
            <w:tcBorders>
              <w:top w:val="single" w:sz="6" w:space="0" w:color="CCCCCC"/>
              <w:left w:val="single" w:sz="6" w:space="0" w:color="CCCCCC"/>
              <w:bottom w:val="single" w:sz="6" w:space="0" w:color="000000"/>
              <w:right w:val="single" w:sz="6" w:space="0" w:color="000000"/>
            </w:tcBorders>
            <w:shd w:val="clear" w:color="auto" w:fill="C9DAF8"/>
            <w:tcMar>
              <w:top w:w="0" w:type="dxa"/>
              <w:left w:w="40" w:type="dxa"/>
              <w:bottom w:w="0" w:type="dxa"/>
              <w:right w:w="40" w:type="dxa"/>
            </w:tcMar>
            <w:vAlign w:val="bottom"/>
          </w:tcPr>
          <w:p w14:paraId="4431EDCE" w14:textId="77777777" w:rsidR="00410BA5" w:rsidRPr="0020339D" w:rsidRDefault="00C55C36">
            <w:pPr>
              <w:widowControl w:val="0"/>
              <w:spacing w:before="0" w:after="0"/>
              <w:jc w:val="left"/>
              <w:rPr>
                <w:rFonts w:ascii="Arial" w:eastAsia="Arial" w:hAnsi="Arial" w:cs="Arial"/>
                <w:sz w:val="20"/>
                <w:szCs w:val="20"/>
                <w:lang w:val="en-GB"/>
              </w:rPr>
            </w:pPr>
            <w:r w:rsidRPr="0020339D">
              <w:rPr>
                <w:lang w:val="en-GB"/>
              </w:rPr>
              <w:t>9.57%</w:t>
            </w:r>
          </w:p>
        </w:tc>
        <w:tc>
          <w:tcPr>
            <w:tcW w:w="474" w:type="pct"/>
            <w:tcBorders>
              <w:top w:val="single" w:sz="6" w:space="0" w:color="CCCCCC"/>
              <w:left w:val="single" w:sz="6" w:space="0" w:color="CCCCCC"/>
              <w:bottom w:val="single" w:sz="6" w:space="0" w:color="000000"/>
              <w:right w:val="single" w:sz="6" w:space="0" w:color="000000"/>
            </w:tcBorders>
            <w:shd w:val="clear" w:color="auto" w:fill="C9DAF8"/>
            <w:tcMar>
              <w:top w:w="0" w:type="dxa"/>
              <w:left w:w="40" w:type="dxa"/>
              <w:bottom w:w="0" w:type="dxa"/>
              <w:right w:w="40" w:type="dxa"/>
            </w:tcMar>
            <w:vAlign w:val="bottom"/>
          </w:tcPr>
          <w:p w14:paraId="4A7CCA55" w14:textId="77777777" w:rsidR="00410BA5" w:rsidRPr="0020339D" w:rsidRDefault="00C55C36">
            <w:pPr>
              <w:widowControl w:val="0"/>
              <w:spacing w:before="0" w:after="0"/>
              <w:jc w:val="left"/>
              <w:rPr>
                <w:rFonts w:ascii="Arial" w:eastAsia="Arial" w:hAnsi="Arial" w:cs="Arial"/>
                <w:sz w:val="20"/>
                <w:szCs w:val="20"/>
                <w:lang w:val="en-GB"/>
              </w:rPr>
            </w:pPr>
            <w:r w:rsidRPr="0020339D">
              <w:rPr>
                <w:lang w:val="en-GB"/>
              </w:rPr>
              <w:t>11.47%</w:t>
            </w:r>
          </w:p>
        </w:tc>
        <w:tc>
          <w:tcPr>
            <w:tcW w:w="498" w:type="pct"/>
            <w:tcBorders>
              <w:top w:val="single" w:sz="6" w:space="0" w:color="CCCCCC"/>
              <w:left w:val="single" w:sz="6" w:space="0" w:color="CCCCCC"/>
              <w:bottom w:val="single" w:sz="6" w:space="0" w:color="000000"/>
              <w:right w:val="single" w:sz="6" w:space="0" w:color="000000"/>
            </w:tcBorders>
            <w:shd w:val="clear" w:color="auto" w:fill="C9DAF8"/>
            <w:tcMar>
              <w:top w:w="0" w:type="dxa"/>
              <w:left w:w="40" w:type="dxa"/>
              <w:bottom w:w="0" w:type="dxa"/>
              <w:right w:w="40" w:type="dxa"/>
            </w:tcMar>
            <w:vAlign w:val="bottom"/>
          </w:tcPr>
          <w:p w14:paraId="306AF832" w14:textId="77777777" w:rsidR="00410BA5" w:rsidRPr="0020339D" w:rsidRDefault="00C55C36">
            <w:pPr>
              <w:widowControl w:val="0"/>
              <w:spacing w:before="0" w:after="0"/>
              <w:jc w:val="left"/>
              <w:rPr>
                <w:rFonts w:ascii="Arial" w:eastAsia="Arial" w:hAnsi="Arial" w:cs="Arial"/>
                <w:sz w:val="20"/>
                <w:szCs w:val="20"/>
                <w:lang w:val="en-GB"/>
              </w:rPr>
            </w:pPr>
            <w:r w:rsidRPr="0020339D">
              <w:rPr>
                <w:lang w:val="en-GB"/>
              </w:rPr>
              <w:t>8.41%</w:t>
            </w:r>
          </w:p>
        </w:tc>
        <w:tc>
          <w:tcPr>
            <w:tcW w:w="514" w:type="pct"/>
            <w:tcBorders>
              <w:top w:val="single" w:sz="6" w:space="0" w:color="CCCCCC"/>
              <w:left w:val="single" w:sz="6" w:space="0" w:color="CCCCCC"/>
              <w:bottom w:val="single" w:sz="6" w:space="0" w:color="000000"/>
              <w:right w:val="single" w:sz="6" w:space="0" w:color="000000"/>
            </w:tcBorders>
            <w:shd w:val="clear" w:color="auto" w:fill="C9DAF8"/>
            <w:tcMar>
              <w:top w:w="0" w:type="dxa"/>
              <w:left w:w="40" w:type="dxa"/>
              <w:bottom w:w="0" w:type="dxa"/>
              <w:right w:w="40" w:type="dxa"/>
            </w:tcMar>
            <w:vAlign w:val="bottom"/>
          </w:tcPr>
          <w:p w14:paraId="12C05D6D" w14:textId="77777777" w:rsidR="00410BA5" w:rsidRPr="0020339D" w:rsidRDefault="00C55C36">
            <w:pPr>
              <w:widowControl w:val="0"/>
              <w:spacing w:before="0" w:after="0"/>
              <w:jc w:val="left"/>
              <w:rPr>
                <w:rFonts w:ascii="Arial" w:eastAsia="Arial" w:hAnsi="Arial" w:cs="Arial"/>
                <w:sz w:val="20"/>
                <w:szCs w:val="20"/>
                <w:lang w:val="en-GB"/>
              </w:rPr>
            </w:pPr>
            <w:r w:rsidRPr="0020339D">
              <w:rPr>
                <w:lang w:val="en-GB"/>
              </w:rPr>
              <w:t>9.59%</w:t>
            </w:r>
          </w:p>
        </w:tc>
        <w:tc>
          <w:tcPr>
            <w:tcW w:w="1300" w:type="pct"/>
            <w:tcBorders>
              <w:top w:val="single" w:sz="6" w:space="0" w:color="CCCCCC"/>
              <w:left w:val="single" w:sz="6" w:space="0" w:color="CCCCCC"/>
              <w:bottom w:val="single" w:sz="6" w:space="0" w:color="000000"/>
              <w:right w:val="single" w:sz="6" w:space="0" w:color="000000"/>
            </w:tcBorders>
            <w:shd w:val="clear" w:color="auto" w:fill="C9DAF8"/>
            <w:tcMar>
              <w:top w:w="0" w:type="dxa"/>
              <w:left w:w="40" w:type="dxa"/>
              <w:bottom w:w="0" w:type="dxa"/>
              <w:right w:w="40" w:type="dxa"/>
            </w:tcMar>
            <w:vAlign w:val="bottom"/>
          </w:tcPr>
          <w:p w14:paraId="78CCC81B" w14:textId="77777777" w:rsidR="00410BA5" w:rsidRPr="0020339D" w:rsidRDefault="00C55C36">
            <w:pPr>
              <w:widowControl w:val="0"/>
              <w:spacing w:before="0" w:after="0"/>
              <w:jc w:val="left"/>
              <w:rPr>
                <w:rFonts w:ascii="Arial" w:eastAsia="Arial" w:hAnsi="Arial" w:cs="Arial"/>
                <w:sz w:val="20"/>
                <w:szCs w:val="20"/>
                <w:lang w:val="en-GB"/>
              </w:rPr>
            </w:pPr>
            <w:r w:rsidRPr="0020339D">
              <w:rPr>
                <w:lang w:val="en-GB"/>
              </w:rPr>
              <w:t>“Net Income/Total Assets”</w:t>
            </w:r>
          </w:p>
        </w:tc>
      </w:tr>
    </w:tbl>
    <w:p w14:paraId="36558169" w14:textId="77777777" w:rsidR="00410BA5" w:rsidRPr="0020339D" w:rsidRDefault="00C55C36" w:rsidP="00FA6877">
      <w:pPr>
        <w:pStyle w:val="Caption"/>
      </w:pPr>
      <w:r w:rsidRPr="0020339D">
        <w:t>Table 2.1: Profitability Ratios</w:t>
      </w:r>
    </w:p>
    <w:p w14:paraId="095262E1" w14:textId="77777777" w:rsidR="00410BA5" w:rsidRPr="0020339D" w:rsidRDefault="00C55C36">
      <w:pPr>
        <w:pStyle w:val="Heading3"/>
        <w:rPr>
          <w:lang w:val="en-GB"/>
        </w:rPr>
      </w:pPr>
      <w:bookmarkStart w:id="9" w:name="_Toc171804423"/>
      <w:r w:rsidRPr="0020339D">
        <w:rPr>
          <w:lang w:val="en-GB"/>
        </w:rPr>
        <w:t>Liquidity Ratios</w:t>
      </w:r>
      <w:bookmarkEnd w:id="9"/>
    </w:p>
    <w:tbl>
      <w:tblPr>
        <w:tblStyle w:val="a0"/>
        <w:tblW w:w="5000" w:type="pct"/>
        <w:tblBorders>
          <w:top w:val="nil"/>
          <w:left w:val="nil"/>
          <w:bottom w:val="nil"/>
          <w:right w:val="nil"/>
          <w:insideH w:val="nil"/>
          <w:insideV w:val="nil"/>
        </w:tblBorders>
        <w:tblLook w:val="0600" w:firstRow="0" w:lastRow="0" w:firstColumn="0" w:lastColumn="0" w:noHBand="1" w:noVBand="1"/>
      </w:tblPr>
      <w:tblGrid>
        <w:gridCol w:w="2543"/>
        <w:gridCol w:w="727"/>
        <w:gridCol w:w="727"/>
        <w:gridCol w:w="727"/>
        <w:gridCol w:w="727"/>
        <w:gridCol w:w="961"/>
        <w:gridCol w:w="3028"/>
      </w:tblGrid>
      <w:tr w:rsidR="00410BA5" w:rsidRPr="0020339D" w14:paraId="6087476A" w14:textId="77777777" w:rsidTr="00FA6877">
        <w:trPr>
          <w:trHeight w:val="300"/>
        </w:trPr>
        <w:tc>
          <w:tcPr>
            <w:tcW w:w="1347" w:type="pct"/>
            <w:tcBorders>
              <w:top w:val="single" w:sz="6" w:space="0" w:color="000000"/>
              <w:left w:val="single" w:sz="6" w:space="0" w:color="000000"/>
              <w:bottom w:val="single" w:sz="6" w:space="0" w:color="000000"/>
              <w:right w:val="single" w:sz="6" w:space="0" w:color="000000"/>
            </w:tcBorders>
            <w:shd w:val="clear" w:color="auto" w:fill="B4A7D6"/>
            <w:tcMar>
              <w:top w:w="0" w:type="dxa"/>
              <w:left w:w="40" w:type="dxa"/>
              <w:bottom w:w="0" w:type="dxa"/>
              <w:right w:w="40" w:type="dxa"/>
            </w:tcMar>
            <w:vAlign w:val="bottom"/>
          </w:tcPr>
          <w:p w14:paraId="38A7FB06" w14:textId="77777777" w:rsidR="00410BA5" w:rsidRPr="0020339D" w:rsidRDefault="00C55C36">
            <w:pPr>
              <w:widowControl w:val="0"/>
              <w:spacing w:before="0" w:after="0" w:line="276" w:lineRule="auto"/>
              <w:jc w:val="center"/>
              <w:rPr>
                <w:rFonts w:ascii="Arial" w:eastAsia="Arial" w:hAnsi="Arial" w:cs="Arial"/>
                <w:sz w:val="20"/>
                <w:szCs w:val="20"/>
                <w:lang w:val="en-GB"/>
              </w:rPr>
            </w:pPr>
            <w:r w:rsidRPr="0020339D">
              <w:rPr>
                <w:b/>
                <w:lang w:val="en-GB"/>
              </w:rPr>
              <w:t>Liquidity Ratios</w:t>
            </w:r>
          </w:p>
        </w:tc>
        <w:tc>
          <w:tcPr>
            <w:tcW w:w="385" w:type="pct"/>
            <w:tcBorders>
              <w:top w:val="single" w:sz="6" w:space="0" w:color="000000"/>
              <w:left w:val="single" w:sz="6" w:space="0" w:color="CCCCCC"/>
              <w:bottom w:val="single" w:sz="6" w:space="0" w:color="000000"/>
              <w:right w:val="single" w:sz="6" w:space="0" w:color="000000"/>
            </w:tcBorders>
            <w:shd w:val="clear" w:color="auto" w:fill="B4A7D6"/>
            <w:tcMar>
              <w:top w:w="0" w:type="dxa"/>
              <w:left w:w="40" w:type="dxa"/>
              <w:bottom w:w="0" w:type="dxa"/>
              <w:right w:w="40" w:type="dxa"/>
            </w:tcMar>
            <w:vAlign w:val="bottom"/>
          </w:tcPr>
          <w:p w14:paraId="1F55F23E" w14:textId="77777777" w:rsidR="00410BA5" w:rsidRPr="0020339D" w:rsidRDefault="00410BA5">
            <w:pPr>
              <w:widowControl w:val="0"/>
              <w:spacing w:before="0" w:after="0" w:line="276" w:lineRule="auto"/>
              <w:jc w:val="left"/>
              <w:rPr>
                <w:rFonts w:ascii="Arial" w:eastAsia="Arial" w:hAnsi="Arial" w:cs="Arial"/>
                <w:sz w:val="20"/>
                <w:szCs w:val="20"/>
                <w:lang w:val="en-GB"/>
              </w:rPr>
            </w:pPr>
          </w:p>
        </w:tc>
        <w:tc>
          <w:tcPr>
            <w:tcW w:w="1664" w:type="pct"/>
            <w:gridSpan w:val="4"/>
            <w:tcBorders>
              <w:top w:val="single" w:sz="6" w:space="0" w:color="000000"/>
              <w:left w:val="single" w:sz="6" w:space="0" w:color="CCCCCC"/>
              <w:bottom w:val="single" w:sz="6" w:space="0" w:color="000000"/>
              <w:right w:val="single" w:sz="6" w:space="0" w:color="000000"/>
            </w:tcBorders>
            <w:shd w:val="clear" w:color="auto" w:fill="B4A7D6"/>
            <w:tcMar>
              <w:top w:w="0" w:type="dxa"/>
              <w:left w:w="40" w:type="dxa"/>
              <w:bottom w:w="0" w:type="dxa"/>
              <w:right w:w="40" w:type="dxa"/>
            </w:tcMar>
            <w:vAlign w:val="bottom"/>
          </w:tcPr>
          <w:p w14:paraId="3F3AFEED" w14:textId="77777777" w:rsidR="00410BA5" w:rsidRPr="0020339D" w:rsidRDefault="00C55C36">
            <w:pPr>
              <w:widowControl w:val="0"/>
              <w:spacing w:before="0" w:after="0" w:line="276" w:lineRule="auto"/>
              <w:jc w:val="center"/>
              <w:rPr>
                <w:rFonts w:ascii="Arial" w:eastAsia="Arial" w:hAnsi="Arial" w:cs="Arial"/>
                <w:sz w:val="20"/>
                <w:szCs w:val="20"/>
                <w:lang w:val="en-GB"/>
              </w:rPr>
            </w:pPr>
            <w:r w:rsidRPr="0020339D">
              <w:rPr>
                <w:b/>
                <w:lang w:val="en-GB"/>
              </w:rPr>
              <w:t xml:space="preserve">Johnson &amp; Johnson </w:t>
            </w:r>
          </w:p>
        </w:tc>
        <w:tc>
          <w:tcPr>
            <w:tcW w:w="1604" w:type="pct"/>
            <w:tcBorders>
              <w:top w:val="single" w:sz="6" w:space="0" w:color="000000"/>
              <w:left w:val="single" w:sz="6" w:space="0" w:color="CCCCCC"/>
              <w:bottom w:val="single" w:sz="6" w:space="0" w:color="000000"/>
              <w:right w:val="single" w:sz="6" w:space="0" w:color="000000"/>
            </w:tcBorders>
            <w:shd w:val="clear" w:color="auto" w:fill="B4A7D6"/>
            <w:tcMar>
              <w:top w:w="0" w:type="dxa"/>
              <w:left w:w="40" w:type="dxa"/>
              <w:bottom w:w="0" w:type="dxa"/>
              <w:right w:w="40" w:type="dxa"/>
            </w:tcMar>
            <w:vAlign w:val="bottom"/>
          </w:tcPr>
          <w:p w14:paraId="5552B219" w14:textId="77777777" w:rsidR="00410BA5" w:rsidRPr="0020339D" w:rsidRDefault="00410BA5">
            <w:pPr>
              <w:widowControl w:val="0"/>
              <w:spacing w:before="0" w:after="0" w:line="276" w:lineRule="auto"/>
              <w:jc w:val="left"/>
              <w:rPr>
                <w:rFonts w:ascii="Arial" w:eastAsia="Arial" w:hAnsi="Arial" w:cs="Arial"/>
                <w:sz w:val="20"/>
                <w:szCs w:val="20"/>
                <w:lang w:val="en-GB"/>
              </w:rPr>
            </w:pPr>
          </w:p>
        </w:tc>
      </w:tr>
      <w:tr w:rsidR="00410BA5" w:rsidRPr="0020339D" w14:paraId="5167B696" w14:textId="77777777" w:rsidTr="00FA6877">
        <w:trPr>
          <w:trHeight w:val="300"/>
        </w:trPr>
        <w:tc>
          <w:tcPr>
            <w:tcW w:w="1347" w:type="pct"/>
            <w:tcBorders>
              <w:top w:val="single" w:sz="6" w:space="0" w:color="CCCCCC"/>
              <w:left w:val="single" w:sz="6" w:space="0" w:color="000000"/>
              <w:bottom w:val="single" w:sz="6" w:space="0" w:color="000000"/>
              <w:right w:val="single" w:sz="6" w:space="0" w:color="000000"/>
            </w:tcBorders>
            <w:shd w:val="clear" w:color="auto" w:fill="FBBC04"/>
            <w:tcMar>
              <w:top w:w="0" w:type="dxa"/>
              <w:left w:w="40" w:type="dxa"/>
              <w:bottom w:w="0" w:type="dxa"/>
              <w:right w:w="40" w:type="dxa"/>
            </w:tcMar>
            <w:vAlign w:val="bottom"/>
          </w:tcPr>
          <w:p w14:paraId="40CBA1A6" w14:textId="77777777" w:rsidR="00410BA5" w:rsidRPr="0020339D" w:rsidRDefault="00410BA5">
            <w:pPr>
              <w:widowControl w:val="0"/>
              <w:spacing w:before="0" w:after="0" w:line="276" w:lineRule="auto"/>
              <w:jc w:val="left"/>
              <w:rPr>
                <w:rFonts w:ascii="Arial" w:eastAsia="Arial" w:hAnsi="Arial" w:cs="Arial"/>
                <w:sz w:val="20"/>
                <w:szCs w:val="20"/>
                <w:lang w:val="en-GB"/>
              </w:rPr>
            </w:pPr>
          </w:p>
        </w:tc>
        <w:tc>
          <w:tcPr>
            <w:tcW w:w="385" w:type="pct"/>
            <w:tcBorders>
              <w:top w:val="single" w:sz="6" w:space="0" w:color="CCCCCC"/>
              <w:left w:val="single" w:sz="6" w:space="0" w:color="CCCCCC"/>
              <w:bottom w:val="single" w:sz="6" w:space="0" w:color="000000"/>
              <w:right w:val="single" w:sz="6" w:space="0" w:color="000000"/>
            </w:tcBorders>
            <w:shd w:val="clear" w:color="auto" w:fill="FBBC04"/>
            <w:tcMar>
              <w:top w:w="0" w:type="dxa"/>
              <w:left w:w="40" w:type="dxa"/>
              <w:bottom w:w="0" w:type="dxa"/>
              <w:right w:w="40" w:type="dxa"/>
            </w:tcMar>
            <w:vAlign w:val="bottom"/>
          </w:tcPr>
          <w:p w14:paraId="5F05259C" w14:textId="77777777" w:rsidR="00410BA5" w:rsidRPr="0020339D" w:rsidRDefault="00C55C36">
            <w:pPr>
              <w:widowControl w:val="0"/>
              <w:spacing w:before="0" w:after="0" w:line="276" w:lineRule="auto"/>
              <w:jc w:val="center"/>
              <w:rPr>
                <w:rFonts w:ascii="Arial" w:eastAsia="Arial" w:hAnsi="Arial" w:cs="Arial"/>
                <w:sz w:val="20"/>
                <w:szCs w:val="20"/>
                <w:lang w:val="en-GB"/>
              </w:rPr>
            </w:pPr>
            <w:r w:rsidRPr="0020339D">
              <w:rPr>
                <w:b/>
                <w:lang w:val="en-GB"/>
              </w:rPr>
              <w:t>2023</w:t>
            </w:r>
          </w:p>
        </w:tc>
        <w:tc>
          <w:tcPr>
            <w:tcW w:w="385" w:type="pct"/>
            <w:tcBorders>
              <w:top w:val="single" w:sz="6" w:space="0" w:color="CCCCCC"/>
              <w:left w:val="single" w:sz="6" w:space="0" w:color="CCCCCC"/>
              <w:bottom w:val="single" w:sz="6" w:space="0" w:color="000000"/>
              <w:right w:val="single" w:sz="6" w:space="0" w:color="000000"/>
            </w:tcBorders>
            <w:shd w:val="clear" w:color="auto" w:fill="FBBC04"/>
            <w:tcMar>
              <w:top w:w="0" w:type="dxa"/>
              <w:left w:w="40" w:type="dxa"/>
              <w:bottom w:w="0" w:type="dxa"/>
              <w:right w:w="40" w:type="dxa"/>
            </w:tcMar>
            <w:vAlign w:val="bottom"/>
          </w:tcPr>
          <w:p w14:paraId="6380B660" w14:textId="77777777" w:rsidR="00410BA5" w:rsidRPr="0020339D" w:rsidRDefault="00C55C36">
            <w:pPr>
              <w:widowControl w:val="0"/>
              <w:spacing w:before="0" w:after="0" w:line="276" w:lineRule="auto"/>
              <w:jc w:val="center"/>
              <w:rPr>
                <w:rFonts w:ascii="Arial" w:eastAsia="Arial" w:hAnsi="Arial" w:cs="Arial"/>
                <w:sz w:val="20"/>
                <w:szCs w:val="20"/>
                <w:lang w:val="en-GB"/>
              </w:rPr>
            </w:pPr>
            <w:r w:rsidRPr="0020339D">
              <w:rPr>
                <w:b/>
                <w:lang w:val="en-GB"/>
              </w:rPr>
              <w:t>2022</w:t>
            </w:r>
          </w:p>
        </w:tc>
        <w:tc>
          <w:tcPr>
            <w:tcW w:w="385" w:type="pct"/>
            <w:tcBorders>
              <w:top w:val="single" w:sz="6" w:space="0" w:color="CCCCCC"/>
              <w:left w:val="single" w:sz="6" w:space="0" w:color="CCCCCC"/>
              <w:bottom w:val="single" w:sz="6" w:space="0" w:color="000000"/>
              <w:right w:val="single" w:sz="6" w:space="0" w:color="000000"/>
            </w:tcBorders>
            <w:shd w:val="clear" w:color="auto" w:fill="FBBC04"/>
            <w:tcMar>
              <w:top w:w="0" w:type="dxa"/>
              <w:left w:w="40" w:type="dxa"/>
              <w:bottom w:w="0" w:type="dxa"/>
              <w:right w:w="40" w:type="dxa"/>
            </w:tcMar>
            <w:vAlign w:val="bottom"/>
          </w:tcPr>
          <w:p w14:paraId="5BE15F82" w14:textId="77777777" w:rsidR="00410BA5" w:rsidRPr="0020339D" w:rsidRDefault="00C55C36">
            <w:pPr>
              <w:widowControl w:val="0"/>
              <w:spacing w:before="0" w:after="0" w:line="276" w:lineRule="auto"/>
              <w:jc w:val="center"/>
              <w:rPr>
                <w:rFonts w:ascii="Arial" w:eastAsia="Arial" w:hAnsi="Arial" w:cs="Arial"/>
                <w:sz w:val="20"/>
                <w:szCs w:val="20"/>
                <w:lang w:val="en-GB"/>
              </w:rPr>
            </w:pPr>
            <w:r w:rsidRPr="0020339D">
              <w:rPr>
                <w:b/>
                <w:lang w:val="en-GB"/>
              </w:rPr>
              <w:t>2021</w:t>
            </w:r>
          </w:p>
        </w:tc>
        <w:tc>
          <w:tcPr>
            <w:tcW w:w="385" w:type="pct"/>
            <w:tcBorders>
              <w:top w:val="single" w:sz="6" w:space="0" w:color="CCCCCC"/>
              <w:left w:val="single" w:sz="6" w:space="0" w:color="CCCCCC"/>
              <w:bottom w:val="single" w:sz="6" w:space="0" w:color="000000"/>
              <w:right w:val="single" w:sz="6" w:space="0" w:color="000000"/>
            </w:tcBorders>
            <w:shd w:val="clear" w:color="auto" w:fill="FBBC04"/>
            <w:tcMar>
              <w:top w:w="0" w:type="dxa"/>
              <w:left w:w="40" w:type="dxa"/>
              <w:bottom w:w="0" w:type="dxa"/>
              <w:right w:w="40" w:type="dxa"/>
            </w:tcMar>
            <w:vAlign w:val="bottom"/>
          </w:tcPr>
          <w:p w14:paraId="7019E7DF" w14:textId="77777777" w:rsidR="00410BA5" w:rsidRPr="0020339D" w:rsidRDefault="00C55C36">
            <w:pPr>
              <w:widowControl w:val="0"/>
              <w:spacing w:before="0" w:after="0" w:line="276" w:lineRule="auto"/>
              <w:jc w:val="center"/>
              <w:rPr>
                <w:rFonts w:ascii="Arial" w:eastAsia="Arial" w:hAnsi="Arial" w:cs="Arial"/>
                <w:sz w:val="20"/>
                <w:szCs w:val="20"/>
                <w:lang w:val="en-GB"/>
              </w:rPr>
            </w:pPr>
            <w:r w:rsidRPr="0020339D">
              <w:rPr>
                <w:b/>
                <w:lang w:val="en-GB"/>
              </w:rPr>
              <w:t>2020</w:t>
            </w:r>
          </w:p>
        </w:tc>
        <w:tc>
          <w:tcPr>
            <w:tcW w:w="509" w:type="pct"/>
            <w:tcBorders>
              <w:top w:val="single" w:sz="6" w:space="0" w:color="CCCCCC"/>
              <w:left w:val="single" w:sz="6" w:space="0" w:color="CCCCCC"/>
              <w:bottom w:val="single" w:sz="6" w:space="0" w:color="000000"/>
              <w:right w:val="single" w:sz="6" w:space="0" w:color="000000"/>
            </w:tcBorders>
            <w:shd w:val="clear" w:color="auto" w:fill="FBBC04"/>
            <w:tcMar>
              <w:top w:w="0" w:type="dxa"/>
              <w:left w:w="40" w:type="dxa"/>
              <w:bottom w:w="0" w:type="dxa"/>
              <w:right w:w="40" w:type="dxa"/>
            </w:tcMar>
            <w:vAlign w:val="bottom"/>
          </w:tcPr>
          <w:p w14:paraId="2CE15A90" w14:textId="77777777" w:rsidR="00410BA5" w:rsidRPr="0020339D" w:rsidRDefault="00C55C36">
            <w:pPr>
              <w:widowControl w:val="0"/>
              <w:spacing w:before="0" w:after="0" w:line="276" w:lineRule="auto"/>
              <w:jc w:val="center"/>
              <w:rPr>
                <w:rFonts w:ascii="Arial" w:eastAsia="Arial" w:hAnsi="Arial" w:cs="Arial"/>
                <w:sz w:val="20"/>
                <w:szCs w:val="20"/>
                <w:lang w:val="en-GB"/>
              </w:rPr>
            </w:pPr>
            <w:r w:rsidRPr="0020339D">
              <w:rPr>
                <w:b/>
                <w:lang w:val="en-GB"/>
              </w:rPr>
              <w:t>2019</w:t>
            </w:r>
          </w:p>
        </w:tc>
        <w:tc>
          <w:tcPr>
            <w:tcW w:w="1604" w:type="pct"/>
            <w:tcBorders>
              <w:top w:val="single" w:sz="6" w:space="0" w:color="CCCCCC"/>
              <w:left w:val="single" w:sz="6" w:space="0" w:color="CCCCCC"/>
              <w:bottom w:val="single" w:sz="6" w:space="0" w:color="000000"/>
              <w:right w:val="single" w:sz="6" w:space="0" w:color="000000"/>
            </w:tcBorders>
            <w:shd w:val="clear" w:color="auto" w:fill="FBBC04"/>
            <w:tcMar>
              <w:top w:w="0" w:type="dxa"/>
              <w:left w:w="40" w:type="dxa"/>
              <w:bottom w:w="0" w:type="dxa"/>
              <w:right w:w="40" w:type="dxa"/>
            </w:tcMar>
            <w:vAlign w:val="bottom"/>
          </w:tcPr>
          <w:p w14:paraId="5C5C063A" w14:textId="77777777" w:rsidR="00410BA5" w:rsidRPr="0020339D" w:rsidRDefault="00C55C36">
            <w:pPr>
              <w:widowControl w:val="0"/>
              <w:spacing w:before="0" w:after="0" w:line="276" w:lineRule="auto"/>
              <w:jc w:val="center"/>
              <w:rPr>
                <w:rFonts w:ascii="Arial" w:eastAsia="Arial" w:hAnsi="Arial" w:cs="Arial"/>
                <w:sz w:val="20"/>
                <w:szCs w:val="20"/>
                <w:lang w:val="en-GB"/>
              </w:rPr>
            </w:pPr>
            <w:r w:rsidRPr="0020339D">
              <w:rPr>
                <w:b/>
                <w:lang w:val="en-GB"/>
              </w:rPr>
              <w:t>Formulas</w:t>
            </w:r>
          </w:p>
        </w:tc>
      </w:tr>
      <w:tr w:rsidR="00410BA5" w:rsidRPr="0020339D" w14:paraId="37AF8A78" w14:textId="77777777" w:rsidTr="00FA6877">
        <w:trPr>
          <w:trHeight w:val="300"/>
        </w:trPr>
        <w:tc>
          <w:tcPr>
            <w:tcW w:w="1347" w:type="pct"/>
            <w:tcBorders>
              <w:top w:val="single" w:sz="6" w:space="0" w:color="CCCCCC"/>
              <w:left w:val="single" w:sz="6" w:space="0" w:color="000000"/>
              <w:bottom w:val="single" w:sz="6" w:space="0" w:color="000000"/>
              <w:right w:val="single" w:sz="6" w:space="0" w:color="000000"/>
            </w:tcBorders>
            <w:shd w:val="clear" w:color="auto" w:fill="FBD4B4" w:themeFill="accent6" w:themeFillTint="66"/>
            <w:tcMar>
              <w:top w:w="0" w:type="dxa"/>
              <w:left w:w="40" w:type="dxa"/>
              <w:bottom w:w="0" w:type="dxa"/>
              <w:right w:w="40" w:type="dxa"/>
            </w:tcMar>
            <w:vAlign w:val="bottom"/>
          </w:tcPr>
          <w:p w14:paraId="12D47854" w14:textId="77777777" w:rsidR="00410BA5" w:rsidRPr="0020339D" w:rsidRDefault="00C55C36">
            <w:pPr>
              <w:widowControl w:val="0"/>
              <w:spacing w:before="0" w:after="0" w:line="276" w:lineRule="auto"/>
              <w:jc w:val="center"/>
              <w:rPr>
                <w:rFonts w:ascii="Arial" w:eastAsia="Arial" w:hAnsi="Arial" w:cs="Arial"/>
                <w:sz w:val="20"/>
                <w:szCs w:val="20"/>
                <w:lang w:val="en-GB"/>
              </w:rPr>
            </w:pPr>
            <w:r w:rsidRPr="0020339D">
              <w:rPr>
                <w:b/>
                <w:lang w:val="en-GB"/>
              </w:rPr>
              <w:t>Current Ratio</w:t>
            </w:r>
          </w:p>
        </w:tc>
        <w:tc>
          <w:tcPr>
            <w:tcW w:w="385" w:type="pct"/>
            <w:tcBorders>
              <w:top w:val="single" w:sz="6" w:space="0" w:color="CCCCCC"/>
              <w:left w:val="single" w:sz="6" w:space="0" w:color="CCCCCC"/>
              <w:bottom w:val="single" w:sz="6" w:space="0" w:color="000000"/>
              <w:right w:val="single" w:sz="6" w:space="0" w:color="000000"/>
            </w:tcBorders>
            <w:shd w:val="clear" w:color="auto" w:fill="FBD4B4" w:themeFill="accent6" w:themeFillTint="66"/>
            <w:tcMar>
              <w:top w:w="0" w:type="dxa"/>
              <w:left w:w="40" w:type="dxa"/>
              <w:bottom w:w="0" w:type="dxa"/>
              <w:right w:w="40" w:type="dxa"/>
            </w:tcMar>
            <w:vAlign w:val="bottom"/>
          </w:tcPr>
          <w:p w14:paraId="7C18EE34" w14:textId="77777777" w:rsidR="00410BA5" w:rsidRPr="0020339D" w:rsidRDefault="00C55C36">
            <w:pPr>
              <w:widowControl w:val="0"/>
              <w:spacing w:before="0" w:after="0" w:line="276" w:lineRule="auto"/>
              <w:jc w:val="center"/>
              <w:rPr>
                <w:rFonts w:ascii="Arial" w:eastAsia="Arial" w:hAnsi="Arial" w:cs="Arial"/>
                <w:sz w:val="20"/>
                <w:szCs w:val="20"/>
                <w:lang w:val="en-GB"/>
              </w:rPr>
            </w:pPr>
            <w:r w:rsidRPr="0020339D">
              <w:rPr>
                <w:lang w:val="en-GB"/>
              </w:rPr>
              <w:t>1.16</w:t>
            </w:r>
          </w:p>
        </w:tc>
        <w:tc>
          <w:tcPr>
            <w:tcW w:w="385" w:type="pct"/>
            <w:tcBorders>
              <w:top w:val="single" w:sz="6" w:space="0" w:color="CCCCCC"/>
              <w:left w:val="single" w:sz="6" w:space="0" w:color="CCCCCC"/>
              <w:bottom w:val="single" w:sz="6" w:space="0" w:color="000000"/>
              <w:right w:val="single" w:sz="6" w:space="0" w:color="000000"/>
            </w:tcBorders>
            <w:shd w:val="clear" w:color="auto" w:fill="FBD4B4" w:themeFill="accent6" w:themeFillTint="66"/>
            <w:tcMar>
              <w:top w:w="0" w:type="dxa"/>
              <w:left w:w="40" w:type="dxa"/>
              <w:bottom w:w="0" w:type="dxa"/>
              <w:right w:w="40" w:type="dxa"/>
            </w:tcMar>
            <w:vAlign w:val="bottom"/>
          </w:tcPr>
          <w:p w14:paraId="637729DD" w14:textId="77777777" w:rsidR="00410BA5" w:rsidRPr="0020339D" w:rsidRDefault="00C55C36">
            <w:pPr>
              <w:widowControl w:val="0"/>
              <w:spacing w:before="0" w:after="0" w:line="276" w:lineRule="auto"/>
              <w:jc w:val="center"/>
              <w:rPr>
                <w:rFonts w:ascii="Arial" w:eastAsia="Arial" w:hAnsi="Arial" w:cs="Arial"/>
                <w:sz w:val="20"/>
                <w:szCs w:val="20"/>
                <w:lang w:val="en-GB"/>
              </w:rPr>
            </w:pPr>
            <w:r w:rsidRPr="0020339D">
              <w:rPr>
                <w:lang w:val="en-GB"/>
              </w:rPr>
              <w:t>0.99</w:t>
            </w:r>
          </w:p>
        </w:tc>
        <w:tc>
          <w:tcPr>
            <w:tcW w:w="385" w:type="pct"/>
            <w:tcBorders>
              <w:top w:val="single" w:sz="6" w:space="0" w:color="CCCCCC"/>
              <w:left w:val="single" w:sz="6" w:space="0" w:color="CCCCCC"/>
              <w:bottom w:val="single" w:sz="6" w:space="0" w:color="000000"/>
              <w:right w:val="single" w:sz="6" w:space="0" w:color="000000"/>
            </w:tcBorders>
            <w:shd w:val="clear" w:color="auto" w:fill="FBD4B4" w:themeFill="accent6" w:themeFillTint="66"/>
            <w:tcMar>
              <w:top w:w="0" w:type="dxa"/>
              <w:left w:w="40" w:type="dxa"/>
              <w:bottom w:w="0" w:type="dxa"/>
              <w:right w:w="40" w:type="dxa"/>
            </w:tcMar>
            <w:vAlign w:val="bottom"/>
          </w:tcPr>
          <w:p w14:paraId="6D8DEF8E" w14:textId="77777777" w:rsidR="00410BA5" w:rsidRPr="0020339D" w:rsidRDefault="00C55C36">
            <w:pPr>
              <w:widowControl w:val="0"/>
              <w:spacing w:before="0" w:after="0" w:line="276" w:lineRule="auto"/>
              <w:jc w:val="center"/>
              <w:rPr>
                <w:rFonts w:ascii="Arial" w:eastAsia="Arial" w:hAnsi="Arial" w:cs="Arial"/>
                <w:sz w:val="20"/>
                <w:szCs w:val="20"/>
                <w:lang w:val="en-GB"/>
              </w:rPr>
            </w:pPr>
            <w:r w:rsidRPr="0020339D">
              <w:rPr>
                <w:lang w:val="en-GB"/>
              </w:rPr>
              <w:t>1.35</w:t>
            </w:r>
          </w:p>
        </w:tc>
        <w:tc>
          <w:tcPr>
            <w:tcW w:w="385" w:type="pct"/>
            <w:tcBorders>
              <w:top w:val="single" w:sz="6" w:space="0" w:color="CCCCCC"/>
              <w:left w:val="single" w:sz="6" w:space="0" w:color="CCCCCC"/>
              <w:bottom w:val="single" w:sz="6" w:space="0" w:color="000000"/>
              <w:right w:val="single" w:sz="6" w:space="0" w:color="000000"/>
            </w:tcBorders>
            <w:shd w:val="clear" w:color="auto" w:fill="FBD4B4" w:themeFill="accent6" w:themeFillTint="66"/>
            <w:tcMar>
              <w:top w:w="0" w:type="dxa"/>
              <w:left w:w="40" w:type="dxa"/>
              <w:bottom w:w="0" w:type="dxa"/>
              <w:right w:w="40" w:type="dxa"/>
            </w:tcMar>
            <w:vAlign w:val="bottom"/>
          </w:tcPr>
          <w:p w14:paraId="792C067B" w14:textId="77777777" w:rsidR="00410BA5" w:rsidRPr="0020339D" w:rsidRDefault="00C55C36">
            <w:pPr>
              <w:widowControl w:val="0"/>
              <w:spacing w:before="0" w:after="0" w:line="276" w:lineRule="auto"/>
              <w:jc w:val="center"/>
              <w:rPr>
                <w:rFonts w:ascii="Arial" w:eastAsia="Arial" w:hAnsi="Arial" w:cs="Arial"/>
                <w:sz w:val="20"/>
                <w:szCs w:val="20"/>
                <w:lang w:val="en-GB"/>
              </w:rPr>
            </w:pPr>
            <w:r w:rsidRPr="0020339D">
              <w:rPr>
                <w:lang w:val="en-GB"/>
              </w:rPr>
              <w:t>1.21</w:t>
            </w:r>
          </w:p>
        </w:tc>
        <w:tc>
          <w:tcPr>
            <w:tcW w:w="509" w:type="pct"/>
            <w:tcBorders>
              <w:top w:val="single" w:sz="6" w:space="0" w:color="CCCCCC"/>
              <w:left w:val="single" w:sz="6" w:space="0" w:color="CCCCCC"/>
              <w:bottom w:val="single" w:sz="6" w:space="0" w:color="000000"/>
              <w:right w:val="single" w:sz="6" w:space="0" w:color="000000"/>
            </w:tcBorders>
            <w:shd w:val="clear" w:color="auto" w:fill="FBD4B4" w:themeFill="accent6" w:themeFillTint="66"/>
            <w:tcMar>
              <w:top w:w="0" w:type="dxa"/>
              <w:left w:w="40" w:type="dxa"/>
              <w:bottom w:w="0" w:type="dxa"/>
              <w:right w:w="40" w:type="dxa"/>
            </w:tcMar>
            <w:vAlign w:val="bottom"/>
          </w:tcPr>
          <w:p w14:paraId="29018C1B" w14:textId="77777777" w:rsidR="00410BA5" w:rsidRPr="0020339D" w:rsidRDefault="00C55C36">
            <w:pPr>
              <w:widowControl w:val="0"/>
              <w:spacing w:before="0" w:after="0" w:line="276" w:lineRule="auto"/>
              <w:jc w:val="center"/>
              <w:rPr>
                <w:rFonts w:ascii="Arial" w:eastAsia="Arial" w:hAnsi="Arial" w:cs="Arial"/>
                <w:sz w:val="20"/>
                <w:szCs w:val="20"/>
                <w:lang w:val="en-GB"/>
              </w:rPr>
            </w:pPr>
            <w:r w:rsidRPr="0020339D">
              <w:rPr>
                <w:lang w:val="en-GB"/>
              </w:rPr>
              <w:t>1.26</w:t>
            </w:r>
          </w:p>
        </w:tc>
        <w:tc>
          <w:tcPr>
            <w:tcW w:w="1604" w:type="pct"/>
            <w:tcBorders>
              <w:top w:val="single" w:sz="6" w:space="0" w:color="CCCCCC"/>
              <w:left w:val="single" w:sz="6" w:space="0" w:color="CCCCCC"/>
              <w:bottom w:val="single" w:sz="6" w:space="0" w:color="000000"/>
              <w:right w:val="single" w:sz="6" w:space="0" w:color="000000"/>
            </w:tcBorders>
            <w:shd w:val="clear" w:color="auto" w:fill="FBD4B4" w:themeFill="accent6" w:themeFillTint="66"/>
            <w:tcMar>
              <w:top w:w="0" w:type="dxa"/>
              <w:left w:w="40" w:type="dxa"/>
              <w:bottom w:w="0" w:type="dxa"/>
              <w:right w:w="40" w:type="dxa"/>
            </w:tcMar>
            <w:vAlign w:val="bottom"/>
          </w:tcPr>
          <w:p w14:paraId="3B689F2E" w14:textId="77777777" w:rsidR="00410BA5" w:rsidRPr="0020339D" w:rsidRDefault="00C55C36">
            <w:pPr>
              <w:widowControl w:val="0"/>
              <w:spacing w:before="0" w:after="0" w:line="276" w:lineRule="auto"/>
              <w:jc w:val="center"/>
              <w:rPr>
                <w:rFonts w:ascii="Arial" w:eastAsia="Arial" w:hAnsi="Arial" w:cs="Arial"/>
                <w:sz w:val="20"/>
                <w:szCs w:val="20"/>
                <w:lang w:val="en-GB"/>
              </w:rPr>
            </w:pPr>
            <w:r w:rsidRPr="0020339D">
              <w:rPr>
                <w:lang w:val="en-GB"/>
              </w:rPr>
              <w:t>“Current Assets/Current Liabilities”</w:t>
            </w:r>
          </w:p>
        </w:tc>
      </w:tr>
      <w:tr w:rsidR="00410BA5" w:rsidRPr="0020339D" w14:paraId="6DCD1256" w14:textId="77777777" w:rsidTr="00FA6877">
        <w:trPr>
          <w:trHeight w:val="300"/>
        </w:trPr>
        <w:tc>
          <w:tcPr>
            <w:tcW w:w="1347" w:type="pct"/>
            <w:tcBorders>
              <w:top w:val="single" w:sz="6" w:space="0" w:color="CCCCCC"/>
              <w:left w:val="single" w:sz="6" w:space="0" w:color="000000"/>
              <w:bottom w:val="single" w:sz="6" w:space="0" w:color="000000"/>
              <w:right w:val="single" w:sz="6" w:space="0" w:color="000000"/>
            </w:tcBorders>
            <w:shd w:val="clear" w:color="auto" w:fill="FBD4B4" w:themeFill="accent6" w:themeFillTint="66"/>
            <w:tcMar>
              <w:top w:w="0" w:type="dxa"/>
              <w:left w:w="40" w:type="dxa"/>
              <w:bottom w:w="0" w:type="dxa"/>
              <w:right w:w="40" w:type="dxa"/>
            </w:tcMar>
            <w:vAlign w:val="bottom"/>
          </w:tcPr>
          <w:p w14:paraId="645FE081" w14:textId="77777777" w:rsidR="00410BA5" w:rsidRPr="0020339D" w:rsidRDefault="00C55C36">
            <w:pPr>
              <w:widowControl w:val="0"/>
              <w:spacing w:before="0" w:after="0" w:line="276" w:lineRule="auto"/>
              <w:jc w:val="center"/>
              <w:rPr>
                <w:rFonts w:ascii="Arial" w:eastAsia="Arial" w:hAnsi="Arial" w:cs="Arial"/>
                <w:sz w:val="20"/>
                <w:szCs w:val="20"/>
                <w:lang w:val="en-GB"/>
              </w:rPr>
            </w:pPr>
            <w:r w:rsidRPr="0020339D">
              <w:rPr>
                <w:b/>
                <w:lang w:val="en-GB"/>
              </w:rPr>
              <w:t>Quick Ratio (or Acid Test Ratio)</w:t>
            </w:r>
          </w:p>
        </w:tc>
        <w:tc>
          <w:tcPr>
            <w:tcW w:w="385" w:type="pct"/>
            <w:tcBorders>
              <w:top w:val="single" w:sz="6" w:space="0" w:color="CCCCCC"/>
              <w:left w:val="single" w:sz="6" w:space="0" w:color="CCCCCC"/>
              <w:bottom w:val="single" w:sz="6" w:space="0" w:color="000000"/>
              <w:right w:val="single" w:sz="6" w:space="0" w:color="000000"/>
            </w:tcBorders>
            <w:shd w:val="clear" w:color="auto" w:fill="FBD4B4" w:themeFill="accent6" w:themeFillTint="66"/>
            <w:tcMar>
              <w:top w:w="0" w:type="dxa"/>
              <w:left w:w="40" w:type="dxa"/>
              <w:bottom w:w="0" w:type="dxa"/>
              <w:right w:w="40" w:type="dxa"/>
            </w:tcMar>
            <w:vAlign w:val="bottom"/>
          </w:tcPr>
          <w:p w14:paraId="4D349692" w14:textId="77777777" w:rsidR="00410BA5" w:rsidRPr="0020339D" w:rsidRDefault="00C55C36">
            <w:pPr>
              <w:widowControl w:val="0"/>
              <w:spacing w:before="0" w:after="0" w:line="276" w:lineRule="auto"/>
              <w:jc w:val="center"/>
              <w:rPr>
                <w:rFonts w:ascii="Arial" w:eastAsia="Arial" w:hAnsi="Arial" w:cs="Arial"/>
                <w:sz w:val="20"/>
                <w:szCs w:val="20"/>
                <w:lang w:val="en-GB"/>
              </w:rPr>
            </w:pPr>
            <w:r w:rsidRPr="0020339D">
              <w:rPr>
                <w:lang w:val="en-GB"/>
              </w:rPr>
              <w:t>0.91</w:t>
            </w:r>
          </w:p>
        </w:tc>
        <w:tc>
          <w:tcPr>
            <w:tcW w:w="385" w:type="pct"/>
            <w:tcBorders>
              <w:top w:val="single" w:sz="6" w:space="0" w:color="CCCCCC"/>
              <w:left w:val="single" w:sz="6" w:space="0" w:color="CCCCCC"/>
              <w:bottom w:val="single" w:sz="6" w:space="0" w:color="000000"/>
              <w:right w:val="single" w:sz="6" w:space="0" w:color="000000"/>
            </w:tcBorders>
            <w:shd w:val="clear" w:color="auto" w:fill="FBD4B4" w:themeFill="accent6" w:themeFillTint="66"/>
            <w:tcMar>
              <w:top w:w="0" w:type="dxa"/>
              <w:left w:w="40" w:type="dxa"/>
              <w:bottom w:w="0" w:type="dxa"/>
              <w:right w:w="40" w:type="dxa"/>
            </w:tcMar>
            <w:vAlign w:val="bottom"/>
          </w:tcPr>
          <w:p w14:paraId="7581337B" w14:textId="77777777" w:rsidR="00410BA5" w:rsidRPr="0020339D" w:rsidRDefault="00C55C36">
            <w:pPr>
              <w:widowControl w:val="0"/>
              <w:spacing w:before="0" w:after="0" w:line="276" w:lineRule="auto"/>
              <w:jc w:val="center"/>
              <w:rPr>
                <w:rFonts w:ascii="Arial" w:eastAsia="Arial" w:hAnsi="Arial" w:cs="Arial"/>
                <w:sz w:val="20"/>
                <w:szCs w:val="20"/>
                <w:lang w:val="en-GB"/>
              </w:rPr>
            </w:pPr>
            <w:r w:rsidRPr="0020339D">
              <w:rPr>
                <w:lang w:val="en-GB"/>
              </w:rPr>
              <w:t>0.77</w:t>
            </w:r>
          </w:p>
        </w:tc>
        <w:tc>
          <w:tcPr>
            <w:tcW w:w="385" w:type="pct"/>
            <w:tcBorders>
              <w:top w:val="single" w:sz="6" w:space="0" w:color="CCCCCC"/>
              <w:left w:val="single" w:sz="6" w:space="0" w:color="CCCCCC"/>
              <w:bottom w:val="single" w:sz="6" w:space="0" w:color="000000"/>
              <w:right w:val="single" w:sz="6" w:space="0" w:color="000000"/>
            </w:tcBorders>
            <w:shd w:val="clear" w:color="auto" w:fill="FBD4B4" w:themeFill="accent6" w:themeFillTint="66"/>
            <w:tcMar>
              <w:top w:w="0" w:type="dxa"/>
              <w:left w:w="40" w:type="dxa"/>
              <w:bottom w:w="0" w:type="dxa"/>
              <w:right w:w="40" w:type="dxa"/>
            </w:tcMar>
            <w:vAlign w:val="bottom"/>
          </w:tcPr>
          <w:p w14:paraId="78A0EAB8" w14:textId="77777777" w:rsidR="00410BA5" w:rsidRPr="0020339D" w:rsidRDefault="00C55C36">
            <w:pPr>
              <w:widowControl w:val="0"/>
              <w:spacing w:before="0" w:after="0" w:line="276" w:lineRule="auto"/>
              <w:jc w:val="center"/>
              <w:rPr>
                <w:rFonts w:ascii="Arial" w:eastAsia="Arial" w:hAnsi="Arial" w:cs="Arial"/>
                <w:sz w:val="20"/>
                <w:szCs w:val="20"/>
                <w:lang w:val="en-GB"/>
              </w:rPr>
            </w:pPr>
            <w:r w:rsidRPr="0020339D">
              <w:rPr>
                <w:lang w:val="en-GB"/>
              </w:rPr>
              <w:t>1.12</w:t>
            </w:r>
          </w:p>
        </w:tc>
        <w:tc>
          <w:tcPr>
            <w:tcW w:w="385" w:type="pct"/>
            <w:tcBorders>
              <w:top w:val="single" w:sz="6" w:space="0" w:color="CCCCCC"/>
              <w:left w:val="single" w:sz="6" w:space="0" w:color="CCCCCC"/>
              <w:bottom w:val="single" w:sz="6" w:space="0" w:color="000000"/>
              <w:right w:val="single" w:sz="6" w:space="0" w:color="000000"/>
            </w:tcBorders>
            <w:shd w:val="clear" w:color="auto" w:fill="FBD4B4" w:themeFill="accent6" w:themeFillTint="66"/>
            <w:tcMar>
              <w:top w:w="0" w:type="dxa"/>
              <w:left w:w="40" w:type="dxa"/>
              <w:bottom w:w="0" w:type="dxa"/>
              <w:right w:w="40" w:type="dxa"/>
            </w:tcMar>
            <w:vAlign w:val="bottom"/>
          </w:tcPr>
          <w:p w14:paraId="50598A8E" w14:textId="77777777" w:rsidR="00410BA5" w:rsidRPr="0020339D" w:rsidRDefault="00C55C36">
            <w:pPr>
              <w:widowControl w:val="0"/>
              <w:spacing w:before="0" w:after="0" w:line="276" w:lineRule="auto"/>
              <w:jc w:val="center"/>
              <w:rPr>
                <w:rFonts w:ascii="Arial" w:eastAsia="Arial" w:hAnsi="Arial" w:cs="Arial"/>
                <w:sz w:val="20"/>
                <w:szCs w:val="20"/>
                <w:lang w:val="en-GB"/>
              </w:rPr>
            </w:pPr>
            <w:r w:rsidRPr="0020339D">
              <w:rPr>
                <w:lang w:val="en-GB"/>
              </w:rPr>
              <w:t>0.99</w:t>
            </w:r>
          </w:p>
        </w:tc>
        <w:tc>
          <w:tcPr>
            <w:tcW w:w="509" w:type="pct"/>
            <w:tcBorders>
              <w:top w:val="single" w:sz="6" w:space="0" w:color="CCCCCC"/>
              <w:left w:val="single" w:sz="6" w:space="0" w:color="CCCCCC"/>
              <w:bottom w:val="single" w:sz="6" w:space="0" w:color="000000"/>
              <w:right w:val="single" w:sz="6" w:space="0" w:color="000000"/>
            </w:tcBorders>
            <w:shd w:val="clear" w:color="auto" w:fill="FBD4B4" w:themeFill="accent6" w:themeFillTint="66"/>
            <w:tcMar>
              <w:top w:w="0" w:type="dxa"/>
              <w:left w:w="40" w:type="dxa"/>
              <w:bottom w:w="0" w:type="dxa"/>
              <w:right w:w="40" w:type="dxa"/>
            </w:tcMar>
            <w:vAlign w:val="bottom"/>
          </w:tcPr>
          <w:p w14:paraId="16255137" w14:textId="77777777" w:rsidR="00410BA5" w:rsidRPr="0020339D" w:rsidRDefault="00C55C36">
            <w:pPr>
              <w:widowControl w:val="0"/>
              <w:spacing w:before="0" w:after="0" w:line="276" w:lineRule="auto"/>
              <w:jc w:val="center"/>
              <w:rPr>
                <w:rFonts w:ascii="Arial" w:eastAsia="Arial" w:hAnsi="Arial" w:cs="Arial"/>
                <w:sz w:val="20"/>
                <w:szCs w:val="20"/>
                <w:lang w:val="en-GB"/>
              </w:rPr>
            </w:pPr>
            <w:r w:rsidRPr="0020339D">
              <w:rPr>
                <w:lang w:val="en-GB"/>
              </w:rPr>
              <w:t>1.01</w:t>
            </w:r>
          </w:p>
        </w:tc>
        <w:tc>
          <w:tcPr>
            <w:tcW w:w="1604" w:type="pct"/>
            <w:tcBorders>
              <w:top w:val="single" w:sz="6" w:space="0" w:color="CCCCCC"/>
              <w:left w:val="single" w:sz="6" w:space="0" w:color="CCCCCC"/>
              <w:bottom w:val="single" w:sz="6" w:space="0" w:color="000000"/>
              <w:right w:val="single" w:sz="6" w:space="0" w:color="000000"/>
            </w:tcBorders>
            <w:shd w:val="clear" w:color="auto" w:fill="FBD4B4" w:themeFill="accent6" w:themeFillTint="66"/>
            <w:tcMar>
              <w:top w:w="0" w:type="dxa"/>
              <w:left w:w="40" w:type="dxa"/>
              <w:bottom w:w="0" w:type="dxa"/>
              <w:right w:w="40" w:type="dxa"/>
            </w:tcMar>
            <w:vAlign w:val="bottom"/>
          </w:tcPr>
          <w:p w14:paraId="30A9667A" w14:textId="77777777" w:rsidR="00410BA5" w:rsidRPr="0020339D" w:rsidRDefault="00C55C36">
            <w:pPr>
              <w:widowControl w:val="0"/>
              <w:spacing w:before="0" w:after="0" w:line="276" w:lineRule="auto"/>
              <w:jc w:val="center"/>
              <w:rPr>
                <w:rFonts w:ascii="Arial" w:eastAsia="Arial" w:hAnsi="Arial" w:cs="Arial"/>
                <w:sz w:val="20"/>
                <w:szCs w:val="20"/>
                <w:lang w:val="en-GB"/>
              </w:rPr>
            </w:pPr>
            <w:r w:rsidRPr="0020339D">
              <w:rPr>
                <w:lang w:val="en-GB"/>
              </w:rPr>
              <w:t>“(Current Assets-Inventories)/Current Liabilities”</w:t>
            </w:r>
          </w:p>
        </w:tc>
      </w:tr>
      <w:tr w:rsidR="00410BA5" w:rsidRPr="0020339D" w14:paraId="28390F79" w14:textId="77777777" w:rsidTr="00FA6877">
        <w:trPr>
          <w:trHeight w:val="300"/>
        </w:trPr>
        <w:tc>
          <w:tcPr>
            <w:tcW w:w="1347" w:type="pct"/>
            <w:tcBorders>
              <w:top w:val="single" w:sz="6" w:space="0" w:color="CCCCCC"/>
              <w:left w:val="single" w:sz="6" w:space="0" w:color="000000"/>
              <w:bottom w:val="single" w:sz="6" w:space="0" w:color="000000"/>
              <w:right w:val="single" w:sz="6" w:space="0" w:color="000000"/>
            </w:tcBorders>
            <w:shd w:val="clear" w:color="auto" w:fill="FBD4B4" w:themeFill="accent6" w:themeFillTint="66"/>
            <w:tcMar>
              <w:top w:w="0" w:type="dxa"/>
              <w:left w:w="40" w:type="dxa"/>
              <w:bottom w:w="0" w:type="dxa"/>
              <w:right w:w="40" w:type="dxa"/>
            </w:tcMar>
            <w:vAlign w:val="bottom"/>
          </w:tcPr>
          <w:p w14:paraId="6F455A09" w14:textId="77777777" w:rsidR="00410BA5" w:rsidRPr="0020339D" w:rsidRDefault="00C55C36">
            <w:pPr>
              <w:widowControl w:val="0"/>
              <w:spacing w:before="0" w:after="0" w:line="276" w:lineRule="auto"/>
              <w:jc w:val="center"/>
              <w:rPr>
                <w:rFonts w:ascii="Arial" w:eastAsia="Arial" w:hAnsi="Arial" w:cs="Arial"/>
                <w:sz w:val="20"/>
                <w:szCs w:val="20"/>
                <w:lang w:val="en-GB"/>
              </w:rPr>
            </w:pPr>
            <w:r w:rsidRPr="0020339D">
              <w:rPr>
                <w:b/>
                <w:lang w:val="en-GB"/>
              </w:rPr>
              <w:t>Cash Ratio</w:t>
            </w:r>
          </w:p>
        </w:tc>
        <w:tc>
          <w:tcPr>
            <w:tcW w:w="385" w:type="pct"/>
            <w:tcBorders>
              <w:top w:val="single" w:sz="6" w:space="0" w:color="CCCCCC"/>
              <w:left w:val="single" w:sz="6" w:space="0" w:color="CCCCCC"/>
              <w:bottom w:val="single" w:sz="6" w:space="0" w:color="000000"/>
              <w:right w:val="single" w:sz="6" w:space="0" w:color="000000"/>
            </w:tcBorders>
            <w:shd w:val="clear" w:color="auto" w:fill="FBD4B4" w:themeFill="accent6" w:themeFillTint="66"/>
            <w:tcMar>
              <w:top w:w="0" w:type="dxa"/>
              <w:left w:w="40" w:type="dxa"/>
              <w:bottom w:w="0" w:type="dxa"/>
              <w:right w:w="40" w:type="dxa"/>
            </w:tcMar>
            <w:vAlign w:val="bottom"/>
          </w:tcPr>
          <w:p w14:paraId="529C0195" w14:textId="77777777" w:rsidR="00410BA5" w:rsidRPr="0020339D" w:rsidRDefault="00C55C36">
            <w:pPr>
              <w:widowControl w:val="0"/>
              <w:spacing w:before="0" w:after="0" w:line="276" w:lineRule="auto"/>
              <w:jc w:val="center"/>
              <w:rPr>
                <w:rFonts w:ascii="Arial" w:eastAsia="Arial" w:hAnsi="Arial" w:cs="Arial"/>
                <w:sz w:val="20"/>
                <w:szCs w:val="20"/>
                <w:lang w:val="en-GB"/>
              </w:rPr>
            </w:pPr>
            <w:r w:rsidRPr="0020339D">
              <w:rPr>
                <w:lang w:val="en-GB"/>
              </w:rPr>
              <w:t>0.47</w:t>
            </w:r>
          </w:p>
        </w:tc>
        <w:tc>
          <w:tcPr>
            <w:tcW w:w="385" w:type="pct"/>
            <w:tcBorders>
              <w:top w:val="single" w:sz="6" w:space="0" w:color="CCCCCC"/>
              <w:left w:val="single" w:sz="6" w:space="0" w:color="CCCCCC"/>
              <w:bottom w:val="single" w:sz="6" w:space="0" w:color="000000"/>
              <w:right w:val="single" w:sz="6" w:space="0" w:color="000000"/>
            </w:tcBorders>
            <w:shd w:val="clear" w:color="auto" w:fill="FBD4B4" w:themeFill="accent6" w:themeFillTint="66"/>
            <w:tcMar>
              <w:top w:w="0" w:type="dxa"/>
              <w:left w:w="40" w:type="dxa"/>
              <w:bottom w:w="0" w:type="dxa"/>
              <w:right w:w="40" w:type="dxa"/>
            </w:tcMar>
            <w:vAlign w:val="bottom"/>
          </w:tcPr>
          <w:p w14:paraId="45F583C6" w14:textId="77777777" w:rsidR="00410BA5" w:rsidRPr="0020339D" w:rsidRDefault="00C55C36">
            <w:pPr>
              <w:widowControl w:val="0"/>
              <w:spacing w:before="0" w:after="0" w:line="276" w:lineRule="auto"/>
              <w:jc w:val="center"/>
              <w:rPr>
                <w:rFonts w:ascii="Arial" w:eastAsia="Arial" w:hAnsi="Arial" w:cs="Arial"/>
                <w:sz w:val="20"/>
                <w:szCs w:val="20"/>
                <w:lang w:val="en-GB"/>
              </w:rPr>
            </w:pPr>
            <w:r w:rsidRPr="0020339D">
              <w:rPr>
                <w:lang w:val="en-GB"/>
              </w:rPr>
              <w:t>0.25</w:t>
            </w:r>
          </w:p>
        </w:tc>
        <w:tc>
          <w:tcPr>
            <w:tcW w:w="385" w:type="pct"/>
            <w:tcBorders>
              <w:top w:val="single" w:sz="6" w:space="0" w:color="CCCCCC"/>
              <w:left w:val="single" w:sz="6" w:space="0" w:color="CCCCCC"/>
              <w:bottom w:val="single" w:sz="6" w:space="0" w:color="000000"/>
              <w:right w:val="single" w:sz="6" w:space="0" w:color="000000"/>
            </w:tcBorders>
            <w:shd w:val="clear" w:color="auto" w:fill="FBD4B4" w:themeFill="accent6" w:themeFillTint="66"/>
            <w:tcMar>
              <w:top w:w="0" w:type="dxa"/>
              <w:left w:w="40" w:type="dxa"/>
              <w:bottom w:w="0" w:type="dxa"/>
              <w:right w:w="40" w:type="dxa"/>
            </w:tcMar>
            <w:vAlign w:val="bottom"/>
          </w:tcPr>
          <w:p w14:paraId="76CD2A2E" w14:textId="77777777" w:rsidR="00410BA5" w:rsidRPr="0020339D" w:rsidRDefault="00C55C36">
            <w:pPr>
              <w:widowControl w:val="0"/>
              <w:spacing w:before="0" w:after="0" w:line="276" w:lineRule="auto"/>
              <w:jc w:val="center"/>
              <w:rPr>
                <w:rFonts w:ascii="Arial" w:eastAsia="Arial" w:hAnsi="Arial" w:cs="Arial"/>
                <w:sz w:val="20"/>
                <w:szCs w:val="20"/>
                <w:lang w:val="en-GB"/>
              </w:rPr>
            </w:pPr>
            <w:r w:rsidRPr="0020339D">
              <w:rPr>
                <w:lang w:val="en-GB"/>
              </w:rPr>
              <w:t>0.32</w:t>
            </w:r>
          </w:p>
        </w:tc>
        <w:tc>
          <w:tcPr>
            <w:tcW w:w="385" w:type="pct"/>
            <w:tcBorders>
              <w:top w:val="single" w:sz="6" w:space="0" w:color="CCCCCC"/>
              <w:left w:val="single" w:sz="6" w:space="0" w:color="CCCCCC"/>
              <w:bottom w:val="single" w:sz="6" w:space="0" w:color="000000"/>
              <w:right w:val="single" w:sz="6" w:space="0" w:color="000000"/>
            </w:tcBorders>
            <w:shd w:val="clear" w:color="auto" w:fill="FBD4B4" w:themeFill="accent6" w:themeFillTint="66"/>
            <w:tcMar>
              <w:top w:w="0" w:type="dxa"/>
              <w:left w:w="40" w:type="dxa"/>
              <w:bottom w:w="0" w:type="dxa"/>
              <w:right w:w="40" w:type="dxa"/>
            </w:tcMar>
            <w:vAlign w:val="bottom"/>
          </w:tcPr>
          <w:p w14:paraId="37D80C17" w14:textId="77777777" w:rsidR="00410BA5" w:rsidRPr="0020339D" w:rsidRDefault="00C55C36">
            <w:pPr>
              <w:widowControl w:val="0"/>
              <w:spacing w:before="0" w:after="0" w:line="276" w:lineRule="auto"/>
              <w:jc w:val="center"/>
              <w:rPr>
                <w:rFonts w:ascii="Arial" w:eastAsia="Arial" w:hAnsi="Arial" w:cs="Arial"/>
                <w:sz w:val="20"/>
                <w:szCs w:val="20"/>
                <w:lang w:val="en-GB"/>
              </w:rPr>
            </w:pPr>
            <w:r w:rsidRPr="0020339D">
              <w:rPr>
                <w:lang w:val="en-GB"/>
              </w:rPr>
              <w:t>0.33</w:t>
            </w:r>
          </w:p>
        </w:tc>
        <w:tc>
          <w:tcPr>
            <w:tcW w:w="509" w:type="pct"/>
            <w:tcBorders>
              <w:top w:val="single" w:sz="6" w:space="0" w:color="CCCCCC"/>
              <w:left w:val="single" w:sz="6" w:space="0" w:color="CCCCCC"/>
              <w:bottom w:val="single" w:sz="6" w:space="0" w:color="000000"/>
              <w:right w:val="single" w:sz="6" w:space="0" w:color="000000"/>
            </w:tcBorders>
            <w:shd w:val="clear" w:color="auto" w:fill="FBD4B4" w:themeFill="accent6" w:themeFillTint="66"/>
            <w:tcMar>
              <w:top w:w="0" w:type="dxa"/>
              <w:left w:w="40" w:type="dxa"/>
              <w:bottom w:w="0" w:type="dxa"/>
              <w:right w:w="40" w:type="dxa"/>
            </w:tcMar>
            <w:vAlign w:val="bottom"/>
          </w:tcPr>
          <w:p w14:paraId="76549F0D" w14:textId="77777777" w:rsidR="00410BA5" w:rsidRPr="0020339D" w:rsidRDefault="00C55C36">
            <w:pPr>
              <w:widowControl w:val="0"/>
              <w:spacing w:before="0" w:after="0" w:line="276" w:lineRule="auto"/>
              <w:jc w:val="center"/>
              <w:rPr>
                <w:rFonts w:ascii="Arial" w:eastAsia="Arial" w:hAnsi="Arial" w:cs="Arial"/>
                <w:sz w:val="20"/>
                <w:szCs w:val="20"/>
                <w:lang w:val="en-GB"/>
              </w:rPr>
            </w:pPr>
            <w:r w:rsidRPr="0020339D">
              <w:rPr>
                <w:lang w:val="en-GB"/>
              </w:rPr>
              <w:t>0.48</w:t>
            </w:r>
          </w:p>
        </w:tc>
        <w:tc>
          <w:tcPr>
            <w:tcW w:w="1604" w:type="pct"/>
            <w:tcBorders>
              <w:top w:val="single" w:sz="6" w:space="0" w:color="CCCCCC"/>
              <w:left w:val="single" w:sz="6" w:space="0" w:color="CCCCCC"/>
              <w:bottom w:val="single" w:sz="6" w:space="0" w:color="000000"/>
              <w:right w:val="single" w:sz="6" w:space="0" w:color="000000"/>
            </w:tcBorders>
            <w:shd w:val="clear" w:color="auto" w:fill="FBD4B4" w:themeFill="accent6" w:themeFillTint="66"/>
            <w:tcMar>
              <w:top w:w="0" w:type="dxa"/>
              <w:left w:w="40" w:type="dxa"/>
              <w:bottom w:w="0" w:type="dxa"/>
              <w:right w:w="40" w:type="dxa"/>
            </w:tcMar>
            <w:vAlign w:val="bottom"/>
          </w:tcPr>
          <w:p w14:paraId="2766A79E" w14:textId="77777777" w:rsidR="00410BA5" w:rsidRPr="0020339D" w:rsidRDefault="00C55C36">
            <w:pPr>
              <w:widowControl w:val="0"/>
              <w:spacing w:before="0" w:after="0" w:line="276" w:lineRule="auto"/>
              <w:jc w:val="center"/>
              <w:rPr>
                <w:rFonts w:ascii="Arial" w:eastAsia="Arial" w:hAnsi="Arial" w:cs="Arial"/>
                <w:sz w:val="20"/>
                <w:szCs w:val="20"/>
                <w:lang w:val="en-GB"/>
              </w:rPr>
            </w:pPr>
            <w:r w:rsidRPr="0020339D">
              <w:rPr>
                <w:lang w:val="en-GB"/>
              </w:rPr>
              <w:t>“Cash/Current Liabilities”</w:t>
            </w:r>
          </w:p>
        </w:tc>
      </w:tr>
    </w:tbl>
    <w:p w14:paraId="30135BD7" w14:textId="77777777" w:rsidR="00410BA5" w:rsidRPr="0020339D" w:rsidRDefault="00C55C36">
      <w:pPr>
        <w:jc w:val="center"/>
        <w:rPr>
          <w:lang w:val="en-GB"/>
        </w:rPr>
      </w:pPr>
      <w:r w:rsidRPr="0020339D">
        <w:rPr>
          <w:b/>
          <w:lang w:val="en-GB"/>
        </w:rPr>
        <w:t xml:space="preserve">Table 2.2: Liquidity Ratios </w:t>
      </w:r>
    </w:p>
    <w:p w14:paraId="71B71A7F" w14:textId="77777777" w:rsidR="00410BA5" w:rsidRPr="0020339D" w:rsidRDefault="00C55C36">
      <w:pPr>
        <w:pStyle w:val="Heading3"/>
        <w:rPr>
          <w:lang w:val="en-GB"/>
        </w:rPr>
      </w:pPr>
      <w:bookmarkStart w:id="10" w:name="_Toc171804424"/>
      <w:r w:rsidRPr="0020339D">
        <w:rPr>
          <w:lang w:val="en-GB"/>
        </w:rPr>
        <w:t>Gearing Ratios (Leverage Ratios)</w:t>
      </w:r>
      <w:bookmarkEnd w:id="10"/>
    </w:p>
    <w:tbl>
      <w:tblPr>
        <w:tblStyle w:val="a1"/>
        <w:tblW w:w="9345" w:type="dxa"/>
        <w:tblBorders>
          <w:top w:val="nil"/>
          <w:left w:val="nil"/>
          <w:bottom w:val="nil"/>
          <w:right w:val="nil"/>
          <w:insideH w:val="nil"/>
          <w:insideV w:val="nil"/>
        </w:tblBorders>
        <w:tblLayout w:type="fixed"/>
        <w:tblLook w:val="0600" w:firstRow="0" w:lastRow="0" w:firstColumn="0" w:lastColumn="0" w:noHBand="1" w:noVBand="1"/>
      </w:tblPr>
      <w:tblGrid>
        <w:gridCol w:w="2325"/>
        <w:gridCol w:w="915"/>
        <w:gridCol w:w="720"/>
        <w:gridCol w:w="930"/>
        <w:gridCol w:w="735"/>
        <w:gridCol w:w="885"/>
        <w:gridCol w:w="2835"/>
      </w:tblGrid>
      <w:tr w:rsidR="00410BA5" w:rsidRPr="0020339D" w14:paraId="2438B318" w14:textId="77777777">
        <w:trPr>
          <w:trHeight w:val="315"/>
        </w:trPr>
        <w:tc>
          <w:tcPr>
            <w:tcW w:w="2325" w:type="dxa"/>
            <w:tcBorders>
              <w:top w:val="single" w:sz="6" w:space="0" w:color="000000"/>
              <w:left w:val="single" w:sz="6" w:space="0" w:color="000000"/>
              <w:bottom w:val="single" w:sz="6" w:space="0" w:color="000000"/>
              <w:right w:val="single" w:sz="6" w:space="0" w:color="000000"/>
            </w:tcBorders>
            <w:shd w:val="clear" w:color="auto" w:fill="D5A6BD"/>
            <w:tcMar>
              <w:top w:w="0" w:type="dxa"/>
              <w:left w:w="40" w:type="dxa"/>
              <w:bottom w:w="0" w:type="dxa"/>
              <w:right w:w="40" w:type="dxa"/>
            </w:tcMar>
            <w:vAlign w:val="bottom"/>
          </w:tcPr>
          <w:p w14:paraId="188080B6" w14:textId="77777777" w:rsidR="00410BA5" w:rsidRPr="0020339D" w:rsidRDefault="00C55C36">
            <w:pPr>
              <w:widowControl w:val="0"/>
              <w:spacing w:before="0" w:after="0"/>
              <w:jc w:val="center"/>
              <w:rPr>
                <w:rFonts w:ascii="Arial" w:eastAsia="Arial" w:hAnsi="Arial" w:cs="Arial"/>
                <w:sz w:val="20"/>
                <w:szCs w:val="20"/>
                <w:lang w:val="en-GB"/>
              </w:rPr>
            </w:pPr>
            <w:r w:rsidRPr="0020339D">
              <w:rPr>
                <w:b/>
                <w:lang w:val="en-GB"/>
              </w:rPr>
              <w:t>Gearing Ratios (Leverage Ratios)</w:t>
            </w:r>
          </w:p>
        </w:tc>
        <w:tc>
          <w:tcPr>
            <w:tcW w:w="915" w:type="dxa"/>
            <w:tcBorders>
              <w:top w:val="single" w:sz="6" w:space="0" w:color="000000"/>
              <w:left w:val="single" w:sz="6" w:space="0" w:color="CCCCCC"/>
              <w:bottom w:val="single" w:sz="6" w:space="0" w:color="000000"/>
              <w:right w:val="single" w:sz="6" w:space="0" w:color="000000"/>
            </w:tcBorders>
            <w:shd w:val="clear" w:color="auto" w:fill="D5A6BD"/>
            <w:tcMar>
              <w:top w:w="0" w:type="dxa"/>
              <w:left w:w="40" w:type="dxa"/>
              <w:bottom w:w="0" w:type="dxa"/>
              <w:right w:w="40" w:type="dxa"/>
            </w:tcMar>
            <w:vAlign w:val="bottom"/>
          </w:tcPr>
          <w:p w14:paraId="14D6824A" w14:textId="77777777" w:rsidR="00410BA5" w:rsidRPr="0020339D" w:rsidRDefault="00410BA5">
            <w:pPr>
              <w:widowControl w:val="0"/>
              <w:spacing w:before="0" w:after="0"/>
              <w:jc w:val="left"/>
              <w:rPr>
                <w:rFonts w:ascii="Arial" w:eastAsia="Arial" w:hAnsi="Arial" w:cs="Arial"/>
                <w:sz w:val="20"/>
                <w:szCs w:val="20"/>
                <w:lang w:val="en-GB"/>
              </w:rPr>
            </w:pPr>
          </w:p>
        </w:tc>
        <w:tc>
          <w:tcPr>
            <w:tcW w:w="3270" w:type="dxa"/>
            <w:gridSpan w:val="4"/>
            <w:tcBorders>
              <w:top w:val="single" w:sz="6" w:space="0" w:color="000000"/>
              <w:left w:val="single" w:sz="6" w:space="0" w:color="CCCCCC"/>
              <w:bottom w:val="single" w:sz="6" w:space="0" w:color="000000"/>
              <w:right w:val="single" w:sz="6" w:space="0" w:color="000000"/>
            </w:tcBorders>
            <w:shd w:val="clear" w:color="auto" w:fill="D5A6BD"/>
            <w:tcMar>
              <w:top w:w="0" w:type="dxa"/>
              <w:left w:w="40" w:type="dxa"/>
              <w:bottom w:w="0" w:type="dxa"/>
              <w:right w:w="40" w:type="dxa"/>
            </w:tcMar>
            <w:vAlign w:val="bottom"/>
          </w:tcPr>
          <w:p w14:paraId="0450FEE5" w14:textId="77777777" w:rsidR="00410BA5" w:rsidRPr="0020339D" w:rsidRDefault="00C55C36">
            <w:pPr>
              <w:widowControl w:val="0"/>
              <w:spacing w:before="0" w:after="0"/>
              <w:jc w:val="center"/>
              <w:rPr>
                <w:rFonts w:ascii="Arial" w:eastAsia="Arial" w:hAnsi="Arial" w:cs="Arial"/>
                <w:sz w:val="20"/>
                <w:szCs w:val="20"/>
                <w:lang w:val="en-GB"/>
              </w:rPr>
            </w:pPr>
            <w:r w:rsidRPr="0020339D">
              <w:rPr>
                <w:b/>
                <w:lang w:val="en-GB"/>
              </w:rPr>
              <w:t xml:space="preserve">Johnson &amp; Johnson </w:t>
            </w:r>
          </w:p>
        </w:tc>
        <w:tc>
          <w:tcPr>
            <w:tcW w:w="2835" w:type="dxa"/>
            <w:tcBorders>
              <w:top w:val="single" w:sz="6" w:space="0" w:color="000000"/>
              <w:left w:val="single" w:sz="6" w:space="0" w:color="CCCCCC"/>
              <w:bottom w:val="single" w:sz="6" w:space="0" w:color="000000"/>
              <w:right w:val="single" w:sz="6" w:space="0" w:color="000000"/>
            </w:tcBorders>
            <w:shd w:val="clear" w:color="auto" w:fill="D5A6BD"/>
            <w:tcMar>
              <w:top w:w="0" w:type="dxa"/>
              <w:left w:w="40" w:type="dxa"/>
              <w:bottom w:w="0" w:type="dxa"/>
              <w:right w:w="40" w:type="dxa"/>
            </w:tcMar>
            <w:vAlign w:val="bottom"/>
          </w:tcPr>
          <w:p w14:paraId="324F3889" w14:textId="77777777" w:rsidR="00410BA5" w:rsidRPr="0020339D" w:rsidRDefault="00410BA5">
            <w:pPr>
              <w:widowControl w:val="0"/>
              <w:spacing w:before="0" w:after="0"/>
              <w:jc w:val="left"/>
              <w:rPr>
                <w:rFonts w:ascii="Arial" w:eastAsia="Arial" w:hAnsi="Arial" w:cs="Arial"/>
                <w:sz w:val="20"/>
                <w:szCs w:val="20"/>
                <w:lang w:val="en-GB"/>
              </w:rPr>
            </w:pPr>
          </w:p>
        </w:tc>
      </w:tr>
      <w:tr w:rsidR="00410BA5" w:rsidRPr="0020339D" w14:paraId="35FD0720" w14:textId="77777777">
        <w:trPr>
          <w:trHeight w:val="315"/>
        </w:trPr>
        <w:tc>
          <w:tcPr>
            <w:tcW w:w="2325" w:type="dxa"/>
            <w:tcBorders>
              <w:top w:val="single" w:sz="6" w:space="0" w:color="CCCCCC"/>
              <w:left w:val="single" w:sz="6" w:space="0" w:color="000000"/>
              <w:bottom w:val="single" w:sz="6" w:space="0" w:color="000000"/>
              <w:right w:val="single" w:sz="6" w:space="0" w:color="000000"/>
            </w:tcBorders>
            <w:shd w:val="clear" w:color="auto" w:fill="FBBC04"/>
            <w:tcMar>
              <w:top w:w="0" w:type="dxa"/>
              <w:left w:w="40" w:type="dxa"/>
              <w:bottom w:w="0" w:type="dxa"/>
              <w:right w:w="40" w:type="dxa"/>
            </w:tcMar>
            <w:vAlign w:val="bottom"/>
          </w:tcPr>
          <w:p w14:paraId="2E3B5299" w14:textId="77777777" w:rsidR="00410BA5" w:rsidRPr="0020339D" w:rsidRDefault="00410BA5">
            <w:pPr>
              <w:widowControl w:val="0"/>
              <w:spacing w:before="0" w:after="0"/>
              <w:jc w:val="left"/>
              <w:rPr>
                <w:rFonts w:ascii="Arial" w:eastAsia="Arial" w:hAnsi="Arial" w:cs="Arial"/>
                <w:sz w:val="20"/>
                <w:szCs w:val="20"/>
                <w:lang w:val="en-GB"/>
              </w:rPr>
            </w:pPr>
          </w:p>
        </w:tc>
        <w:tc>
          <w:tcPr>
            <w:tcW w:w="915" w:type="dxa"/>
            <w:tcBorders>
              <w:top w:val="single" w:sz="6" w:space="0" w:color="CCCCCC"/>
              <w:left w:val="single" w:sz="6" w:space="0" w:color="CCCCCC"/>
              <w:bottom w:val="single" w:sz="6" w:space="0" w:color="000000"/>
              <w:right w:val="single" w:sz="6" w:space="0" w:color="000000"/>
            </w:tcBorders>
            <w:shd w:val="clear" w:color="auto" w:fill="FBBC04"/>
            <w:tcMar>
              <w:top w:w="0" w:type="dxa"/>
              <w:left w:w="40" w:type="dxa"/>
              <w:bottom w:w="0" w:type="dxa"/>
              <w:right w:w="40" w:type="dxa"/>
            </w:tcMar>
            <w:vAlign w:val="bottom"/>
          </w:tcPr>
          <w:p w14:paraId="34DC77DF" w14:textId="77777777" w:rsidR="00410BA5" w:rsidRPr="0020339D" w:rsidRDefault="00C55C36">
            <w:pPr>
              <w:widowControl w:val="0"/>
              <w:spacing w:before="0" w:after="0"/>
              <w:jc w:val="center"/>
              <w:rPr>
                <w:rFonts w:ascii="Arial" w:eastAsia="Arial" w:hAnsi="Arial" w:cs="Arial"/>
                <w:sz w:val="20"/>
                <w:szCs w:val="20"/>
                <w:lang w:val="en-GB"/>
              </w:rPr>
            </w:pPr>
            <w:r w:rsidRPr="0020339D">
              <w:rPr>
                <w:b/>
                <w:lang w:val="en-GB"/>
              </w:rPr>
              <w:t>2023</w:t>
            </w:r>
          </w:p>
        </w:tc>
        <w:tc>
          <w:tcPr>
            <w:tcW w:w="720" w:type="dxa"/>
            <w:tcBorders>
              <w:top w:val="single" w:sz="6" w:space="0" w:color="CCCCCC"/>
              <w:left w:val="single" w:sz="6" w:space="0" w:color="CCCCCC"/>
              <w:bottom w:val="single" w:sz="6" w:space="0" w:color="000000"/>
              <w:right w:val="single" w:sz="6" w:space="0" w:color="000000"/>
            </w:tcBorders>
            <w:shd w:val="clear" w:color="auto" w:fill="FBBC04"/>
            <w:tcMar>
              <w:top w:w="0" w:type="dxa"/>
              <w:left w:w="40" w:type="dxa"/>
              <w:bottom w:w="0" w:type="dxa"/>
              <w:right w:w="40" w:type="dxa"/>
            </w:tcMar>
            <w:vAlign w:val="bottom"/>
          </w:tcPr>
          <w:p w14:paraId="08EF7A03" w14:textId="77777777" w:rsidR="00410BA5" w:rsidRPr="0020339D" w:rsidRDefault="00C55C36">
            <w:pPr>
              <w:widowControl w:val="0"/>
              <w:spacing w:before="0" w:after="0"/>
              <w:jc w:val="center"/>
              <w:rPr>
                <w:rFonts w:ascii="Arial" w:eastAsia="Arial" w:hAnsi="Arial" w:cs="Arial"/>
                <w:sz w:val="20"/>
                <w:szCs w:val="20"/>
                <w:lang w:val="en-GB"/>
              </w:rPr>
            </w:pPr>
            <w:r w:rsidRPr="0020339D">
              <w:rPr>
                <w:b/>
                <w:lang w:val="en-GB"/>
              </w:rPr>
              <w:t>2022</w:t>
            </w:r>
          </w:p>
        </w:tc>
        <w:tc>
          <w:tcPr>
            <w:tcW w:w="930" w:type="dxa"/>
            <w:tcBorders>
              <w:top w:val="single" w:sz="6" w:space="0" w:color="CCCCCC"/>
              <w:left w:val="single" w:sz="6" w:space="0" w:color="CCCCCC"/>
              <w:bottom w:val="single" w:sz="6" w:space="0" w:color="000000"/>
              <w:right w:val="single" w:sz="6" w:space="0" w:color="000000"/>
            </w:tcBorders>
            <w:shd w:val="clear" w:color="auto" w:fill="FBBC04"/>
            <w:tcMar>
              <w:top w:w="0" w:type="dxa"/>
              <w:left w:w="40" w:type="dxa"/>
              <w:bottom w:w="0" w:type="dxa"/>
              <w:right w:w="40" w:type="dxa"/>
            </w:tcMar>
            <w:vAlign w:val="bottom"/>
          </w:tcPr>
          <w:p w14:paraId="662869F4" w14:textId="77777777" w:rsidR="00410BA5" w:rsidRPr="0020339D" w:rsidRDefault="00C55C36">
            <w:pPr>
              <w:widowControl w:val="0"/>
              <w:spacing w:before="0" w:after="0"/>
              <w:jc w:val="center"/>
              <w:rPr>
                <w:rFonts w:ascii="Arial" w:eastAsia="Arial" w:hAnsi="Arial" w:cs="Arial"/>
                <w:sz w:val="20"/>
                <w:szCs w:val="20"/>
                <w:lang w:val="en-GB"/>
              </w:rPr>
            </w:pPr>
            <w:r w:rsidRPr="0020339D">
              <w:rPr>
                <w:b/>
                <w:lang w:val="en-GB"/>
              </w:rPr>
              <w:t>2021</w:t>
            </w:r>
          </w:p>
        </w:tc>
        <w:tc>
          <w:tcPr>
            <w:tcW w:w="735" w:type="dxa"/>
            <w:tcBorders>
              <w:top w:val="single" w:sz="6" w:space="0" w:color="CCCCCC"/>
              <w:left w:val="single" w:sz="6" w:space="0" w:color="CCCCCC"/>
              <w:bottom w:val="single" w:sz="6" w:space="0" w:color="000000"/>
              <w:right w:val="single" w:sz="6" w:space="0" w:color="000000"/>
            </w:tcBorders>
            <w:shd w:val="clear" w:color="auto" w:fill="FBBC04"/>
            <w:tcMar>
              <w:top w:w="0" w:type="dxa"/>
              <w:left w:w="40" w:type="dxa"/>
              <w:bottom w:w="0" w:type="dxa"/>
              <w:right w:w="40" w:type="dxa"/>
            </w:tcMar>
            <w:vAlign w:val="bottom"/>
          </w:tcPr>
          <w:p w14:paraId="37759D91" w14:textId="77777777" w:rsidR="00410BA5" w:rsidRPr="0020339D" w:rsidRDefault="00C55C36">
            <w:pPr>
              <w:widowControl w:val="0"/>
              <w:spacing w:before="0" w:after="0"/>
              <w:jc w:val="center"/>
              <w:rPr>
                <w:rFonts w:ascii="Arial" w:eastAsia="Arial" w:hAnsi="Arial" w:cs="Arial"/>
                <w:sz w:val="20"/>
                <w:szCs w:val="20"/>
                <w:lang w:val="en-GB"/>
              </w:rPr>
            </w:pPr>
            <w:r w:rsidRPr="0020339D">
              <w:rPr>
                <w:b/>
                <w:lang w:val="en-GB"/>
              </w:rPr>
              <w:t>2020</w:t>
            </w:r>
          </w:p>
        </w:tc>
        <w:tc>
          <w:tcPr>
            <w:tcW w:w="885" w:type="dxa"/>
            <w:tcBorders>
              <w:top w:val="single" w:sz="6" w:space="0" w:color="CCCCCC"/>
              <w:left w:val="single" w:sz="6" w:space="0" w:color="CCCCCC"/>
              <w:bottom w:val="single" w:sz="6" w:space="0" w:color="000000"/>
              <w:right w:val="single" w:sz="6" w:space="0" w:color="000000"/>
            </w:tcBorders>
            <w:shd w:val="clear" w:color="auto" w:fill="FBBC04"/>
            <w:tcMar>
              <w:top w:w="0" w:type="dxa"/>
              <w:left w:w="40" w:type="dxa"/>
              <w:bottom w:w="0" w:type="dxa"/>
              <w:right w:w="40" w:type="dxa"/>
            </w:tcMar>
            <w:vAlign w:val="bottom"/>
          </w:tcPr>
          <w:p w14:paraId="362A9B0B" w14:textId="77777777" w:rsidR="00410BA5" w:rsidRPr="0020339D" w:rsidRDefault="00C55C36">
            <w:pPr>
              <w:widowControl w:val="0"/>
              <w:spacing w:before="0" w:after="0"/>
              <w:jc w:val="center"/>
              <w:rPr>
                <w:rFonts w:ascii="Arial" w:eastAsia="Arial" w:hAnsi="Arial" w:cs="Arial"/>
                <w:sz w:val="20"/>
                <w:szCs w:val="20"/>
                <w:lang w:val="en-GB"/>
              </w:rPr>
            </w:pPr>
            <w:r w:rsidRPr="0020339D">
              <w:rPr>
                <w:b/>
                <w:lang w:val="en-GB"/>
              </w:rPr>
              <w:t>2019</w:t>
            </w:r>
          </w:p>
        </w:tc>
        <w:tc>
          <w:tcPr>
            <w:tcW w:w="2835" w:type="dxa"/>
            <w:tcBorders>
              <w:top w:val="single" w:sz="6" w:space="0" w:color="CCCCCC"/>
              <w:left w:val="single" w:sz="6" w:space="0" w:color="CCCCCC"/>
              <w:bottom w:val="single" w:sz="6" w:space="0" w:color="000000"/>
              <w:right w:val="single" w:sz="6" w:space="0" w:color="000000"/>
            </w:tcBorders>
            <w:shd w:val="clear" w:color="auto" w:fill="FBBC04"/>
            <w:tcMar>
              <w:top w:w="0" w:type="dxa"/>
              <w:left w:w="40" w:type="dxa"/>
              <w:bottom w:w="0" w:type="dxa"/>
              <w:right w:w="40" w:type="dxa"/>
            </w:tcMar>
            <w:vAlign w:val="bottom"/>
          </w:tcPr>
          <w:p w14:paraId="1B8AC6E5" w14:textId="77777777" w:rsidR="00410BA5" w:rsidRPr="0020339D" w:rsidRDefault="00C55C36">
            <w:pPr>
              <w:widowControl w:val="0"/>
              <w:spacing w:before="0" w:after="0"/>
              <w:jc w:val="center"/>
              <w:rPr>
                <w:rFonts w:ascii="Arial" w:eastAsia="Arial" w:hAnsi="Arial" w:cs="Arial"/>
                <w:sz w:val="20"/>
                <w:szCs w:val="20"/>
                <w:lang w:val="en-GB"/>
              </w:rPr>
            </w:pPr>
            <w:r w:rsidRPr="0020339D">
              <w:rPr>
                <w:b/>
                <w:lang w:val="en-GB"/>
              </w:rPr>
              <w:t>Formulas</w:t>
            </w:r>
          </w:p>
        </w:tc>
      </w:tr>
      <w:tr w:rsidR="00410BA5" w:rsidRPr="0020339D" w14:paraId="6304904B" w14:textId="77777777">
        <w:trPr>
          <w:trHeight w:val="428"/>
        </w:trPr>
        <w:tc>
          <w:tcPr>
            <w:tcW w:w="2325" w:type="dxa"/>
            <w:tcBorders>
              <w:top w:val="single" w:sz="6" w:space="0" w:color="CCCCCC"/>
              <w:left w:val="single" w:sz="6" w:space="0" w:color="000000"/>
              <w:bottom w:val="single" w:sz="6" w:space="0" w:color="000000"/>
              <w:right w:val="single" w:sz="6" w:space="0" w:color="000000"/>
            </w:tcBorders>
            <w:shd w:val="clear" w:color="auto" w:fill="D0E0E3"/>
            <w:tcMar>
              <w:top w:w="0" w:type="dxa"/>
              <w:left w:w="40" w:type="dxa"/>
              <w:bottom w:w="0" w:type="dxa"/>
              <w:right w:w="40" w:type="dxa"/>
            </w:tcMar>
            <w:vAlign w:val="bottom"/>
          </w:tcPr>
          <w:p w14:paraId="4707187D" w14:textId="77777777" w:rsidR="00410BA5" w:rsidRPr="0020339D" w:rsidRDefault="00C55C36">
            <w:pPr>
              <w:widowControl w:val="0"/>
              <w:spacing w:before="0" w:after="0"/>
              <w:jc w:val="center"/>
              <w:rPr>
                <w:rFonts w:ascii="Arial" w:eastAsia="Arial" w:hAnsi="Arial" w:cs="Arial"/>
                <w:sz w:val="20"/>
                <w:szCs w:val="20"/>
                <w:lang w:val="en-GB"/>
              </w:rPr>
            </w:pPr>
            <w:r w:rsidRPr="0020339D">
              <w:rPr>
                <w:b/>
                <w:lang w:val="en-GB"/>
              </w:rPr>
              <w:t>Debt/Equity Ratio</w:t>
            </w:r>
          </w:p>
        </w:tc>
        <w:tc>
          <w:tcPr>
            <w:tcW w:w="915" w:type="dxa"/>
            <w:tcBorders>
              <w:top w:val="single" w:sz="6" w:space="0" w:color="CCCCCC"/>
              <w:left w:val="single" w:sz="6" w:space="0" w:color="CCCCCC"/>
              <w:bottom w:val="single" w:sz="6" w:space="0" w:color="000000"/>
              <w:right w:val="single" w:sz="6" w:space="0" w:color="000000"/>
            </w:tcBorders>
            <w:shd w:val="clear" w:color="auto" w:fill="D0E0E3"/>
            <w:tcMar>
              <w:top w:w="0" w:type="dxa"/>
              <w:left w:w="40" w:type="dxa"/>
              <w:bottom w:w="0" w:type="dxa"/>
              <w:right w:w="40" w:type="dxa"/>
            </w:tcMar>
            <w:vAlign w:val="bottom"/>
          </w:tcPr>
          <w:p w14:paraId="76434049" w14:textId="77777777" w:rsidR="00410BA5" w:rsidRPr="0020339D" w:rsidRDefault="00C55C36">
            <w:pPr>
              <w:widowControl w:val="0"/>
              <w:spacing w:before="0" w:after="0"/>
              <w:jc w:val="center"/>
              <w:rPr>
                <w:rFonts w:ascii="Arial" w:eastAsia="Arial" w:hAnsi="Arial" w:cs="Arial"/>
                <w:sz w:val="20"/>
                <w:szCs w:val="20"/>
                <w:lang w:val="en-GB"/>
              </w:rPr>
            </w:pPr>
            <w:r w:rsidRPr="0020339D">
              <w:rPr>
                <w:lang w:val="en-GB"/>
              </w:rPr>
              <w:t>0.43</w:t>
            </w:r>
          </w:p>
        </w:tc>
        <w:tc>
          <w:tcPr>
            <w:tcW w:w="720" w:type="dxa"/>
            <w:tcBorders>
              <w:top w:val="single" w:sz="6" w:space="0" w:color="CCCCCC"/>
              <w:left w:val="single" w:sz="6" w:space="0" w:color="CCCCCC"/>
              <w:bottom w:val="single" w:sz="6" w:space="0" w:color="000000"/>
              <w:right w:val="single" w:sz="6" w:space="0" w:color="000000"/>
            </w:tcBorders>
            <w:shd w:val="clear" w:color="auto" w:fill="D0E0E3"/>
            <w:tcMar>
              <w:top w:w="0" w:type="dxa"/>
              <w:left w:w="40" w:type="dxa"/>
              <w:bottom w:w="0" w:type="dxa"/>
              <w:right w:w="40" w:type="dxa"/>
            </w:tcMar>
            <w:vAlign w:val="bottom"/>
          </w:tcPr>
          <w:p w14:paraId="0D06184C" w14:textId="77777777" w:rsidR="00410BA5" w:rsidRPr="0020339D" w:rsidRDefault="00C55C36">
            <w:pPr>
              <w:widowControl w:val="0"/>
              <w:spacing w:before="0" w:after="0"/>
              <w:jc w:val="center"/>
              <w:rPr>
                <w:rFonts w:ascii="Arial" w:eastAsia="Arial" w:hAnsi="Arial" w:cs="Arial"/>
                <w:sz w:val="20"/>
                <w:szCs w:val="20"/>
                <w:lang w:val="en-GB"/>
              </w:rPr>
            </w:pPr>
            <w:r w:rsidRPr="0020339D">
              <w:rPr>
                <w:lang w:val="en-GB"/>
              </w:rPr>
              <w:t>0.35</w:t>
            </w:r>
          </w:p>
        </w:tc>
        <w:tc>
          <w:tcPr>
            <w:tcW w:w="930" w:type="dxa"/>
            <w:tcBorders>
              <w:top w:val="single" w:sz="6" w:space="0" w:color="CCCCCC"/>
              <w:left w:val="single" w:sz="6" w:space="0" w:color="CCCCCC"/>
              <w:bottom w:val="single" w:sz="6" w:space="0" w:color="000000"/>
              <w:right w:val="single" w:sz="6" w:space="0" w:color="000000"/>
            </w:tcBorders>
            <w:shd w:val="clear" w:color="auto" w:fill="D0E0E3"/>
            <w:tcMar>
              <w:top w:w="0" w:type="dxa"/>
              <w:left w:w="40" w:type="dxa"/>
              <w:bottom w:w="0" w:type="dxa"/>
              <w:right w:w="40" w:type="dxa"/>
            </w:tcMar>
            <w:vAlign w:val="bottom"/>
          </w:tcPr>
          <w:p w14:paraId="3DDEE51D" w14:textId="77777777" w:rsidR="00410BA5" w:rsidRPr="0020339D" w:rsidRDefault="00C55C36">
            <w:pPr>
              <w:widowControl w:val="0"/>
              <w:spacing w:before="0" w:after="0"/>
              <w:jc w:val="center"/>
              <w:rPr>
                <w:rFonts w:ascii="Arial" w:eastAsia="Arial" w:hAnsi="Arial" w:cs="Arial"/>
                <w:sz w:val="20"/>
                <w:szCs w:val="20"/>
                <w:lang w:val="en-GB"/>
              </w:rPr>
            </w:pPr>
            <w:r w:rsidRPr="0020339D">
              <w:rPr>
                <w:lang w:val="en-GB"/>
              </w:rPr>
              <w:t>1.46</w:t>
            </w:r>
          </w:p>
        </w:tc>
        <w:tc>
          <w:tcPr>
            <w:tcW w:w="735" w:type="dxa"/>
            <w:tcBorders>
              <w:top w:val="single" w:sz="6" w:space="0" w:color="CCCCCC"/>
              <w:left w:val="single" w:sz="6" w:space="0" w:color="CCCCCC"/>
              <w:bottom w:val="single" w:sz="6" w:space="0" w:color="000000"/>
              <w:right w:val="single" w:sz="6" w:space="0" w:color="000000"/>
            </w:tcBorders>
            <w:shd w:val="clear" w:color="auto" w:fill="D0E0E3"/>
            <w:tcMar>
              <w:top w:w="0" w:type="dxa"/>
              <w:left w:w="40" w:type="dxa"/>
              <w:bottom w:w="0" w:type="dxa"/>
              <w:right w:w="40" w:type="dxa"/>
            </w:tcMar>
            <w:vAlign w:val="bottom"/>
          </w:tcPr>
          <w:p w14:paraId="2B086AA5" w14:textId="77777777" w:rsidR="00410BA5" w:rsidRPr="0020339D" w:rsidRDefault="00C55C36">
            <w:pPr>
              <w:widowControl w:val="0"/>
              <w:spacing w:before="0" w:after="0"/>
              <w:jc w:val="center"/>
              <w:rPr>
                <w:rFonts w:ascii="Arial" w:eastAsia="Arial" w:hAnsi="Arial" w:cs="Arial"/>
                <w:sz w:val="20"/>
                <w:szCs w:val="20"/>
                <w:lang w:val="en-GB"/>
              </w:rPr>
            </w:pPr>
            <w:r w:rsidRPr="0020339D">
              <w:rPr>
                <w:lang w:val="en-GB"/>
              </w:rPr>
              <w:t>1.76</w:t>
            </w:r>
          </w:p>
        </w:tc>
        <w:tc>
          <w:tcPr>
            <w:tcW w:w="885" w:type="dxa"/>
            <w:tcBorders>
              <w:top w:val="single" w:sz="6" w:space="0" w:color="CCCCCC"/>
              <w:left w:val="single" w:sz="6" w:space="0" w:color="CCCCCC"/>
              <w:bottom w:val="single" w:sz="6" w:space="0" w:color="000000"/>
              <w:right w:val="single" w:sz="6" w:space="0" w:color="000000"/>
            </w:tcBorders>
            <w:shd w:val="clear" w:color="auto" w:fill="D0E0E3"/>
            <w:tcMar>
              <w:top w:w="0" w:type="dxa"/>
              <w:left w:w="40" w:type="dxa"/>
              <w:bottom w:w="0" w:type="dxa"/>
              <w:right w:w="40" w:type="dxa"/>
            </w:tcMar>
            <w:vAlign w:val="bottom"/>
          </w:tcPr>
          <w:p w14:paraId="7CEFFF00" w14:textId="77777777" w:rsidR="00410BA5" w:rsidRPr="0020339D" w:rsidRDefault="00C55C36">
            <w:pPr>
              <w:widowControl w:val="0"/>
              <w:spacing w:before="0" w:after="0"/>
              <w:jc w:val="center"/>
              <w:rPr>
                <w:rFonts w:ascii="Arial" w:eastAsia="Arial" w:hAnsi="Arial" w:cs="Arial"/>
                <w:sz w:val="20"/>
                <w:szCs w:val="20"/>
                <w:lang w:val="en-GB"/>
              </w:rPr>
            </w:pPr>
            <w:r w:rsidRPr="0020339D">
              <w:rPr>
                <w:lang w:val="en-GB"/>
              </w:rPr>
              <w:t>1.65</w:t>
            </w:r>
          </w:p>
        </w:tc>
        <w:tc>
          <w:tcPr>
            <w:tcW w:w="2835" w:type="dxa"/>
            <w:tcBorders>
              <w:top w:val="single" w:sz="6" w:space="0" w:color="CCCCCC"/>
              <w:left w:val="single" w:sz="6" w:space="0" w:color="CCCCCC"/>
              <w:bottom w:val="single" w:sz="6" w:space="0" w:color="000000"/>
              <w:right w:val="single" w:sz="6" w:space="0" w:color="000000"/>
            </w:tcBorders>
            <w:shd w:val="clear" w:color="auto" w:fill="D0E0E3"/>
            <w:tcMar>
              <w:top w:w="0" w:type="dxa"/>
              <w:left w:w="40" w:type="dxa"/>
              <w:bottom w:w="0" w:type="dxa"/>
              <w:right w:w="40" w:type="dxa"/>
            </w:tcMar>
            <w:vAlign w:val="bottom"/>
          </w:tcPr>
          <w:p w14:paraId="1E1692A5" w14:textId="77777777" w:rsidR="00410BA5" w:rsidRPr="0020339D" w:rsidRDefault="00C55C36">
            <w:pPr>
              <w:widowControl w:val="0"/>
              <w:spacing w:before="0" w:after="0"/>
              <w:jc w:val="center"/>
              <w:rPr>
                <w:rFonts w:ascii="Arial" w:eastAsia="Arial" w:hAnsi="Arial" w:cs="Arial"/>
                <w:sz w:val="20"/>
                <w:szCs w:val="20"/>
                <w:lang w:val="en-GB"/>
              </w:rPr>
            </w:pPr>
            <w:r w:rsidRPr="0020339D">
              <w:rPr>
                <w:lang w:val="en-GB"/>
              </w:rPr>
              <w:t>Total Debt/Total Equity</w:t>
            </w:r>
          </w:p>
        </w:tc>
      </w:tr>
      <w:tr w:rsidR="00410BA5" w:rsidRPr="0020339D" w14:paraId="0D957BCD" w14:textId="77777777">
        <w:trPr>
          <w:trHeight w:val="315"/>
        </w:trPr>
        <w:tc>
          <w:tcPr>
            <w:tcW w:w="2325" w:type="dxa"/>
            <w:tcBorders>
              <w:top w:val="single" w:sz="6" w:space="0" w:color="CCCCCC"/>
              <w:left w:val="single" w:sz="6" w:space="0" w:color="000000"/>
              <w:bottom w:val="single" w:sz="6" w:space="0" w:color="000000"/>
              <w:right w:val="single" w:sz="6" w:space="0" w:color="000000"/>
            </w:tcBorders>
            <w:shd w:val="clear" w:color="auto" w:fill="D0E0E3"/>
            <w:tcMar>
              <w:top w:w="0" w:type="dxa"/>
              <w:left w:w="40" w:type="dxa"/>
              <w:bottom w:w="0" w:type="dxa"/>
              <w:right w:w="40" w:type="dxa"/>
            </w:tcMar>
            <w:vAlign w:val="bottom"/>
          </w:tcPr>
          <w:p w14:paraId="41206A9B" w14:textId="77777777" w:rsidR="00410BA5" w:rsidRPr="0020339D" w:rsidRDefault="00C55C36">
            <w:pPr>
              <w:widowControl w:val="0"/>
              <w:spacing w:before="0" w:after="0"/>
              <w:jc w:val="center"/>
              <w:rPr>
                <w:rFonts w:ascii="Arial" w:eastAsia="Arial" w:hAnsi="Arial" w:cs="Arial"/>
                <w:sz w:val="20"/>
                <w:szCs w:val="20"/>
                <w:lang w:val="en-GB"/>
              </w:rPr>
            </w:pPr>
            <w:r w:rsidRPr="0020339D">
              <w:rPr>
                <w:b/>
                <w:lang w:val="en-GB"/>
              </w:rPr>
              <w:t>Debt/Capital Ratio</w:t>
            </w:r>
          </w:p>
        </w:tc>
        <w:tc>
          <w:tcPr>
            <w:tcW w:w="915" w:type="dxa"/>
            <w:tcBorders>
              <w:top w:val="single" w:sz="6" w:space="0" w:color="CCCCCC"/>
              <w:left w:val="single" w:sz="6" w:space="0" w:color="CCCCCC"/>
              <w:bottom w:val="single" w:sz="6" w:space="0" w:color="000000"/>
              <w:right w:val="single" w:sz="6" w:space="0" w:color="000000"/>
            </w:tcBorders>
            <w:shd w:val="clear" w:color="auto" w:fill="D0E0E3"/>
            <w:tcMar>
              <w:top w:w="0" w:type="dxa"/>
              <w:left w:w="40" w:type="dxa"/>
              <w:bottom w:w="0" w:type="dxa"/>
              <w:right w:w="40" w:type="dxa"/>
            </w:tcMar>
            <w:vAlign w:val="bottom"/>
          </w:tcPr>
          <w:p w14:paraId="13A6A297" w14:textId="77777777" w:rsidR="00410BA5" w:rsidRPr="0020339D" w:rsidRDefault="00C55C36">
            <w:pPr>
              <w:widowControl w:val="0"/>
              <w:spacing w:before="0" w:after="0"/>
              <w:jc w:val="center"/>
              <w:rPr>
                <w:rFonts w:ascii="Arial" w:eastAsia="Arial" w:hAnsi="Arial" w:cs="Arial"/>
                <w:sz w:val="20"/>
                <w:szCs w:val="20"/>
                <w:lang w:val="en-GB"/>
              </w:rPr>
            </w:pPr>
            <w:r w:rsidRPr="0020339D">
              <w:rPr>
                <w:lang w:val="en-GB"/>
              </w:rPr>
              <w:t>0.30</w:t>
            </w:r>
          </w:p>
        </w:tc>
        <w:tc>
          <w:tcPr>
            <w:tcW w:w="720" w:type="dxa"/>
            <w:tcBorders>
              <w:top w:val="single" w:sz="6" w:space="0" w:color="CCCCCC"/>
              <w:left w:val="single" w:sz="6" w:space="0" w:color="CCCCCC"/>
              <w:bottom w:val="single" w:sz="6" w:space="0" w:color="000000"/>
              <w:right w:val="single" w:sz="6" w:space="0" w:color="000000"/>
            </w:tcBorders>
            <w:shd w:val="clear" w:color="auto" w:fill="D0E0E3"/>
            <w:tcMar>
              <w:top w:w="0" w:type="dxa"/>
              <w:left w:w="40" w:type="dxa"/>
              <w:bottom w:w="0" w:type="dxa"/>
              <w:right w:w="40" w:type="dxa"/>
            </w:tcMar>
            <w:vAlign w:val="bottom"/>
          </w:tcPr>
          <w:p w14:paraId="7AB82C01" w14:textId="77777777" w:rsidR="00410BA5" w:rsidRPr="0020339D" w:rsidRDefault="00C55C36">
            <w:pPr>
              <w:widowControl w:val="0"/>
              <w:spacing w:before="0" w:after="0"/>
              <w:jc w:val="center"/>
              <w:rPr>
                <w:rFonts w:ascii="Arial" w:eastAsia="Arial" w:hAnsi="Arial" w:cs="Arial"/>
                <w:sz w:val="20"/>
                <w:szCs w:val="20"/>
                <w:lang w:val="en-GB"/>
              </w:rPr>
            </w:pPr>
            <w:r w:rsidRPr="0020339D">
              <w:rPr>
                <w:lang w:val="en-GB"/>
              </w:rPr>
              <w:t>0.26</w:t>
            </w:r>
          </w:p>
        </w:tc>
        <w:tc>
          <w:tcPr>
            <w:tcW w:w="930" w:type="dxa"/>
            <w:tcBorders>
              <w:top w:val="single" w:sz="6" w:space="0" w:color="CCCCCC"/>
              <w:left w:val="single" w:sz="6" w:space="0" w:color="CCCCCC"/>
              <w:bottom w:val="single" w:sz="6" w:space="0" w:color="000000"/>
              <w:right w:val="single" w:sz="6" w:space="0" w:color="000000"/>
            </w:tcBorders>
            <w:shd w:val="clear" w:color="auto" w:fill="D0E0E3"/>
            <w:tcMar>
              <w:top w:w="0" w:type="dxa"/>
              <w:left w:w="40" w:type="dxa"/>
              <w:bottom w:w="0" w:type="dxa"/>
              <w:right w:w="40" w:type="dxa"/>
            </w:tcMar>
            <w:vAlign w:val="bottom"/>
          </w:tcPr>
          <w:p w14:paraId="067D2890" w14:textId="77777777" w:rsidR="00410BA5" w:rsidRPr="0020339D" w:rsidRDefault="00C55C36">
            <w:pPr>
              <w:widowControl w:val="0"/>
              <w:spacing w:before="0" w:after="0"/>
              <w:jc w:val="center"/>
              <w:rPr>
                <w:rFonts w:ascii="Arial" w:eastAsia="Arial" w:hAnsi="Arial" w:cs="Arial"/>
                <w:sz w:val="20"/>
                <w:szCs w:val="20"/>
                <w:lang w:val="en-GB"/>
              </w:rPr>
            </w:pPr>
            <w:r w:rsidRPr="0020339D">
              <w:rPr>
                <w:lang w:val="en-GB"/>
              </w:rPr>
              <w:t>0.59</w:t>
            </w:r>
          </w:p>
        </w:tc>
        <w:tc>
          <w:tcPr>
            <w:tcW w:w="735" w:type="dxa"/>
            <w:tcBorders>
              <w:top w:val="single" w:sz="6" w:space="0" w:color="CCCCCC"/>
              <w:left w:val="single" w:sz="6" w:space="0" w:color="CCCCCC"/>
              <w:bottom w:val="single" w:sz="6" w:space="0" w:color="000000"/>
              <w:right w:val="single" w:sz="6" w:space="0" w:color="000000"/>
            </w:tcBorders>
            <w:shd w:val="clear" w:color="auto" w:fill="D0E0E3"/>
            <w:tcMar>
              <w:top w:w="0" w:type="dxa"/>
              <w:left w:w="40" w:type="dxa"/>
              <w:bottom w:w="0" w:type="dxa"/>
              <w:right w:w="40" w:type="dxa"/>
            </w:tcMar>
            <w:vAlign w:val="bottom"/>
          </w:tcPr>
          <w:p w14:paraId="0A89DC14" w14:textId="77777777" w:rsidR="00410BA5" w:rsidRPr="0020339D" w:rsidRDefault="00C55C36">
            <w:pPr>
              <w:widowControl w:val="0"/>
              <w:spacing w:before="0" w:after="0"/>
              <w:jc w:val="center"/>
              <w:rPr>
                <w:rFonts w:ascii="Arial" w:eastAsia="Arial" w:hAnsi="Arial" w:cs="Arial"/>
                <w:sz w:val="20"/>
                <w:szCs w:val="20"/>
                <w:lang w:val="en-GB"/>
              </w:rPr>
            </w:pPr>
            <w:r w:rsidRPr="0020339D">
              <w:rPr>
                <w:lang w:val="en-GB"/>
              </w:rPr>
              <w:t>0.64</w:t>
            </w:r>
          </w:p>
        </w:tc>
        <w:tc>
          <w:tcPr>
            <w:tcW w:w="885" w:type="dxa"/>
            <w:tcBorders>
              <w:top w:val="single" w:sz="6" w:space="0" w:color="CCCCCC"/>
              <w:left w:val="single" w:sz="6" w:space="0" w:color="CCCCCC"/>
              <w:bottom w:val="single" w:sz="6" w:space="0" w:color="000000"/>
              <w:right w:val="single" w:sz="6" w:space="0" w:color="000000"/>
            </w:tcBorders>
            <w:shd w:val="clear" w:color="auto" w:fill="D0E0E3"/>
            <w:tcMar>
              <w:top w:w="0" w:type="dxa"/>
              <w:left w:w="40" w:type="dxa"/>
              <w:bottom w:w="0" w:type="dxa"/>
              <w:right w:w="40" w:type="dxa"/>
            </w:tcMar>
            <w:vAlign w:val="bottom"/>
          </w:tcPr>
          <w:p w14:paraId="65CCB4D8" w14:textId="77777777" w:rsidR="00410BA5" w:rsidRPr="0020339D" w:rsidRDefault="00C55C36">
            <w:pPr>
              <w:widowControl w:val="0"/>
              <w:spacing w:before="0" w:after="0"/>
              <w:jc w:val="center"/>
              <w:rPr>
                <w:rFonts w:ascii="Arial" w:eastAsia="Arial" w:hAnsi="Arial" w:cs="Arial"/>
                <w:sz w:val="20"/>
                <w:szCs w:val="20"/>
                <w:lang w:val="en-GB"/>
              </w:rPr>
            </w:pPr>
            <w:r w:rsidRPr="0020339D">
              <w:rPr>
                <w:lang w:val="en-GB"/>
              </w:rPr>
              <w:t>0.62</w:t>
            </w:r>
          </w:p>
        </w:tc>
        <w:tc>
          <w:tcPr>
            <w:tcW w:w="2835" w:type="dxa"/>
            <w:tcBorders>
              <w:top w:val="single" w:sz="6" w:space="0" w:color="CCCCCC"/>
              <w:left w:val="single" w:sz="6" w:space="0" w:color="CCCCCC"/>
              <w:bottom w:val="single" w:sz="6" w:space="0" w:color="000000"/>
              <w:right w:val="single" w:sz="6" w:space="0" w:color="000000"/>
            </w:tcBorders>
            <w:shd w:val="clear" w:color="auto" w:fill="D0E0E3"/>
            <w:tcMar>
              <w:top w:w="0" w:type="dxa"/>
              <w:left w:w="40" w:type="dxa"/>
              <w:bottom w:w="0" w:type="dxa"/>
              <w:right w:w="40" w:type="dxa"/>
            </w:tcMar>
            <w:vAlign w:val="bottom"/>
          </w:tcPr>
          <w:p w14:paraId="7942AA8A" w14:textId="77777777" w:rsidR="00410BA5" w:rsidRPr="0020339D" w:rsidRDefault="00C55C36">
            <w:pPr>
              <w:widowControl w:val="0"/>
              <w:spacing w:before="0" w:after="0"/>
              <w:jc w:val="center"/>
              <w:rPr>
                <w:rFonts w:ascii="Arial" w:eastAsia="Arial" w:hAnsi="Arial" w:cs="Arial"/>
                <w:sz w:val="20"/>
                <w:szCs w:val="20"/>
                <w:lang w:val="en-GB"/>
              </w:rPr>
            </w:pPr>
            <w:r w:rsidRPr="0020339D">
              <w:rPr>
                <w:lang w:val="en-GB"/>
              </w:rPr>
              <w:t>Total Debt</w:t>
            </w:r>
            <w:proofErr w:type="gramStart"/>
            <w:r w:rsidRPr="0020339D">
              <w:rPr>
                <w:lang w:val="en-GB"/>
              </w:rPr>
              <w:t>/(</w:t>
            </w:r>
            <w:proofErr w:type="gramEnd"/>
            <w:r w:rsidRPr="0020339D">
              <w:rPr>
                <w:lang w:val="en-GB"/>
              </w:rPr>
              <w:t xml:space="preserve">Total </w:t>
            </w:r>
            <w:r w:rsidR="00FA6877" w:rsidRPr="0020339D">
              <w:rPr>
                <w:lang w:val="en-GB"/>
              </w:rPr>
              <w:t>Equity Total</w:t>
            </w:r>
            <w:r w:rsidRPr="0020339D">
              <w:rPr>
                <w:lang w:val="en-GB"/>
              </w:rPr>
              <w:t xml:space="preserve"> Debt)</w:t>
            </w:r>
          </w:p>
        </w:tc>
      </w:tr>
      <w:tr w:rsidR="00410BA5" w:rsidRPr="0020339D" w14:paraId="173A5195" w14:textId="77777777">
        <w:trPr>
          <w:trHeight w:val="315"/>
        </w:trPr>
        <w:tc>
          <w:tcPr>
            <w:tcW w:w="2325" w:type="dxa"/>
            <w:tcBorders>
              <w:top w:val="single" w:sz="6" w:space="0" w:color="CCCCCC"/>
              <w:left w:val="single" w:sz="6" w:space="0" w:color="000000"/>
              <w:bottom w:val="single" w:sz="6" w:space="0" w:color="000000"/>
              <w:right w:val="single" w:sz="6" w:space="0" w:color="000000"/>
            </w:tcBorders>
            <w:shd w:val="clear" w:color="auto" w:fill="D0E0E3"/>
            <w:tcMar>
              <w:top w:w="0" w:type="dxa"/>
              <w:left w:w="40" w:type="dxa"/>
              <w:bottom w:w="0" w:type="dxa"/>
              <w:right w:w="40" w:type="dxa"/>
            </w:tcMar>
            <w:vAlign w:val="bottom"/>
          </w:tcPr>
          <w:p w14:paraId="3ABB3121" w14:textId="77777777" w:rsidR="00410BA5" w:rsidRPr="0020339D" w:rsidRDefault="00C55C36">
            <w:pPr>
              <w:widowControl w:val="0"/>
              <w:spacing w:before="0" w:after="0"/>
              <w:jc w:val="center"/>
              <w:rPr>
                <w:rFonts w:ascii="Arial" w:eastAsia="Arial" w:hAnsi="Arial" w:cs="Arial"/>
                <w:sz w:val="20"/>
                <w:szCs w:val="20"/>
                <w:lang w:val="en-GB"/>
              </w:rPr>
            </w:pPr>
            <w:r w:rsidRPr="0020339D">
              <w:rPr>
                <w:b/>
                <w:lang w:val="en-GB"/>
              </w:rPr>
              <w:t>Equity Multiplier</w:t>
            </w:r>
          </w:p>
        </w:tc>
        <w:tc>
          <w:tcPr>
            <w:tcW w:w="915" w:type="dxa"/>
            <w:tcBorders>
              <w:top w:val="single" w:sz="6" w:space="0" w:color="CCCCCC"/>
              <w:left w:val="single" w:sz="6" w:space="0" w:color="CCCCCC"/>
              <w:bottom w:val="single" w:sz="6" w:space="0" w:color="000000"/>
              <w:right w:val="single" w:sz="6" w:space="0" w:color="000000"/>
            </w:tcBorders>
            <w:shd w:val="clear" w:color="auto" w:fill="D0E0E3"/>
            <w:tcMar>
              <w:top w:w="0" w:type="dxa"/>
              <w:left w:w="40" w:type="dxa"/>
              <w:bottom w:w="0" w:type="dxa"/>
              <w:right w:w="40" w:type="dxa"/>
            </w:tcMar>
            <w:vAlign w:val="bottom"/>
          </w:tcPr>
          <w:p w14:paraId="3A5887AB" w14:textId="77777777" w:rsidR="00410BA5" w:rsidRPr="0020339D" w:rsidRDefault="00C55C36">
            <w:pPr>
              <w:widowControl w:val="0"/>
              <w:spacing w:before="0" w:after="0"/>
              <w:jc w:val="center"/>
              <w:rPr>
                <w:rFonts w:ascii="Arial" w:eastAsia="Arial" w:hAnsi="Arial" w:cs="Arial"/>
                <w:sz w:val="20"/>
                <w:szCs w:val="20"/>
                <w:lang w:val="en-GB"/>
              </w:rPr>
            </w:pPr>
            <w:r w:rsidRPr="0020339D">
              <w:rPr>
                <w:lang w:val="en-GB"/>
              </w:rPr>
              <w:t>2.44</w:t>
            </w:r>
          </w:p>
        </w:tc>
        <w:tc>
          <w:tcPr>
            <w:tcW w:w="720" w:type="dxa"/>
            <w:tcBorders>
              <w:top w:val="single" w:sz="6" w:space="0" w:color="CCCCCC"/>
              <w:left w:val="single" w:sz="6" w:space="0" w:color="CCCCCC"/>
              <w:bottom w:val="single" w:sz="6" w:space="0" w:color="000000"/>
              <w:right w:val="single" w:sz="6" w:space="0" w:color="000000"/>
            </w:tcBorders>
            <w:shd w:val="clear" w:color="auto" w:fill="D0E0E3"/>
            <w:tcMar>
              <w:top w:w="0" w:type="dxa"/>
              <w:left w:w="40" w:type="dxa"/>
              <w:bottom w:w="0" w:type="dxa"/>
              <w:right w:w="40" w:type="dxa"/>
            </w:tcMar>
            <w:vAlign w:val="bottom"/>
          </w:tcPr>
          <w:p w14:paraId="71598C4D" w14:textId="77777777" w:rsidR="00410BA5" w:rsidRPr="0020339D" w:rsidRDefault="00C55C36">
            <w:pPr>
              <w:widowControl w:val="0"/>
              <w:spacing w:before="0" w:after="0"/>
              <w:jc w:val="center"/>
              <w:rPr>
                <w:rFonts w:ascii="Arial" w:eastAsia="Arial" w:hAnsi="Arial" w:cs="Arial"/>
                <w:sz w:val="20"/>
                <w:szCs w:val="20"/>
                <w:lang w:val="en-GB"/>
              </w:rPr>
            </w:pPr>
            <w:r w:rsidRPr="0020339D">
              <w:rPr>
                <w:lang w:val="en-GB"/>
              </w:rPr>
              <w:t>2.44</w:t>
            </w:r>
          </w:p>
        </w:tc>
        <w:tc>
          <w:tcPr>
            <w:tcW w:w="930" w:type="dxa"/>
            <w:tcBorders>
              <w:top w:val="single" w:sz="6" w:space="0" w:color="CCCCCC"/>
              <w:left w:val="single" w:sz="6" w:space="0" w:color="CCCCCC"/>
              <w:bottom w:val="single" w:sz="6" w:space="0" w:color="000000"/>
              <w:right w:val="single" w:sz="6" w:space="0" w:color="000000"/>
            </w:tcBorders>
            <w:shd w:val="clear" w:color="auto" w:fill="D0E0E3"/>
            <w:tcMar>
              <w:top w:w="0" w:type="dxa"/>
              <w:left w:w="40" w:type="dxa"/>
              <w:bottom w:w="0" w:type="dxa"/>
              <w:right w:w="40" w:type="dxa"/>
            </w:tcMar>
            <w:vAlign w:val="bottom"/>
          </w:tcPr>
          <w:p w14:paraId="1368565E" w14:textId="77777777" w:rsidR="00410BA5" w:rsidRPr="0020339D" w:rsidRDefault="00C55C36">
            <w:pPr>
              <w:widowControl w:val="0"/>
              <w:spacing w:before="0" w:after="0"/>
              <w:jc w:val="center"/>
              <w:rPr>
                <w:rFonts w:ascii="Arial" w:eastAsia="Arial" w:hAnsi="Arial" w:cs="Arial"/>
                <w:sz w:val="20"/>
                <w:szCs w:val="20"/>
                <w:lang w:val="en-GB"/>
              </w:rPr>
            </w:pPr>
            <w:r w:rsidRPr="0020339D">
              <w:rPr>
                <w:lang w:val="en-GB"/>
              </w:rPr>
              <w:t>2.46</w:t>
            </w:r>
          </w:p>
        </w:tc>
        <w:tc>
          <w:tcPr>
            <w:tcW w:w="735" w:type="dxa"/>
            <w:tcBorders>
              <w:top w:val="single" w:sz="6" w:space="0" w:color="CCCCCC"/>
              <w:left w:val="single" w:sz="6" w:space="0" w:color="CCCCCC"/>
              <w:bottom w:val="single" w:sz="6" w:space="0" w:color="000000"/>
              <w:right w:val="single" w:sz="6" w:space="0" w:color="000000"/>
            </w:tcBorders>
            <w:shd w:val="clear" w:color="auto" w:fill="D0E0E3"/>
            <w:tcMar>
              <w:top w:w="0" w:type="dxa"/>
              <w:left w:w="40" w:type="dxa"/>
              <w:bottom w:w="0" w:type="dxa"/>
              <w:right w:w="40" w:type="dxa"/>
            </w:tcMar>
            <w:vAlign w:val="bottom"/>
          </w:tcPr>
          <w:p w14:paraId="24C6194F" w14:textId="77777777" w:rsidR="00410BA5" w:rsidRPr="0020339D" w:rsidRDefault="00C55C36">
            <w:pPr>
              <w:widowControl w:val="0"/>
              <w:spacing w:before="0" w:after="0"/>
              <w:jc w:val="center"/>
              <w:rPr>
                <w:rFonts w:ascii="Arial" w:eastAsia="Arial" w:hAnsi="Arial" w:cs="Arial"/>
                <w:sz w:val="20"/>
                <w:szCs w:val="20"/>
                <w:lang w:val="en-GB"/>
              </w:rPr>
            </w:pPr>
            <w:r w:rsidRPr="0020339D">
              <w:rPr>
                <w:lang w:val="en-GB"/>
              </w:rPr>
              <w:t>2.76</w:t>
            </w:r>
          </w:p>
        </w:tc>
        <w:tc>
          <w:tcPr>
            <w:tcW w:w="885" w:type="dxa"/>
            <w:tcBorders>
              <w:top w:val="single" w:sz="6" w:space="0" w:color="CCCCCC"/>
              <w:left w:val="single" w:sz="6" w:space="0" w:color="CCCCCC"/>
              <w:bottom w:val="single" w:sz="6" w:space="0" w:color="000000"/>
              <w:right w:val="single" w:sz="6" w:space="0" w:color="000000"/>
            </w:tcBorders>
            <w:shd w:val="clear" w:color="auto" w:fill="D0E0E3"/>
            <w:tcMar>
              <w:top w:w="0" w:type="dxa"/>
              <w:left w:w="40" w:type="dxa"/>
              <w:bottom w:w="0" w:type="dxa"/>
              <w:right w:w="40" w:type="dxa"/>
            </w:tcMar>
            <w:vAlign w:val="bottom"/>
          </w:tcPr>
          <w:p w14:paraId="5EC5B846" w14:textId="77777777" w:rsidR="00410BA5" w:rsidRPr="0020339D" w:rsidRDefault="00C55C36">
            <w:pPr>
              <w:widowControl w:val="0"/>
              <w:spacing w:before="0" w:after="0"/>
              <w:jc w:val="center"/>
              <w:rPr>
                <w:rFonts w:ascii="Arial" w:eastAsia="Arial" w:hAnsi="Arial" w:cs="Arial"/>
                <w:sz w:val="20"/>
                <w:szCs w:val="20"/>
                <w:lang w:val="en-GB"/>
              </w:rPr>
            </w:pPr>
            <w:r w:rsidRPr="0020339D">
              <w:rPr>
                <w:lang w:val="en-GB"/>
              </w:rPr>
              <w:t>2.65</w:t>
            </w:r>
          </w:p>
        </w:tc>
        <w:tc>
          <w:tcPr>
            <w:tcW w:w="2835" w:type="dxa"/>
            <w:tcBorders>
              <w:top w:val="single" w:sz="6" w:space="0" w:color="CCCCCC"/>
              <w:left w:val="single" w:sz="6" w:space="0" w:color="CCCCCC"/>
              <w:bottom w:val="single" w:sz="6" w:space="0" w:color="000000"/>
              <w:right w:val="single" w:sz="6" w:space="0" w:color="000000"/>
            </w:tcBorders>
            <w:shd w:val="clear" w:color="auto" w:fill="D0E0E3"/>
            <w:tcMar>
              <w:top w:w="0" w:type="dxa"/>
              <w:left w:w="40" w:type="dxa"/>
              <w:bottom w:w="0" w:type="dxa"/>
              <w:right w:w="40" w:type="dxa"/>
            </w:tcMar>
            <w:vAlign w:val="bottom"/>
          </w:tcPr>
          <w:p w14:paraId="623B47B2" w14:textId="77777777" w:rsidR="00410BA5" w:rsidRPr="0020339D" w:rsidRDefault="00C55C36">
            <w:pPr>
              <w:widowControl w:val="0"/>
              <w:spacing w:before="0" w:after="0"/>
              <w:jc w:val="center"/>
              <w:rPr>
                <w:rFonts w:ascii="Arial" w:eastAsia="Arial" w:hAnsi="Arial" w:cs="Arial"/>
                <w:sz w:val="20"/>
                <w:szCs w:val="20"/>
                <w:lang w:val="en-GB"/>
              </w:rPr>
            </w:pPr>
            <w:r w:rsidRPr="0020339D">
              <w:rPr>
                <w:lang w:val="en-GB"/>
              </w:rPr>
              <w:t>Total Assets/Total Equity</w:t>
            </w:r>
          </w:p>
        </w:tc>
      </w:tr>
      <w:tr w:rsidR="00410BA5" w:rsidRPr="0020339D" w14:paraId="4BB2C46D" w14:textId="77777777">
        <w:trPr>
          <w:trHeight w:val="315"/>
        </w:trPr>
        <w:tc>
          <w:tcPr>
            <w:tcW w:w="2325" w:type="dxa"/>
            <w:tcBorders>
              <w:top w:val="single" w:sz="6" w:space="0" w:color="CCCCCC"/>
              <w:left w:val="single" w:sz="6" w:space="0" w:color="000000"/>
              <w:bottom w:val="single" w:sz="6" w:space="0" w:color="000000"/>
              <w:right w:val="single" w:sz="6" w:space="0" w:color="000000"/>
            </w:tcBorders>
            <w:shd w:val="clear" w:color="auto" w:fill="D0E0E3"/>
            <w:tcMar>
              <w:top w:w="0" w:type="dxa"/>
              <w:left w:w="40" w:type="dxa"/>
              <w:bottom w:w="0" w:type="dxa"/>
              <w:right w:w="40" w:type="dxa"/>
            </w:tcMar>
            <w:vAlign w:val="bottom"/>
          </w:tcPr>
          <w:p w14:paraId="33587368" w14:textId="77777777" w:rsidR="00410BA5" w:rsidRPr="0020339D" w:rsidRDefault="00C55C36">
            <w:pPr>
              <w:widowControl w:val="0"/>
              <w:spacing w:before="0" w:after="0"/>
              <w:jc w:val="center"/>
              <w:rPr>
                <w:rFonts w:ascii="Arial" w:eastAsia="Arial" w:hAnsi="Arial" w:cs="Arial"/>
                <w:sz w:val="20"/>
                <w:szCs w:val="20"/>
                <w:lang w:val="en-GB"/>
              </w:rPr>
            </w:pPr>
            <w:r w:rsidRPr="0020339D">
              <w:rPr>
                <w:b/>
                <w:lang w:val="en-GB"/>
              </w:rPr>
              <w:t>Interest Coverage Ratio</w:t>
            </w:r>
          </w:p>
        </w:tc>
        <w:tc>
          <w:tcPr>
            <w:tcW w:w="915" w:type="dxa"/>
            <w:tcBorders>
              <w:top w:val="single" w:sz="6" w:space="0" w:color="CCCCCC"/>
              <w:left w:val="single" w:sz="6" w:space="0" w:color="CCCCCC"/>
              <w:bottom w:val="single" w:sz="6" w:space="0" w:color="000000"/>
              <w:right w:val="single" w:sz="6" w:space="0" w:color="000000"/>
            </w:tcBorders>
            <w:shd w:val="clear" w:color="auto" w:fill="D0E0E3"/>
            <w:tcMar>
              <w:top w:w="0" w:type="dxa"/>
              <w:left w:w="40" w:type="dxa"/>
              <w:bottom w:w="0" w:type="dxa"/>
              <w:right w:w="40" w:type="dxa"/>
            </w:tcMar>
            <w:vAlign w:val="bottom"/>
          </w:tcPr>
          <w:p w14:paraId="6350320C" w14:textId="77777777" w:rsidR="00410BA5" w:rsidRPr="0020339D" w:rsidRDefault="00C55C36">
            <w:pPr>
              <w:widowControl w:val="0"/>
              <w:spacing w:before="0" w:after="0"/>
              <w:jc w:val="center"/>
              <w:rPr>
                <w:rFonts w:ascii="Arial" w:eastAsia="Arial" w:hAnsi="Arial" w:cs="Arial"/>
                <w:sz w:val="20"/>
                <w:szCs w:val="20"/>
                <w:lang w:val="en-GB"/>
              </w:rPr>
            </w:pPr>
            <w:r w:rsidRPr="0020339D">
              <w:rPr>
                <w:lang w:val="en-GB"/>
              </w:rPr>
              <w:t>20.56</w:t>
            </w:r>
          </w:p>
        </w:tc>
        <w:tc>
          <w:tcPr>
            <w:tcW w:w="720" w:type="dxa"/>
            <w:tcBorders>
              <w:top w:val="single" w:sz="6" w:space="0" w:color="CCCCCC"/>
              <w:left w:val="single" w:sz="6" w:space="0" w:color="CCCCCC"/>
              <w:bottom w:val="single" w:sz="6" w:space="0" w:color="000000"/>
              <w:right w:val="single" w:sz="6" w:space="0" w:color="000000"/>
            </w:tcBorders>
            <w:shd w:val="clear" w:color="auto" w:fill="D0E0E3"/>
            <w:tcMar>
              <w:top w:w="0" w:type="dxa"/>
              <w:left w:w="40" w:type="dxa"/>
              <w:bottom w:w="0" w:type="dxa"/>
              <w:right w:w="40" w:type="dxa"/>
            </w:tcMar>
            <w:vAlign w:val="bottom"/>
          </w:tcPr>
          <w:p w14:paraId="169CEB53" w14:textId="77777777" w:rsidR="00410BA5" w:rsidRPr="0020339D" w:rsidRDefault="00C55C36">
            <w:pPr>
              <w:widowControl w:val="0"/>
              <w:spacing w:before="0" w:after="0"/>
              <w:jc w:val="center"/>
              <w:rPr>
                <w:rFonts w:ascii="Arial" w:eastAsia="Arial" w:hAnsi="Arial" w:cs="Arial"/>
                <w:sz w:val="20"/>
                <w:szCs w:val="20"/>
                <w:lang w:val="en-GB"/>
              </w:rPr>
            </w:pPr>
            <w:r w:rsidRPr="0020339D">
              <w:rPr>
                <w:lang w:val="en-GB"/>
              </w:rPr>
              <w:t>6.78</w:t>
            </w:r>
          </w:p>
        </w:tc>
        <w:tc>
          <w:tcPr>
            <w:tcW w:w="930" w:type="dxa"/>
            <w:tcBorders>
              <w:top w:val="single" w:sz="6" w:space="0" w:color="CCCCCC"/>
              <w:left w:val="single" w:sz="6" w:space="0" w:color="CCCCCC"/>
              <w:bottom w:val="single" w:sz="6" w:space="0" w:color="000000"/>
              <w:right w:val="single" w:sz="6" w:space="0" w:color="000000"/>
            </w:tcBorders>
            <w:shd w:val="clear" w:color="auto" w:fill="D0E0E3"/>
            <w:tcMar>
              <w:top w:w="0" w:type="dxa"/>
              <w:left w:w="40" w:type="dxa"/>
              <w:bottom w:w="0" w:type="dxa"/>
              <w:right w:w="40" w:type="dxa"/>
            </w:tcMar>
            <w:vAlign w:val="bottom"/>
          </w:tcPr>
          <w:p w14:paraId="1CFC9763" w14:textId="77777777" w:rsidR="00410BA5" w:rsidRPr="0020339D" w:rsidRDefault="00C55C36">
            <w:pPr>
              <w:widowControl w:val="0"/>
              <w:spacing w:before="0" w:after="0"/>
              <w:jc w:val="center"/>
              <w:rPr>
                <w:rFonts w:ascii="Arial" w:eastAsia="Arial" w:hAnsi="Arial" w:cs="Arial"/>
                <w:sz w:val="20"/>
                <w:szCs w:val="20"/>
                <w:lang w:val="en-GB"/>
              </w:rPr>
            </w:pPr>
            <w:r w:rsidRPr="0020339D">
              <w:rPr>
                <w:lang w:val="en-GB"/>
              </w:rPr>
              <w:t>134.14</w:t>
            </w:r>
          </w:p>
        </w:tc>
        <w:tc>
          <w:tcPr>
            <w:tcW w:w="735" w:type="dxa"/>
            <w:tcBorders>
              <w:top w:val="single" w:sz="6" w:space="0" w:color="CCCCCC"/>
              <w:left w:val="single" w:sz="6" w:space="0" w:color="CCCCCC"/>
              <w:bottom w:val="single" w:sz="6" w:space="0" w:color="000000"/>
              <w:right w:val="single" w:sz="6" w:space="0" w:color="000000"/>
            </w:tcBorders>
            <w:shd w:val="clear" w:color="auto" w:fill="D0E0E3"/>
            <w:tcMar>
              <w:top w:w="0" w:type="dxa"/>
              <w:left w:w="40" w:type="dxa"/>
              <w:bottom w:w="0" w:type="dxa"/>
              <w:right w:w="40" w:type="dxa"/>
            </w:tcMar>
            <w:vAlign w:val="bottom"/>
          </w:tcPr>
          <w:p w14:paraId="21486857" w14:textId="77777777" w:rsidR="00410BA5" w:rsidRPr="0020339D" w:rsidRDefault="00C55C36">
            <w:pPr>
              <w:widowControl w:val="0"/>
              <w:spacing w:before="0" w:after="0"/>
              <w:jc w:val="center"/>
              <w:rPr>
                <w:rFonts w:ascii="Arial" w:eastAsia="Arial" w:hAnsi="Arial" w:cs="Arial"/>
                <w:sz w:val="20"/>
                <w:szCs w:val="20"/>
                <w:lang w:val="en-GB"/>
              </w:rPr>
            </w:pPr>
            <w:r w:rsidRPr="0020339D">
              <w:rPr>
                <w:lang w:val="en-GB"/>
              </w:rPr>
              <w:t>99.07</w:t>
            </w:r>
          </w:p>
        </w:tc>
        <w:tc>
          <w:tcPr>
            <w:tcW w:w="885" w:type="dxa"/>
            <w:tcBorders>
              <w:top w:val="single" w:sz="6" w:space="0" w:color="CCCCCC"/>
              <w:left w:val="single" w:sz="6" w:space="0" w:color="CCCCCC"/>
              <w:bottom w:val="single" w:sz="6" w:space="0" w:color="000000"/>
              <w:right w:val="single" w:sz="6" w:space="0" w:color="000000"/>
            </w:tcBorders>
            <w:shd w:val="clear" w:color="auto" w:fill="D0E0E3"/>
            <w:tcMar>
              <w:top w:w="0" w:type="dxa"/>
              <w:left w:w="40" w:type="dxa"/>
              <w:bottom w:w="0" w:type="dxa"/>
              <w:right w:w="40" w:type="dxa"/>
            </w:tcMar>
            <w:vAlign w:val="bottom"/>
          </w:tcPr>
          <w:p w14:paraId="71D78DFF" w14:textId="77777777" w:rsidR="00410BA5" w:rsidRPr="0020339D" w:rsidRDefault="00C55C36">
            <w:pPr>
              <w:widowControl w:val="0"/>
              <w:spacing w:before="0" w:after="0"/>
              <w:jc w:val="center"/>
              <w:rPr>
                <w:rFonts w:ascii="Arial" w:eastAsia="Arial" w:hAnsi="Arial" w:cs="Arial"/>
                <w:sz w:val="20"/>
                <w:szCs w:val="20"/>
                <w:lang w:val="en-GB"/>
              </w:rPr>
            </w:pPr>
            <w:r w:rsidRPr="0020339D">
              <w:rPr>
                <w:lang w:val="en-GB"/>
              </w:rPr>
              <w:t>104.33</w:t>
            </w:r>
          </w:p>
        </w:tc>
        <w:tc>
          <w:tcPr>
            <w:tcW w:w="2835" w:type="dxa"/>
            <w:tcBorders>
              <w:top w:val="single" w:sz="6" w:space="0" w:color="CCCCCC"/>
              <w:left w:val="single" w:sz="6" w:space="0" w:color="CCCCCC"/>
              <w:bottom w:val="single" w:sz="6" w:space="0" w:color="000000"/>
              <w:right w:val="single" w:sz="6" w:space="0" w:color="000000"/>
            </w:tcBorders>
            <w:shd w:val="clear" w:color="auto" w:fill="D0E0E3"/>
            <w:tcMar>
              <w:top w:w="0" w:type="dxa"/>
              <w:left w:w="40" w:type="dxa"/>
              <w:bottom w:w="0" w:type="dxa"/>
              <w:right w:w="40" w:type="dxa"/>
            </w:tcMar>
            <w:vAlign w:val="bottom"/>
          </w:tcPr>
          <w:p w14:paraId="756F58E8" w14:textId="77777777" w:rsidR="00410BA5" w:rsidRPr="0020339D" w:rsidRDefault="00C55C36">
            <w:pPr>
              <w:widowControl w:val="0"/>
              <w:spacing w:before="0" w:after="0"/>
              <w:jc w:val="center"/>
              <w:rPr>
                <w:rFonts w:ascii="Arial" w:eastAsia="Arial" w:hAnsi="Arial" w:cs="Arial"/>
                <w:sz w:val="20"/>
                <w:szCs w:val="20"/>
                <w:lang w:val="en-GB"/>
              </w:rPr>
            </w:pPr>
            <w:r w:rsidRPr="0020339D">
              <w:rPr>
                <w:lang w:val="en-GB"/>
              </w:rPr>
              <w:t>EBIT/Interest Expense</w:t>
            </w:r>
          </w:p>
        </w:tc>
      </w:tr>
    </w:tbl>
    <w:p w14:paraId="24266516" w14:textId="77777777" w:rsidR="00410BA5" w:rsidRPr="0020339D" w:rsidRDefault="00C55C36">
      <w:pPr>
        <w:jc w:val="center"/>
        <w:rPr>
          <w:b/>
          <w:lang w:val="en-GB"/>
        </w:rPr>
      </w:pPr>
      <w:r w:rsidRPr="0020339D">
        <w:rPr>
          <w:b/>
          <w:lang w:val="en-GB"/>
        </w:rPr>
        <w:t>Table 2.3: Gearing Ratios</w:t>
      </w:r>
    </w:p>
    <w:p w14:paraId="7000CE83" w14:textId="77777777" w:rsidR="00410BA5" w:rsidRPr="0020339D" w:rsidRDefault="00FA6877">
      <w:pPr>
        <w:pStyle w:val="Heading3"/>
        <w:rPr>
          <w:lang w:val="en-GB"/>
        </w:rPr>
      </w:pPr>
      <w:bookmarkStart w:id="11" w:name="_Toc171804425"/>
      <w:r w:rsidRPr="0020339D">
        <w:rPr>
          <w:lang w:val="en-GB"/>
        </w:rPr>
        <w:t>Efficiency Ratios</w:t>
      </w:r>
      <w:bookmarkEnd w:id="11"/>
    </w:p>
    <w:tbl>
      <w:tblPr>
        <w:tblStyle w:val="a2"/>
        <w:tblW w:w="9345" w:type="dxa"/>
        <w:tblBorders>
          <w:top w:val="nil"/>
          <w:left w:val="nil"/>
          <w:bottom w:val="nil"/>
          <w:right w:val="nil"/>
          <w:insideH w:val="nil"/>
          <w:insideV w:val="nil"/>
        </w:tblBorders>
        <w:tblLayout w:type="fixed"/>
        <w:tblLook w:val="0600" w:firstRow="0" w:lastRow="0" w:firstColumn="0" w:lastColumn="0" w:noHBand="1" w:noVBand="1"/>
      </w:tblPr>
      <w:tblGrid>
        <w:gridCol w:w="2040"/>
        <w:gridCol w:w="1020"/>
        <w:gridCol w:w="1050"/>
        <w:gridCol w:w="780"/>
        <w:gridCol w:w="780"/>
        <w:gridCol w:w="915"/>
        <w:gridCol w:w="2760"/>
      </w:tblGrid>
      <w:tr w:rsidR="00410BA5" w:rsidRPr="0020339D" w14:paraId="64A291C8" w14:textId="77777777">
        <w:trPr>
          <w:trHeight w:val="315"/>
        </w:trPr>
        <w:tc>
          <w:tcPr>
            <w:tcW w:w="2040" w:type="dxa"/>
            <w:tcBorders>
              <w:top w:val="single" w:sz="6" w:space="0" w:color="000000"/>
              <w:left w:val="single" w:sz="6" w:space="0" w:color="000000"/>
              <w:bottom w:val="single" w:sz="6" w:space="0" w:color="000000"/>
              <w:right w:val="single" w:sz="6" w:space="0" w:color="000000"/>
            </w:tcBorders>
            <w:shd w:val="clear" w:color="auto" w:fill="D5A6BD"/>
            <w:tcMar>
              <w:top w:w="0" w:type="dxa"/>
              <w:left w:w="40" w:type="dxa"/>
              <w:bottom w:w="0" w:type="dxa"/>
              <w:right w:w="40" w:type="dxa"/>
            </w:tcMar>
            <w:vAlign w:val="bottom"/>
          </w:tcPr>
          <w:p w14:paraId="69FF6967" w14:textId="77777777" w:rsidR="00410BA5" w:rsidRPr="0020339D" w:rsidRDefault="00C55C36">
            <w:pPr>
              <w:widowControl w:val="0"/>
              <w:spacing w:before="0" w:after="0" w:line="276" w:lineRule="auto"/>
              <w:jc w:val="center"/>
              <w:rPr>
                <w:rFonts w:ascii="Arial" w:eastAsia="Arial" w:hAnsi="Arial" w:cs="Arial"/>
                <w:sz w:val="20"/>
                <w:szCs w:val="20"/>
                <w:lang w:val="en-GB"/>
              </w:rPr>
            </w:pPr>
            <w:r w:rsidRPr="0020339D">
              <w:rPr>
                <w:b/>
                <w:lang w:val="en-GB"/>
              </w:rPr>
              <w:t>Efficiency Ratios</w:t>
            </w:r>
          </w:p>
        </w:tc>
        <w:tc>
          <w:tcPr>
            <w:tcW w:w="1020" w:type="dxa"/>
            <w:tcBorders>
              <w:top w:val="single" w:sz="6" w:space="0" w:color="000000"/>
              <w:left w:val="single" w:sz="6" w:space="0" w:color="CCCCCC"/>
              <w:bottom w:val="single" w:sz="6" w:space="0" w:color="000000"/>
              <w:right w:val="single" w:sz="6" w:space="0" w:color="000000"/>
            </w:tcBorders>
            <w:shd w:val="clear" w:color="auto" w:fill="D5A6BD"/>
            <w:tcMar>
              <w:top w:w="0" w:type="dxa"/>
              <w:left w:w="40" w:type="dxa"/>
              <w:bottom w:w="0" w:type="dxa"/>
              <w:right w:w="40" w:type="dxa"/>
            </w:tcMar>
            <w:vAlign w:val="bottom"/>
          </w:tcPr>
          <w:p w14:paraId="067B9154" w14:textId="77777777" w:rsidR="00410BA5" w:rsidRPr="0020339D" w:rsidRDefault="00410BA5">
            <w:pPr>
              <w:widowControl w:val="0"/>
              <w:spacing w:before="0" w:after="0" w:line="276" w:lineRule="auto"/>
              <w:jc w:val="left"/>
              <w:rPr>
                <w:rFonts w:ascii="Arial" w:eastAsia="Arial" w:hAnsi="Arial" w:cs="Arial"/>
                <w:sz w:val="20"/>
                <w:szCs w:val="20"/>
                <w:lang w:val="en-GB"/>
              </w:rPr>
            </w:pPr>
          </w:p>
        </w:tc>
        <w:tc>
          <w:tcPr>
            <w:tcW w:w="3525" w:type="dxa"/>
            <w:gridSpan w:val="4"/>
            <w:tcBorders>
              <w:top w:val="single" w:sz="6" w:space="0" w:color="000000"/>
              <w:left w:val="single" w:sz="6" w:space="0" w:color="CCCCCC"/>
              <w:bottom w:val="single" w:sz="6" w:space="0" w:color="000000"/>
              <w:right w:val="single" w:sz="6" w:space="0" w:color="000000"/>
            </w:tcBorders>
            <w:shd w:val="clear" w:color="auto" w:fill="D5A6BD"/>
            <w:tcMar>
              <w:top w:w="0" w:type="dxa"/>
              <w:left w:w="40" w:type="dxa"/>
              <w:bottom w:w="0" w:type="dxa"/>
              <w:right w:w="40" w:type="dxa"/>
            </w:tcMar>
            <w:vAlign w:val="bottom"/>
          </w:tcPr>
          <w:p w14:paraId="4D82EF20" w14:textId="77777777" w:rsidR="00410BA5" w:rsidRPr="0020339D" w:rsidRDefault="00C55C36">
            <w:pPr>
              <w:widowControl w:val="0"/>
              <w:spacing w:before="0" w:after="0" w:line="276" w:lineRule="auto"/>
              <w:jc w:val="center"/>
              <w:rPr>
                <w:rFonts w:ascii="Arial" w:eastAsia="Arial" w:hAnsi="Arial" w:cs="Arial"/>
                <w:sz w:val="20"/>
                <w:szCs w:val="20"/>
                <w:lang w:val="en-GB"/>
              </w:rPr>
            </w:pPr>
            <w:r w:rsidRPr="0020339D">
              <w:rPr>
                <w:b/>
                <w:lang w:val="en-GB"/>
              </w:rPr>
              <w:t xml:space="preserve">Johnson &amp; Johnson </w:t>
            </w:r>
          </w:p>
        </w:tc>
        <w:tc>
          <w:tcPr>
            <w:tcW w:w="2760" w:type="dxa"/>
            <w:tcBorders>
              <w:top w:val="single" w:sz="6" w:space="0" w:color="000000"/>
              <w:left w:val="single" w:sz="6" w:space="0" w:color="CCCCCC"/>
              <w:bottom w:val="single" w:sz="6" w:space="0" w:color="000000"/>
              <w:right w:val="single" w:sz="6" w:space="0" w:color="000000"/>
            </w:tcBorders>
            <w:shd w:val="clear" w:color="auto" w:fill="D5A6BD"/>
            <w:tcMar>
              <w:top w:w="0" w:type="dxa"/>
              <w:left w:w="40" w:type="dxa"/>
              <w:bottom w:w="0" w:type="dxa"/>
              <w:right w:w="40" w:type="dxa"/>
            </w:tcMar>
            <w:vAlign w:val="bottom"/>
          </w:tcPr>
          <w:p w14:paraId="331C6D87" w14:textId="77777777" w:rsidR="00410BA5" w:rsidRPr="0020339D" w:rsidRDefault="00410BA5">
            <w:pPr>
              <w:widowControl w:val="0"/>
              <w:spacing w:before="0" w:after="0" w:line="276" w:lineRule="auto"/>
              <w:jc w:val="left"/>
              <w:rPr>
                <w:rFonts w:ascii="Arial" w:eastAsia="Arial" w:hAnsi="Arial" w:cs="Arial"/>
                <w:sz w:val="20"/>
                <w:szCs w:val="20"/>
                <w:lang w:val="en-GB"/>
              </w:rPr>
            </w:pPr>
          </w:p>
        </w:tc>
      </w:tr>
      <w:tr w:rsidR="00410BA5" w:rsidRPr="0020339D" w14:paraId="1C8E3160" w14:textId="77777777">
        <w:trPr>
          <w:trHeight w:val="315"/>
        </w:trPr>
        <w:tc>
          <w:tcPr>
            <w:tcW w:w="2040" w:type="dxa"/>
            <w:tcBorders>
              <w:top w:val="single" w:sz="6" w:space="0" w:color="CCCCCC"/>
              <w:left w:val="single" w:sz="6" w:space="0" w:color="000000"/>
              <w:bottom w:val="single" w:sz="6" w:space="0" w:color="000000"/>
              <w:right w:val="single" w:sz="6" w:space="0" w:color="000000"/>
            </w:tcBorders>
            <w:shd w:val="clear" w:color="auto" w:fill="FBBC04"/>
            <w:tcMar>
              <w:top w:w="0" w:type="dxa"/>
              <w:left w:w="40" w:type="dxa"/>
              <w:bottom w:w="0" w:type="dxa"/>
              <w:right w:w="40" w:type="dxa"/>
            </w:tcMar>
            <w:vAlign w:val="bottom"/>
          </w:tcPr>
          <w:p w14:paraId="4BBF9945" w14:textId="77777777" w:rsidR="00410BA5" w:rsidRPr="0020339D" w:rsidRDefault="00410BA5">
            <w:pPr>
              <w:widowControl w:val="0"/>
              <w:spacing w:before="0" w:after="0" w:line="276" w:lineRule="auto"/>
              <w:jc w:val="left"/>
              <w:rPr>
                <w:rFonts w:ascii="Arial" w:eastAsia="Arial" w:hAnsi="Arial" w:cs="Arial"/>
                <w:sz w:val="20"/>
                <w:szCs w:val="20"/>
                <w:lang w:val="en-GB"/>
              </w:rPr>
            </w:pPr>
          </w:p>
        </w:tc>
        <w:tc>
          <w:tcPr>
            <w:tcW w:w="1020" w:type="dxa"/>
            <w:tcBorders>
              <w:top w:val="single" w:sz="6" w:space="0" w:color="CCCCCC"/>
              <w:left w:val="single" w:sz="6" w:space="0" w:color="CCCCCC"/>
              <w:bottom w:val="single" w:sz="6" w:space="0" w:color="000000"/>
              <w:right w:val="single" w:sz="6" w:space="0" w:color="000000"/>
            </w:tcBorders>
            <w:shd w:val="clear" w:color="auto" w:fill="FBBC04"/>
            <w:tcMar>
              <w:top w:w="0" w:type="dxa"/>
              <w:left w:w="40" w:type="dxa"/>
              <w:bottom w:w="0" w:type="dxa"/>
              <w:right w:w="40" w:type="dxa"/>
            </w:tcMar>
            <w:vAlign w:val="bottom"/>
          </w:tcPr>
          <w:p w14:paraId="1067D053" w14:textId="77777777" w:rsidR="00410BA5" w:rsidRPr="0020339D" w:rsidRDefault="00C55C36">
            <w:pPr>
              <w:widowControl w:val="0"/>
              <w:spacing w:before="0" w:after="0" w:line="276" w:lineRule="auto"/>
              <w:jc w:val="center"/>
              <w:rPr>
                <w:rFonts w:ascii="Arial" w:eastAsia="Arial" w:hAnsi="Arial" w:cs="Arial"/>
                <w:sz w:val="20"/>
                <w:szCs w:val="20"/>
                <w:lang w:val="en-GB"/>
              </w:rPr>
            </w:pPr>
            <w:r w:rsidRPr="0020339D">
              <w:rPr>
                <w:b/>
                <w:lang w:val="en-GB"/>
              </w:rPr>
              <w:t>2023</w:t>
            </w:r>
          </w:p>
        </w:tc>
        <w:tc>
          <w:tcPr>
            <w:tcW w:w="1050" w:type="dxa"/>
            <w:tcBorders>
              <w:top w:val="single" w:sz="6" w:space="0" w:color="CCCCCC"/>
              <w:left w:val="single" w:sz="6" w:space="0" w:color="CCCCCC"/>
              <w:bottom w:val="single" w:sz="6" w:space="0" w:color="000000"/>
              <w:right w:val="single" w:sz="6" w:space="0" w:color="000000"/>
            </w:tcBorders>
            <w:shd w:val="clear" w:color="auto" w:fill="FBBC04"/>
            <w:tcMar>
              <w:top w:w="0" w:type="dxa"/>
              <w:left w:w="40" w:type="dxa"/>
              <w:bottom w:w="0" w:type="dxa"/>
              <w:right w:w="40" w:type="dxa"/>
            </w:tcMar>
            <w:vAlign w:val="bottom"/>
          </w:tcPr>
          <w:p w14:paraId="79AFB4F9" w14:textId="77777777" w:rsidR="00410BA5" w:rsidRPr="0020339D" w:rsidRDefault="00C55C36">
            <w:pPr>
              <w:widowControl w:val="0"/>
              <w:spacing w:before="0" w:after="0" w:line="276" w:lineRule="auto"/>
              <w:jc w:val="center"/>
              <w:rPr>
                <w:rFonts w:ascii="Arial" w:eastAsia="Arial" w:hAnsi="Arial" w:cs="Arial"/>
                <w:sz w:val="20"/>
                <w:szCs w:val="20"/>
                <w:lang w:val="en-GB"/>
              </w:rPr>
            </w:pPr>
            <w:r w:rsidRPr="0020339D">
              <w:rPr>
                <w:b/>
                <w:lang w:val="en-GB"/>
              </w:rPr>
              <w:t>2022</w:t>
            </w:r>
          </w:p>
        </w:tc>
        <w:tc>
          <w:tcPr>
            <w:tcW w:w="780" w:type="dxa"/>
            <w:tcBorders>
              <w:top w:val="single" w:sz="6" w:space="0" w:color="CCCCCC"/>
              <w:left w:val="single" w:sz="6" w:space="0" w:color="CCCCCC"/>
              <w:bottom w:val="single" w:sz="6" w:space="0" w:color="000000"/>
              <w:right w:val="single" w:sz="6" w:space="0" w:color="000000"/>
            </w:tcBorders>
            <w:shd w:val="clear" w:color="auto" w:fill="FBBC04"/>
            <w:tcMar>
              <w:top w:w="0" w:type="dxa"/>
              <w:left w:w="40" w:type="dxa"/>
              <w:bottom w:w="0" w:type="dxa"/>
              <w:right w:w="40" w:type="dxa"/>
            </w:tcMar>
            <w:vAlign w:val="bottom"/>
          </w:tcPr>
          <w:p w14:paraId="64BEB6D5" w14:textId="77777777" w:rsidR="00410BA5" w:rsidRPr="0020339D" w:rsidRDefault="00C55C36">
            <w:pPr>
              <w:widowControl w:val="0"/>
              <w:spacing w:before="0" w:after="0" w:line="276" w:lineRule="auto"/>
              <w:jc w:val="center"/>
              <w:rPr>
                <w:rFonts w:ascii="Arial" w:eastAsia="Arial" w:hAnsi="Arial" w:cs="Arial"/>
                <w:sz w:val="20"/>
                <w:szCs w:val="20"/>
                <w:lang w:val="en-GB"/>
              </w:rPr>
            </w:pPr>
            <w:r w:rsidRPr="0020339D">
              <w:rPr>
                <w:b/>
                <w:lang w:val="en-GB"/>
              </w:rPr>
              <w:t>2021</w:t>
            </w:r>
          </w:p>
        </w:tc>
        <w:tc>
          <w:tcPr>
            <w:tcW w:w="780" w:type="dxa"/>
            <w:tcBorders>
              <w:top w:val="single" w:sz="6" w:space="0" w:color="CCCCCC"/>
              <w:left w:val="single" w:sz="6" w:space="0" w:color="CCCCCC"/>
              <w:bottom w:val="single" w:sz="6" w:space="0" w:color="000000"/>
              <w:right w:val="single" w:sz="6" w:space="0" w:color="000000"/>
            </w:tcBorders>
            <w:shd w:val="clear" w:color="auto" w:fill="FBBC04"/>
            <w:tcMar>
              <w:top w:w="0" w:type="dxa"/>
              <w:left w:w="40" w:type="dxa"/>
              <w:bottom w:w="0" w:type="dxa"/>
              <w:right w:w="40" w:type="dxa"/>
            </w:tcMar>
            <w:vAlign w:val="bottom"/>
          </w:tcPr>
          <w:p w14:paraId="0378E552" w14:textId="77777777" w:rsidR="00410BA5" w:rsidRPr="0020339D" w:rsidRDefault="00C55C36">
            <w:pPr>
              <w:widowControl w:val="0"/>
              <w:spacing w:before="0" w:after="0" w:line="276" w:lineRule="auto"/>
              <w:jc w:val="center"/>
              <w:rPr>
                <w:rFonts w:ascii="Arial" w:eastAsia="Arial" w:hAnsi="Arial" w:cs="Arial"/>
                <w:sz w:val="20"/>
                <w:szCs w:val="20"/>
                <w:lang w:val="en-GB"/>
              </w:rPr>
            </w:pPr>
            <w:r w:rsidRPr="0020339D">
              <w:rPr>
                <w:b/>
                <w:lang w:val="en-GB"/>
              </w:rPr>
              <w:t>2020</w:t>
            </w:r>
          </w:p>
        </w:tc>
        <w:tc>
          <w:tcPr>
            <w:tcW w:w="915" w:type="dxa"/>
            <w:tcBorders>
              <w:top w:val="single" w:sz="6" w:space="0" w:color="CCCCCC"/>
              <w:left w:val="single" w:sz="6" w:space="0" w:color="CCCCCC"/>
              <w:bottom w:val="single" w:sz="6" w:space="0" w:color="000000"/>
              <w:right w:val="single" w:sz="6" w:space="0" w:color="000000"/>
            </w:tcBorders>
            <w:shd w:val="clear" w:color="auto" w:fill="FBBC04"/>
            <w:tcMar>
              <w:top w:w="0" w:type="dxa"/>
              <w:left w:w="40" w:type="dxa"/>
              <w:bottom w:w="0" w:type="dxa"/>
              <w:right w:w="40" w:type="dxa"/>
            </w:tcMar>
            <w:vAlign w:val="bottom"/>
          </w:tcPr>
          <w:p w14:paraId="50022965" w14:textId="77777777" w:rsidR="00410BA5" w:rsidRPr="0020339D" w:rsidRDefault="00C55C36">
            <w:pPr>
              <w:widowControl w:val="0"/>
              <w:spacing w:before="0" w:after="0" w:line="276" w:lineRule="auto"/>
              <w:jc w:val="center"/>
              <w:rPr>
                <w:rFonts w:ascii="Arial" w:eastAsia="Arial" w:hAnsi="Arial" w:cs="Arial"/>
                <w:sz w:val="20"/>
                <w:szCs w:val="20"/>
                <w:lang w:val="en-GB"/>
              </w:rPr>
            </w:pPr>
            <w:r w:rsidRPr="0020339D">
              <w:rPr>
                <w:b/>
                <w:lang w:val="en-GB"/>
              </w:rPr>
              <w:t>2019</w:t>
            </w:r>
          </w:p>
        </w:tc>
        <w:tc>
          <w:tcPr>
            <w:tcW w:w="2760" w:type="dxa"/>
            <w:tcBorders>
              <w:top w:val="single" w:sz="6" w:space="0" w:color="CCCCCC"/>
              <w:left w:val="single" w:sz="6" w:space="0" w:color="CCCCCC"/>
              <w:bottom w:val="single" w:sz="6" w:space="0" w:color="000000"/>
              <w:right w:val="single" w:sz="6" w:space="0" w:color="000000"/>
            </w:tcBorders>
            <w:shd w:val="clear" w:color="auto" w:fill="FBBC04"/>
            <w:tcMar>
              <w:top w:w="0" w:type="dxa"/>
              <w:left w:w="40" w:type="dxa"/>
              <w:bottom w:w="0" w:type="dxa"/>
              <w:right w:w="40" w:type="dxa"/>
            </w:tcMar>
            <w:vAlign w:val="bottom"/>
          </w:tcPr>
          <w:p w14:paraId="7DFAE0C7" w14:textId="77777777" w:rsidR="00410BA5" w:rsidRPr="0020339D" w:rsidRDefault="00C55C36">
            <w:pPr>
              <w:widowControl w:val="0"/>
              <w:spacing w:before="0" w:after="0" w:line="276" w:lineRule="auto"/>
              <w:jc w:val="center"/>
              <w:rPr>
                <w:rFonts w:ascii="Arial" w:eastAsia="Arial" w:hAnsi="Arial" w:cs="Arial"/>
                <w:sz w:val="20"/>
                <w:szCs w:val="20"/>
                <w:lang w:val="en-GB"/>
              </w:rPr>
            </w:pPr>
            <w:r w:rsidRPr="0020339D">
              <w:rPr>
                <w:b/>
                <w:lang w:val="en-GB"/>
              </w:rPr>
              <w:t>Formulas</w:t>
            </w:r>
          </w:p>
        </w:tc>
      </w:tr>
      <w:tr w:rsidR="00410BA5" w:rsidRPr="0020339D" w14:paraId="666A0EB2" w14:textId="77777777">
        <w:trPr>
          <w:trHeight w:val="315"/>
        </w:trPr>
        <w:tc>
          <w:tcPr>
            <w:tcW w:w="2040" w:type="dxa"/>
            <w:tcBorders>
              <w:top w:val="single" w:sz="6" w:space="0" w:color="CCCCCC"/>
              <w:left w:val="single" w:sz="6" w:space="0" w:color="000000"/>
              <w:bottom w:val="single" w:sz="6" w:space="0" w:color="000000"/>
              <w:right w:val="single" w:sz="6" w:space="0" w:color="000000"/>
            </w:tcBorders>
            <w:shd w:val="clear" w:color="auto" w:fill="EFEFEF"/>
            <w:tcMar>
              <w:top w:w="0" w:type="dxa"/>
              <w:left w:w="40" w:type="dxa"/>
              <w:bottom w:w="0" w:type="dxa"/>
              <w:right w:w="40" w:type="dxa"/>
            </w:tcMar>
            <w:vAlign w:val="bottom"/>
          </w:tcPr>
          <w:p w14:paraId="1608E5C0" w14:textId="77777777" w:rsidR="00410BA5" w:rsidRPr="0020339D" w:rsidRDefault="00C55C36">
            <w:pPr>
              <w:widowControl w:val="0"/>
              <w:spacing w:before="0" w:after="0" w:line="276" w:lineRule="auto"/>
              <w:jc w:val="left"/>
              <w:rPr>
                <w:rFonts w:ascii="Arial" w:eastAsia="Arial" w:hAnsi="Arial" w:cs="Arial"/>
                <w:sz w:val="20"/>
                <w:szCs w:val="20"/>
                <w:lang w:val="en-GB"/>
              </w:rPr>
            </w:pPr>
            <w:r w:rsidRPr="0020339D">
              <w:rPr>
                <w:b/>
                <w:lang w:val="en-GB"/>
              </w:rPr>
              <w:t>Inventory Days</w:t>
            </w:r>
          </w:p>
        </w:tc>
        <w:tc>
          <w:tcPr>
            <w:tcW w:w="1020" w:type="dxa"/>
            <w:tcBorders>
              <w:top w:val="single" w:sz="6" w:space="0" w:color="CCCCCC"/>
              <w:left w:val="single" w:sz="6" w:space="0" w:color="CCCCCC"/>
              <w:bottom w:val="single" w:sz="6" w:space="0" w:color="000000"/>
              <w:right w:val="single" w:sz="6" w:space="0" w:color="000000"/>
            </w:tcBorders>
            <w:shd w:val="clear" w:color="auto" w:fill="EFEFEF"/>
            <w:tcMar>
              <w:top w:w="0" w:type="dxa"/>
              <w:left w:w="40" w:type="dxa"/>
              <w:bottom w:w="0" w:type="dxa"/>
              <w:right w:w="40" w:type="dxa"/>
            </w:tcMar>
            <w:vAlign w:val="bottom"/>
          </w:tcPr>
          <w:p w14:paraId="6E62C13A" w14:textId="77777777" w:rsidR="00410BA5" w:rsidRPr="0020339D" w:rsidRDefault="00C55C36">
            <w:pPr>
              <w:widowControl w:val="0"/>
              <w:spacing w:before="0" w:after="0" w:line="276" w:lineRule="auto"/>
              <w:jc w:val="left"/>
              <w:rPr>
                <w:rFonts w:ascii="Arial" w:eastAsia="Arial" w:hAnsi="Arial" w:cs="Arial"/>
                <w:sz w:val="20"/>
                <w:szCs w:val="20"/>
                <w:lang w:val="en-GB"/>
              </w:rPr>
            </w:pPr>
            <w:r w:rsidRPr="0020339D">
              <w:rPr>
                <w:lang w:val="en-GB"/>
              </w:rPr>
              <w:t>154 Days</w:t>
            </w:r>
          </w:p>
        </w:tc>
        <w:tc>
          <w:tcPr>
            <w:tcW w:w="1050" w:type="dxa"/>
            <w:tcBorders>
              <w:top w:val="single" w:sz="6" w:space="0" w:color="CCCCCC"/>
              <w:left w:val="single" w:sz="6" w:space="0" w:color="CCCCCC"/>
              <w:bottom w:val="single" w:sz="6" w:space="0" w:color="000000"/>
              <w:right w:val="single" w:sz="6" w:space="0" w:color="000000"/>
            </w:tcBorders>
            <w:shd w:val="clear" w:color="auto" w:fill="EFEFEF"/>
            <w:tcMar>
              <w:top w:w="0" w:type="dxa"/>
              <w:left w:w="40" w:type="dxa"/>
              <w:bottom w:w="0" w:type="dxa"/>
              <w:right w:w="40" w:type="dxa"/>
            </w:tcMar>
            <w:vAlign w:val="bottom"/>
          </w:tcPr>
          <w:p w14:paraId="5D9BBD0A" w14:textId="77777777" w:rsidR="00410BA5" w:rsidRPr="0020339D" w:rsidRDefault="00C55C36">
            <w:pPr>
              <w:widowControl w:val="0"/>
              <w:spacing w:before="0" w:after="0" w:line="276" w:lineRule="auto"/>
              <w:jc w:val="left"/>
              <w:rPr>
                <w:rFonts w:ascii="Arial" w:eastAsia="Arial" w:hAnsi="Arial" w:cs="Arial"/>
                <w:sz w:val="20"/>
                <w:szCs w:val="20"/>
                <w:lang w:val="en-GB"/>
              </w:rPr>
            </w:pPr>
            <w:r w:rsidRPr="0020339D">
              <w:rPr>
                <w:lang w:val="en-GB"/>
              </w:rPr>
              <w:t>147 Days</w:t>
            </w:r>
          </w:p>
        </w:tc>
        <w:tc>
          <w:tcPr>
            <w:tcW w:w="780" w:type="dxa"/>
            <w:tcBorders>
              <w:top w:val="single" w:sz="6" w:space="0" w:color="CCCCCC"/>
              <w:left w:val="single" w:sz="6" w:space="0" w:color="CCCCCC"/>
              <w:bottom w:val="single" w:sz="6" w:space="0" w:color="000000"/>
              <w:right w:val="single" w:sz="6" w:space="0" w:color="000000"/>
            </w:tcBorders>
            <w:shd w:val="clear" w:color="auto" w:fill="EFEFEF"/>
            <w:tcMar>
              <w:top w:w="0" w:type="dxa"/>
              <w:left w:w="40" w:type="dxa"/>
              <w:bottom w:w="0" w:type="dxa"/>
              <w:right w:w="40" w:type="dxa"/>
            </w:tcMar>
            <w:vAlign w:val="bottom"/>
          </w:tcPr>
          <w:p w14:paraId="3AB002EC" w14:textId="77777777" w:rsidR="00410BA5" w:rsidRPr="0020339D" w:rsidRDefault="00C55C36">
            <w:pPr>
              <w:widowControl w:val="0"/>
              <w:spacing w:before="0" w:after="0" w:line="276" w:lineRule="auto"/>
              <w:jc w:val="left"/>
              <w:rPr>
                <w:rFonts w:ascii="Arial" w:eastAsia="Arial" w:hAnsi="Arial" w:cs="Arial"/>
                <w:sz w:val="20"/>
                <w:szCs w:val="20"/>
                <w:lang w:val="en-GB"/>
              </w:rPr>
            </w:pPr>
            <w:r w:rsidRPr="0020339D">
              <w:rPr>
                <w:lang w:val="en-GB"/>
              </w:rPr>
              <w:t>127 Days</w:t>
            </w:r>
          </w:p>
        </w:tc>
        <w:tc>
          <w:tcPr>
            <w:tcW w:w="780" w:type="dxa"/>
            <w:tcBorders>
              <w:top w:val="single" w:sz="6" w:space="0" w:color="CCCCCC"/>
              <w:left w:val="single" w:sz="6" w:space="0" w:color="CCCCCC"/>
              <w:bottom w:val="single" w:sz="6" w:space="0" w:color="000000"/>
              <w:right w:val="single" w:sz="6" w:space="0" w:color="000000"/>
            </w:tcBorders>
            <w:shd w:val="clear" w:color="auto" w:fill="EFEFEF"/>
            <w:tcMar>
              <w:top w:w="0" w:type="dxa"/>
              <w:left w:w="40" w:type="dxa"/>
              <w:bottom w:w="0" w:type="dxa"/>
              <w:right w:w="40" w:type="dxa"/>
            </w:tcMar>
            <w:vAlign w:val="bottom"/>
          </w:tcPr>
          <w:p w14:paraId="0D6CECDB" w14:textId="77777777" w:rsidR="00410BA5" w:rsidRPr="0020339D" w:rsidRDefault="00C55C36">
            <w:pPr>
              <w:widowControl w:val="0"/>
              <w:spacing w:before="0" w:after="0" w:line="276" w:lineRule="auto"/>
              <w:jc w:val="left"/>
              <w:rPr>
                <w:rFonts w:ascii="Arial" w:eastAsia="Arial" w:hAnsi="Arial" w:cs="Arial"/>
                <w:sz w:val="20"/>
                <w:szCs w:val="20"/>
                <w:lang w:val="en-GB"/>
              </w:rPr>
            </w:pPr>
            <w:r w:rsidRPr="0020339D">
              <w:rPr>
                <w:lang w:val="en-GB"/>
              </w:rPr>
              <w:t>120 Days</w:t>
            </w:r>
          </w:p>
        </w:tc>
        <w:tc>
          <w:tcPr>
            <w:tcW w:w="915" w:type="dxa"/>
            <w:tcBorders>
              <w:top w:val="single" w:sz="6" w:space="0" w:color="CCCCCC"/>
              <w:left w:val="single" w:sz="6" w:space="0" w:color="CCCCCC"/>
              <w:bottom w:val="single" w:sz="6" w:space="0" w:color="000000"/>
              <w:right w:val="single" w:sz="6" w:space="0" w:color="000000"/>
            </w:tcBorders>
            <w:shd w:val="clear" w:color="auto" w:fill="EFEFEF"/>
            <w:tcMar>
              <w:top w:w="0" w:type="dxa"/>
              <w:left w:w="40" w:type="dxa"/>
              <w:bottom w:w="0" w:type="dxa"/>
              <w:right w:w="40" w:type="dxa"/>
            </w:tcMar>
            <w:vAlign w:val="bottom"/>
          </w:tcPr>
          <w:p w14:paraId="26C74E39" w14:textId="77777777" w:rsidR="00410BA5" w:rsidRPr="0020339D" w:rsidRDefault="00C55C36">
            <w:pPr>
              <w:widowControl w:val="0"/>
              <w:spacing w:before="0" w:after="0" w:line="276" w:lineRule="auto"/>
              <w:jc w:val="left"/>
              <w:rPr>
                <w:rFonts w:ascii="Arial" w:eastAsia="Arial" w:hAnsi="Arial" w:cs="Arial"/>
                <w:sz w:val="20"/>
                <w:szCs w:val="20"/>
                <w:lang w:val="en-GB"/>
              </w:rPr>
            </w:pPr>
            <w:r w:rsidRPr="0020339D">
              <w:rPr>
                <w:lang w:val="en-GB"/>
              </w:rPr>
              <w:t>119 Days</w:t>
            </w:r>
          </w:p>
        </w:tc>
        <w:tc>
          <w:tcPr>
            <w:tcW w:w="2760" w:type="dxa"/>
            <w:tcBorders>
              <w:top w:val="single" w:sz="6" w:space="0" w:color="CCCCCC"/>
              <w:left w:val="single" w:sz="6" w:space="0" w:color="CCCCCC"/>
              <w:bottom w:val="single" w:sz="6" w:space="0" w:color="000000"/>
              <w:right w:val="single" w:sz="6" w:space="0" w:color="000000"/>
            </w:tcBorders>
            <w:shd w:val="clear" w:color="auto" w:fill="EFEFEF"/>
            <w:tcMar>
              <w:top w:w="0" w:type="dxa"/>
              <w:left w:w="40" w:type="dxa"/>
              <w:bottom w:w="0" w:type="dxa"/>
              <w:right w:w="40" w:type="dxa"/>
            </w:tcMar>
            <w:vAlign w:val="bottom"/>
          </w:tcPr>
          <w:p w14:paraId="4710B12E" w14:textId="77777777" w:rsidR="00410BA5" w:rsidRPr="0020339D" w:rsidRDefault="00C55C36">
            <w:pPr>
              <w:widowControl w:val="0"/>
              <w:spacing w:before="0" w:after="0" w:line="276" w:lineRule="auto"/>
              <w:jc w:val="left"/>
              <w:rPr>
                <w:rFonts w:ascii="Arial" w:eastAsia="Arial" w:hAnsi="Arial" w:cs="Arial"/>
                <w:sz w:val="20"/>
                <w:szCs w:val="20"/>
                <w:lang w:val="en-GB"/>
              </w:rPr>
            </w:pPr>
            <w:r w:rsidRPr="0020339D">
              <w:rPr>
                <w:lang w:val="en-GB"/>
              </w:rPr>
              <w:t>“(Inventories/Cost of Sales)” x 365</w:t>
            </w:r>
          </w:p>
        </w:tc>
      </w:tr>
      <w:tr w:rsidR="00410BA5" w:rsidRPr="0020339D" w14:paraId="5FF9DA8A" w14:textId="77777777">
        <w:trPr>
          <w:trHeight w:val="315"/>
        </w:trPr>
        <w:tc>
          <w:tcPr>
            <w:tcW w:w="2040" w:type="dxa"/>
            <w:tcBorders>
              <w:top w:val="single" w:sz="6" w:space="0" w:color="CCCCCC"/>
              <w:left w:val="single" w:sz="6" w:space="0" w:color="000000"/>
              <w:bottom w:val="single" w:sz="6" w:space="0" w:color="000000"/>
              <w:right w:val="single" w:sz="6" w:space="0" w:color="000000"/>
            </w:tcBorders>
            <w:shd w:val="clear" w:color="auto" w:fill="EFEFEF"/>
            <w:tcMar>
              <w:top w:w="0" w:type="dxa"/>
              <w:left w:w="40" w:type="dxa"/>
              <w:bottom w:w="0" w:type="dxa"/>
              <w:right w:w="40" w:type="dxa"/>
            </w:tcMar>
            <w:vAlign w:val="bottom"/>
          </w:tcPr>
          <w:p w14:paraId="0DC2AC77" w14:textId="77777777" w:rsidR="00410BA5" w:rsidRPr="0020339D" w:rsidRDefault="00C55C36">
            <w:pPr>
              <w:widowControl w:val="0"/>
              <w:spacing w:before="0" w:after="0" w:line="276" w:lineRule="auto"/>
              <w:jc w:val="left"/>
              <w:rPr>
                <w:rFonts w:ascii="Arial" w:eastAsia="Arial" w:hAnsi="Arial" w:cs="Arial"/>
                <w:sz w:val="20"/>
                <w:szCs w:val="20"/>
                <w:lang w:val="en-GB"/>
              </w:rPr>
            </w:pPr>
            <w:r w:rsidRPr="0020339D">
              <w:rPr>
                <w:b/>
                <w:lang w:val="en-GB"/>
              </w:rPr>
              <w:t>Account Receivable Days</w:t>
            </w:r>
          </w:p>
        </w:tc>
        <w:tc>
          <w:tcPr>
            <w:tcW w:w="1020" w:type="dxa"/>
            <w:tcBorders>
              <w:top w:val="single" w:sz="6" w:space="0" w:color="CCCCCC"/>
              <w:left w:val="single" w:sz="6" w:space="0" w:color="CCCCCC"/>
              <w:bottom w:val="single" w:sz="6" w:space="0" w:color="000000"/>
              <w:right w:val="single" w:sz="6" w:space="0" w:color="000000"/>
            </w:tcBorders>
            <w:shd w:val="clear" w:color="auto" w:fill="EFEFEF"/>
            <w:tcMar>
              <w:top w:w="0" w:type="dxa"/>
              <w:left w:w="40" w:type="dxa"/>
              <w:bottom w:w="0" w:type="dxa"/>
              <w:right w:w="40" w:type="dxa"/>
            </w:tcMar>
            <w:vAlign w:val="bottom"/>
          </w:tcPr>
          <w:p w14:paraId="005F16FE" w14:textId="77777777" w:rsidR="00410BA5" w:rsidRPr="0020339D" w:rsidRDefault="00C55C36">
            <w:pPr>
              <w:widowControl w:val="0"/>
              <w:spacing w:before="0" w:after="0" w:line="276" w:lineRule="auto"/>
              <w:jc w:val="left"/>
              <w:rPr>
                <w:rFonts w:ascii="Arial" w:eastAsia="Arial" w:hAnsi="Arial" w:cs="Arial"/>
                <w:sz w:val="20"/>
                <w:szCs w:val="20"/>
                <w:lang w:val="en-GB"/>
              </w:rPr>
            </w:pPr>
            <w:r w:rsidRPr="0020339D">
              <w:rPr>
                <w:lang w:val="en-GB"/>
              </w:rPr>
              <w:t>204 Days</w:t>
            </w:r>
          </w:p>
        </w:tc>
        <w:tc>
          <w:tcPr>
            <w:tcW w:w="1050" w:type="dxa"/>
            <w:tcBorders>
              <w:top w:val="single" w:sz="6" w:space="0" w:color="CCCCCC"/>
              <w:left w:val="single" w:sz="6" w:space="0" w:color="CCCCCC"/>
              <w:bottom w:val="single" w:sz="6" w:space="0" w:color="000000"/>
              <w:right w:val="single" w:sz="6" w:space="0" w:color="000000"/>
            </w:tcBorders>
            <w:shd w:val="clear" w:color="auto" w:fill="EFEFEF"/>
            <w:tcMar>
              <w:top w:w="0" w:type="dxa"/>
              <w:left w:w="40" w:type="dxa"/>
              <w:bottom w:w="0" w:type="dxa"/>
              <w:right w:w="40" w:type="dxa"/>
            </w:tcMar>
            <w:vAlign w:val="bottom"/>
          </w:tcPr>
          <w:p w14:paraId="5B01C5DE" w14:textId="77777777" w:rsidR="00410BA5" w:rsidRPr="0020339D" w:rsidRDefault="00C55C36">
            <w:pPr>
              <w:widowControl w:val="0"/>
              <w:spacing w:before="0" w:after="0" w:line="276" w:lineRule="auto"/>
              <w:jc w:val="left"/>
              <w:rPr>
                <w:rFonts w:ascii="Arial" w:eastAsia="Arial" w:hAnsi="Arial" w:cs="Arial"/>
                <w:sz w:val="20"/>
                <w:szCs w:val="20"/>
                <w:lang w:val="en-GB"/>
              </w:rPr>
            </w:pPr>
            <w:r w:rsidRPr="0020339D">
              <w:rPr>
                <w:lang w:val="en-GB"/>
              </w:rPr>
              <w:t>190 Days</w:t>
            </w:r>
          </w:p>
        </w:tc>
        <w:tc>
          <w:tcPr>
            <w:tcW w:w="780" w:type="dxa"/>
            <w:tcBorders>
              <w:top w:val="single" w:sz="6" w:space="0" w:color="CCCCCC"/>
              <w:left w:val="single" w:sz="6" w:space="0" w:color="CCCCCC"/>
              <w:bottom w:val="single" w:sz="6" w:space="0" w:color="000000"/>
              <w:right w:val="single" w:sz="6" w:space="0" w:color="000000"/>
            </w:tcBorders>
            <w:shd w:val="clear" w:color="auto" w:fill="EFEFEF"/>
            <w:tcMar>
              <w:top w:w="0" w:type="dxa"/>
              <w:left w:w="40" w:type="dxa"/>
              <w:bottom w:w="0" w:type="dxa"/>
              <w:right w:w="40" w:type="dxa"/>
            </w:tcMar>
            <w:vAlign w:val="bottom"/>
          </w:tcPr>
          <w:p w14:paraId="6E10CD4F" w14:textId="77777777" w:rsidR="00410BA5" w:rsidRPr="0020339D" w:rsidRDefault="00C55C36">
            <w:pPr>
              <w:widowControl w:val="0"/>
              <w:spacing w:before="0" w:after="0" w:line="276" w:lineRule="auto"/>
              <w:jc w:val="left"/>
              <w:rPr>
                <w:rFonts w:ascii="Arial" w:eastAsia="Arial" w:hAnsi="Arial" w:cs="Arial"/>
                <w:sz w:val="20"/>
                <w:szCs w:val="20"/>
                <w:lang w:val="en-GB"/>
              </w:rPr>
            </w:pPr>
            <w:r w:rsidRPr="0020339D">
              <w:rPr>
                <w:lang w:val="en-GB"/>
              </w:rPr>
              <w:t>187 Days</w:t>
            </w:r>
          </w:p>
        </w:tc>
        <w:tc>
          <w:tcPr>
            <w:tcW w:w="780" w:type="dxa"/>
            <w:tcBorders>
              <w:top w:val="single" w:sz="6" w:space="0" w:color="CCCCCC"/>
              <w:left w:val="single" w:sz="6" w:space="0" w:color="CCCCCC"/>
              <w:bottom w:val="single" w:sz="6" w:space="0" w:color="000000"/>
              <w:right w:val="single" w:sz="6" w:space="0" w:color="000000"/>
            </w:tcBorders>
            <w:shd w:val="clear" w:color="auto" w:fill="EFEFEF"/>
            <w:tcMar>
              <w:top w:w="0" w:type="dxa"/>
              <w:left w:w="40" w:type="dxa"/>
              <w:bottom w:w="0" w:type="dxa"/>
              <w:right w:w="40" w:type="dxa"/>
            </w:tcMar>
            <w:vAlign w:val="bottom"/>
          </w:tcPr>
          <w:p w14:paraId="15A13B00" w14:textId="77777777" w:rsidR="00410BA5" w:rsidRPr="0020339D" w:rsidRDefault="00C55C36">
            <w:pPr>
              <w:widowControl w:val="0"/>
              <w:spacing w:before="0" w:after="0" w:line="276" w:lineRule="auto"/>
              <w:jc w:val="left"/>
              <w:rPr>
                <w:rFonts w:ascii="Arial" w:eastAsia="Arial" w:hAnsi="Arial" w:cs="Arial"/>
                <w:sz w:val="20"/>
                <w:szCs w:val="20"/>
                <w:lang w:val="en-GB"/>
              </w:rPr>
            </w:pPr>
            <w:r w:rsidRPr="0020339D">
              <w:rPr>
                <w:lang w:val="en-GB"/>
              </w:rPr>
              <w:t>174 Days</w:t>
            </w:r>
          </w:p>
        </w:tc>
        <w:tc>
          <w:tcPr>
            <w:tcW w:w="915" w:type="dxa"/>
            <w:tcBorders>
              <w:top w:val="single" w:sz="6" w:space="0" w:color="CCCCCC"/>
              <w:left w:val="single" w:sz="6" w:space="0" w:color="CCCCCC"/>
              <w:bottom w:val="single" w:sz="6" w:space="0" w:color="000000"/>
              <w:right w:val="single" w:sz="6" w:space="0" w:color="000000"/>
            </w:tcBorders>
            <w:shd w:val="clear" w:color="auto" w:fill="EFEFEF"/>
            <w:tcMar>
              <w:top w:w="0" w:type="dxa"/>
              <w:left w:w="40" w:type="dxa"/>
              <w:bottom w:w="0" w:type="dxa"/>
              <w:right w:w="40" w:type="dxa"/>
            </w:tcMar>
            <w:vAlign w:val="bottom"/>
          </w:tcPr>
          <w:p w14:paraId="656126AB" w14:textId="77777777" w:rsidR="00410BA5" w:rsidRPr="0020339D" w:rsidRDefault="00C55C36">
            <w:pPr>
              <w:widowControl w:val="0"/>
              <w:spacing w:before="0" w:after="0" w:line="276" w:lineRule="auto"/>
              <w:jc w:val="left"/>
              <w:rPr>
                <w:rFonts w:ascii="Arial" w:eastAsia="Arial" w:hAnsi="Arial" w:cs="Arial"/>
                <w:sz w:val="20"/>
                <w:szCs w:val="20"/>
                <w:lang w:val="en-GB"/>
              </w:rPr>
            </w:pPr>
            <w:r w:rsidRPr="0020339D">
              <w:rPr>
                <w:lang w:val="en-GB"/>
              </w:rPr>
              <w:t>192 Days</w:t>
            </w:r>
          </w:p>
        </w:tc>
        <w:tc>
          <w:tcPr>
            <w:tcW w:w="2760" w:type="dxa"/>
            <w:tcBorders>
              <w:top w:val="single" w:sz="6" w:space="0" w:color="CCCCCC"/>
              <w:left w:val="single" w:sz="6" w:space="0" w:color="CCCCCC"/>
              <w:bottom w:val="single" w:sz="6" w:space="0" w:color="000000"/>
              <w:right w:val="single" w:sz="6" w:space="0" w:color="000000"/>
            </w:tcBorders>
            <w:shd w:val="clear" w:color="auto" w:fill="EFEFEF"/>
            <w:tcMar>
              <w:top w:w="0" w:type="dxa"/>
              <w:left w:w="40" w:type="dxa"/>
              <w:bottom w:w="0" w:type="dxa"/>
              <w:right w:w="40" w:type="dxa"/>
            </w:tcMar>
            <w:vAlign w:val="bottom"/>
          </w:tcPr>
          <w:p w14:paraId="5B156CC0" w14:textId="77777777" w:rsidR="00410BA5" w:rsidRPr="0020339D" w:rsidRDefault="00C55C36">
            <w:pPr>
              <w:widowControl w:val="0"/>
              <w:spacing w:before="0" w:after="0" w:line="276" w:lineRule="auto"/>
              <w:jc w:val="left"/>
              <w:rPr>
                <w:rFonts w:ascii="Arial" w:eastAsia="Arial" w:hAnsi="Arial" w:cs="Arial"/>
                <w:sz w:val="20"/>
                <w:szCs w:val="20"/>
                <w:lang w:val="en-GB"/>
              </w:rPr>
            </w:pPr>
            <w:r w:rsidRPr="0020339D">
              <w:rPr>
                <w:lang w:val="en-GB"/>
              </w:rPr>
              <w:t>“(Account Receivable/Cost of Sales)” x 365</w:t>
            </w:r>
          </w:p>
        </w:tc>
      </w:tr>
      <w:tr w:rsidR="00410BA5" w:rsidRPr="0020339D" w14:paraId="66DFB538" w14:textId="77777777">
        <w:trPr>
          <w:trHeight w:val="529"/>
        </w:trPr>
        <w:tc>
          <w:tcPr>
            <w:tcW w:w="2040" w:type="dxa"/>
            <w:tcBorders>
              <w:top w:val="single" w:sz="6" w:space="0" w:color="CCCCCC"/>
              <w:left w:val="single" w:sz="6" w:space="0" w:color="000000"/>
              <w:bottom w:val="single" w:sz="6" w:space="0" w:color="000000"/>
              <w:right w:val="single" w:sz="6" w:space="0" w:color="000000"/>
            </w:tcBorders>
            <w:shd w:val="clear" w:color="auto" w:fill="EFEFEF"/>
            <w:tcMar>
              <w:top w:w="0" w:type="dxa"/>
              <w:left w:w="40" w:type="dxa"/>
              <w:bottom w:w="0" w:type="dxa"/>
              <w:right w:w="40" w:type="dxa"/>
            </w:tcMar>
            <w:vAlign w:val="bottom"/>
          </w:tcPr>
          <w:p w14:paraId="0F41C357" w14:textId="77777777" w:rsidR="00410BA5" w:rsidRPr="0020339D" w:rsidRDefault="00C55C36">
            <w:pPr>
              <w:widowControl w:val="0"/>
              <w:spacing w:before="0" w:after="0" w:line="276" w:lineRule="auto"/>
              <w:jc w:val="left"/>
              <w:rPr>
                <w:rFonts w:ascii="Arial" w:eastAsia="Arial" w:hAnsi="Arial" w:cs="Arial"/>
                <w:sz w:val="20"/>
                <w:szCs w:val="20"/>
                <w:lang w:val="en-GB"/>
              </w:rPr>
            </w:pPr>
            <w:r w:rsidRPr="0020339D">
              <w:rPr>
                <w:b/>
                <w:lang w:val="en-GB"/>
              </w:rPr>
              <w:t>Account Payable Days</w:t>
            </w:r>
          </w:p>
        </w:tc>
        <w:tc>
          <w:tcPr>
            <w:tcW w:w="1020" w:type="dxa"/>
            <w:tcBorders>
              <w:top w:val="single" w:sz="6" w:space="0" w:color="CCCCCC"/>
              <w:left w:val="single" w:sz="6" w:space="0" w:color="CCCCCC"/>
              <w:bottom w:val="single" w:sz="6" w:space="0" w:color="000000"/>
              <w:right w:val="single" w:sz="6" w:space="0" w:color="000000"/>
            </w:tcBorders>
            <w:shd w:val="clear" w:color="auto" w:fill="EFEFEF"/>
            <w:tcMar>
              <w:top w:w="0" w:type="dxa"/>
              <w:left w:w="40" w:type="dxa"/>
              <w:bottom w:w="0" w:type="dxa"/>
              <w:right w:w="40" w:type="dxa"/>
            </w:tcMar>
            <w:vAlign w:val="bottom"/>
          </w:tcPr>
          <w:p w14:paraId="68EFA6F6" w14:textId="77777777" w:rsidR="00410BA5" w:rsidRPr="0020339D" w:rsidRDefault="00C55C36">
            <w:pPr>
              <w:widowControl w:val="0"/>
              <w:spacing w:before="0" w:after="0" w:line="276" w:lineRule="auto"/>
              <w:jc w:val="left"/>
              <w:rPr>
                <w:rFonts w:ascii="Arial" w:eastAsia="Arial" w:hAnsi="Arial" w:cs="Arial"/>
                <w:sz w:val="20"/>
                <w:szCs w:val="20"/>
                <w:lang w:val="en-GB"/>
              </w:rPr>
            </w:pPr>
            <w:r w:rsidRPr="0020339D">
              <w:rPr>
                <w:lang w:val="en-GB"/>
              </w:rPr>
              <w:t>132 Days</w:t>
            </w:r>
          </w:p>
        </w:tc>
        <w:tc>
          <w:tcPr>
            <w:tcW w:w="1050" w:type="dxa"/>
            <w:tcBorders>
              <w:top w:val="single" w:sz="6" w:space="0" w:color="CCCCCC"/>
              <w:left w:val="single" w:sz="6" w:space="0" w:color="CCCCCC"/>
              <w:bottom w:val="single" w:sz="6" w:space="0" w:color="000000"/>
              <w:right w:val="single" w:sz="6" w:space="0" w:color="000000"/>
            </w:tcBorders>
            <w:shd w:val="clear" w:color="auto" w:fill="EFEFEF"/>
            <w:tcMar>
              <w:top w:w="0" w:type="dxa"/>
              <w:left w:w="40" w:type="dxa"/>
              <w:bottom w:w="0" w:type="dxa"/>
              <w:right w:w="40" w:type="dxa"/>
            </w:tcMar>
            <w:vAlign w:val="bottom"/>
          </w:tcPr>
          <w:p w14:paraId="4CE51AB6" w14:textId="77777777" w:rsidR="00410BA5" w:rsidRPr="0020339D" w:rsidRDefault="00C55C36">
            <w:pPr>
              <w:widowControl w:val="0"/>
              <w:spacing w:before="0" w:after="0" w:line="276" w:lineRule="auto"/>
              <w:jc w:val="left"/>
              <w:rPr>
                <w:rFonts w:ascii="Arial" w:eastAsia="Arial" w:hAnsi="Arial" w:cs="Arial"/>
                <w:sz w:val="20"/>
                <w:szCs w:val="20"/>
                <w:lang w:val="en-GB"/>
              </w:rPr>
            </w:pPr>
            <w:r w:rsidRPr="0020339D">
              <w:rPr>
                <w:lang w:val="en-GB"/>
              </w:rPr>
              <w:t>137 Days</w:t>
            </w:r>
          </w:p>
        </w:tc>
        <w:tc>
          <w:tcPr>
            <w:tcW w:w="780" w:type="dxa"/>
            <w:tcBorders>
              <w:top w:val="single" w:sz="6" w:space="0" w:color="CCCCCC"/>
              <w:left w:val="single" w:sz="6" w:space="0" w:color="CCCCCC"/>
              <w:bottom w:val="single" w:sz="6" w:space="0" w:color="000000"/>
              <w:right w:val="single" w:sz="6" w:space="0" w:color="000000"/>
            </w:tcBorders>
            <w:shd w:val="clear" w:color="auto" w:fill="EFEFEF"/>
            <w:tcMar>
              <w:top w:w="0" w:type="dxa"/>
              <w:left w:w="40" w:type="dxa"/>
              <w:bottom w:w="0" w:type="dxa"/>
              <w:right w:w="40" w:type="dxa"/>
            </w:tcMar>
            <w:vAlign w:val="bottom"/>
          </w:tcPr>
          <w:p w14:paraId="0C3E8ED0" w14:textId="77777777" w:rsidR="00410BA5" w:rsidRPr="0020339D" w:rsidRDefault="00C55C36">
            <w:pPr>
              <w:widowControl w:val="0"/>
              <w:spacing w:before="0" w:after="0" w:line="276" w:lineRule="auto"/>
              <w:jc w:val="left"/>
              <w:rPr>
                <w:rFonts w:ascii="Arial" w:eastAsia="Arial" w:hAnsi="Arial" w:cs="Arial"/>
                <w:sz w:val="20"/>
                <w:szCs w:val="20"/>
                <w:lang w:val="en-GB"/>
              </w:rPr>
            </w:pPr>
            <w:r w:rsidRPr="0020339D">
              <w:rPr>
                <w:lang w:val="en-GB"/>
              </w:rPr>
              <w:t>135 Days</w:t>
            </w:r>
          </w:p>
        </w:tc>
        <w:tc>
          <w:tcPr>
            <w:tcW w:w="780" w:type="dxa"/>
            <w:tcBorders>
              <w:top w:val="single" w:sz="6" w:space="0" w:color="CCCCCC"/>
              <w:left w:val="single" w:sz="6" w:space="0" w:color="CCCCCC"/>
              <w:bottom w:val="single" w:sz="6" w:space="0" w:color="000000"/>
              <w:right w:val="single" w:sz="6" w:space="0" w:color="000000"/>
            </w:tcBorders>
            <w:shd w:val="clear" w:color="auto" w:fill="EFEFEF"/>
            <w:tcMar>
              <w:top w:w="0" w:type="dxa"/>
              <w:left w:w="40" w:type="dxa"/>
              <w:bottom w:w="0" w:type="dxa"/>
              <w:right w:w="40" w:type="dxa"/>
            </w:tcMar>
            <w:vAlign w:val="bottom"/>
          </w:tcPr>
          <w:p w14:paraId="56F97B1B" w14:textId="77777777" w:rsidR="00410BA5" w:rsidRPr="0020339D" w:rsidRDefault="00C55C36">
            <w:pPr>
              <w:widowControl w:val="0"/>
              <w:spacing w:before="0" w:after="0" w:line="276" w:lineRule="auto"/>
              <w:jc w:val="left"/>
              <w:rPr>
                <w:rFonts w:ascii="Arial" w:eastAsia="Arial" w:hAnsi="Arial" w:cs="Arial"/>
                <w:sz w:val="20"/>
                <w:szCs w:val="20"/>
                <w:lang w:val="en-GB"/>
              </w:rPr>
            </w:pPr>
            <w:r w:rsidRPr="0020339D">
              <w:rPr>
                <w:lang w:val="en-GB"/>
              </w:rPr>
              <w:t>122 Days</w:t>
            </w:r>
          </w:p>
        </w:tc>
        <w:tc>
          <w:tcPr>
            <w:tcW w:w="915" w:type="dxa"/>
            <w:tcBorders>
              <w:top w:val="single" w:sz="6" w:space="0" w:color="CCCCCC"/>
              <w:left w:val="single" w:sz="6" w:space="0" w:color="CCCCCC"/>
              <w:bottom w:val="single" w:sz="6" w:space="0" w:color="000000"/>
              <w:right w:val="single" w:sz="6" w:space="0" w:color="000000"/>
            </w:tcBorders>
            <w:shd w:val="clear" w:color="auto" w:fill="EFEFEF"/>
            <w:tcMar>
              <w:top w:w="0" w:type="dxa"/>
              <w:left w:w="40" w:type="dxa"/>
              <w:bottom w:w="0" w:type="dxa"/>
              <w:right w:w="40" w:type="dxa"/>
            </w:tcMar>
            <w:vAlign w:val="bottom"/>
          </w:tcPr>
          <w:p w14:paraId="3BF4A7D4" w14:textId="77777777" w:rsidR="00410BA5" w:rsidRPr="0020339D" w:rsidRDefault="00C55C36">
            <w:pPr>
              <w:widowControl w:val="0"/>
              <w:spacing w:before="0" w:after="0" w:line="276" w:lineRule="auto"/>
              <w:jc w:val="left"/>
              <w:rPr>
                <w:rFonts w:ascii="Arial" w:eastAsia="Arial" w:hAnsi="Arial" w:cs="Arial"/>
                <w:sz w:val="20"/>
                <w:szCs w:val="20"/>
                <w:lang w:val="en-GB"/>
              </w:rPr>
            </w:pPr>
            <w:r w:rsidRPr="0020339D">
              <w:rPr>
                <w:lang w:val="en-GB"/>
              </w:rPr>
              <w:t>119 Days</w:t>
            </w:r>
          </w:p>
        </w:tc>
        <w:tc>
          <w:tcPr>
            <w:tcW w:w="2760" w:type="dxa"/>
            <w:tcBorders>
              <w:top w:val="single" w:sz="6" w:space="0" w:color="CCCCCC"/>
              <w:left w:val="single" w:sz="6" w:space="0" w:color="CCCCCC"/>
              <w:bottom w:val="single" w:sz="6" w:space="0" w:color="000000"/>
              <w:right w:val="single" w:sz="6" w:space="0" w:color="000000"/>
            </w:tcBorders>
            <w:shd w:val="clear" w:color="auto" w:fill="EFEFEF"/>
            <w:tcMar>
              <w:top w:w="0" w:type="dxa"/>
              <w:left w:w="40" w:type="dxa"/>
              <w:bottom w:w="0" w:type="dxa"/>
              <w:right w:w="40" w:type="dxa"/>
            </w:tcMar>
            <w:vAlign w:val="bottom"/>
          </w:tcPr>
          <w:p w14:paraId="33D754DF" w14:textId="77777777" w:rsidR="00410BA5" w:rsidRPr="0020339D" w:rsidRDefault="00C55C36">
            <w:pPr>
              <w:widowControl w:val="0"/>
              <w:spacing w:before="0" w:after="0" w:line="276" w:lineRule="auto"/>
              <w:jc w:val="left"/>
              <w:rPr>
                <w:rFonts w:ascii="Arial" w:eastAsia="Arial" w:hAnsi="Arial" w:cs="Arial"/>
                <w:sz w:val="20"/>
                <w:szCs w:val="20"/>
                <w:lang w:val="en-GB"/>
              </w:rPr>
            </w:pPr>
            <w:r w:rsidRPr="0020339D">
              <w:rPr>
                <w:lang w:val="en-GB"/>
              </w:rPr>
              <w:t>“(Account Payable Days/Cost of Sales)” x 365</w:t>
            </w:r>
          </w:p>
        </w:tc>
      </w:tr>
    </w:tbl>
    <w:p w14:paraId="2F3806C0" w14:textId="77777777" w:rsidR="00410BA5" w:rsidRPr="0020339D" w:rsidRDefault="00C55C36">
      <w:pPr>
        <w:jc w:val="center"/>
        <w:rPr>
          <w:b/>
          <w:lang w:val="en-GB"/>
        </w:rPr>
      </w:pPr>
      <w:r w:rsidRPr="0020339D">
        <w:rPr>
          <w:b/>
          <w:lang w:val="en-GB"/>
        </w:rPr>
        <w:t>Table 2.4: Efficiency Ratios</w:t>
      </w:r>
    </w:p>
    <w:p w14:paraId="1367D2B0" w14:textId="77777777" w:rsidR="00410BA5" w:rsidRPr="0020339D" w:rsidRDefault="00C55C36">
      <w:pPr>
        <w:pStyle w:val="Heading3"/>
        <w:rPr>
          <w:lang w:val="en-GB"/>
        </w:rPr>
      </w:pPr>
      <w:bookmarkStart w:id="12" w:name="_Toc171804426"/>
      <w:r w:rsidRPr="0020339D">
        <w:rPr>
          <w:lang w:val="en-GB"/>
        </w:rPr>
        <w:t>Valuation Ratios</w:t>
      </w:r>
      <w:bookmarkEnd w:id="12"/>
    </w:p>
    <w:tbl>
      <w:tblPr>
        <w:tblStyle w:val="a3"/>
        <w:tblW w:w="9345" w:type="dxa"/>
        <w:tblBorders>
          <w:top w:val="nil"/>
          <w:left w:val="nil"/>
          <w:bottom w:val="nil"/>
          <w:right w:val="nil"/>
          <w:insideH w:val="nil"/>
          <w:insideV w:val="nil"/>
        </w:tblBorders>
        <w:tblLayout w:type="fixed"/>
        <w:tblLook w:val="0600" w:firstRow="0" w:lastRow="0" w:firstColumn="0" w:lastColumn="0" w:noHBand="1" w:noVBand="1"/>
      </w:tblPr>
      <w:tblGrid>
        <w:gridCol w:w="2295"/>
        <w:gridCol w:w="1200"/>
        <w:gridCol w:w="765"/>
        <w:gridCol w:w="690"/>
        <w:gridCol w:w="735"/>
        <w:gridCol w:w="1080"/>
        <w:gridCol w:w="2580"/>
      </w:tblGrid>
      <w:tr w:rsidR="00410BA5" w:rsidRPr="0020339D" w14:paraId="5E3BF36F" w14:textId="77777777">
        <w:trPr>
          <w:trHeight w:val="315"/>
        </w:trPr>
        <w:tc>
          <w:tcPr>
            <w:tcW w:w="2295" w:type="dxa"/>
            <w:tcBorders>
              <w:top w:val="single" w:sz="6" w:space="0" w:color="000000"/>
              <w:left w:val="single" w:sz="6" w:space="0" w:color="000000"/>
              <w:bottom w:val="single" w:sz="6" w:space="0" w:color="000000"/>
              <w:right w:val="single" w:sz="6" w:space="0" w:color="000000"/>
            </w:tcBorders>
            <w:shd w:val="clear" w:color="auto" w:fill="D5A6BD"/>
            <w:tcMar>
              <w:top w:w="0" w:type="dxa"/>
              <w:left w:w="40" w:type="dxa"/>
              <w:bottom w:w="0" w:type="dxa"/>
              <w:right w:w="40" w:type="dxa"/>
            </w:tcMar>
            <w:vAlign w:val="bottom"/>
          </w:tcPr>
          <w:p w14:paraId="110A62BD" w14:textId="77777777" w:rsidR="00410BA5" w:rsidRPr="0020339D" w:rsidRDefault="00C55C36">
            <w:pPr>
              <w:widowControl w:val="0"/>
              <w:spacing w:before="0" w:after="0"/>
              <w:jc w:val="center"/>
              <w:rPr>
                <w:rFonts w:ascii="Arial" w:eastAsia="Arial" w:hAnsi="Arial" w:cs="Arial"/>
                <w:sz w:val="20"/>
                <w:szCs w:val="20"/>
                <w:lang w:val="en-GB"/>
              </w:rPr>
            </w:pPr>
            <w:r w:rsidRPr="0020339D">
              <w:rPr>
                <w:b/>
                <w:lang w:val="en-GB"/>
              </w:rPr>
              <w:t>Valuation Ratios</w:t>
            </w:r>
          </w:p>
        </w:tc>
        <w:tc>
          <w:tcPr>
            <w:tcW w:w="1200" w:type="dxa"/>
            <w:tcBorders>
              <w:top w:val="single" w:sz="6" w:space="0" w:color="000000"/>
              <w:left w:val="single" w:sz="6" w:space="0" w:color="CCCCCC"/>
              <w:bottom w:val="single" w:sz="6" w:space="0" w:color="000000"/>
              <w:right w:val="single" w:sz="6" w:space="0" w:color="000000"/>
            </w:tcBorders>
            <w:shd w:val="clear" w:color="auto" w:fill="D5A6BD"/>
            <w:tcMar>
              <w:top w:w="0" w:type="dxa"/>
              <w:left w:w="40" w:type="dxa"/>
              <w:bottom w:w="0" w:type="dxa"/>
              <w:right w:w="40" w:type="dxa"/>
            </w:tcMar>
            <w:vAlign w:val="bottom"/>
          </w:tcPr>
          <w:p w14:paraId="567A93FF" w14:textId="77777777" w:rsidR="00410BA5" w:rsidRPr="0020339D" w:rsidRDefault="00410BA5">
            <w:pPr>
              <w:widowControl w:val="0"/>
              <w:spacing w:before="0" w:after="0"/>
              <w:jc w:val="left"/>
              <w:rPr>
                <w:rFonts w:ascii="Arial" w:eastAsia="Arial" w:hAnsi="Arial" w:cs="Arial"/>
                <w:sz w:val="20"/>
                <w:szCs w:val="20"/>
                <w:lang w:val="en-GB"/>
              </w:rPr>
            </w:pPr>
          </w:p>
        </w:tc>
        <w:tc>
          <w:tcPr>
            <w:tcW w:w="3270" w:type="dxa"/>
            <w:gridSpan w:val="4"/>
            <w:tcBorders>
              <w:top w:val="single" w:sz="6" w:space="0" w:color="000000"/>
              <w:left w:val="single" w:sz="6" w:space="0" w:color="CCCCCC"/>
              <w:bottom w:val="single" w:sz="6" w:space="0" w:color="000000"/>
              <w:right w:val="single" w:sz="6" w:space="0" w:color="000000"/>
            </w:tcBorders>
            <w:shd w:val="clear" w:color="auto" w:fill="D5A6BD"/>
            <w:tcMar>
              <w:top w:w="0" w:type="dxa"/>
              <w:left w:w="40" w:type="dxa"/>
              <w:bottom w:w="0" w:type="dxa"/>
              <w:right w:w="40" w:type="dxa"/>
            </w:tcMar>
            <w:vAlign w:val="bottom"/>
          </w:tcPr>
          <w:p w14:paraId="378C8557" w14:textId="77777777" w:rsidR="00410BA5" w:rsidRPr="0020339D" w:rsidRDefault="00C55C36">
            <w:pPr>
              <w:widowControl w:val="0"/>
              <w:spacing w:before="0" w:after="0"/>
              <w:jc w:val="center"/>
              <w:rPr>
                <w:rFonts w:ascii="Arial" w:eastAsia="Arial" w:hAnsi="Arial" w:cs="Arial"/>
                <w:sz w:val="20"/>
                <w:szCs w:val="20"/>
                <w:lang w:val="en-GB"/>
              </w:rPr>
            </w:pPr>
            <w:r w:rsidRPr="0020339D">
              <w:rPr>
                <w:b/>
                <w:lang w:val="en-GB"/>
              </w:rPr>
              <w:t xml:space="preserve">Johnson &amp; Johnson </w:t>
            </w:r>
          </w:p>
        </w:tc>
        <w:tc>
          <w:tcPr>
            <w:tcW w:w="2580" w:type="dxa"/>
            <w:tcBorders>
              <w:top w:val="single" w:sz="6" w:space="0" w:color="000000"/>
              <w:left w:val="single" w:sz="6" w:space="0" w:color="CCCCCC"/>
              <w:bottom w:val="single" w:sz="6" w:space="0" w:color="000000"/>
              <w:right w:val="single" w:sz="6" w:space="0" w:color="000000"/>
            </w:tcBorders>
            <w:shd w:val="clear" w:color="auto" w:fill="D5A6BD"/>
            <w:tcMar>
              <w:top w:w="0" w:type="dxa"/>
              <w:left w:w="40" w:type="dxa"/>
              <w:bottom w:w="0" w:type="dxa"/>
              <w:right w:w="40" w:type="dxa"/>
            </w:tcMar>
            <w:vAlign w:val="bottom"/>
          </w:tcPr>
          <w:p w14:paraId="24E41D12" w14:textId="77777777" w:rsidR="00410BA5" w:rsidRPr="0020339D" w:rsidRDefault="00410BA5">
            <w:pPr>
              <w:widowControl w:val="0"/>
              <w:spacing w:before="0" w:after="0"/>
              <w:jc w:val="left"/>
              <w:rPr>
                <w:rFonts w:ascii="Arial" w:eastAsia="Arial" w:hAnsi="Arial" w:cs="Arial"/>
                <w:sz w:val="20"/>
                <w:szCs w:val="20"/>
                <w:lang w:val="en-GB"/>
              </w:rPr>
            </w:pPr>
          </w:p>
        </w:tc>
      </w:tr>
      <w:tr w:rsidR="00410BA5" w:rsidRPr="0020339D" w14:paraId="6A13764E" w14:textId="77777777">
        <w:trPr>
          <w:trHeight w:val="315"/>
        </w:trPr>
        <w:tc>
          <w:tcPr>
            <w:tcW w:w="2295" w:type="dxa"/>
            <w:tcBorders>
              <w:top w:val="single" w:sz="6" w:space="0" w:color="CCCCCC"/>
              <w:left w:val="single" w:sz="6" w:space="0" w:color="000000"/>
              <w:bottom w:val="single" w:sz="6" w:space="0" w:color="000000"/>
              <w:right w:val="single" w:sz="6" w:space="0" w:color="000000"/>
            </w:tcBorders>
            <w:shd w:val="clear" w:color="auto" w:fill="FBBC04"/>
            <w:tcMar>
              <w:top w:w="0" w:type="dxa"/>
              <w:left w:w="40" w:type="dxa"/>
              <w:bottom w:w="0" w:type="dxa"/>
              <w:right w:w="40" w:type="dxa"/>
            </w:tcMar>
            <w:vAlign w:val="bottom"/>
          </w:tcPr>
          <w:p w14:paraId="3CF6D67F" w14:textId="77777777" w:rsidR="00410BA5" w:rsidRPr="0020339D" w:rsidRDefault="00410BA5">
            <w:pPr>
              <w:widowControl w:val="0"/>
              <w:spacing w:before="0" w:after="0"/>
              <w:jc w:val="left"/>
              <w:rPr>
                <w:rFonts w:ascii="Arial" w:eastAsia="Arial" w:hAnsi="Arial" w:cs="Arial"/>
                <w:sz w:val="20"/>
                <w:szCs w:val="20"/>
                <w:lang w:val="en-GB"/>
              </w:rPr>
            </w:pPr>
          </w:p>
        </w:tc>
        <w:tc>
          <w:tcPr>
            <w:tcW w:w="1200" w:type="dxa"/>
            <w:tcBorders>
              <w:top w:val="single" w:sz="6" w:space="0" w:color="CCCCCC"/>
              <w:left w:val="single" w:sz="6" w:space="0" w:color="CCCCCC"/>
              <w:bottom w:val="single" w:sz="6" w:space="0" w:color="000000"/>
              <w:right w:val="single" w:sz="6" w:space="0" w:color="000000"/>
            </w:tcBorders>
            <w:shd w:val="clear" w:color="auto" w:fill="FBBC04"/>
            <w:tcMar>
              <w:top w:w="0" w:type="dxa"/>
              <w:left w:w="40" w:type="dxa"/>
              <w:bottom w:w="0" w:type="dxa"/>
              <w:right w:w="40" w:type="dxa"/>
            </w:tcMar>
            <w:vAlign w:val="bottom"/>
          </w:tcPr>
          <w:p w14:paraId="648F9290" w14:textId="77777777" w:rsidR="00410BA5" w:rsidRPr="0020339D" w:rsidRDefault="00C55C36">
            <w:pPr>
              <w:widowControl w:val="0"/>
              <w:spacing w:before="0" w:after="0"/>
              <w:jc w:val="center"/>
              <w:rPr>
                <w:rFonts w:ascii="Arial" w:eastAsia="Arial" w:hAnsi="Arial" w:cs="Arial"/>
                <w:sz w:val="20"/>
                <w:szCs w:val="20"/>
                <w:lang w:val="en-GB"/>
              </w:rPr>
            </w:pPr>
            <w:r w:rsidRPr="0020339D">
              <w:rPr>
                <w:b/>
                <w:lang w:val="en-GB"/>
              </w:rPr>
              <w:t>2023</w:t>
            </w:r>
          </w:p>
        </w:tc>
        <w:tc>
          <w:tcPr>
            <w:tcW w:w="765" w:type="dxa"/>
            <w:tcBorders>
              <w:top w:val="single" w:sz="6" w:space="0" w:color="CCCCCC"/>
              <w:left w:val="single" w:sz="6" w:space="0" w:color="CCCCCC"/>
              <w:bottom w:val="single" w:sz="6" w:space="0" w:color="000000"/>
              <w:right w:val="single" w:sz="6" w:space="0" w:color="000000"/>
            </w:tcBorders>
            <w:shd w:val="clear" w:color="auto" w:fill="FBBC04"/>
            <w:tcMar>
              <w:top w:w="0" w:type="dxa"/>
              <w:left w:w="40" w:type="dxa"/>
              <w:bottom w:w="0" w:type="dxa"/>
              <w:right w:w="40" w:type="dxa"/>
            </w:tcMar>
            <w:vAlign w:val="bottom"/>
          </w:tcPr>
          <w:p w14:paraId="72F682A4" w14:textId="77777777" w:rsidR="00410BA5" w:rsidRPr="0020339D" w:rsidRDefault="00C55C36">
            <w:pPr>
              <w:widowControl w:val="0"/>
              <w:spacing w:before="0" w:after="0"/>
              <w:jc w:val="center"/>
              <w:rPr>
                <w:rFonts w:ascii="Arial" w:eastAsia="Arial" w:hAnsi="Arial" w:cs="Arial"/>
                <w:sz w:val="20"/>
                <w:szCs w:val="20"/>
                <w:lang w:val="en-GB"/>
              </w:rPr>
            </w:pPr>
            <w:r w:rsidRPr="0020339D">
              <w:rPr>
                <w:b/>
                <w:lang w:val="en-GB"/>
              </w:rPr>
              <w:t>2022</w:t>
            </w:r>
          </w:p>
        </w:tc>
        <w:tc>
          <w:tcPr>
            <w:tcW w:w="690" w:type="dxa"/>
            <w:tcBorders>
              <w:top w:val="single" w:sz="6" w:space="0" w:color="CCCCCC"/>
              <w:left w:val="single" w:sz="6" w:space="0" w:color="CCCCCC"/>
              <w:bottom w:val="single" w:sz="6" w:space="0" w:color="000000"/>
              <w:right w:val="single" w:sz="6" w:space="0" w:color="000000"/>
            </w:tcBorders>
            <w:shd w:val="clear" w:color="auto" w:fill="FBBC04"/>
            <w:tcMar>
              <w:top w:w="0" w:type="dxa"/>
              <w:left w:w="40" w:type="dxa"/>
              <w:bottom w:w="0" w:type="dxa"/>
              <w:right w:w="40" w:type="dxa"/>
            </w:tcMar>
            <w:vAlign w:val="bottom"/>
          </w:tcPr>
          <w:p w14:paraId="75FEAFBB" w14:textId="77777777" w:rsidR="00410BA5" w:rsidRPr="0020339D" w:rsidRDefault="00C55C36">
            <w:pPr>
              <w:widowControl w:val="0"/>
              <w:spacing w:before="0" w:after="0"/>
              <w:jc w:val="center"/>
              <w:rPr>
                <w:rFonts w:ascii="Arial" w:eastAsia="Arial" w:hAnsi="Arial" w:cs="Arial"/>
                <w:sz w:val="20"/>
                <w:szCs w:val="20"/>
                <w:lang w:val="en-GB"/>
              </w:rPr>
            </w:pPr>
            <w:r w:rsidRPr="0020339D">
              <w:rPr>
                <w:b/>
                <w:lang w:val="en-GB"/>
              </w:rPr>
              <w:t>2021</w:t>
            </w:r>
          </w:p>
        </w:tc>
        <w:tc>
          <w:tcPr>
            <w:tcW w:w="735" w:type="dxa"/>
            <w:tcBorders>
              <w:top w:val="single" w:sz="6" w:space="0" w:color="CCCCCC"/>
              <w:left w:val="single" w:sz="6" w:space="0" w:color="CCCCCC"/>
              <w:bottom w:val="single" w:sz="6" w:space="0" w:color="000000"/>
              <w:right w:val="single" w:sz="6" w:space="0" w:color="000000"/>
            </w:tcBorders>
            <w:shd w:val="clear" w:color="auto" w:fill="FBBC04"/>
            <w:tcMar>
              <w:top w:w="0" w:type="dxa"/>
              <w:left w:w="40" w:type="dxa"/>
              <w:bottom w:w="0" w:type="dxa"/>
              <w:right w:w="40" w:type="dxa"/>
            </w:tcMar>
            <w:vAlign w:val="bottom"/>
          </w:tcPr>
          <w:p w14:paraId="46A89756" w14:textId="77777777" w:rsidR="00410BA5" w:rsidRPr="0020339D" w:rsidRDefault="00C55C36">
            <w:pPr>
              <w:widowControl w:val="0"/>
              <w:spacing w:before="0" w:after="0"/>
              <w:jc w:val="center"/>
              <w:rPr>
                <w:rFonts w:ascii="Arial" w:eastAsia="Arial" w:hAnsi="Arial" w:cs="Arial"/>
                <w:sz w:val="20"/>
                <w:szCs w:val="20"/>
                <w:lang w:val="en-GB"/>
              </w:rPr>
            </w:pPr>
            <w:r w:rsidRPr="0020339D">
              <w:rPr>
                <w:b/>
                <w:lang w:val="en-GB"/>
              </w:rPr>
              <w:t>2020</w:t>
            </w:r>
          </w:p>
        </w:tc>
        <w:tc>
          <w:tcPr>
            <w:tcW w:w="1080" w:type="dxa"/>
            <w:tcBorders>
              <w:top w:val="single" w:sz="6" w:space="0" w:color="CCCCCC"/>
              <w:left w:val="single" w:sz="6" w:space="0" w:color="CCCCCC"/>
              <w:bottom w:val="single" w:sz="6" w:space="0" w:color="000000"/>
              <w:right w:val="single" w:sz="6" w:space="0" w:color="000000"/>
            </w:tcBorders>
            <w:shd w:val="clear" w:color="auto" w:fill="FBBC04"/>
            <w:tcMar>
              <w:top w:w="0" w:type="dxa"/>
              <w:left w:w="40" w:type="dxa"/>
              <w:bottom w:w="0" w:type="dxa"/>
              <w:right w:w="40" w:type="dxa"/>
            </w:tcMar>
            <w:vAlign w:val="bottom"/>
          </w:tcPr>
          <w:p w14:paraId="4CC2A891" w14:textId="77777777" w:rsidR="00410BA5" w:rsidRPr="0020339D" w:rsidRDefault="00C55C36">
            <w:pPr>
              <w:widowControl w:val="0"/>
              <w:spacing w:before="0" w:after="0"/>
              <w:jc w:val="center"/>
              <w:rPr>
                <w:rFonts w:ascii="Arial" w:eastAsia="Arial" w:hAnsi="Arial" w:cs="Arial"/>
                <w:sz w:val="20"/>
                <w:szCs w:val="20"/>
                <w:lang w:val="en-GB"/>
              </w:rPr>
            </w:pPr>
            <w:r w:rsidRPr="0020339D">
              <w:rPr>
                <w:b/>
                <w:lang w:val="en-GB"/>
              </w:rPr>
              <w:t>2019</w:t>
            </w:r>
          </w:p>
        </w:tc>
        <w:tc>
          <w:tcPr>
            <w:tcW w:w="2580" w:type="dxa"/>
            <w:tcBorders>
              <w:top w:val="single" w:sz="6" w:space="0" w:color="CCCCCC"/>
              <w:left w:val="single" w:sz="6" w:space="0" w:color="CCCCCC"/>
              <w:bottom w:val="single" w:sz="6" w:space="0" w:color="000000"/>
              <w:right w:val="single" w:sz="6" w:space="0" w:color="000000"/>
            </w:tcBorders>
            <w:shd w:val="clear" w:color="auto" w:fill="FBBC04"/>
            <w:tcMar>
              <w:top w:w="0" w:type="dxa"/>
              <w:left w:w="40" w:type="dxa"/>
              <w:bottom w:w="0" w:type="dxa"/>
              <w:right w:w="40" w:type="dxa"/>
            </w:tcMar>
            <w:vAlign w:val="bottom"/>
          </w:tcPr>
          <w:p w14:paraId="62C992D9" w14:textId="77777777" w:rsidR="00410BA5" w:rsidRPr="0020339D" w:rsidRDefault="00C55C36">
            <w:pPr>
              <w:widowControl w:val="0"/>
              <w:spacing w:before="0" w:after="0"/>
              <w:jc w:val="center"/>
              <w:rPr>
                <w:rFonts w:ascii="Arial" w:eastAsia="Arial" w:hAnsi="Arial" w:cs="Arial"/>
                <w:sz w:val="20"/>
                <w:szCs w:val="20"/>
                <w:lang w:val="en-GB"/>
              </w:rPr>
            </w:pPr>
            <w:r w:rsidRPr="0020339D">
              <w:rPr>
                <w:b/>
                <w:lang w:val="en-GB"/>
              </w:rPr>
              <w:t>Formulas</w:t>
            </w:r>
          </w:p>
        </w:tc>
      </w:tr>
      <w:tr w:rsidR="00410BA5" w:rsidRPr="0020339D" w14:paraId="0E6817CE" w14:textId="77777777">
        <w:trPr>
          <w:trHeight w:val="315"/>
        </w:trPr>
        <w:tc>
          <w:tcPr>
            <w:tcW w:w="2295" w:type="dxa"/>
            <w:tcBorders>
              <w:top w:val="single" w:sz="6" w:space="0" w:color="CCCCCC"/>
              <w:left w:val="single" w:sz="6" w:space="0" w:color="000000"/>
              <w:bottom w:val="single" w:sz="6" w:space="0" w:color="000000"/>
              <w:right w:val="single" w:sz="6" w:space="0" w:color="000000"/>
            </w:tcBorders>
            <w:shd w:val="clear" w:color="auto" w:fill="D9EAD3"/>
            <w:tcMar>
              <w:top w:w="0" w:type="dxa"/>
              <w:left w:w="40" w:type="dxa"/>
              <w:bottom w:w="0" w:type="dxa"/>
              <w:right w:w="40" w:type="dxa"/>
            </w:tcMar>
            <w:vAlign w:val="bottom"/>
          </w:tcPr>
          <w:p w14:paraId="07AE889F" w14:textId="77777777" w:rsidR="00410BA5" w:rsidRPr="0020339D" w:rsidRDefault="00C55C36">
            <w:pPr>
              <w:widowControl w:val="0"/>
              <w:spacing w:before="0" w:after="0"/>
              <w:jc w:val="left"/>
              <w:rPr>
                <w:rFonts w:ascii="Arial" w:eastAsia="Arial" w:hAnsi="Arial" w:cs="Arial"/>
                <w:sz w:val="20"/>
                <w:szCs w:val="20"/>
                <w:lang w:val="en-GB"/>
              </w:rPr>
            </w:pPr>
            <w:r w:rsidRPr="0020339D">
              <w:rPr>
                <w:b/>
                <w:lang w:val="en-GB"/>
              </w:rPr>
              <w:t>Earnings per share</w:t>
            </w:r>
          </w:p>
        </w:tc>
        <w:tc>
          <w:tcPr>
            <w:tcW w:w="1200" w:type="dxa"/>
            <w:tcBorders>
              <w:top w:val="single" w:sz="6" w:space="0" w:color="CCCCCC"/>
              <w:left w:val="single" w:sz="6" w:space="0" w:color="CCCCCC"/>
              <w:bottom w:val="single" w:sz="6" w:space="0" w:color="000000"/>
              <w:right w:val="single" w:sz="6" w:space="0" w:color="000000"/>
            </w:tcBorders>
            <w:shd w:val="clear" w:color="auto" w:fill="D9EAD3"/>
            <w:tcMar>
              <w:top w:w="0" w:type="dxa"/>
              <w:left w:w="40" w:type="dxa"/>
              <w:bottom w:w="0" w:type="dxa"/>
              <w:right w:w="40" w:type="dxa"/>
            </w:tcMar>
            <w:vAlign w:val="bottom"/>
          </w:tcPr>
          <w:p w14:paraId="4DBC0005" w14:textId="77777777" w:rsidR="00410BA5" w:rsidRPr="0020339D" w:rsidRDefault="00C55C36">
            <w:pPr>
              <w:widowControl w:val="0"/>
              <w:spacing w:before="0" w:after="0"/>
              <w:jc w:val="left"/>
              <w:rPr>
                <w:rFonts w:ascii="Arial" w:eastAsia="Arial" w:hAnsi="Arial" w:cs="Arial"/>
                <w:sz w:val="20"/>
                <w:szCs w:val="20"/>
                <w:lang w:val="en-GB"/>
              </w:rPr>
            </w:pPr>
            <w:r w:rsidRPr="0020339D">
              <w:rPr>
                <w:lang w:val="en-GB"/>
              </w:rPr>
              <w:t>0.01</w:t>
            </w:r>
          </w:p>
        </w:tc>
        <w:tc>
          <w:tcPr>
            <w:tcW w:w="765" w:type="dxa"/>
            <w:tcBorders>
              <w:top w:val="single" w:sz="6" w:space="0" w:color="CCCCCC"/>
              <w:left w:val="single" w:sz="6" w:space="0" w:color="CCCCCC"/>
              <w:bottom w:val="single" w:sz="6" w:space="0" w:color="000000"/>
              <w:right w:val="single" w:sz="6" w:space="0" w:color="000000"/>
            </w:tcBorders>
            <w:shd w:val="clear" w:color="auto" w:fill="D9EAD3"/>
            <w:tcMar>
              <w:top w:w="0" w:type="dxa"/>
              <w:left w:w="40" w:type="dxa"/>
              <w:bottom w:w="0" w:type="dxa"/>
              <w:right w:w="40" w:type="dxa"/>
            </w:tcMar>
            <w:vAlign w:val="bottom"/>
          </w:tcPr>
          <w:p w14:paraId="4059ABDD" w14:textId="77777777" w:rsidR="00410BA5" w:rsidRPr="0020339D" w:rsidRDefault="00C55C36">
            <w:pPr>
              <w:widowControl w:val="0"/>
              <w:spacing w:before="0" w:after="0"/>
              <w:jc w:val="left"/>
              <w:rPr>
                <w:rFonts w:ascii="Arial" w:eastAsia="Arial" w:hAnsi="Arial" w:cs="Arial"/>
                <w:sz w:val="20"/>
                <w:szCs w:val="20"/>
                <w:lang w:val="en-GB"/>
              </w:rPr>
            </w:pPr>
            <w:r w:rsidRPr="0020339D">
              <w:rPr>
                <w:lang w:val="en-GB"/>
              </w:rPr>
              <w:t>0.15</w:t>
            </w:r>
          </w:p>
        </w:tc>
        <w:tc>
          <w:tcPr>
            <w:tcW w:w="690" w:type="dxa"/>
            <w:tcBorders>
              <w:top w:val="single" w:sz="6" w:space="0" w:color="CCCCCC"/>
              <w:left w:val="single" w:sz="6" w:space="0" w:color="CCCCCC"/>
              <w:bottom w:val="single" w:sz="6" w:space="0" w:color="000000"/>
              <w:right w:val="single" w:sz="6" w:space="0" w:color="000000"/>
            </w:tcBorders>
            <w:shd w:val="clear" w:color="auto" w:fill="D9EAD3"/>
            <w:tcMar>
              <w:top w:w="0" w:type="dxa"/>
              <w:left w:w="40" w:type="dxa"/>
              <w:bottom w:w="0" w:type="dxa"/>
              <w:right w:w="40" w:type="dxa"/>
            </w:tcMar>
            <w:vAlign w:val="bottom"/>
          </w:tcPr>
          <w:p w14:paraId="4B231447" w14:textId="77777777" w:rsidR="00410BA5" w:rsidRPr="0020339D" w:rsidRDefault="00C55C36">
            <w:pPr>
              <w:widowControl w:val="0"/>
              <w:spacing w:before="0" w:after="0"/>
              <w:jc w:val="left"/>
              <w:rPr>
                <w:rFonts w:ascii="Arial" w:eastAsia="Arial" w:hAnsi="Arial" w:cs="Arial"/>
                <w:sz w:val="20"/>
                <w:szCs w:val="20"/>
                <w:lang w:val="en-GB"/>
              </w:rPr>
            </w:pPr>
            <w:r w:rsidRPr="0020339D">
              <w:rPr>
                <w:lang w:val="en-GB"/>
              </w:rPr>
              <w:t>7.93</w:t>
            </w:r>
          </w:p>
        </w:tc>
        <w:tc>
          <w:tcPr>
            <w:tcW w:w="735" w:type="dxa"/>
            <w:tcBorders>
              <w:top w:val="single" w:sz="6" w:space="0" w:color="CCCCCC"/>
              <w:left w:val="single" w:sz="6" w:space="0" w:color="CCCCCC"/>
              <w:bottom w:val="single" w:sz="6" w:space="0" w:color="000000"/>
              <w:right w:val="single" w:sz="6" w:space="0" w:color="000000"/>
            </w:tcBorders>
            <w:shd w:val="clear" w:color="auto" w:fill="D9EAD3"/>
            <w:tcMar>
              <w:top w:w="0" w:type="dxa"/>
              <w:left w:w="40" w:type="dxa"/>
              <w:bottom w:w="0" w:type="dxa"/>
              <w:right w:w="40" w:type="dxa"/>
            </w:tcMar>
            <w:vAlign w:val="bottom"/>
          </w:tcPr>
          <w:p w14:paraId="1BCDBD37" w14:textId="77777777" w:rsidR="00410BA5" w:rsidRPr="0020339D" w:rsidRDefault="00C55C36">
            <w:pPr>
              <w:widowControl w:val="0"/>
              <w:spacing w:before="0" w:after="0"/>
              <w:jc w:val="left"/>
              <w:rPr>
                <w:rFonts w:ascii="Arial" w:eastAsia="Arial" w:hAnsi="Arial" w:cs="Arial"/>
                <w:sz w:val="20"/>
                <w:szCs w:val="20"/>
                <w:lang w:val="en-GB"/>
              </w:rPr>
            </w:pPr>
            <w:r w:rsidRPr="0020339D">
              <w:rPr>
                <w:lang w:val="en-GB"/>
              </w:rPr>
              <w:t>5.59</w:t>
            </w:r>
          </w:p>
        </w:tc>
        <w:tc>
          <w:tcPr>
            <w:tcW w:w="1080" w:type="dxa"/>
            <w:tcBorders>
              <w:top w:val="single" w:sz="6" w:space="0" w:color="CCCCCC"/>
              <w:left w:val="single" w:sz="6" w:space="0" w:color="CCCCCC"/>
              <w:bottom w:val="single" w:sz="6" w:space="0" w:color="000000"/>
              <w:right w:val="single" w:sz="6" w:space="0" w:color="000000"/>
            </w:tcBorders>
            <w:shd w:val="clear" w:color="auto" w:fill="D9EAD3"/>
            <w:tcMar>
              <w:top w:w="0" w:type="dxa"/>
              <w:left w:w="40" w:type="dxa"/>
              <w:bottom w:w="0" w:type="dxa"/>
              <w:right w:w="40" w:type="dxa"/>
            </w:tcMar>
            <w:vAlign w:val="bottom"/>
          </w:tcPr>
          <w:p w14:paraId="3EE09D27" w14:textId="77777777" w:rsidR="00410BA5" w:rsidRPr="0020339D" w:rsidRDefault="00C55C36">
            <w:pPr>
              <w:widowControl w:val="0"/>
              <w:spacing w:before="0" w:after="0"/>
              <w:jc w:val="left"/>
              <w:rPr>
                <w:rFonts w:ascii="Arial" w:eastAsia="Arial" w:hAnsi="Arial" w:cs="Arial"/>
                <w:sz w:val="20"/>
                <w:szCs w:val="20"/>
                <w:lang w:val="en-GB"/>
              </w:rPr>
            </w:pPr>
            <w:r w:rsidRPr="0020339D">
              <w:rPr>
                <w:lang w:val="en-GB"/>
              </w:rPr>
              <w:t>5.72</w:t>
            </w:r>
          </w:p>
        </w:tc>
        <w:tc>
          <w:tcPr>
            <w:tcW w:w="2580" w:type="dxa"/>
            <w:tcBorders>
              <w:top w:val="single" w:sz="6" w:space="0" w:color="CCCCCC"/>
              <w:left w:val="single" w:sz="6" w:space="0" w:color="CCCCCC"/>
              <w:bottom w:val="single" w:sz="6" w:space="0" w:color="000000"/>
              <w:right w:val="single" w:sz="6" w:space="0" w:color="000000"/>
            </w:tcBorders>
            <w:shd w:val="clear" w:color="auto" w:fill="D9EAD3"/>
            <w:tcMar>
              <w:top w:w="0" w:type="dxa"/>
              <w:left w:w="40" w:type="dxa"/>
              <w:bottom w:w="0" w:type="dxa"/>
              <w:right w:w="40" w:type="dxa"/>
            </w:tcMar>
            <w:vAlign w:val="bottom"/>
          </w:tcPr>
          <w:p w14:paraId="49F9C785" w14:textId="77777777" w:rsidR="00410BA5" w:rsidRPr="0020339D" w:rsidRDefault="00C55C36">
            <w:pPr>
              <w:widowControl w:val="0"/>
              <w:spacing w:before="0" w:after="0"/>
              <w:jc w:val="left"/>
              <w:rPr>
                <w:rFonts w:ascii="Arial" w:eastAsia="Arial" w:hAnsi="Arial" w:cs="Arial"/>
                <w:sz w:val="20"/>
                <w:szCs w:val="20"/>
                <w:lang w:val="en-GB"/>
              </w:rPr>
            </w:pPr>
            <w:r w:rsidRPr="0020339D">
              <w:rPr>
                <w:lang w:val="en-GB"/>
              </w:rPr>
              <w:t>“Earnings/</w:t>
            </w:r>
            <w:r w:rsidR="00FA6877" w:rsidRPr="0020339D">
              <w:rPr>
                <w:lang w:val="en-GB"/>
              </w:rPr>
              <w:t>Total Shares</w:t>
            </w:r>
            <w:r w:rsidRPr="0020339D">
              <w:rPr>
                <w:lang w:val="en-GB"/>
              </w:rPr>
              <w:t xml:space="preserve"> outstanding”</w:t>
            </w:r>
          </w:p>
        </w:tc>
      </w:tr>
      <w:tr w:rsidR="00410BA5" w:rsidRPr="0020339D" w14:paraId="3510380C" w14:textId="77777777">
        <w:trPr>
          <w:trHeight w:val="315"/>
        </w:trPr>
        <w:tc>
          <w:tcPr>
            <w:tcW w:w="2295" w:type="dxa"/>
            <w:tcBorders>
              <w:top w:val="single" w:sz="6" w:space="0" w:color="CCCCCC"/>
              <w:left w:val="single" w:sz="6" w:space="0" w:color="000000"/>
              <w:bottom w:val="single" w:sz="6" w:space="0" w:color="000000"/>
              <w:right w:val="single" w:sz="6" w:space="0" w:color="000000"/>
            </w:tcBorders>
            <w:shd w:val="clear" w:color="auto" w:fill="D9EAD3"/>
            <w:tcMar>
              <w:top w:w="0" w:type="dxa"/>
              <w:left w:w="40" w:type="dxa"/>
              <w:bottom w:w="0" w:type="dxa"/>
              <w:right w:w="40" w:type="dxa"/>
            </w:tcMar>
            <w:vAlign w:val="bottom"/>
          </w:tcPr>
          <w:p w14:paraId="4A65EF2F" w14:textId="77777777" w:rsidR="00410BA5" w:rsidRPr="0020339D" w:rsidRDefault="00C55C36">
            <w:pPr>
              <w:widowControl w:val="0"/>
              <w:spacing w:before="0" w:after="0"/>
              <w:jc w:val="left"/>
              <w:rPr>
                <w:rFonts w:ascii="Arial" w:eastAsia="Arial" w:hAnsi="Arial" w:cs="Arial"/>
                <w:sz w:val="20"/>
                <w:szCs w:val="20"/>
                <w:lang w:val="en-GB"/>
              </w:rPr>
            </w:pPr>
            <w:r w:rsidRPr="0020339D">
              <w:rPr>
                <w:b/>
                <w:lang w:val="en-GB"/>
              </w:rPr>
              <w:t>Price/Earnings Ratio</w:t>
            </w:r>
          </w:p>
        </w:tc>
        <w:tc>
          <w:tcPr>
            <w:tcW w:w="1200" w:type="dxa"/>
            <w:tcBorders>
              <w:top w:val="single" w:sz="6" w:space="0" w:color="CCCCCC"/>
              <w:left w:val="single" w:sz="6" w:space="0" w:color="CCCCCC"/>
              <w:bottom w:val="single" w:sz="6" w:space="0" w:color="000000"/>
              <w:right w:val="single" w:sz="6" w:space="0" w:color="000000"/>
            </w:tcBorders>
            <w:shd w:val="clear" w:color="auto" w:fill="D9EAD3"/>
            <w:tcMar>
              <w:top w:w="0" w:type="dxa"/>
              <w:left w:w="40" w:type="dxa"/>
              <w:bottom w:w="0" w:type="dxa"/>
              <w:right w:w="40" w:type="dxa"/>
            </w:tcMar>
            <w:vAlign w:val="bottom"/>
          </w:tcPr>
          <w:p w14:paraId="4395C480" w14:textId="77777777" w:rsidR="00410BA5" w:rsidRPr="0020339D" w:rsidRDefault="00C55C36">
            <w:pPr>
              <w:widowControl w:val="0"/>
              <w:spacing w:before="0" w:after="0"/>
              <w:jc w:val="left"/>
              <w:rPr>
                <w:rFonts w:ascii="Arial" w:eastAsia="Arial" w:hAnsi="Arial" w:cs="Arial"/>
                <w:sz w:val="20"/>
                <w:szCs w:val="20"/>
                <w:lang w:val="en-GB"/>
              </w:rPr>
            </w:pPr>
            <w:r w:rsidRPr="0020339D">
              <w:rPr>
                <w:lang w:val="en-GB"/>
              </w:rPr>
              <w:t>25,814.82</w:t>
            </w:r>
          </w:p>
        </w:tc>
        <w:tc>
          <w:tcPr>
            <w:tcW w:w="765" w:type="dxa"/>
            <w:tcBorders>
              <w:top w:val="single" w:sz="6" w:space="0" w:color="CCCCCC"/>
              <w:left w:val="single" w:sz="6" w:space="0" w:color="CCCCCC"/>
              <w:bottom w:val="single" w:sz="6" w:space="0" w:color="000000"/>
              <w:right w:val="single" w:sz="6" w:space="0" w:color="000000"/>
            </w:tcBorders>
            <w:shd w:val="clear" w:color="auto" w:fill="D9EAD3"/>
            <w:tcMar>
              <w:top w:w="0" w:type="dxa"/>
              <w:left w:w="40" w:type="dxa"/>
              <w:bottom w:w="0" w:type="dxa"/>
              <w:right w:w="40" w:type="dxa"/>
            </w:tcMar>
            <w:vAlign w:val="bottom"/>
          </w:tcPr>
          <w:p w14:paraId="63A047F3" w14:textId="77777777" w:rsidR="00410BA5" w:rsidRPr="0020339D" w:rsidRDefault="00C55C36">
            <w:pPr>
              <w:widowControl w:val="0"/>
              <w:spacing w:before="0" w:after="0"/>
              <w:jc w:val="left"/>
              <w:rPr>
                <w:rFonts w:ascii="Arial" w:eastAsia="Arial" w:hAnsi="Arial" w:cs="Arial"/>
                <w:sz w:val="20"/>
                <w:szCs w:val="20"/>
                <w:lang w:val="en-GB"/>
              </w:rPr>
            </w:pPr>
            <w:r w:rsidRPr="0020339D">
              <w:rPr>
                <w:lang w:val="en-GB"/>
              </w:rPr>
              <w:t>968.14</w:t>
            </w:r>
          </w:p>
        </w:tc>
        <w:tc>
          <w:tcPr>
            <w:tcW w:w="690" w:type="dxa"/>
            <w:tcBorders>
              <w:top w:val="single" w:sz="6" w:space="0" w:color="CCCCCC"/>
              <w:left w:val="single" w:sz="6" w:space="0" w:color="CCCCCC"/>
              <w:bottom w:val="single" w:sz="6" w:space="0" w:color="000000"/>
              <w:right w:val="single" w:sz="6" w:space="0" w:color="000000"/>
            </w:tcBorders>
            <w:shd w:val="clear" w:color="auto" w:fill="D9EAD3"/>
            <w:tcMar>
              <w:top w:w="0" w:type="dxa"/>
              <w:left w:w="40" w:type="dxa"/>
              <w:bottom w:w="0" w:type="dxa"/>
              <w:right w:w="40" w:type="dxa"/>
            </w:tcMar>
            <w:vAlign w:val="bottom"/>
          </w:tcPr>
          <w:p w14:paraId="16F5333C" w14:textId="77777777" w:rsidR="00410BA5" w:rsidRPr="0020339D" w:rsidRDefault="00C55C36">
            <w:pPr>
              <w:widowControl w:val="0"/>
              <w:spacing w:before="0" w:after="0"/>
              <w:jc w:val="left"/>
              <w:rPr>
                <w:rFonts w:ascii="Arial" w:eastAsia="Arial" w:hAnsi="Arial" w:cs="Arial"/>
                <w:sz w:val="20"/>
                <w:szCs w:val="20"/>
                <w:lang w:val="en-GB"/>
              </w:rPr>
            </w:pPr>
            <w:r w:rsidRPr="0020339D">
              <w:rPr>
                <w:lang w:val="en-GB"/>
              </w:rPr>
              <w:t>21.18</w:t>
            </w:r>
          </w:p>
        </w:tc>
        <w:tc>
          <w:tcPr>
            <w:tcW w:w="735" w:type="dxa"/>
            <w:tcBorders>
              <w:top w:val="single" w:sz="6" w:space="0" w:color="CCCCCC"/>
              <w:left w:val="single" w:sz="6" w:space="0" w:color="CCCCCC"/>
              <w:bottom w:val="single" w:sz="6" w:space="0" w:color="000000"/>
              <w:right w:val="single" w:sz="6" w:space="0" w:color="000000"/>
            </w:tcBorders>
            <w:shd w:val="clear" w:color="auto" w:fill="D9EAD3"/>
            <w:tcMar>
              <w:top w:w="0" w:type="dxa"/>
              <w:left w:w="40" w:type="dxa"/>
              <w:bottom w:w="0" w:type="dxa"/>
              <w:right w:w="40" w:type="dxa"/>
            </w:tcMar>
            <w:vAlign w:val="bottom"/>
          </w:tcPr>
          <w:p w14:paraId="57BB453C" w14:textId="77777777" w:rsidR="00410BA5" w:rsidRPr="0020339D" w:rsidRDefault="00C55C36">
            <w:pPr>
              <w:widowControl w:val="0"/>
              <w:spacing w:before="0" w:after="0"/>
              <w:jc w:val="left"/>
              <w:rPr>
                <w:rFonts w:ascii="Arial" w:eastAsia="Arial" w:hAnsi="Arial" w:cs="Arial"/>
                <w:sz w:val="20"/>
                <w:szCs w:val="20"/>
                <w:lang w:val="en-GB"/>
              </w:rPr>
            </w:pPr>
            <w:r w:rsidRPr="0020339D">
              <w:rPr>
                <w:lang w:val="en-GB"/>
              </w:rPr>
              <w:t>28.09</w:t>
            </w:r>
          </w:p>
        </w:tc>
        <w:tc>
          <w:tcPr>
            <w:tcW w:w="1080" w:type="dxa"/>
            <w:tcBorders>
              <w:top w:val="single" w:sz="6" w:space="0" w:color="CCCCCC"/>
              <w:left w:val="single" w:sz="6" w:space="0" w:color="CCCCCC"/>
              <w:bottom w:val="single" w:sz="6" w:space="0" w:color="000000"/>
              <w:right w:val="single" w:sz="6" w:space="0" w:color="000000"/>
            </w:tcBorders>
            <w:shd w:val="clear" w:color="auto" w:fill="D9EAD3"/>
            <w:tcMar>
              <w:top w:w="0" w:type="dxa"/>
              <w:left w:w="40" w:type="dxa"/>
              <w:bottom w:w="0" w:type="dxa"/>
              <w:right w:w="40" w:type="dxa"/>
            </w:tcMar>
            <w:vAlign w:val="bottom"/>
          </w:tcPr>
          <w:p w14:paraId="465BF0BA" w14:textId="77777777" w:rsidR="00410BA5" w:rsidRPr="0020339D" w:rsidRDefault="00C55C36">
            <w:pPr>
              <w:widowControl w:val="0"/>
              <w:spacing w:before="0" w:after="0"/>
              <w:jc w:val="left"/>
              <w:rPr>
                <w:rFonts w:ascii="Arial" w:eastAsia="Arial" w:hAnsi="Arial" w:cs="Arial"/>
                <w:sz w:val="20"/>
                <w:szCs w:val="20"/>
                <w:lang w:val="en-GB"/>
              </w:rPr>
            </w:pPr>
            <w:r w:rsidRPr="0020339D">
              <w:rPr>
                <w:lang w:val="en-GB"/>
              </w:rPr>
              <w:t>25.37</w:t>
            </w:r>
          </w:p>
        </w:tc>
        <w:tc>
          <w:tcPr>
            <w:tcW w:w="2580" w:type="dxa"/>
            <w:tcBorders>
              <w:top w:val="single" w:sz="6" w:space="0" w:color="CCCCCC"/>
              <w:left w:val="single" w:sz="6" w:space="0" w:color="CCCCCC"/>
              <w:bottom w:val="single" w:sz="6" w:space="0" w:color="000000"/>
              <w:right w:val="single" w:sz="6" w:space="0" w:color="000000"/>
            </w:tcBorders>
            <w:shd w:val="clear" w:color="auto" w:fill="D9EAD3"/>
            <w:tcMar>
              <w:top w:w="0" w:type="dxa"/>
              <w:left w:w="40" w:type="dxa"/>
              <w:bottom w:w="0" w:type="dxa"/>
              <w:right w:w="40" w:type="dxa"/>
            </w:tcMar>
            <w:vAlign w:val="bottom"/>
          </w:tcPr>
          <w:p w14:paraId="502EF8EB" w14:textId="77777777" w:rsidR="00410BA5" w:rsidRPr="0020339D" w:rsidRDefault="00C55C36">
            <w:pPr>
              <w:widowControl w:val="0"/>
              <w:spacing w:before="0" w:after="0"/>
              <w:jc w:val="left"/>
              <w:rPr>
                <w:rFonts w:ascii="Arial" w:eastAsia="Arial" w:hAnsi="Arial" w:cs="Arial"/>
                <w:sz w:val="20"/>
                <w:szCs w:val="20"/>
                <w:lang w:val="en-GB"/>
              </w:rPr>
            </w:pPr>
            <w:r w:rsidRPr="0020339D">
              <w:rPr>
                <w:lang w:val="en-GB"/>
              </w:rPr>
              <w:t>“Market price/Earnings per share”</w:t>
            </w:r>
          </w:p>
        </w:tc>
      </w:tr>
    </w:tbl>
    <w:p w14:paraId="4A42F4AF" w14:textId="77777777" w:rsidR="00410BA5" w:rsidRPr="0020339D" w:rsidRDefault="00C55C36">
      <w:pPr>
        <w:jc w:val="center"/>
        <w:rPr>
          <w:b/>
          <w:lang w:val="en-GB"/>
        </w:rPr>
      </w:pPr>
      <w:r w:rsidRPr="0020339D">
        <w:rPr>
          <w:b/>
          <w:lang w:val="en-GB"/>
        </w:rPr>
        <w:t xml:space="preserve">Table 2.5: Valuation Ratios </w:t>
      </w:r>
    </w:p>
    <w:p w14:paraId="05B1ACA1" w14:textId="77777777" w:rsidR="00410BA5" w:rsidRPr="0020339D" w:rsidRDefault="00410BA5">
      <w:pPr>
        <w:jc w:val="left"/>
        <w:rPr>
          <w:b/>
          <w:lang w:val="en-GB"/>
        </w:rPr>
      </w:pPr>
    </w:p>
    <w:p w14:paraId="0C3841CE" w14:textId="77777777" w:rsidR="00410BA5" w:rsidRPr="0020339D" w:rsidRDefault="00C55C36">
      <w:pPr>
        <w:pStyle w:val="Heading2"/>
        <w:rPr>
          <w:lang w:val="en-GB"/>
        </w:rPr>
      </w:pPr>
      <w:bookmarkStart w:id="13" w:name="_Toc171804427"/>
      <w:r w:rsidRPr="0020339D">
        <w:rPr>
          <w:lang w:val="en-GB"/>
        </w:rPr>
        <w:lastRenderedPageBreak/>
        <w:t>Critical Evaluation of Ratios</w:t>
      </w:r>
      <w:bookmarkEnd w:id="13"/>
    </w:p>
    <w:p w14:paraId="654140D8" w14:textId="77777777" w:rsidR="00410BA5" w:rsidRPr="0020339D" w:rsidRDefault="00C55C36">
      <w:pPr>
        <w:rPr>
          <w:b/>
          <w:i/>
          <w:lang w:val="en-GB"/>
        </w:rPr>
      </w:pPr>
      <w:r w:rsidRPr="0020339D">
        <w:rPr>
          <w:b/>
          <w:i/>
          <w:lang w:val="en-GB"/>
        </w:rPr>
        <w:t xml:space="preserve">Profitability Ratios </w:t>
      </w:r>
    </w:p>
    <w:p w14:paraId="1361837A" w14:textId="77777777" w:rsidR="00410BA5" w:rsidRPr="0020339D" w:rsidRDefault="00C55C36">
      <w:pPr>
        <w:rPr>
          <w:lang w:val="en-GB"/>
        </w:rPr>
      </w:pPr>
      <w:r w:rsidRPr="0020339D">
        <w:rPr>
          <w:lang w:val="en-GB"/>
        </w:rPr>
        <w:t xml:space="preserve">As stated by </w:t>
      </w:r>
      <w:proofErr w:type="spellStart"/>
      <w:r w:rsidRPr="0020339D">
        <w:rPr>
          <w:lang w:val="en-GB"/>
        </w:rPr>
        <w:t>Bandiyono</w:t>
      </w:r>
      <w:proofErr w:type="spellEnd"/>
      <w:r w:rsidRPr="0020339D">
        <w:rPr>
          <w:lang w:val="en-GB"/>
        </w:rPr>
        <w:t xml:space="preserve"> (2020), profitability ratios are important for a firm to effectively consider good profits alongside equity generation and assets return using which investors' attention can be caught easily. Using this ratio evaluation, J&amp;J can instil confidence to make future investments in the business. </w:t>
      </w:r>
    </w:p>
    <w:p w14:paraId="1EFD8D1B" w14:textId="77777777" w:rsidR="00410BA5" w:rsidRPr="0020339D" w:rsidRDefault="00C55C36">
      <w:pPr>
        <w:jc w:val="center"/>
        <w:rPr>
          <w:lang w:val="en-GB"/>
        </w:rPr>
      </w:pPr>
      <w:r w:rsidRPr="0020339D">
        <w:rPr>
          <w:noProof/>
          <w:lang w:val="en-US" w:eastAsia="en-US"/>
        </w:rPr>
        <w:drawing>
          <wp:inline distT="114300" distB="114300" distL="114300" distR="114300" wp14:anchorId="2A717DA3" wp14:editId="5EEDAC28">
            <wp:extent cx="5943600" cy="3797300"/>
            <wp:effectExtent l="25400" t="25400" r="25400" b="25400"/>
            <wp:docPr id="5"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10"/>
                    <a:srcRect/>
                    <a:stretch>
                      <a:fillRect/>
                    </a:stretch>
                  </pic:blipFill>
                  <pic:spPr>
                    <a:xfrm>
                      <a:off x="0" y="0"/>
                      <a:ext cx="5943600" cy="3797300"/>
                    </a:xfrm>
                    <a:prstGeom prst="rect">
                      <a:avLst/>
                    </a:prstGeom>
                    <a:ln w="25400">
                      <a:solidFill>
                        <a:srgbClr val="000000"/>
                      </a:solidFill>
                      <a:prstDash val="solid"/>
                    </a:ln>
                  </pic:spPr>
                </pic:pic>
              </a:graphicData>
            </a:graphic>
          </wp:inline>
        </w:drawing>
      </w:r>
    </w:p>
    <w:p w14:paraId="001AF79D" w14:textId="77777777" w:rsidR="00410BA5" w:rsidRPr="0020339D" w:rsidRDefault="00C55C36">
      <w:pPr>
        <w:jc w:val="center"/>
        <w:rPr>
          <w:b/>
          <w:lang w:val="en-GB"/>
        </w:rPr>
      </w:pPr>
      <w:r w:rsidRPr="0020339D">
        <w:rPr>
          <w:b/>
          <w:lang w:val="en-GB"/>
        </w:rPr>
        <w:t>Figure 2.1: Profitability Ratios</w:t>
      </w:r>
    </w:p>
    <w:p w14:paraId="2599FB5B" w14:textId="77777777" w:rsidR="00410BA5" w:rsidRPr="009874A2" w:rsidRDefault="00C55C36">
      <w:r w:rsidRPr="0020339D">
        <w:rPr>
          <w:lang w:val="en-GB"/>
        </w:rPr>
        <w:t xml:space="preserve">The profitability ratio over the five-year trends depicts varying changes and the main reason behind it could be continuous shifts in efficiency as well as financial performance. As stated by </w:t>
      </w:r>
      <w:proofErr w:type="spellStart"/>
      <w:r w:rsidRPr="0020339D">
        <w:rPr>
          <w:lang w:val="en-GB"/>
        </w:rPr>
        <w:t>Naknok</w:t>
      </w:r>
      <w:proofErr w:type="spellEnd"/>
      <w:r w:rsidRPr="0020339D">
        <w:rPr>
          <w:lang w:val="en-GB"/>
        </w:rPr>
        <w:t xml:space="preserve"> (2022), a higher gross margin in a firm ultimately means more capital generation. Compared with 2019, the gross margin significantly increased from 66.4% to 68.82% in 2023 which states that effective pricing strategies are considered with valuable management of production. Moreover, the operating margin fluctuated in the last five years and declined in the year 2023, dropping to 18.64% which indicates issues faced in controlling operations expenses </w:t>
      </w:r>
      <w:r w:rsidRPr="0020339D">
        <w:rPr>
          <w:lang w:val="en-GB"/>
        </w:rPr>
        <w:lastRenderedPageBreak/>
        <w:t xml:space="preserve">relative to revenue generation. However, </w:t>
      </w:r>
      <w:proofErr w:type="spellStart"/>
      <w:r w:rsidRPr="0020339D">
        <w:rPr>
          <w:lang w:val="en-GB"/>
        </w:rPr>
        <w:t>Nariswari</w:t>
      </w:r>
      <w:proofErr w:type="spellEnd"/>
      <w:r w:rsidRPr="0020339D">
        <w:rPr>
          <w:lang w:val="en-GB"/>
        </w:rPr>
        <w:t xml:space="preserve"> and Nugraha (2020) opined that net profit margin is important for a firm to consider how much profit is generated. From the chart, it is clear that it surged to 41% in 2023 and the improvement showcases that cost management is maintained in the workplace. Moreover, ROE and ROA also exhibited notable enhancement reaching a total of 51.4% and 20.98% respectively. These metrics effectively state that the firm has enhanced its profitability as compared to shareholder equity alongside total assets and accelerated resource and capital utilisation.  </w:t>
      </w:r>
      <w:r w:rsidR="009874A2">
        <w:rPr>
          <w:lang w:val="en-GB"/>
        </w:rPr>
        <w:t xml:space="preserve">However, </w:t>
      </w:r>
      <w:r w:rsidR="009874A2">
        <w:t>t</w:t>
      </w:r>
      <w:r w:rsidR="009874A2" w:rsidRPr="009874A2">
        <w:t>rue financial performance, however, can be distorted by dependence on previous data, vulnerability to manipulation through accounting techniques, and lack of context on market circumstances or outside variables.</w:t>
      </w:r>
      <w:r w:rsidR="009874A2">
        <w:t xml:space="preserve"> Considering this value, it can be stated that the profitability of the firm has increased over the years and that shows how well operations in the workplace are managed. </w:t>
      </w:r>
    </w:p>
    <w:p w14:paraId="1F4CAA2E" w14:textId="77777777" w:rsidR="00410BA5" w:rsidRPr="0020339D" w:rsidRDefault="00C55C36">
      <w:pPr>
        <w:rPr>
          <w:b/>
          <w:i/>
          <w:lang w:val="en-GB"/>
        </w:rPr>
      </w:pPr>
      <w:r w:rsidRPr="0020339D">
        <w:rPr>
          <w:b/>
          <w:i/>
          <w:lang w:val="en-GB"/>
        </w:rPr>
        <w:t>Liquidity Ratios</w:t>
      </w:r>
    </w:p>
    <w:p w14:paraId="5B295996" w14:textId="77777777" w:rsidR="00410BA5" w:rsidRPr="0020339D" w:rsidRDefault="00C55C36">
      <w:pPr>
        <w:rPr>
          <w:lang w:val="en-GB"/>
        </w:rPr>
      </w:pPr>
      <w:proofErr w:type="spellStart"/>
      <w:r w:rsidRPr="0020339D">
        <w:rPr>
          <w:lang w:val="en-GB"/>
        </w:rPr>
        <w:t>Stefvy</w:t>
      </w:r>
      <w:proofErr w:type="spellEnd"/>
      <w:r w:rsidRPr="0020339D">
        <w:rPr>
          <w:lang w:val="en-GB"/>
        </w:rPr>
        <w:t xml:space="preserve"> and </w:t>
      </w:r>
      <w:proofErr w:type="spellStart"/>
      <w:r w:rsidRPr="0020339D">
        <w:rPr>
          <w:lang w:val="en-GB"/>
        </w:rPr>
        <w:t>Djohan</w:t>
      </w:r>
      <w:proofErr w:type="spellEnd"/>
      <w:r w:rsidRPr="0020339D">
        <w:rPr>
          <w:lang w:val="en-GB"/>
        </w:rPr>
        <w:t xml:space="preserve"> (2023) opined that for every firm in specific sectors, liquidity ratios are essential in measuring the capability of the ways the firm can pay off its short-term liabilities. Following all the ratios such as current, quick and cash ratios, J&amp;J can execute its strategy to clear debts and avoid any payments. </w:t>
      </w:r>
    </w:p>
    <w:p w14:paraId="5C5EB624" w14:textId="77777777" w:rsidR="00410BA5" w:rsidRPr="0020339D" w:rsidRDefault="00C55C36">
      <w:pPr>
        <w:rPr>
          <w:b/>
          <w:lang w:val="en-GB"/>
        </w:rPr>
      </w:pPr>
      <w:r w:rsidRPr="0020339D">
        <w:rPr>
          <w:noProof/>
          <w:lang w:val="en-US" w:eastAsia="en-US"/>
        </w:rPr>
        <w:drawing>
          <wp:inline distT="114300" distB="114300" distL="114300" distR="114300" wp14:anchorId="5EF2617B" wp14:editId="13929B8E">
            <wp:extent cx="5943600" cy="3289300"/>
            <wp:effectExtent l="25400" t="25400" r="25400" b="25400"/>
            <wp:docPr id="1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5943600" cy="3289300"/>
                    </a:xfrm>
                    <a:prstGeom prst="rect">
                      <a:avLst/>
                    </a:prstGeom>
                    <a:ln w="25400">
                      <a:solidFill>
                        <a:srgbClr val="000000"/>
                      </a:solidFill>
                      <a:prstDash val="solid"/>
                    </a:ln>
                  </pic:spPr>
                </pic:pic>
              </a:graphicData>
            </a:graphic>
          </wp:inline>
        </w:drawing>
      </w:r>
    </w:p>
    <w:p w14:paraId="387E7D70" w14:textId="77777777" w:rsidR="00410BA5" w:rsidRPr="0020339D" w:rsidRDefault="00C55C36">
      <w:pPr>
        <w:jc w:val="center"/>
        <w:rPr>
          <w:b/>
          <w:lang w:val="en-GB"/>
        </w:rPr>
      </w:pPr>
      <w:r w:rsidRPr="0020339D">
        <w:rPr>
          <w:b/>
          <w:lang w:val="en-GB"/>
        </w:rPr>
        <w:lastRenderedPageBreak/>
        <w:t>Figure 2.2: Liquidity Ratios</w:t>
      </w:r>
    </w:p>
    <w:p w14:paraId="679EFCEA" w14:textId="77777777" w:rsidR="00410BA5" w:rsidRPr="0020339D" w:rsidRDefault="00C55C36">
      <w:pPr>
        <w:rPr>
          <w:lang w:val="en-GB"/>
        </w:rPr>
      </w:pPr>
      <w:r w:rsidRPr="0020339D">
        <w:rPr>
          <w:lang w:val="en-GB"/>
        </w:rPr>
        <w:t xml:space="preserve">The above graphical trends evaluate the liquidity ratios for J&amp;J considering that it can be stated that there are varying trends in its ability to fulfil short-term financial obligations. From the last five years, the current ratio fluctuated, as depicted; in 2022 it decreased and yielded 0.99 while in 2023 again it stands at 1.16. HRISHIKES (2021) stated the fluctuations in current assets are mainly due to factors like economic conditions and changes in the operations of a company. The rise in the current ratio states that the firm focused on inventory management as well as debt levels which ultimately impact its liquidity. However, VU </w:t>
      </w:r>
      <w:r w:rsidRPr="0020339D">
        <w:rPr>
          <w:i/>
          <w:lang w:val="en-GB"/>
        </w:rPr>
        <w:t>et al</w:t>
      </w:r>
      <w:r w:rsidRPr="0020339D">
        <w:rPr>
          <w:lang w:val="en-GB"/>
        </w:rPr>
        <w:t xml:space="preserve">. (2020) opined that a quick ratio of more than 1 means a firm has enough assets to manage short-term obligations. The quick ratio decreased in years 2022 and 2023 and is less than 1 which means they are more reliant on debt and face challenges in maintaining current assets. On the other hand, the cash ratio increased in 2023 amounting to 0.47 in 2023 and this suggests that there is a </w:t>
      </w:r>
      <w:r w:rsidR="00714ECE" w:rsidRPr="0020339D">
        <w:rPr>
          <w:lang w:val="en-GB"/>
        </w:rPr>
        <w:t>serious fluctuation</w:t>
      </w:r>
      <w:r w:rsidRPr="0020339D">
        <w:rPr>
          <w:lang w:val="en-GB"/>
        </w:rPr>
        <w:t xml:space="preserve"> regarding short-term obligations and ultimately influencing liquidity risk management. These trends state that J&amp;J faces industry pressure and regulatory issues. </w:t>
      </w:r>
    </w:p>
    <w:p w14:paraId="595984EF" w14:textId="77777777" w:rsidR="00410BA5" w:rsidRPr="0020339D" w:rsidRDefault="00C55C36">
      <w:pPr>
        <w:rPr>
          <w:b/>
          <w:i/>
          <w:lang w:val="en-GB"/>
        </w:rPr>
      </w:pPr>
      <w:r w:rsidRPr="0020339D">
        <w:rPr>
          <w:b/>
          <w:i/>
          <w:lang w:val="en-GB"/>
        </w:rPr>
        <w:t xml:space="preserve">Gearing Ratios </w:t>
      </w:r>
    </w:p>
    <w:p w14:paraId="5A4D9C30" w14:textId="77777777" w:rsidR="00410BA5" w:rsidRPr="0020339D" w:rsidRDefault="00C55C36">
      <w:pPr>
        <w:spacing w:before="240" w:after="240"/>
        <w:rPr>
          <w:b/>
          <w:i/>
          <w:lang w:val="en-GB"/>
        </w:rPr>
      </w:pPr>
      <w:r w:rsidRPr="0020339D">
        <w:rPr>
          <w:lang w:val="en-GB"/>
        </w:rPr>
        <w:t>Calculating the gearing ratio is important as it helps the organisation measure a company's financial performance over the years (</w:t>
      </w:r>
      <w:proofErr w:type="spellStart"/>
      <w:r w:rsidRPr="0020339D">
        <w:rPr>
          <w:lang w:val="en-GB"/>
        </w:rPr>
        <w:t>OsazefuaImhanzenobe</w:t>
      </w:r>
      <w:proofErr w:type="spellEnd"/>
      <w:r w:rsidRPr="0020339D">
        <w:rPr>
          <w:lang w:val="en-GB"/>
        </w:rPr>
        <w:t xml:space="preserve">, 2020). It helps stakeholders make effective decisions before investing in a business organisation. </w:t>
      </w:r>
    </w:p>
    <w:p w14:paraId="6E6DD5B2" w14:textId="77777777" w:rsidR="00410BA5" w:rsidRPr="0020339D" w:rsidRDefault="00C55C36">
      <w:pPr>
        <w:jc w:val="center"/>
        <w:rPr>
          <w:b/>
          <w:lang w:val="en-GB"/>
        </w:rPr>
      </w:pPr>
      <w:r w:rsidRPr="0020339D">
        <w:rPr>
          <w:b/>
          <w:noProof/>
          <w:lang w:val="en-US" w:eastAsia="en-US"/>
        </w:rPr>
        <w:drawing>
          <wp:inline distT="114300" distB="114300" distL="114300" distR="114300" wp14:anchorId="7A665154" wp14:editId="424AECF1">
            <wp:extent cx="5943600" cy="2667000"/>
            <wp:effectExtent l="25400" t="25400" r="25400" b="25400"/>
            <wp:docPr id="13"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2"/>
                    <a:srcRect/>
                    <a:stretch>
                      <a:fillRect/>
                    </a:stretch>
                  </pic:blipFill>
                  <pic:spPr>
                    <a:xfrm>
                      <a:off x="0" y="0"/>
                      <a:ext cx="5943600" cy="2667000"/>
                    </a:xfrm>
                    <a:prstGeom prst="rect">
                      <a:avLst/>
                    </a:prstGeom>
                    <a:ln w="25400">
                      <a:solidFill>
                        <a:srgbClr val="000000"/>
                      </a:solidFill>
                      <a:prstDash val="solid"/>
                    </a:ln>
                  </pic:spPr>
                </pic:pic>
              </a:graphicData>
            </a:graphic>
          </wp:inline>
        </w:drawing>
      </w:r>
    </w:p>
    <w:p w14:paraId="06ABFBF6" w14:textId="77777777" w:rsidR="00410BA5" w:rsidRPr="0020339D" w:rsidRDefault="00C55C36">
      <w:pPr>
        <w:jc w:val="center"/>
        <w:rPr>
          <w:b/>
          <w:lang w:val="en-GB"/>
        </w:rPr>
      </w:pPr>
      <w:r w:rsidRPr="0020339D">
        <w:rPr>
          <w:b/>
          <w:lang w:val="en-GB"/>
        </w:rPr>
        <w:lastRenderedPageBreak/>
        <w:t>Figure 2.3: Gearing (Leverage Ratios)</w:t>
      </w:r>
    </w:p>
    <w:p w14:paraId="0EEDCE3C" w14:textId="77777777" w:rsidR="00410BA5" w:rsidRPr="0020339D" w:rsidRDefault="00C55C36">
      <w:pPr>
        <w:spacing w:before="240" w:after="240"/>
        <w:rPr>
          <w:lang w:val="en-GB"/>
        </w:rPr>
      </w:pPr>
      <w:r w:rsidRPr="0020339D">
        <w:rPr>
          <w:lang w:val="en-GB"/>
        </w:rPr>
        <w:t>The gearing ratio analysis of J&amp;J shows organisational strategic movements to achieve stable internal rigidity. The debt/equity ratio decreased from 1.65 in 2019 to 0.43 in 2023, indicating a significant decrease in organisational reliance on debt relative to equity. However, it may also create a huge financial crisis in 2019 and 2020. However, in 2022 and 2023, J&amp;J will maintain its positive strategic financial position, potentially by repaying increased equity. ‌</w:t>
      </w:r>
      <w:proofErr w:type="spellStart"/>
      <w:r w:rsidRPr="0020339D">
        <w:rPr>
          <w:lang w:val="en-GB"/>
        </w:rPr>
        <w:t>Oyinloye</w:t>
      </w:r>
      <w:r w:rsidRPr="0020339D">
        <w:rPr>
          <w:i/>
          <w:lang w:val="en-GB"/>
        </w:rPr>
        <w:t>et</w:t>
      </w:r>
      <w:proofErr w:type="spellEnd"/>
      <w:r w:rsidRPr="0020339D">
        <w:rPr>
          <w:i/>
          <w:lang w:val="en-GB"/>
        </w:rPr>
        <w:t xml:space="preserve"> al. </w:t>
      </w:r>
      <w:r w:rsidRPr="0020339D">
        <w:rPr>
          <w:lang w:val="en-GB"/>
        </w:rPr>
        <w:t xml:space="preserve">(2020) stated that investors use a gearing ratio as a metric to determine the financial leverage of a company. The amount of money obtained through debt, or creditor loans, relative to the amount of money obtained through equity capital is known as leverage in this context. </w:t>
      </w:r>
    </w:p>
    <w:p w14:paraId="540D7A4F" w14:textId="77777777" w:rsidR="00410BA5" w:rsidRPr="0020339D" w:rsidRDefault="00C55C36">
      <w:pPr>
        <w:spacing w:before="240" w:after="240"/>
        <w:rPr>
          <w:lang w:val="en-GB"/>
        </w:rPr>
      </w:pPr>
      <w:r w:rsidRPr="0020339D">
        <w:rPr>
          <w:lang w:val="en-GB"/>
        </w:rPr>
        <w:t xml:space="preserve">Further, the analysis of the debt/capital ratio shows a consistent decline to 0.30 in 2023 from 0.62, indicating a decline in organisational capital structure. It is believed that a lower debt will naturally induce organisational dependency on borrowed funds, reducing financial risks and improving creditworthiness. Therefore, this also has a positive impact on organisational financial performance (Kinyua and Ochieng’, 2022). The equity multiplier remained relatively stable, ranging from 2.44 to 2.46 between 2019 and 2023, indicating consistent equity over the years. However, the interest coverage ratio improved to 20.56% in 2023 from 134.14 in 2021, indicating the organisational ability to cover interest expenses before EBIT. </w:t>
      </w:r>
    </w:p>
    <w:p w14:paraId="241A107A" w14:textId="77777777" w:rsidR="00410BA5" w:rsidRPr="0020339D" w:rsidRDefault="00C55C36">
      <w:pPr>
        <w:rPr>
          <w:lang w:val="en-GB"/>
        </w:rPr>
      </w:pPr>
      <w:r w:rsidRPr="0020339D">
        <w:rPr>
          <w:b/>
          <w:i/>
          <w:lang w:val="en-GB"/>
        </w:rPr>
        <w:t>Efficiency Ratios</w:t>
      </w:r>
    </w:p>
    <w:p w14:paraId="16F6E1C1" w14:textId="77777777" w:rsidR="00410BA5" w:rsidRPr="0020339D" w:rsidRDefault="00C55C36">
      <w:pPr>
        <w:jc w:val="center"/>
        <w:rPr>
          <w:b/>
          <w:lang w:val="en-GB"/>
        </w:rPr>
      </w:pPr>
      <w:r w:rsidRPr="0020339D">
        <w:rPr>
          <w:b/>
          <w:noProof/>
          <w:lang w:val="en-US" w:eastAsia="en-US"/>
        </w:rPr>
        <w:lastRenderedPageBreak/>
        <w:drawing>
          <wp:inline distT="114300" distB="114300" distL="114300" distR="114300" wp14:anchorId="4F70A2E8" wp14:editId="2F267174">
            <wp:extent cx="5943600" cy="3581400"/>
            <wp:effectExtent l="25400" t="25400" r="25400" b="25400"/>
            <wp:docPr id="12"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13"/>
                    <a:srcRect/>
                    <a:stretch>
                      <a:fillRect/>
                    </a:stretch>
                  </pic:blipFill>
                  <pic:spPr>
                    <a:xfrm>
                      <a:off x="0" y="0"/>
                      <a:ext cx="5943600" cy="3581400"/>
                    </a:xfrm>
                    <a:prstGeom prst="rect">
                      <a:avLst/>
                    </a:prstGeom>
                    <a:ln w="25400">
                      <a:solidFill>
                        <a:srgbClr val="000000"/>
                      </a:solidFill>
                      <a:prstDash val="solid"/>
                    </a:ln>
                  </pic:spPr>
                </pic:pic>
              </a:graphicData>
            </a:graphic>
          </wp:inline>
        </w:drawing>
      </w:r>
    </w:p>
    <w:p w14:paraId="183F5CE4" w14:textId="77777777" w:rsidR="00410BA5" w:rsidRPr="0020339D" w:rsidRDefault="00C55C36">
      <w:pPr>
        <w:jc w:val="center"/>
        <w:rPr>
          <w:b/>
          <w:lang w:val="en-GB"/>
        </w:rPr>
      </w:pPr>
      <w:r w:rsidRPr="0020339D">
        <w:rPr>
          <w:b/>
          <w:lang w:val="en-GB"/>
        </w:rPr>
        <w:t>Figure 2.4: Efficiency Ratios</w:t>
      </w:r>
    </w:p>
    <w:p w14:paraId="51DB5E02" w14:textId="77777777" w:rsidR="00410BA5" w:rsidRPr="0020339D" w:rsidRDefault="00C55C36">
      <w:pPr>
        <w:spacing w:before="240" w:after="240"/>
        <w:rPr>
          <w:lang w:val="en-GB"/>
        </w:rPr>
      </w:pPr>
      <w:r w:rsidRPr="0020339D">
        <w:rPr>
          <w:lang w:val="en-GB"/>
        </w:rPr>
        <w:t xml:space="preserve">Overall, the efficiency ratio analysis indicates a longer duration in investments and receivables, which created challenges to main organisational operations (Albertus, 2022). For example, the inventory days could potentially increase from 119 to 154 in 2023, increasing the complexity of the inventory process. The account receivable days also increased from 192 to 204 from 2019 to 2023, indicating that it takes more time to collect due payments from customers. Further, the accounts payable days also increased from 119 in 2019 to 132 in 2023, reflecting J&amp;J’s inability to pay its suppliers and other stakeholders on time. </w:t>
      </w:r>
    </w:p>
    <w:p w14:paraId="67B261FE" w14:textId="77777777" w:rsidR="00410BA5" w:rsidRPr="0020339D" w:rsidRDefault="00C55C36">
      <w:pPr>
        <w:jc w:val="left"/>
        <w:rPr>
          <w:b/>
          <w:i/>
          <w:lang w:val="en-GB"/>
        </w:rPr>
      </w:pPr>
      <w:r w:rsidRPr="0020339D">
        <w:rPr>
          <w:b/>
          <w:i/>
          <w:lang w:val="en-GB"/>
        </w:rPr>
        <w:t>Valuation Ratios</w:t>
      </w:r>
    </w:p>
    <w:p w14:paraId="4166435C" w14:textId="77777777" w:rsidR="00410BA5" w:rsidRPr="0020339D" w:rsidRDefault="00C55C36">
      <w:pPr>
        <w:jc w:val="center"/>
        <w:rPr>
          <w:b/>
          <w:lang w:val="en-GB"/>
        </w:rPr>
      </w:pPr>
      <w:r w:rsidRPr="0020339D">
        <w:rPr>
          <w:b/>
          <w:noProof/>
          <w:lang w:val="en-US" w:eastAsia="en-US"/>
        </w:rPr>
        <w:lastRenderedPageBreak/>
        <w:drawing>
          <wp:inline distT="114300" distB="114300" distL="114300" distR="114300" wp14:anchorId="70DB3A71" wp14:editId="255DEFF2">
            <wp:extent cx="5943600" cy="3568700"/>
            <wp:effectExtent l="25400" t="25400" r="25400" b="25400"/>
            <wp:docPr id="16"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14"/>
                    <a:srcRect/>
                    <a:stretch>
                      <a:fillRect/>
                    </a:stretch>
                  </pic:blipFill>
                  <pic:spPr>
                    <a:xfrm>
                      <a:off x="0" y="0"/>
                      <a:ext cx="5943600" cy="3568700"/>
                    </a:xfrm>
                    <a:prstGeom prst="rect">
                      <a:avLst/>
                    </a:prstGeom>
                    <a:ln w="25400">
                      <a:solidFill>
                        <a:srgbClr val="000000"/>
                      </a:solidFill>
                      <a:prstDash val="solid"/>
                    </a:ln>
                  </pic:spPr>
                </pic:pic>
              </a:graphicData>
            </a:graphic>
          </wp:inline>
        </w:drawing>
      </w:r>
    </w:p>
    <w:p w14:paraId="0B330474" w14:textId="77777777" w:rsidR="00410BA5" w:rsidRPr="0020339D" w:rsidRDefault="00C55C36">
      <w:pPr>
        <w:jc w:val="center"/>
        <w:rPr>
          <w:b/>
          <w:lang w:val="en-GB"/>
        </w:rPr>
      </w:pPr>
      <w:r w:rsidRPr="0020339D">
        <w:rPr>
          <w:b/>
          <w:lang w:val="en-GB"/>
        </w:rPr>
        <w:t>Figure 2.5: Valuation Ratios</w:t>
      </w:r>
    </w:p>
    <w:p w14:paraId="3F3E9C6C" w14:textId="77777777" w:rsidR="00410BA5" w:rsidRPr="0020339D" w:rsidRDefault="00C55C36">
      <w:pPr>
        <w:rPr>
          <w:lang w:val="en-GB"/>
        </w:rPr>
      </w:pPr>
      <w:r w:rsidRPr="0020339D">
        <w:rPr>
          <w:lang w:val="en-GB"/>
        </w:rPr>
        <w:t>Significant analysis of valuation ratios has helped to understand J&amp;J’s market perceptions</w:t>
      </w:r>
      <w:r w:rsidR="00121431" w:rsidRPr="0020339D">
        <w:rPr>
          <w:lang w:val="en-GB"/>
        </w:rPr>
        <w:t xml:space="preserve"> and earning potential (</w:t>
      </w:r>
      <w:proofErr w:type="spellStart"/>
      <w:r w:rsidR="00121431" w:rsidRPr="0020339D">
        <w:rPr>
          <w:lang w:val="en-GB"/>
        </w:rPr>
        <w:t>Sumrit</w:t>
      </w:r>
      <w:proofErr w:type="spellEnd"/>
      <w:r w:rsidR="00121431" w:rsidRPr="0020339D">
        <w:rPr>
          <w:lang w:val="en-GB"/>
        </w:rPr>
        <w:t xml:space="preserve">, </w:t>
      </w:r>
      <w:r w:rsidRPr="0020339D">
        <w:rPr>
          <w:lang w:val="en-GB"/>
        </w:rPr>
        <w:t>2020). The earning per share ratio analysis indicates a dramatic decline to 0.01 in 2023 from 5.72 in 2019, indicating the deficiency of the organization's net profitability. However, the high EPS in 2021 could potentially indicate a profitable year for J&amp;J. Further, the price/earnings ratio (P/E ratio) also indicates a potential inclination to 25814.82 in 2023 compared to 21.18 in 2019, which disrupts the valuation of the organisation. Thus, the overall analysis indicates that the market practice has caused difficulties in managing business profitability over the last five years.</w:t>
      </w:r>
    </w:p>
    <w:p w14:paraId="6003C39C" w14:textId="77777777" w:rsidR="00410BA5" w:rsidRPr="0020339D" w:rsidRDefault="00C55C36">
      <w:pPr>
        <w:pStyle w:val="Heading2"/>
        <w:rPr>
          <w:lang w:val="en-GB"/>
        </w:rPr>
      </w:pPr>
      <w:bookmarkStart w:id="14" w:name="_Toc171804428"/>
      <w:r w:rsidRPr="0020339D">
        <w:rPr>
          <w:lang w:val="en-GB"/>
        </w:rPr>
        <w:t>Comparison to major competitors and sector average</w:t>
      </w:r>
      <w:bookmarkEnd w:id="14"/>
    </w:p>
    <w:p w14:paraId="0B74127D" w14:textId="77777777" w:rsidR="00410BA5" w:rsidRPr="0020339D" w:rsidRDefault="00C55C36">
      <w:pPr>
        <w:rPr>
          <w:b/>
          <w:i/>
          <w:lang w:val="en-GB"/>
        </w:rPr>
      </w:pPr>
      <w:r w:rsidRPr="0020339D">
        <w:rPr>
          <w:b/>
          <w:i/>
          <w:lang w:val="en-GB"/>
        </w:rPr>
        <w:t>Profitability Ratios</w:t>
      </w:r>
    </w:p>
    <w:p w14:paraId="7EF5FE94" w14:textId="77777777" w:rsidR="00410BA5" w:rsidRPr="0020339D" w:rsidRDefault="00C55C36">
      <w:pPr>
        <w:jc w:val="center"/>
        <w:rPr>
          <w:lang w:val="en-GB"/>
        </w:rPr>
      </w:pPr>
      <w:r w:rsidRPr="0020339D">
        <w:rPr>
          <w:noProof/>
          <w:lang w:val="en-US" w:eastAsia="en-US"/>
        </w:rPr>
        <w:lastRenderedPageBreak/>
        <w:drawing>
          <wp:inline distT="114300" distB="114300" distL="114300" distR="114300" wp14:anchorId="1FCAEA29" wp14:editId="4685F92A">
            <wp:extent cx="5943600" cy="3568700"/>
            <wp:effectExtent l="25400" t="25400" r="25400" b="25400"/>
            <wp:docPr id="8"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15"/>
                    <a:srcRect/>
                    <a:stretch>
                      <a:fillRect/>
                    </a:stretch>
                  </pic:blipFill>
                  <pic:spPr>
                    <a:xfrm>
                      <a:off x="0" y="0"/>
                      <a:ext cx="5943600" cy="3568700"/>
                    </a:xfrm>
                    <a:prstGeom prst="rect">
                      <a:avLst/>
                    </a:prstGeom>
                    <a:ln w="25400">
                      <a:solidFill>
                        <a:srgbClr val="000000"/>
                      </a:solidFill>
                      <a:prstDash val="solid"/>
                    </a:ln>
                  </pic:spPr>
                </pic:pic>
              </a:graphicData>
            </a:graphic>
          </wp:inline>
        </w:drawing>
      </w:r>
    </w:p>
    <w:p w14:paraId="3E34644F" w14:textId="77777777" w:rsidR="00410BA5" w:rsidRPr="0020339D" w:rsidRDefault="00C55C36">
      <w:pPr>
        <w:jc w:val="center"/>
        <w:rPr>
          <w:b/>
          <w:lang w:val="en-GB"/>
        </w:rPr>
      </w:pPr>
      <w:r w:rsidRPr="0020339D">
        <w:rPr>
          <w:b/>
          <w:lang w:val="en-GB"/>
        </w:rPr>
        <w:t>Figure 2.6: Comparison of Liquidity ratios in pharmaceutical companies</w:t>
      </w:r>
    </w:p>
    <w:p w14:paraId="7AF8FDF1" w14:textId="77777777" w:rsidR="00410BA5" w:rsidRPr="0020339D" w:rsidRDefault="00C55C36">
      <w:pPr>
        <w:rPr>
          <w:lang w:val="en-GB"/>
        </w:rPr>
      </w:pPr>
      <w:r w:rsidRPr="0020339D">
        <w:rPr>
          <w:lang w:val="en-GB"/>
        </w:rPr>
        <w:t xml:space="preserve">The sector average current ratios typically range between 1.5 and 2.0; the firm can maintain short-term financial obligations under this. Both the competitor’s Unilever and Pfizer current ratios are averaging around 0.70 reflecting a leaner approach to current asset management. However, J&amp;J closely followed the industry trends and yielded robust ratios averaging around 1.20 which demonstrates that the firm has maintained better liquidity as compared to other firms. On the other hand, Effiong and </w:t>
      </w:r>
      <w:proofErr w:type="spellStart"/>
      <w:r w:rsidRPr="0020339D">
        <w:rPr>
          <w:lang w:val="en-GB"/>
        </w:rPr>
        <w:t>Ejabu</w:t>
      </w:r>
      <w:proofErr w:type="spellEnd"/>
      <w:r w:rsidRPr="0020339D">
        <w:rPr>
          <w:lang w:val="en-GB"/>
        </w:rPr>
        <w:t xml:space="preserve"> (2020) stated that the quick ratio of the pharma sector averages around 1.5 for which immediate liabilities need to be maintained. In terms of quick ratios, </w:t>
      </w:r>
      <w:r w:rsidR="00714ECE" w:rsidRPr="0020339D">
        <w:rPr>
          <w:lang w:val="en-GB"/>
        </w:rPr>
        <w:t>Unilever’s</w:t>
      </w:r>
      <w:r w:rsidRPr="0020339D">
        <w:rPr>
          <w:lang w:val="en-GB"/>
        </w:rPr>
        <w:t xml:space="preserve"> lower figure was around approximately 0.54 while both J&amp;J and Pfizer maintained their ratios of more than 0.90 which means that the firm can cover short-term obligations without depending on inventory. In contrast, J&amp;J's cash ratios varied from 0.24 and 0.47 and compared with competitors like Unilever, and P&amp;G, they have maintained this and matched sector trends and the major reason behind it could be operating higher capital-intensive segments. </w:t>
      </w:r>
    </w:p>
    <w:p w14:paraId="3D32FF30" w14:textId="77777777" w:rsidR="00410BA5" w:rsidRPr="0020339D" w:rsidRDefault="00C55C36">
      <w:pPr>
        <w:rPr>
          <w:b/>
          <w:i/>
          <w:lang w:val="en-GB"/>
        </w:rPr>
      </w:pPr>
      <w:r w:rsidRPr="0020339D">
        <w:rPr>
          <w:b/>
          <w:i/>
          <w:lang w:val="en-GB"/>
        </w:rPr>
        <w:t>Liquidity Ratios</w:t>
      </w:r>
    </w:p>
    <w:p w14:paraId="687498FF" w14:textId="77777777" w:rsidR="00410BA5" w:rsidRPr="0020339D" w:rsidRDefault="00A03A71">
      <w:pPr>
        <w:jc w:val="center"/>
        <w:rPr>
          <w:lang w:val="en-GB"/>
        </w:rPr>
      </w:pPr>
      <w:r w:rsidRPr="0020339D">
        <w:rPr>
          <w:noProof/>
          <w:lang w:val="en-US" w:eastAsia="en-US"/>
        </w:rPr>
        <w:lastRenderedPageBreak/>
        <w:drawing>
          <wp:inline distT="0" distB="0" distL="0" distR="0" wp14:anchorId="1CB4AB08" wp14:editId="5A122586">
            <wp:extent cx="3330846" cy="3019425"/>
            <wp:effectExtent l="76200" t="76200" r="117475" b="104775"/>
            <wp:docPr id="1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srcRect/>
                    <a:stretch>
                      <a:fillRect/>
                    </a:stretch>
                  </pic:blipFill>
                  <pic:spPr bwMode="auto">
                    <a:xfrm>
                      <a:off x="0" y="0"/>
                      <a:ext cx="3330846" cy="30194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C1E5031" w14:textId="77777777" w:rsidR="00410BA5" w:rsidRPr="0020339D" w:rsidRDefault="00C55C36">
      <w:pPr>
        <w:jc w:val="center"/>
        <w:rPr>
          <w:b/>
          <w:lang w:val="en-GB"/>
        </w:rPr>
      </w:pPr>
      <w:r w:rsidRPr="0020339D">
        <w:rPr>
          <w:b/>
          <w:lang w:val="en-GB"/>
        </w:rPr>
        <w:t>Figure 2.7: Pharmaceutical and healthcare value-added output</w:t>
      </w:r>
    </w:p>
    <w:p w14:paraId="11F754AD" w14:textId="77777777" w:rsidR="00410BA5" w:rsidRPr="0020339D" w:rsidRDefault="00C55C36">
      <w:pPr>
        <w:jc w:val="center"/>
        <w:rPr>
          <w:lang w:val="en-GB"/>
        </w:rPr>
      </w:pPr>
      <w:r w:rsidRPr="0020339D">
        <w:rPr>
          <w:lang w:val="en-GB"/>
        </w:rPr>
        <w:t>(Source: Atradiuscollections.com, 2022)</w:t>
      </w:r>
    </w:p>
    <w:p w14:paraId="58782166" w14:textId="77777777" w:rsidR="00410BA5" w:rsidRPr="0020339D" w:rsidRDefault="00C55C36">
      <w:pPr>
        <w:rPr>
          <w:lang w:val="en-GB"/>
        </w:rPr>
      </w:pPr>
      <w:r w:rsidRPr="0020339D">
        <w:rPr>
          <w:lang w:val="en-GB"/>
        </w:rPr>
        <w:t xml:space="preserve">The statistical figure depicts that in the year 2021, health and value-added output increased a lot and yielded 17.9% which states that there is an ongoing demand for pharmaceutical products. However, considering the J&amp;J’s gross margin ranged from 65.58% to 68.82%, shows that they have nearly touched the sector average which is 70% and influenced by strategic investments as well as periodic adjustments in operational efficiencies. Companies like P&amp;G and Medtronic depict stable gross margins and operating margins in the sector and closely give competition to J&amp;J which states they have focused on their operations in medical devices and consumer goods. Moreover, </w:t>
      </w:r>
      <w:proofErr w:type="spellStart"/>
      <w:r w:rsidRPr="0020339D">
        <w:rPr>
          <w:lang w:val="en-GB"/>
        </w:rPr>
        <w:t>Tömöri</w:t>
      </w:r>
      <w:r w:rsidRPr="0020339D">
        <w:rPr>
          <w:i/>
          <w:lang w:val="en-GB"/>
        </w:rPr>
        <w:t>et</w:t>
      </w:r>
      <w:proofErr w:type="spellEnd"/>
      <w:r w:rsidRPr="0020339D">
        <w:rPr>
          <w:i/>
          <w:lang w:val="en-GB"/>
        </w:rPr>
        <w:t xml:space="preserve"> al</w:t>
      </w:r>
      <w:r w:rsidRPr="0020339D">
        <w:rPr>
          <w:lang w:val="en-GB"/>
        </w:rPr>
        <w:t xml:space="preserve">. (2021) claimed that ROE and ROA in the pharmaceutical sector are fundamental measures that can effectively reveal the gross profit that a firm realises in areas like R&amp;D expenditures. The ROE and ROA analysis of J&amp;J shows that they have demonstrated valuable use of both the assets and equity to generate profits. However, companies like Pfizer, Novartis and Unilever focused on innovative drug pipelines and technological advancements which indicate superior asset utilisation. </w:t>
      </w:r>
    </w:p>
    <w:p w14:paraId="13A63ADF" w14:textId="77777777" w:rsidR="00410BA5" w:rsidRPr="0020339D" w:rsidRDefault="00C55C36">
      <w:pPr>
        <w:rPr>
          <w:b/>
          <w:i/>
          <w:lang w:val="en-GB"/>
        </w:rPr>
      </w:pPr>
      <w:r w:rsidRPr="0020339D">
        <w:rPr>
          <w:b/>
          <w:i/>
          <w:lang w:val="en-GB"/>
        </w:rPr>
        <w:t>Gearing Ratios</w:t>
      </w:r>
    </w:p>
    <w:p w14:paraId="6B2D374E" w14:textId="77777777" w:rsidR="00410BA5" w:rsidRPr="0020339D" w:rsidRDefault="00C55C36">
      <w:pPr>
        <w:jc w:val="center"/>
        <w:rPr>
          <w:lang w:val="en-GB"/>
        </w:rPr>
      </w:pPr>
      <w:r w:rsidRPr="0020339D">
        <w:rPr>
          <w:noProof/>
          <w:lang w:val="en-US" w:eastAsia="en-US"/>
        </w:rPr>
        <w:lastRenderedPageBreak/>
        <w:drawing>
          <wp:inline distT="114300" distB="114300" distL="114300" distR="114300" wp14:anchorId="05367ACC" wp14:editId="161193EB">
            <wp:extent cx="5943600" cy="3378200"/>
            <wp:effectExtent l="25400" t="25400" r="25400" b="2540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7"/>
                    <a:srcRect/>
                    <a:stretch>
                      <a:fillRect/>
                    </a:stretch>
                  </pic:blipFill>
                  <pic:spPr>
                    <a:xfrm>
                      <a:off x="0" y="0"/>
                      <a:ext cx="5943600" cy="3378200"/>
                    </a:xfrm>
                    <a:prstGeom prst="rect">
                      <a:avLst/>
                    </a:prstGeom>
                    <a:ln w="25400">
                      <a:solidFill>
                        <a:srgbClr val="000000"/>
                      </a:solidFill>
                      <a:prstDash val="solid"/>
                    </a:ln>
                  </pic:spPr>
                </pic:pic>
              </a:graphicData>
            </a:graphic>
          </wp:inline>
        </w:drawing>
      </w:r>
    </w:p>
    <w:p w14:paraId="40AF9150" w14:textId="77777777" w:rsidR="00410BA5" w:rsidRPr="0020339D" w:rsidRDefault="00C55C36">
      <w:pPr>
        <w:jc w:val="center"/>
        <w:rPr>
          <w:lang w:val="en-GB"/>
        </w:rPr>
      </w:pPr>
      <w:r w:rsidRPr="0020339D">
        <w:rPr>
          <w:b/>
          <w:lang w:val="en-GB"/>
        </w:rPr>
        <w:t>Figure 2.8: Gearing ratio comparison</w:t>
      </w:r>
    </w:p>
    <w:p w14:paraId="2A668C25" w14:textId="77777777" w:rsidR="00410BA5" w:rsidRPr="0020339D" w:rsidRDefault="00C55C36">
      <w:pPr>
        <w:rPr>
          <w:lang w:val="en-GB"/>
        </w:rPr>
      </w:pPr>
      <w:r w:rsidRPr="0020339D">
        <w:rPr>
          <w:lang w:val="en-GB"/>
        </w:rPr>
        <w:t xml:space="preserve">The debt/equity ratio of J&amp;J significantly decreased in 2022 to 0.35 from 1.65 in 2019. However, ‌Kinyua and Ochieng’, (2022) stated that the debt/equity ratio for the pharmaceutical industry ranges from 0.5 to 1.5; for J&amp;J, it goes below that range, suggesting a conservative approach to organisational leverage. On the other hand, other companies' debt/equity ratios, including Unilever, were 2.59in 2022 increased from 3.67 in 2019 respectively, indicating less financial risk incurred by these organisations compared to J&amp;J. Similarly, the debt/capital ratio needs to be between 0.3 and 0.6 to maintain a balanced financial position; in the case of J&amp;J’s debt/capital ratio, which was 0.30 in 2023, up from 0.62 in 2019, indicates a balanced capital structure with a conservative dent approach. Thus, the gearing ratio analysts indicate a conservative leverage balance, which reduces the financial risk to competitors and maintains a competitive position in the market (Luigi </w:t>
      </w:r>
      <w:r w:rsidRPr="0020339D">
        <w:rPr>
          <w:i/>
          <w:lang w:val="en-GB"/>
        </w:rPr>
        <w:t>et al</w:t>
      </w:r>
      <w:r w:rsidRPr="0020339D">
        <w:rPr>
          <w:lang w:val="en-GB"/>
        </w:rPr>
        <w:t>. 2021).</w:t>
      </w:r>
    </w:p>
    <w:p w14:paraId="3B1B385D" w14:textId="77777777" w:rsidR="00410BA5" w:rsidRPr="0020339D" w:rsidRDefault="00C55C36">
      <w:pPr>
        <w:rPr>
          <w:b/>
          <w:i/>
          <w:lang w:val="en-GB"/>
        </w:rPr>
      </w:pPr>
      <w:r w:rsidRPr="0020339D">
        <w:rPr>
          <w:b/>
          <w:i/>
          <w:lang w:val="en-GB"/>
        </w:rPr>
        <w:t xml:space="preserve">Efficiency Ratios </w:t>
      </w:r>
    </w:p>
    <w:p w14:paraId="1E4E2838" w14:textId="77777777" w:rsidR="00410BA5" w:rsidRPr="0020339D" w:rsidRDefault="00C55C36">
      <w:pPr>
        <w:jc w:val="center"/>
        <w:rPr>
          <w:lang w:val="en-GB"/>
        </w:rPr>
      </w:pPr>
      <w:r w:rsidRPr="0020339D">
        <w:rPr>
          <w:noProof/>
          <w:lang w:val="en-US" w:eastAsia="en-US"/>
        </w:rPr>
        <w:lastRenderedPageBreak/>
        <w:drawing>
          <wp:inline distT="114300" distB="114300" distL="114300" distR="114300" wp14:anchorId="3B644D80" wp14:editId="11FE0B02">
            <wp:extent cx="5943600" cy="3378200"/>
            <wp:effectExtent l="12700" t="12700" r="12700" b="12700"/>
            <wp:docPr id="2"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8"/>
                    <a:srcRect/>
                    <a:stretch>
                      <a:fillRect/>
                    </a:stretch>
                  </pic:blipFill>
                  <pic:spPr>
                    <a:xfrm>
                      <a:off x="0" y="0"/>
                      <a:ext cx="5943600" cy="3378200"/>
                    </a:xfrm>
                    <a:prstGeom prst="rect">
                      <a:avLst/>
                    </a:prstGeom>
                    <a:ln w="12700">
                      <a:solidFill>
                        <a:srgbClr val="000000"/>
                      </a:solidFill>
                      <a:prstDash val="solid"/>
                    </a:ln>
                  </pic:spPr>
                </pic:pic>
              </a:graphicData>
            </a:graphic>
          </wp:inline>
        </w:drawing>
      </w:r>
    </w:p>
    <w:p w14:paraId="3769BD6B" w14:textId="77777777" w:rsidR="00410BA5" w:rsidRPr="0020339D" w:rsidRDefault="00C55C36">
      <w:pPr>
        <w:jc w:val="center"/>
        <w:rPr>
          <w:b/>
          <w:lang w:val="en-GB"/>
        </w:rPr>
      </w:pPr>
      <w:r w:rsidRPr="0020339D">
        <w:rPr>
          <w:b/>
          <w:lang w:val="en-GB"/>
        </w:rPr>
        <w:t>Figure 2.9: Efficiency ratio comparison</w:t>
      </w:r>
    </w:p>
    <w:p w14:paraId="6E9479E0" w14:textId="77777777" w:rsidR="00410BA5" w:rsidRPr="0020339D" w:rsidRDefault="00C55C36">
      <w:pPr>
        <w:rPr>
          <w:lang w:val="en-GB"/>
        </w:rPr>
      </w:pPr>
      <w:r w:rsidRPr="0020339D">
        <w:rPr>
          <w:lang w:val="en-GB"/>
        </w:rPr>
        <w:t xml:space="preserve">The overall efficiency ratio calculation of J&amp;J indicates a reduced efficiency in managing organisational performance and reduced profitability.  However, the inventory days for J&amp;J increased to 147 days in 2022 from 119 days in 2019 which takes more time compared to Unilever such as 44 days in 2022 from 52 days in 2019. This also indicates that Unilever created more efficacy in managing inventories than J&amp;J. Thus, J&amp;J need to make an effective balance in financial decisions and manage inventories to achieve </w:t>
      </w:r>
      <w:r w:rsidR="00714ECE" w:rsidRPr="0020339D">
        <w:rPr>
          <w:lang w:val="en-GB"/>
        </w:rPr>
        <w:t>effective</w:t>
      </w:r>
      <w:r w:rsidRPr="0020339D">
        <w:rPr>
          <w:lang w:val="en-GB"/>
        </w:rPr>
        <w:t xml:space="preserve"> success (‌</w:t>
      </w:r>
      <w:proofErr w:type="spellStart"/>
      <w:r w:rsidRPr="0020339D">
        <w:rPr>
          <w:lang w:val="en-GB"/>
        </w:rPr>
        <w:t>Oyinloye</w:t>
      </w:r>
      <w:r w:rsidRPr="0020339D">
        <w:rPr>
          <w:i/>
          <w:lang w:val="en-GB"/>
        </w:rPr>
        <w:t>et</w:t>
      </w:r>
      <w:proofErr w:type="spellEnd"/>
      <w:r w:rsidRPr="0020339D">
        <w:rPr>
          <w:i/>
          <w:lang w:val="en-GB"/>
        </w:rPr>
        <w:t xml:space="preserve"> al.</w:t>
      </w:r>
      <w:r w:rsidRPr="0020339D">
        <w:rPr>
          <w:lang w:val="en-GB"/>
        </w:rPr>
        <w:t xml:space="preserve"> 2020). </w:t>
      </w:r>
    </w:p>
    <w:p w14:paraId="51147591" w14:textId="77777777" w:rsidR="00410BA5" w:rsidRDefault="00C55C36">
      <w:pPr>
        <w:rPr>
          <w:b/>
          <w:i/>
          <w:lang w:val="en-GB"/>
        </w:rPr>
      </w:pPr>
      <w:r w:rsidRPr="0020339D">
        <w:rPr>
          <w:b/>
          <w:i/>
          <w:lang w:val="en-GB"/>
        </w:rPr>
        <w:t>Valuation Ratios</w:t>
      </w:r>
    </w:p>
    <w:p w14:paraId="18EF2ACC" w14:textId="77777777" w:rsidR="007C7AF8" w:rsidRPr="007C7AF8" w:rsidRDefault="007C7AF8">
      <w:r w:rsidRPr="007C7AF8">
        <w:rPr>
          <w:bCs/>
          <w:iCs/>
          <w:lang w:val="en-GB"/>
        </w:rPr>
        <w:t>The financial process of estimating a company's value is called valuation</w:t>
      </w:r>
      <w:r>
        <w:rPr>
          <w:bCs/>
          <w:iCs/>
          <w:lang w:val="en-GB"/>
        </w:rPr>
        <w:t xml:space="preserve"> and t</w:t>
      </w:r>
      <w:r w:rsidRPr="007C7AF8">
        <w:rPr>
          <w:bCs/>
          <w:iCs/>
          <w:lang w:val="en-GB"/>
        </w:rPr>
        <w:t xml:space="preserve">his knowledge is contextualised in relation to a company's share price using valuation ratios, which are helpful instruments for assessing investment </w:t>
      </w:r>
      <w:proofErr w:type="gramStart"/>
      <w:r w:rsidRPr="007C7AF8">
        <w:rPr>
          <w:bCs/>
          <w:iCs/>
          <w:lang w:val="en-GB"/>
        </w:rPr>
        <w:t>possibilities.</w:t>
      </w:r>
      <w:r w:rsidRPr="007C7AF8">
        <w:t>Enhancing</w:t>
      </w:r>
      <w:proofErr w:type="gramEnd"/>
      <w:r w:rsidRPr="007C7AF8">
        <w:t xml:space="preserve"> market perception and value metrics can be achieved through increasing financial reporting transparency and successfully conveying strategic initiatives to investors. Stakeholder confidence can be increased by giving clear instructions on growth possibilities, capital allocation plans, and risk management techniques.</w:t>
      </w:r>
    </w:p>
    <w:p w14:paraId="2A4995E6" w14:textId="77777777" w:rsidR="00410BA5" w:rsidRPr="0020339D" w:rsidRDefault="00C55C36">
      <w:pPr>
        <w:jc w:val="center"/>
        <w:rPr>
          <w:lang w:val="en-GB"/>
        </w:rPr>
      </w:pPr>
      <w:r w:rsidRPr="0020339D">
        <w:rPr>
          <w:noProof/>
          <w:lang w:val="en-US" w:eastAsia="en-US"/>
        </w:rPr>
        <w:lastRenderedPageBreak/>
        <w:drawing>
          <wp:inline distT="114300" distB="114300" distL="114300" distR="114300" wp14:anchorId="59F90798" wp14:editId="41A53114">
            <wp:extent cx="4924425" cy="3048000"/>
            <wp:effectExtent l="25400" t="25400" r="25400" b="25400"/>
            <wp:docPr id="11"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9"/>
                    <a:srcRect/>
                    <a:stretch>
                      <a:fillRect/>
                    </a:stretch>
                  </pic:blipFill>
                  <pic:spPr>
                    <a:xfrm>
                      <a:off x="0" y="0"/>
                      <a:ext cx="4924425" cy="3048000"/>
                    </a:xfrm>
                    <a:prstGeom prst="rect">
                      <a:avLst/>
                    </a:prstGeom>
                    <a:ln w="25400">
                      <a:solidFill>
                        <a:srgbClr val="000000"/>
                      </a:solidFill>
                      <a:prstDash val="solid"/>
                    </a:ln>
                  </pic:spPr>
                </pic:pic>
              </a:graphicData>
            </a:graphic>
          </wp:inline>
        </w:drawing>
      </w:r>
    </w:p>
    <w:p w14:paraId="64085E76" w14:textId="77777777" w:rsidR="00410BA5" w:rsidRPr="0020339D" w:rsidRDefault="00C55C36">
      <w:pPr>
        <w:jc w:val="center"/>
        <w:rPr>
          <w:b/>
          <w:lang w:val="en-GB"/>
        </w:rPr>
      </w:pPr>
      <w:r w:rsidRPr="0020339D">
        <w:rPr>
          <w:b/>
          <w:lang w:val="en-GB"/>
        </w:rPr>
        <w:t>Figure 2.10: J&amp;J’s EPS based on fair values</w:t>
      </w:r>
    </w:p>
    <w:p w14:paraId="301CC0C4" w14:textId="77777777" w:rsidR="00410BA5" w:rsidRPr="0020339D" w:rsidRDefault="00C55C36">
      <w:pPr>
        <w:rPr>
          <w:lang w:val="en-GB"/>
        </w:rPr>
      </w:pPr>
      <w:r w:rsidRPr="0020339D">
        <w:rPr>
          <w:lang w:val="en-GB"/>
        </w:rPr>
        <w:t xml:space="preserve">The analysis of the valuation ratio indicates the potentially higher market price of J&amp;J than the fair values. Further, the analysis also reveals the complex challenges in managing financial position and reduced earnings per share compared to 2019 in 2023. However, in 2023 Pfizer a competitor of J&amp;J generated profitability of $58.5 billion, a decrease of 41% in operational performance. Where J&amp;J earned a profit of $35 billion indicating a competitive business position with the other market competitors (‌Statista, 2023). </w:t>
      </w:r>
    </w:p>
    <w:p w14:paraId="5A1BE842" w14:textId="77777777" w:rsidR="00410BA5" w:rsidRPr="0020339D" w:rsidRDefault="00C55C36">
      <w:pPr>
        <w:pStyle w:val="Heading2"/>
        <w:rPr>
          <w:lang w:val="en-GB"/>
        </w:rPr>
      </w:pPr>
      <w:bookmarkStart w:id="15" w:name="_Toc171804429"/>
      <w:r w:rsidRPr="0020339D">
        <w:rPr>
          <w:lang w:val="en-GB"/>
        </w:rPr>
        <w:t>Recommendations for Financial Management Improvement</w:t>
      </w:r>
      <w:bookmarkEnd w:id="15"/>
    </w:p>
    <w:p w14:paraId="7BAA09A2" w14:textId="77777777" w:rsidR="00410BA5" w:rsidRPr="007C7AF8" w:rsidRDefault="00C55C36">
      <w:r w:rsidRPr="0020339D">
        <w:rPr>
          <w:lang w:val="en-GB"/>
        </w:rPr>
        <w:t xml:space="preserve">It was evaluated from the profitability ratio analysis </w:t>
      </w:r>
      <w:r w:rsidR="00714ECE" w:rsidRPr="0020339D">
        <w:rPr>
          <w:lang w:val="en-GB"/>
        </w:rPr>
        <w:t>that;</w:t>
      </w:r>
      <w:r w:rsidRPr="0020339D">
        <w:rPr>
          <w:lang w:val="en-GB"/>
        </w:rPr>
        <w:t xml:space="preserve"> J&amp;J has shown strong profitability in recent few years. However, a firm needs to optimise its product mix and pricing strategies to boost profitability more and compete with its rivals. Moreover, Amponsah-</w:t>
      </w:r>
      <w:proofErr w:type="spellStart"/>
      <w:r w:rsidRPr="0020339D">
        <w:rPr>
          <w:lang w:val="en-GB"/>
        </w:rPr>
        <w:t>Kwatiah</w:t>
      </w:r>
      <w:proofErr w:type="spellEnd"/>
      <w:r w:rsidRPr="0020339D">
        <w:rPr>
          <w:lang w:val="en-GB"/>
        </w:rPr>
        <w:t xml:space="preserve"> and Asiamah (2021) suggested that managing costs, boosting productivity and concentrating on sales efforts are other ways to boost operating and net income. For example, J&amp;J needs to assess and promote products with higher profitability margins which can ultimately boost gross margin and ROA. In addition, Lee (2021) alludes that streamlining supply chain operations and reducing overhead costs can be also significant for improving profitability. Considering this, J&amp;J should focus on continuous improvement tactics to guarantee sustainable profitability growth. </w:t>
      </w:r>
      <w:r w:rsidR="007C7AF8">
        <w:rPr>
          <w:lang w:val="en-GB"/>
        </w:rPr>
        <w:t xml:space="preserve">In </w:t>
      </w:r>
      <w:r w:rsidR="007C7AF8">
        <w:rPr>
          <w:lang w:val="en-GB"/>
        </w:rPr>
        <w:lastRenderedPageBreak/>
        <w:t xml:space="preserve">addition, </w:t>
      </w:r>
      <w:r w:rsidR="007C7AF8">
        <w:t>i</w:t>
      </w:r>
      <w:r w:rsidR="007C7AF8" w:rsidRPr="007C7AF8">
        <w:t>t is essential to keep a balanced capital structure that complies with financial goals and industry norms. J&amp;J may attain an ideal leverage ratio that supports growth objectives while sensibly managing financial risk by carefully balancing the mix of loan and equity financing.</w:t>
      </w:r>
    </w:p>
    <w:p w14:paraId="45408E01" w14:textId="77777777" w:rsidR="00410BA5" w:rsidRPr="0020339D" w:rsidRDefault="00C55C36">
      <w:pPr>
        <w:rPr>
          <w:lang w:val="en-GB"/>
        </w:rPr>
      </w:pPr>
      <w:r w:rsidRPr="0020339D">
        <w:rPr>
          <w:lang w:val="en-GB"/>
        </w:rPr>
        <w:t xml:space="preserve">On the contrary, the liquidity ratios fluctuated over the years which raised figures regarding liquidity risk. HRISHIKES (2021) stated that working capital management is one of the important tactics that can be crucial for enhancing liquidity ratios. For example, J&amp;J can gain this by negotiating effectively on favourable payment terms with suppliers alongside account receivable collection. This approach can effectively boost the quick and current ratios, guaranteeing that the firm can effectively fulfil liquidity to meet short-term obligations. In addition, </w:t>
      </w:r>
      <w:proofErr w:type="spellStart"/>
      <w:r w:rsidRPr="0020339D">
        <w:rPr>
          <w:lang w:val="en-GB"/>
        </w:rPr>
        <w:t>Pornupatham</w:t>
      </w:r>
      <w:proofErr w:type="spellEnd"/>
      <w:r w:rsidRPr="0020339D">
        <w:rPr>
          <w:lang w:val="en-GB"/>
        </w:rPr>
        <w:t xml:space="preserve"> (2022) recommended that cash flow forecasting accuracy and robust cash management practices can also enhance ratios like cash ratio. Thus, putting treasury management strategies such as cash flow forecasting, cash management and enhanced cash visibility, the firm can effectively maintain liquidity. </w:t>
      </w:r>
    </w:p>
    <w:p w14:paraId="58948378" w14:textId="77777777" w:rsidR="00410BA5" w:rsidRPr="0020339D" w:rsidRDefault="00C55C36">
      <w:pPr>
        <w:spacing w:before="240" w:after="240"/>
        <w:rPr>
          <w:lang w:val="en-GB"/>
        </w:rPr>
      </w:pPr>
      <w:r w:rsidRPr="0020339D">
        <w:rPr>
          <w:lang w:val="en-GB"/>
        </w:rPr>
        <w:t xml:space="preserve">On the other hand, based on the overall analysis, it can be recommended that J&amp;J focus on inventory management and optimisation systems. Balkhi </w:t>
      </w:r>
      <w:r w:rsidRPr="0020339D">
        <w:rPr>
          <w:i/>
          <w:lang w:val="en-GB"/>
        </w:rPr>
        <w:t xml:space="preserve">et al. </w:t>
      </w:r>
      <w:r w:rsidRPr="0020339D">
        <w:rPr>
          <w:lang w:val="en-GB"/>
        </w:rPr>
        <w:t xml:space="preserve">(2022) stated the importance of implementing a just-in-time inventory management system to enhance demand forecasting and business performance. J&amp;J can adopt this system to minimise overstocking and boost the organisational turnover rate. Further, data analytics and using sifters will help J&amp;J maintain a better inventory management system and provide better control over business performance. </w:t>
      </w:r>
    </w:p>
    <w:p w14:paraId="54847AE5" w14:textId="77777777" w:rsidR="00410BA5" w:rsidRPr="0020339D" w:rsidRDefault="00C55C36">
      <w:pPr>
        <w:spacing w:before="240" w:after="240"/>
        <w:rPr>
          <w:lang w:val="en-GB"/>
        </w:rPr>
      </w:pPr>
      <w:r w:rsidRPr="0020339D">
        <w:rPr>
          <w:lang w:val="en-GB"/>
        </w:rPr>
        <w:t xml:space="preserve">Further, to promote an effective gearing ratio J&amp;J should implement a continuous monitoring system; it will help the organisation maintain balance in its finances and enhance investors’ confidence. Further, Kim and Lee (2021) suggested maintaining a good relationship with suppliers, which can help manage delayed payments and also enhance organisational payable efficiency. Further, it is recommended that J&amp;J streamline business operations, invest in high-margin products, and cut unnecessary costs, which will enhance market penetration and earning potential. </w:t>
      </w:r>
    </w:p>
    <w:p w14:paraId="796B7708" w14:textId="77777777" w:rsidR="00410BA5" w:rsidRPr="007C7AF8" w:rsidRDefault="00C55C36" w:rsidP="007C7AF8">
      <w:r w:rsidRPr="0020339D">
        <w:rPr>
          <w:lang w:val="en-GB"/>
        </w:rPr>
        <w:t xml:space="preserve">On the other hand, it can be suggested to J&amp;J to strengthen its credit policies and offer early payment discounts. This approach will influence customers’ intentions to pay the due amounts on time, and it will provide positive growth for managing receivables within the organisation </w:t>
      </w:r>
      <w:r w:rsidRPr="0020339D">
        <w:rPr>
          <w:lang w:val="en-GB"/>
        </w:rPr>
        <w:lastRenderedPageBreak/>
        <w:t>(</w:t>
      </w:r>
      <w:proofErr w:type="spellStart"/>
      <w:r w:rsidRPr="0020339D">
        <w:rPr>
          <w:lang w:val="en-GB"/>
        </w:rPr>
        <w:t>Brunnermeier</w:t>
      </w:r>
      <w:proofErr w:type="spellEnd"/>
      <w:r w:rsidRPr="0020339D">
        <w:rPr>
          <w:lang w:val="en-GB"/>
        </w:rPr>
        <w:t xml:space="preserve"> and Krishnamurthy, 2020). </w:t>
      </w:r>
      <w:r w:rsidR="007C7AF8">
        <w:rPr>
          <w:lang w:val="en-GB"/>
        </w:rPr>
        <w:t xml:space="preserve">Moreover, stated that </w:t>
      </w:r>
      <w:r w:rsidR="007C7AF8" w:rsidRPr="007C7AF8">
        <w:t xml:space="preserve">Inventory turnover and accounts receivable turnover are two efficiency ratios that can be improved by investing in technology and automation to streamline operational procedures. Optimising resource allocation and decreasing operational inefficiencies can be achieved by implementing sophisticated analytics for inventory management and demand </w:t>
      </w:r>
      <w:proofErr w:type="gramStart"/>
      <w:r w:rsidR="007C7AF8" w:rsidRPr="007C7AF8">
        <w:t>forecasting.</w:t>
      </w:r>
      <w:r w:rsidRPr="0020339D">
        <w:rPr>
          <w:lang w:val="en-GB"/>
        </w:rPr>
        <w:t>Further</w:t>
      </w:r>
      <w:proofErr w:type="gramEnd"/>
      <w:r w:rsidRPr="0020339D">
        <w:rPr>
          <w:lang w:val="en-GB"/>
        </w:rPr>
        <w:t>, maintaining consistency and transparency in financial reporting will be beneficial to managing market expectations, helping stakeholders make investment decisions, and maintaining a stable P/E ratio. These recommendations are most effective as they will ultimately provide positive benefits to the organisation, enhance profitability, address business financial challenges, engage stakeholders, and maintain a competitive position in the market.</w:t>
      </w:r>
    </w:p>
    <w:p w14:paraId="2AC277ED" w14:textId="77777777" w:rsidR="00410BA5" w:rsidRPr="0020339D" w:rsidRDefault="00C55C36">
      <w:pPr>
        <w:pStyle w:val="Heading1"/>
        <w:rPr>
          <w:lang w:val="en-GB"/>
        </w:rPr>
      </w:pPr>
      <w:bookmarkStart w:id="16" w:name="_9hfyy0eizwa3" w:colFirst="0" w:colLast="0"/>
      <w:bookmarkEnd w:id="16"/>
      <w:r w:rsidRPr="0020339D">
        <w:rPr>
          <w:lang w:val="en-GB"/>
        </w:rPr>
        <w:br w:type="page"/>
      </w:r>
    </w:p>
    <w:p w14:paraId="017F890E" w14:textId="77777777" w:rsidR="00410BA5" w:rsidRPr="0020339D" w:rsidRDefault="00C55C36">
      <w:pPr>
        <w:pStyle w:val="Heading1"/>
        <w:rPr>
          <w:lang w:val="en-GB"/>
        </w:rPr>
      </w:pPr>
      <w:bookmarkStart w:id="17" w:name="_Toc171804430"/>
      <w:r w:rsidRPr="0020339D">
        <w:rPr>
          <w:lang w:val="en-GB"/>
        </w:rPr>
        <w:lastRenderedPageBreak/>
        <w:t>Part C: Investment Appraisal</w:t>
      </w:r>
      <w:bookmarkEnd w:id="17"/>
    </w:p>
    <w:p w14:paraId="14B99C48" w14:textId="77777777" w:rsidR="00410BA5" w:rsidRPr="0020339D" w:rsidRDefault="00C55C36">
      <w:pPr>
        <w:pStyle w:val="Heading2"/>
        <w:rPr>
          <w:lang w:val="en-GB"/>
        </w:rPr>
      </w:pPr>
      <w:bookmarkStart w:id="18" w:name="_Toc171804431"/>
      <w:r w:rsidRPr="0020339D">
        <w:rPr>
          <w:lang w:val="en-GB"/>
        </w:rPr>
        <w:t>Project Evaluation and recommendation (Cash Flow Analysis)</w:t>
      </w:r>
      <w:bookmarkEnd w:id="18"/>
    </w:p>
    <w:p w14:paraId="2FAD207E" w14:textId="77777777" w:rsidR="00410BA5" w:rsidRPr="0020339D" w:rsidRDefault="00C55C36">
      <w:pPr>
        <w:rPr>
          <w:b/>
          <w:lang w:val="en-GB"/>
        </w:rPr>
      </w:pPr>
      <w:r w:rsidRPr="0020339D">
        <w:rPr>
          <w:b/>
          <w:lang w:val="en-GB"/>
        </w:rPr>
        <w:t>Payback Period (PBP) calculation</w:t>
      </w:r>
    </w:p>
    <w:p w14:paraId="1FC458CE" w14:textId="77777777" w:rsidR="00410BA5" w:rsidRPr="0020339D" w:rsidRDefault="00C55C36">
      <w:pPr>
        <w:rPr>
          <w:lang w:val="en-GB"/>
        </w:rPr>
      </w:pPr>
      <w:r w:rsidRPr="0020339D">
        <w:rPr>
          <w:lang w:val="en-GB"/>
        </w:rPr>
        <w:t xml:space="preserve">As stated by Ardiles Sinaga </w:t>
      </w:r>
      <w:r w:rsidRPr="0020339D">
        <w:rPr>
          <w:i/>
          <w:lang w:val="en-GB"/>
        </w:rPr>
        <w:t>et al</w:t>
      </w:r>
      <w:r w:rsidRPr="0020339D">
        <w:rPr>
          <w:lang w:val="en-GB"/>
        </w:rPr>
        <w:t xml:space="preserve">. (2023), the payback period plays a crucial role in a firm's evaluation of the investments recouping the cost of an initial investment and based on that decisions can be made. From the two given proposals, Johnson &amp; Johnson assures the project considering such aspects. </w:t>
      </w:r>
    </w:p>
    <w:tbl>
      <w:tblPr>
        <w:tblStyle w:val="a4"/>
        <w:tblW w:w="5000" w:type="pct"/>
        <w:tblBorders>
          <w:top w:val="nil"/>
          <w:left w:val="nil"/>
          <w:bottom w:val="nil"/>
          <w:right w:val="nil"/>
          <w:insideH w:val="nil"/>
          <w:insideV w:val="nil"/>
        </w:tblBorders>
        <w:tblLook w:val="0600" w:firstRow="0" w:lastRow="0" w:firstColumn="0" w:lastColumn="0" w:noHBand="1" w:noVBand="1"/>
      </w:tblPr>
      <w:tblGrid>
        <w:gridCol w:w="1243"/>
        <w:gridCol w:w="1081"/>
        <w:gridCol w:w="1863"/>
        <w:gridCol w:w="1554"/>
        <w:gridCol w:w="1879"/>
        <w:gridCol w:w="829"/>
        <w:gridCol w:w="991"/>
      </w:tblGrid>
      <w:tr w:rsidR="00410BA5" w:rsidRPr="0020339D" w14:paraId="311F3D8B" w14:textId="77777777" w:rsidTr="00714ECE">
        <w:trPr>
          <w:trHeight w:val="1181"/>
        </w:trPr>
        <w:tc>
          <w:tcPr>
            <w:tcW w:w="658" w:type="pct"/>
            <w:tcBorders>
              <w:top w:val="single" w:sz="6" w:space="0" w:color="000000"/>
              <w:left w:val="single" w:sz="6" w:space="0" w:color="000000"/>
              <w:bottom w:val="single" w:sz="6" w:space="0" w:color="000000"/>
              <w:right w:val="single" w:sz="6" w:space="0" w:color="000000"/>
            </w:tcBorders>
            <w:shd w:val="clear" w:color="auto" w:fill="FFF2CC"/>
            <w:tcMar>
              <w:top w:w="0" w:type="dxa"/>
              <w:left w:w="40" w:type="dxa"/>
              <w:bottom w:w="0" w:type="dxa"/>
              <w:right w:w="40" w:type="dxa"/>
            </w:tcMar>
            <w:vAlign w:val="bottom"/>
          </w:tcPr>
          <w:p w14:paraId="4A8F9C8E" w14:textId="77777777" w:rsidR="00410BA5" w:rsidRPr="0020339D" w:rsidRDefault="00C55C36">
            <w:pPr>
              <w:widowControl w:val="0"/>
              <w:spacing w:before="0" w:after="0" w:line="276" w:lineRule="auto"/>
              <w:jc w:val="left"/>
              <w:rPr>
                <w:rFonts w:ascii="Arial" w:eastAsia="Arial" w:hAnsi="Arial" w:cs="Arial"/>
                <w:sz w:val="14"/>
                <w:szCs w:val="14"/>
                <w:lang w:val="en-GB"/>
              </w:rPr>
            </w:pPr>
            <w:r w:rsidRPr="0020339D">
              <w:rPr>
                <w:b/>
                <w:sz w:val="18"/>
                <w:szCs w:val="18"/>
                <w:lang w:val="en-GB"/>
              </w:rPr>
              <w:t>Year</w:t>
            </w:r>
          </w:p>
        </w:tc>
        <w:tc>
          <w:tcPr>
            <w:tcW w:w="572" w:type="pct"/>
            <w:tcBorders>
              <w:top w:val="single" w:sz="6" w:space="0" w:color="000000"/>
              <w:left w:val="single" w:sz="6" w:space="0" w:color="CCCCCC"/>
              <w:bottom w:val="single" w:sz="6" w:space="0" w:color="000000"/>
              <w:right w:val="single" w:sz="6" w:space="0" w:color="000000"/>
            </w:tcBorders>
            <w:shd w:val="clear" w:color="auto" w:fill="FFF2CC"/>
            <w:tcMar>
              <w:top w:w="0" w:type="dxa"/>
              <w:left w:w="40" w:type="dxa"/>
              <w:bottom w:w="0" w:type="dxa"/>
              <w:right w:w="40" w:type="dxa"/>
            </w:tcMar>
            <w:vAlign w:val="bottom"/>
          </w:tcPr>
          <w:p w14:paraId="0275E13F" w14:textId="77777777" w:rsidR="00410BA5" w:rsidRPr="0020339D" w:rsidRDefault="00C55C36">
            <w:pPr>
              <w:widowControl w:val="0"/>
              <w:spacing w:before="0" w:after="0" w:line="276" w:lineRule="auto"/>
              <w:jc w:val="center"/>
              <w:rPr>
                <w:rFonts w:ascii="Arial" w:eastAsia="Arial" w:hAnsi="Arial" w:cs="Arial"/>
                <w:sz w:val="14"/>
                <w:szCs w:val="14"/>
                <w:lang w:val="en-GB"/>
              </w:rPr>
            </w:pPr>
            <w:r w:rsidRPr="0020339D">
              <w:rPr>
                <w:b/>
                <w:sz w:val="18"/>
                <w:szCs w:val="18"/>
                <w:lang w:val="en-GB"/>
              </w:rPr>
              <w:t>Net Cash Flow for A</w:t>
            </w:r>
          </w:p>
        </w:tc>
        <w:tc>
          <w:tcPr>
            <w:tcW w:w="987" w:type="pct"/>
            <w:tcBorders>
              <w:top w:val="single" w:sz="6" w:space="0" w:color="000000"/>
              <w:left w:val="single" w:sz="6" w:space="0" w:color="CCCCCC"/>
              <w:bottom w:val="single" w:sz="6" w:space="0" w:color="000000"/>
              <w:right w:val="single" w:sz="6" w:space="0" w:color="000000"/>
            </w:tcBorders>
            <w:shd w:val="clear" w:color="auto" w:fill="FFF2CC"/>
            <w:tcMar>
              <w:top w:w="0" w:type="dxa"/>
              <w:left w:w="40" w:type="dxa"/>
              <w:bottom w:w="0" w:type="dxa"/>
              <w:right w:w="40" w:type="dxa"/>
            </w:tcMar>
            <w:vAlign w:val="bottom"/>
          </w:tcPr>
          <w:p w14:paraId="7F4EEE06" w14:textId="77777777" w:rsidR="00410BA5" w:rsidRPr="0020339D" w:rsidRDefault="00C55C36">
            <w:pPr>
              <w:widowControl w:val="0"/>
              <w:spacing w:before="0" w:after="0" w:line="276" w:lineRule="auto"/>
              <w:jc w:val="center"/>
              <w:rPr>
                <w:rFonts w:ascii="Arial" w:eastAsia="Arial" w:hAnsi="Arial" w:cs="Arial"/>
                <w:sz w:val="14"/>
                <w:szCs w:val="14"/>
                <w:lang w:val="en-GB"/>
              </w:rPr>
            </w:pPr>
            <w:r w:rsidRPr="0020339D">
              <w:rPr>
                <w:b/>
                <w:sz w:val="18"/>
                <w:szCs w:val="18"/>
                <w:lang w:val="en-GB"/>
              </w:rPr>
              <w:t>Net Cash Flow for B</w:t>
            </w:r>
          </w:p>
        </w:tc>
        <w:tc>
          <w:tcPr>
            <w:tcW w:w="823" w:type="pct"/>
            <w:tcBorders>
              <w:top w:val="single" w:sz="6" w:space="0" w:color="000000"/>
              <w:left w:val="single" w:sz="6" w:space="0" w:color="CCCCCC"/>
              <w:bottom w:val="single" w:sz="6" w:space="0" w:color="000000"/>
              <w:right w:val="single" w:sz="6" w:space="0" w:color="000000"/>
            </w:tcBorders>
            <w:shd w:val="clear" w:color="auto" w:fill="FFF2CC"/>
            <w:tcMar>
              <w:top w:w="0" w:type="dxa"/>
              <w:left w:w="40" w:type="dxa"/>
              <w:bottom w:w="0" w:type="dxa"/>
              <w:right w:w="40" w:type="dxa"/>
            </w:tcMar>
            <w:vAlign w:val="bottom"/>
          </w:tcPr>
          <w:p w14:paraId="120E489B" w14:textId="77777777" w:rsidR="00410BA5" w:rsidRPr="0020339D" w:rsidRDefault="00C55C36">
            <w:pPr>
              <w:widowControl w:val="0"/>
              <w:spacing w:before="0" w:after="0" w:line="276" w:lineRule="auto"/>
              <w:jc w:val="left"/>
              <w:rPr>
                <w:rFonts w:ascii="Arial" w:eastAsia="Arial" w:hAnsi="Arial" w:cs="Arial"/>
                <w:sz w:val="14"/>
                <w:szCs w:val="14"/>
                <w:lang w:val="en-GB"/>
              </w:rPr>
            </w:pPr>
            <w:r w:rsidRPr="0020339D">
              <w:rPr>
                <w:b/>
                <w:sz w:val="18"/>
                <w:szCs w:val="18"/>
                <w:lang w:val="en-GB"/>
              </w:rPr>
              <w:t>Cumulative Cash Flow for A</w:t>
            </w:r>
          </w:p>
        </w:tc>
        <w:tc>
          <w:tcPr>
            <w:tcW w:w="995" w:type="pct"/>
            <w:tcBorders>
              <w:top w:val="single" w:sz="6" w:space="0" w:color="000000"/>
              <w:left w:val="single" w:sz="6" w:space="0" w:color="CCCCCC"/>
              <w:bottom w:val="single" w:sz="6" w:space="0" w:color="000000"/>
              <w:right w:val="single" w:sz="6" w:space="0" w:color="000000"/>
            </w:tcBorders>
            <w:shd w:val="clear" w:color="auto" w:fill="FFF2CC"/>
            <w:tcMar>
              <w:top w:w="0" w:type="dxa"/>
              <w:left w:w="40" w:type="dxa"/>
              <w:bottom w:w="0" w:type="dxa"/>
              <w:right w:w="40" w:type="dxa"/>
            </w:tcMar>
            <w:vAlign w:val="bottom"/>
          </w:tcPr>
          <w:p w14:paraId="4904266B" w14:textId="77777777" w:rsidR="00410BA5" w:rsidRPr="0020339D" w:rsidRDefault="00C55C36">
            <w:pPr>
              <w:widowControl w:val="0"/>
              <w:spacing w:before="0" w:after="0" w:line="276" w:lineRule="auto"/>
              <w:jc w:val="center"/>
              <w:rPr>
                <w:rFonts w:ascii="Arial" w:eastAsia="Arial" w:hAnsi="Arial" w:cs="Arial"/>
                <w:sz w:val="14"/>
                <w:szCs w:val="14"/>
                <w:lang w:val="en-GB"/>
              </w:rPr>
            </w:pPr>
            <w:r w:rsidRPr="0020339D">
              <w:rPr>
                <w:b/>
                <w:sz w:val="18"/>
                <w:szCs w:val="18"/>
                <w:lang w:val="en-GB"/>
              </w:rPr>
              <w:t>Cumulative Cash Flow for B</w:t>
            </w:r>
          </w:p>
        </w:tc>
        <w:tc>
          <w:tcPr>
            <w:tcW w:w="439" w:type="pct"/>
            <w:tcBorders>
              <w:top w:val="single" w:sz="6" w:space="0" w:color="000000"/>
              <w:left w:val="single" w:sz="6" w:space="0" w:color="CCCCCC"/>
              <w:bottom w:val="single" w:sz="6" w:space="0" w:color="000000"/>
              <w:right w:val="single" w:sz="6" w:space="0" w:color="000000"/>
            </w:tcBorders>
            <w:shd w:val="clear" w:color="auto" w:fill="FFF2CC"/>
            <w:tcMar>
              <w:top w:w="0" w:type="dxa"/>
              <w:left w:w="40" w:type="dxa"/>
              <w:bottom w:w="0" w:type="dxa"/>
              <w:right w:w="40" w:type="dxa"/>
            </w:tcMar>
            <w:vAlign w:val="bottom"/>
          </w:tcPr>
          <w:p w14:paraId="3F42B4FB" w14:textId="77777777" w:rsidR="00410BA5" w:rsidRPr="0020339D" w:rsidRDefault="00C55C36">
            <w:pPr>
              <w:widowControl w:val="0"/>
              <w:spacing w:before="0" w:after="0" w:line="276" w:lineRule="auto"/>
              <w:jc w:val="center"/>
              <w:rPr>
                <w:rFonts w:ascii="Arial" w:eastAsia="Arial" w:hAnsi="Arial" w:cs="Arial"/>
                <w:sz w:val="14"/>
                <w:szCs w:val="14"/>
                <w:lang w:val="en-GB"/>
              </w:rPr>
            </w:pPr>
            <w:r w:rsidRPr="0020339D">
              <w:rPr>
                <w:b/>
                <w:sz w:val="18"/>
                <w:szCs w:val="18"/>
                <w:lang w:val="en-GB"/>
              </w:rPr>
              <w:t>Payback Period (PBP) for A</w:t>
            </w:r>
          </w:p>
        </w:tc>
        <w:tc>
          <w:tcPr>
            <w:tcW w:w="525" w:type="pct"/>
            <w:tcBorders>
              <w:top w:val="single" w:sz="6" w:space="0" w:color="000000"/>
              <w:left w:val="single" w:sz="6" w:space="0" w:color="CCCCCC"/>
              <w:bottom w:val="single" w:sz="6" w:space="0" w:color="000000"/>
              <w:right w:val="single" w:sz="6" w:space="0" w:color="000000"/>
            </w:tcBorders>
            <w:shd w:val="clear" w:color="auto" w:fill="FFF2CC"/>
            <w:tcMar>
              <w:top w:w="0" w:type="dxa"/>
              <w:left w:w="40" w:type="dxa"/>
              <w:bottom w:w="0" w:type="dxa"/>
              <w:right w:w="40" w:type="dxa"/>
            </w:tcMar>
            <w:vAlign w:val="bottom"/>
          </w:tcPr>
          <w:p w14:paraId="7D25E06A" w14:textId="77777777" w:rsidR="00410BA5" w:rsidRPr="0020339D" w:rsidRDefault="00C55C36">
            <w:pPr>
              <w:widowControl w:val="0"/>
              <w:spacing w:before="0" w:after="0" w:line="276" w:lineRule="auto"/>
              <w:jc w:val="left"/>
              <w:rPr>
                <w:rFonts w:ascii="Arial" w:eastAsia="Arial" w:hAnsi="Arial" w:cs="Arial"/>
                <w:sz w:val="14"/>
                <w:szCs w:val="14"/>
                <w:lang w:val="en-GB"/>
              </w:rPr>
            </w:pPr>
            <w:r w:rsidRPr="0020339D">
              <w:rPr>
                <w:b/>
                <w:sz w:val="18"/>
                <w:szCs w:val="18"/>
                <w:lang w:val="en-GB"/>
              </w:rPr>
              <w:t>(PBP) for B</w:t>
            </w:r>
          </w:p>
        </w:tc>
      </w:tr>
      <w:tr w:rsidR="00410BA5" w:rsidRPr="0020339D" w14:paraId="7358B2C1" w14:textId="77777777" w:rsidTr="00714ECE">
        <w:trPr>
          <w:trHeight w:val="300"/>
        </w:trPr>
        <w:tc>
          <w:tcPr>
            <w:tcW w:w="658" w:type="pct"/>
            <w:tcBorders>
              <w:top w:val="single" w:sz="6" w:space="0" w:color="CCCCCC"/>
              <w:left w:val="single" w:sz="6" w:space="0" w:color="000000"/>
              <w:bottom w:val="single" w:sz="6" w:space="0" w:color="000000"/>
              <w:right w:val="single" w:sz="6" w:space="0" w:color="000000"/>
            </w:tcBorders>
            <w:shd w:val="clear" w:color="auto" w:fill="FCE5CD"/>
            <w:tcMar>
              <w:top w:w="0" w:type="dxa"/>
              <w:left w:w="40" w:type="dxa"/>
              <w:bottom w:w="0" w:type="dxa"/>
              <w:right w:w="40" w:type="dxa"/>
            </w:tcMar>
            <w:vAlign w:val="bottom"/>
          </w:tcPr>
          <w:p w14:paraId="1688BADD" w14:textId="77777777" w:rsidR="00410BA5" w:rsidRPr="0020339D" w:rsidRDefault="00C55C36">
            <w:pPr>
              <w:widowControl w:val="0"/>
              <w:spacing w:before="0" w:after="0" w:line="276" w:lineRule="auto"/>
              <w:jc w:val="center"/>
              <w:rPr>
                <w:rFonts w:ascii="Arial" w:eastAsia="Arial" w:hAnsi="Arial" w:cs="Arial"/>
                <w:sz w:val="20"/>
                <w:szCs w:val="20"/>
                <w:lang w:val="en-GB"/>
              </w:rPr>
            </w:pPr>
            <w:r w:rsidRPr="0020339D">
              <w:rPr>
                <w:lang w:val="en-GB"/>
              </w:rPr>
              <w:t>0</w:t>
            </w:r>
          </w:p>
        </w:tc>
        <w:tc>
          <w:tcPr>
            <w:tcW w:w="572" w:type="pct"/>
            <w:tcBorders>
              <w:top w:val="single" w:sz="6" w:space="0" w:color="CCCCCC"/>
              <w:left w:val="single" w:sz="6" w:space="0" w:color="CCCCCC"/>
              <w:bottom w:val="single" w:sz="6" w:space="0" w:color="000000"/>
              <w:right w:val="single" w:sz="6" w:space="0" w:color="000000"/>
            </w:tcBorders>
            <w:shd w:val="clear" w:color="auto" w:fill="FCE5CD"/>
            <w:tcMar>
              <w:top w:w="0" w:type="dxa"/>
              <w:left w:w="40" w:type="dxa"/>
              <w:bottom w:w="0" w:type="dxa"/>
              <w:right w:w="40" w:type="dxa"/>
            </w:tcMar>
            <w:vAlign w:val="bottom"/>
          </w:tcPr>
          <w:p w14:paraId="16758110" w14:textId="77777777" w:rsidR="00410BA5" w:rsidRPr="0020339D" w:rsidRDefault="00C55C36">
            <w:pPr>
              <w:widowControl w:val="0"/>
              <w:spacing w:before="0" w:after="0" w:line="276" w:lineRule="auto"/>
              <w:jc w:val="center"/>
              <w:rPr>
                <w:rFonts w:ascii="Arial" w:eastAsia="Arial" w:hAnsi="Arial" w:cs="Arial"/>
                <w:sz w:val="20"/>
                <w:szCs w:val="20"/>
                <w:lang w:val="en-GB"/>
              </w:rPr>
            </w:pPr>
            <w:r w:rsidRPr="0020339D">
              <w:rPr>
                <w:lang w:val="en-GB"/>
              </w:rPr>
              <w:t>-80</w:t>
            </w:r>
          </w:p>
        </w:tc>
        <w:tc>
          <w:tcPr>
            <w:tcW w:w="987" w:type="pct"/>
            <w:tcBorders>
              <w:top w:val="single" w:sz="6" w:space="0" w:color="CCCCCC"/>
              <w:left w:val="single" w:sz="6" w:space="0" w:color="CCCCCC"/>
              <w:bottom w:val="single" w:sz="6" w:space="0" w:color="000000"/>
              <w:right w:val="single" w:sz="6" w:space="0" w:color="000000"/>
            </w:tcBorders>
            <w:shd w:val="clear" w:color="auto" w:fill="FCE5CD"/>
            <w:tcMar>
              <w:top w:w="0" w:type="dxa"/>
              <w:left w:w="40" w:type="dxa"/>
              <w:bottom w:w="0" w:type="dxa"/>
              <w:right w:w="40" w:type="dxa"/>
            </w:tcMar>
            <w:vAlign w:val="bottom"/>
          </w:tcPr>
          <w:p w14:paraId="34E4EEF2" w14:textId="77777777" w:rsidR="00410BA5" w:rsidRPr="0020339D" w:rsidRDefault="00C55C36">
            <w:pPr>
              <w:widowControl w:val="0"/>
              <w:spacing w:before="0" w:after="0" w:line="276" w:lineRule="auto"/>
              <w:jc w:val="center"/>
              <w:rPr>
                <w:rFonts w:ascii="Arial" w:eastAsia="Arial" w:hAnsi="Arial" w:cs="Arial"/>
                <w:sz w:val="20"/>
                <w:szCs w:val="20"/>
                <w:lang w:val="en-GB"/>
              </w:rPr>
            </w:pPr>
            <w:r w:rsidRPr="0020339D">
              <w:rPr>
                <w:lang w:val="en-GB"/>
              </w:rPr>
              <w:t>-75</w:t>
            </w:r>
          </w:p>
        </w:tc>
        <w:tc>
          <w:tcPr>
            <w:tcW w:w="823" w:type="pct"/>
            <w:tcBorders>
              <w:top w:val="single" w:sz="6" w:space="0" w:color="CCCCCC"/>
              <w:left w:val="single" w:sz="6" w:space="0" w:color="CCCCCC"/>
              <w:bottom w:val="single" w:sz="6" w:space="0" w:color="000000"/>
              <w:right w:val="single" w:sz="6" w:space="0" w:color="000000"/>
            </w:tcBorders>
            <w:shd w:val="clear" w:color="auto" w:fill="FCE5CD"/>
            <w:tcMar>
              <w:top w:w="0" w:type="dxa"/>
              <w:left w:w="40" w:type="dxa"/>
              <w:bottom w:w="0" w:type="dxa"/>
              <w:right w:w="40" w:type="dxa"/>
            </w:tcMar>
            <w:vAlign w:val="bottom"/>
          </w:tcPr>
          <w:p w14:paraId="4DAF933A" w14:textId="77777777" w:rsidR="00410BA5" w:rsidRPr="0020339D" w:rsidRDefault="00C55C36">
            <w:pPr>
              <w:widowControl w:val="0"/>
              <w:spacing w:before="0" w:after="0" w:line="276" w:lineRule="auto"/>
              <w:jc w:val="center"/>
              <w:rPr>
                <w:rFonts w:ascii="Arial" w:eastAsia="Arial" w:hAnsi="Arial" w:cs="Arial"/>
                <w:sz w:val="20"/>
                <w:szCs w:val="20"/>
                <w:lang w:val="en-GB"/>
              </w:rPr>
            </w:pPr>
            <w:r w:rsidRPr="0020339D">
              <w:rPr>
                <w:lang w:val="en-GB"/>
              </w:rPr>
              <w:t>-80</w:t>
            </w:r>
          </w:p>
        </w:tc>
        <w:tc>
          <w:tcPr>
            <w:tcW w:w="995" w:type="pct"/>
            <w:tcBorders>
              <w:top w:val="single" w:sz="6" w:space="0" w:color="CCCCCC"/>
              <w:left w:val="single" w:sz="6" w:space="0" w:color="CCCCCC"/>
              <w:bottom w:val="single" w:sz="6" w:space="0" w:color="000000"/>
              <w:right w:val="single" w:sz="6" w:space="0" w:color="000000"/>
            </w:tcBorders>
            <w:shd w:val="clear" w:color="auto" w:fill="FCE5CD"/>
            <w:tcMar>
              <w:top w:w="0" w:type="dxa"/>
              <w:left w:w="40" w:type="dxa"/>
              <w:bottom w:w="0" w:type="dxa"/>
              <w:right w:w="40" w:type="dxa"/>
            </w:tcMar>
            <w:vAlign w:val="bottom"/>
          </w:tcPr>
          <w:p w14:paraId="63B005B0" w14:textId="77777777" w:rsidR="00410BA5" w:rsidRPr="0020339D" w:rsidRDefault="00C55C36">
            <w:pPr>
              <w:widowControl w:val="0"/>
              <w:spacing w:before="0" w:after="0" w:line="276" w:lineRule="auto"/>
              <w:jc w:val="center"/>
              <w:rPr>
                <w:rFonts w:ascii="Arial" w:eastAsia="Arial" w:hAnsi="Arial" w:cs="Arial"/>
                <w:sz w:val="20"/>
                <w:szCs w:val="20"/>
                <w:lang w:val="en-GB"/>
              </w:rPr>
            </w:pPr>
            <w:r w:rsidRPr="0020339D">
              <w:rPr>
                <w:lang w:val="en-GB"/>
              </w:rPr>
              <w:t>-75</w:t>
            </w:r>
          </w:p>
        </w:tc>
        <w:tc>
          <w:tcPr>
            <w:tcW w:w="439" w:type="pct"/>
            <w:vMerge w:val="restart"/>
            <w:tcBorders>
              <w:top w:val="single" w:sz="6" w:space="0" w:color="CCCCCC"/>
              <w:left w:val="single" w:sz="6" w:space="0" w:color="CCCCCC"/>
              <w:bottom w:val="single" w:sz="6" w:space="0" w:color="000000"/>
              <w:right w:val="single" w:sz="6" w:space="0" w:color="000000"/>
            </w:tcBorders>
            <w:shd w:val="clear" w:color="auto" w:fill="FCE5CD"/>
            <w:tcMar>
              <w:top w:w="0" w:type="dxa"/>
              <w:left w:w="40" w:type="dxa"/>
              <w:bottom w:w="0" w:type="dxa"/>
              <w:right w:w="40" w:type="dxa"/>
            </w:tcMar>
            <w:vAlign w:val="bottom"/>
          </w:tcPr>
          <w:p w14:paraId="72D7272C" w14:textId="77777777" w:rsidR="00410BA5" w:rsidRPr="0020339D" w:rsidRDefault="00C55C36">
            <w:pPr>
              <w:widowControl w:val="0"/>
              <w:spacing w:before="0" w:after="0" w:line="276" w:lineRule="auto"/>
              <w:jc w:val="center"/>
              <w:rPr>
                <w:lang w:val="en-GB"/>
              </w:rPr>
            </w:pPr>
            <w:r w:rsidRPr="0020339D">
              <w:rPr>
                <w:lang w:val="en-GB"/>
              </w:rPr>
              <w:t>3.6</w:t>
            </w:r>
          </w:p>
        </w:tc>
        <w:tc>
          <w:tcPr>
            <w:tcW w:w="525" w:type="pct"/>
            <w:vMerge w:val="restart"/>
            <w:tcBorders>
              <w:top w:val="single" w:sz="6" w:space="0" w:color="CCCCCC"/>
              <w:left w:val="single" w:sz="6" w:space="0" w:color="CCCCCC"/>
              <w:bottom w:val="single" w:sz="6" w:space="0" w:color="000000"/>
              <w:right w:val="single" w:sz="6" w:space="0" w:color="000000"/>
            </w:tcBorders>
            <w:shd w:val="clear" w:color="auto" w:fill="FCE5CD"/>
            <w:tcMar>
              <w:top w:w="0" w:type="dxa"/>
              <w:left w:w="40" w:type="dxa"/>
              <w:bottom w:w="0" w:type="dxa"/>
              <w:right w:w="40" w:type="dxa"/>
            </w:tcMar>
            <w:vAlign w:val="bottom"/>
          </w:tcPr>
          <w:p w14:paraId="4306B4F3" w14:textId="77777777" w:rsidR="00410BA5" w:rsidRPr="0020339D" w:rsidRDefault="00C55C36">
            <w:pPr>
              <w:widowControl w:val="0"/>
              <w:spacing w:before="0" w:after="0" w:line="276" w:lineRule="auto"/>
              <w:jc w:val="center"/>
              <w:rPr>
                <w:lang w:val="en-GB"/>
              </w:rPr>
            </w:pPr>
            <w:r w:rsidRPr="0020339D">
              <w:rPr>
                <w:lang w:val="en-GB"/>
              </w:rPr>
              <w:t>2.7</w:t>
            </w:r>
          </w:p>
        </w:tc>
      </w:tr>
      <w:tr w:rsidR="00410BA5" w:rsidRPr="0020339D" w14:paraId="5E9B46BB" w14:textId="77777777" w:rsidTr="00714ECE">
        <w:trPr>
          <w:trHeight w:val="300"/>
        </w:trPr>
        <w:tc>
          <w:tcPr>
            <w:tcW w:w="658" w:type="pct"/>
            <w:tcBorders>
              <w:top w:val="single" w:sz="6" w:space="0" w:color="CCCCCC"/>
              <w:left w:val="single" w:sz="6" w:space="0" w:color="000000"/>
              <w:bottom w:val="single" w:sz="6" w:space="0" w:color="000000"/>
              <w:right w:val="single" w:sz="6" w:space="0" w:color="000000"/>
            </w:tcBorders>
            <w:shd w:val="clear" w:color="auto" w:fill="FCE5CD"/>
            <w:tcMar>
              <w:top w:w="0" w:type="dxa"/>
              <w:left w:w="40" w:type="dxa"/>
              <w:bottom w:w="0" w:type="dxa"/>
              <w:right w:w="40" w:type="dxa"/>
            </w:tcMar>
            <w:vAlign w:val="bottom"/>
          </w:tcPr>
          <w:p w14:paraId="2CCE8635" w14:textId="77777777" w:rsidR="00410BA5" w:rsidRPr="0020339D" w:rsidRDefault="00C55C36">
            <w:pPr>
              <w:widowControl w:val="0"/>
              <w:spacing w:before="0" w:after="0" w:line="276" w:lineRule="auto"/>
              <w:jc w:val="center"/>
              <w:rPr>
                <w:rFonts w:ascii="Arial" w:eastAsia="Arial" w:hAnsi="Arial" w:cs="Arial"/>
                <w:sz w:val="20"/>
                <w:szCs w:val="20"/>
                <w:lang w:val="en-GB"/>
              </w:rPr>
            </w:pPr>
            <w:r w:rsidRPr="0020339D">
              <w:rPr>
                <w:lang w:val="en-GB"/>
              </w:rPr>
              <w:t>1</w:t>
            </w:r>
          </w:p>
        </w:tc>
        <w:tc>
          <w:tcPr>
            <w:tcW w:w="572" w:type="pct"/>
            <w:tcBorders>
              <w:top w:val="single" w:sz="6" w:space="0" w:color="CCCCCC"/>
              <w:left w:val="single" w:sz="6" w:space="0" w:color="CCCCCC"/>
              <w:bottom w:val="single" w:sz="6" w:space="0" w:color="000000"/>
              <w:right w:val="single" w:sz="6" w:space="0" w:color="000000"/>
            </w:tcBorders>
            <w:shd w:val="clear" w:color="auto" w:fill="FCE5CD"/>
            <w:tcMar>
              <w:top w:w="0" w:type="dxa"/>
              <w:left w:w="40" w:type="dxa"/>
              <w:bottom w:w="0" w:type="dxa"/>
              <w:right w:w="40" w:type="dxa"/>
            </w:tcMar>
            <w:vAlign w:val="bottom"/>
          </w:tcPr>
          <w:p w14:paraId="09FF6EE8" w14:textId="77777777" w:rsidR="00410BA5" w:rsidRPr="0020339D" w:rsidRDefault="00C55C36">
            <w:pPr>
              <w:widowControl w:val="0"/>
              <w:spacing w:before="0" w:after="0" w:line="276" w:lineRule="auto"/>
              <w:jc w:val="center"/>
              <w:rPr>
                <w:rFonts w:ascii="Arial" w:eastAsia="Arial" w:hAnsi="Arial" w:cs="Arial"/>
                <w:sz w:val="20"/>
                <w:szCs w:val="20"/>
                <w:lang w:val="en-GB"/>
              </w:rPr>
            </w:pPr>
            <w:r w:rsidRPr="0020339D">
              <w:rPr>
                <w:lang w:val="en-GB"/>
              </w:rPr>
              <w:t>25</w:t>
            </w:r>
          </w:p>
        </w:tc>
        <w:tc>
          <w:tcPr>
            <w:tcW w:w="987" w:type="pct"/>
            <w:tcBorders>
              <w:top w:val="single" w:sz="6" w:space="0" w:color="CCCCCC"/>
              <w:left w:val="single" w:sz="6" w:space="0" w:color="CCCCCC"/>
              <w:bottom w:val="single" w:sz="6" w:space="0" w:color="000000"/>
              <w:right w:val="single" w:sz="6" w:space="0" w:color="000000"/>
            </w:tcBorders>
            <w:shd w:val="clear" w:color="auto" w:fill="FCE5CD"/>
            <w:tcMar>
              <w:top w:w="0" w:type="dxa"/>
              <w:left w:w="40" w:type="dxa"/>
              <w:bottom w:w="0" w:type="dxa"/>
              <w:right w:w="40" w:type="dxa"/>
            </w:tcMar>
            <w:vAlign w:val="bottom"/>
          </w:tcPr>
          <w:p w14:paraId="274E70FB" w14:textId="77777777" w:rsidR="00410BA5" w:rsidRPr="0020339D" w:rsidRDefault="00C55C36">
            <w:pPr>
              <w:widowControl w:val="0"/>
              <w:spacing w:before="0" w:after="0" w:line="276" w:lineRule="auto"/>
              <w:jc w:val="center"/>
              <w:rPr>
                <w:rFonts w:ascii="Arial" w:eastAsia="Arial" w:hAnsi="Arial" w:cs="Arial"/>
                <w:sz w:val="20"/>
                <w:szCs w:val="20"/>
                <w:lang w:val="en-GB"/>
              </w:rPr>
            </w:pPr>
            <w:r w:rsidRPr="0020339D">
              <w:rPr>
                <w:lang w:val="en-GB"/>
              </w:rPr>
              <w:t>50</w:t>
            </w:r>
          </w:p>
        </w:tc>
        <w:tc>
          <w:tcPr>
            <w:tcW w:w="823" w:type="pct"/>
            <w:tcBorders>
              <w:top w:val="single" w:sz="6" w:space="0" w:color="CCCCCC"/>
              <w:left w:val="single" w:sz="6" w:space="0" w:color="CCCCCC"/>
              <w:bottom w:val="single" w:sz="6" w:space="0" w:color="000000"/>
              <w:right w:val="single" w:sz="6" w:space="0" w:color="000000"/>
            </w:tcBorders>
            <w:shd w:val="clear" w:color="auto" w:fill="FCE5CD"/>
            <w:tcMar>
              <w:top w:w="0" w:type="dxa"/>
              <w:left w:w="40" w:type="dxa"/>
              <w:bottom w:w="0" w:type="dxa"/>
              <w:right w:w="40" w:type="dxa"/>
            </w:tcMar>
            <w:vAlign w:val="bottom"/>
          </w:tcPr>
          <w:p w14:paraId="07511797" w14:textId="77777777" w:rsidR="00410BA5" w:rsidRPr="0020339D" w:rsidRDefault="00C55C36">
            <w:pPr>
              <w:widowControl w:val="0"/>
              <w:spacing w:before="0" w:after="0" w:line="276" w:lineRule="auto"/>
              <w:jc w:val="center"/>
              <w:rPr>
                <w:rFonts w:ascii="Arial" w:eastAsia="Arial" w:hAnsi="Arial" w:cs="Arial"/>
                <w:sz w:val="20"/>
                <w:szCs w:val="20"/>
                <w:lang w:val="en-GB"/>
              </w:rPr>
            </w:pPr>
            <w:r w:rsidRPr="0020339D">
              <w:rPr>
                <w:lang w:val="en-GB"/>
              </w:rPr>
              <w:t>-55</w:t>
            </w:r>
          </w:p>
        </w:tc>
        <w:tc>
          <w:tcPr>
            <w:tcW w:w="995" w:type="pct"/>
            <w:tcBorders>
              <w:top w:val="single" w:sz="6" w:space="0" w:color="CCCCCC"/>
              <w:left w:val="single" w:sz="6" w:space="0" w:color="CCCCCC"/>
              <w:bottom w:val="single" w:sz="6" w:space="0" w:color="000000"/>
              <w:right w:val="single" w:sz="6" w:space="0" w:color="000000"/>
            </w:tcBorders>
            <w:shd w:val="clear" w:color="auto" w:fill="FCE5CD"/>
            <w:tcMar>
              <w:top w:w="0" w:type="dxa"/>
              <w:left w:w="40" w:type="dxa"/>
              <w:bottom w:w="0" w:type="dxa"/>
              <w:right w:w="40" w:type="dxa"/>
            </w:tcMar>
            <w:vAlign w:val="bottom"/>
          </w:tcPr>
          <w:p w14:paraId="4D02BD7E" w14:textId="77777777" w:rsidR="00410BA5" w:rsidRPr="0020339D" w:rsidRDefault="00C55C36">
            <w:pPr>
              <w:widowControl w:val="0"/>
              <w:spacing w:before="0" w:after="0" w:line="276" w:lineRule="auto"/>
              <w:jc w:val="center"/>
              <w:rPr>
                <w:rFonts w:ascii="Arial" w:eastAsia="Arial" w:hAnsi="Arial" w:cs="Arial"/>
                <w:sz w:val="20"/>
                <w:szCs w:val="20"/>
                <w:lang w:val="en-GB"/>
              </w:rPr>
            </w:pPr>
            <w:r w:rsidRPr="0020339D">
              <w:rPr>
                <w:lang w:val="en-GB"/>
              </w:rPr>
              <w:t>-25</w:t>
            </w:r>
          </w:p>
        </w:tc>
        <w:tc>
          <w:tcPr>
            <w:tcW w:w="439" w:type="pct"/>
            <w:vMerge/>
            <w:tcBorders>
              <w:top w:val="single" w:sz="6" w:space="0" w:color="CCCCCC"/>
              <w:left w:val="single" w:sz="6" w:space="0" w:color="CCCCCC"/>
              <w:bottom w:val="single" w:sz="6" w:space="0" w:color="000000"/>
              <w:right w:val="single" w:sz="6" w:space="0" w:color="000000"/>
            </w:tcBorders>
            <w:shd w:val="clear" w:color="auto" w:fill="auto"/>
            <w:tcMar>
              <w:top w:w="100" w:type="dxa"/>
              <w:left w:w="100" w:type="dxa"/>
              <w:bottom w:w="100" w:type="dxa"/>
              <w:right w:w="100" w:type="dxa"/>
            </w:tcMar>
          </w:tcPr>
          <w:p w14:paraId="7D2C691B" w14:textId="77777777" w:rsidR="00410BA5" w:rsidRPr="0020339D" w:rsidRDefault="00410BA5">
            <w:pPr>
              <w:widowControl w:val="0"/>
              <w:spacing w:before="0" w:after="0" w:line="276" w:lineRule="auto"/>
              <w:jc w:val="left"/>
              <w:rPr>
                <w:rFonts w:ascii="Arial" w:eastAsia="Arial" w:hAnsi="Arial" w:cs="Arial"/>
                <w:sz w:val="20"/>
                <w:szCs w:val="20"/>
                <w:lang w:val="en-GB"/>
              </w:rPr>
            </w:pPr>
          </w:p>
        </w:tc>
        <w:tc>
          <w:tcPr>
            <w:tcW w:w="525" w:type="pct"/>
            <w:vMerge/>
            <w:tcBorders>
              <w:top w:val="single" w:sz="6" w:space="0" w:color="CCCCCC"/>
              <w:left w:val="single" w:sz="6" w:space="0" w:color="CCCCCC"/>
              <w:bottom w:val="single" w:sz="6" w:space="0" w:color="000000"/>
              <w:right w:val="single" w:sz="6" w:space="0" w:color="000000"/>
            </w:tcBorders>
            <w:shd w:val="clear" w:color="auto" w:fill="auto"/>
            <w:tcMar>
              <w:top w:w="0" w:type="dxa"/>
              <w:bottom w:w="0" w:type="dxa"/>
            </w:tcMar>
          </w:tcPr>
          <w:p w14:paraId="2BC924F3" w14:textId="77777777" w:rsidR="00410BA5" w:rsidRPr="0020339D" w:rsidRDefault="00410BA5">
            <w:pPr>
              <w:widowControl w:val="0"/>
              <w:spacing w:before="0" w:after="0" w:line="276" w:lineRule="auto"/>
              <w:jc w:val="left"/>
              <w:rPr>
                <w:rFonts w:ascii="Arial" w:eastAsia="Arial" w:hAnsi="Arial" w:cs="Arial"/>
                <w:sz w:val="20"/>
                <w:szCs w:val="20"/>
                <w:lang w:val="en-GB"/>
              </w:rPr>
            </w:pPr>
          </w:p>
        </w:tc>
      </w:tr>
      <w:tr w:rsidR="00410BA5" w:rsidRPr="0020339D" w14:paraId="30571E11" w14:textId="77777777" w:rsidTr="00714ECE">
        <w:trPr>
          <w:trHeight w:val="300"/>
        </w:trPr>
        <w:tc>
          <w:tcPr>
            <w:tcW w:w="658" w:type="pct"/>
            <w:tcBorders>
              <w:top w:val="single" w:sz="6" w:space="0" w:color="CCCCCC"/>
              <w:left w:val="single" w:sz="6" w:space="0" w:color="000000"/>
              <w:bottom w:val="single" w:sz="6" w:space="0" w:color="000000"/>
              <w:right w:val="single" w:sz="6" w:space="0" w:color="000000"/>
            </w:tcBorders>
            <w:shd w:val="clear" w:color="auto" w:fill="FCE5CD"/>
            <w:tcMar>
              <w:top w:w="0" w:type="dxa"/>
              <w:left w:w="40" w:type="dxa"/>
              <w:bottom w:w="0" w:type="dxa"/>
              <w:right w:w="40" w:type="dxa"/>
            </w:tcMar>
            <w:vAlign w:val="bottom"/>
          </w:tcPr>
          <w:p w14:paraId="05F56694" w14:textId="77777777" w:rsidR="00410BA5" w:rsidRPr="0020339D" w:rsidRDefault="00C55C36">
            <w:pPr>
              <w:widowControl w:val="0"/>
              <w:spacing w:before="0" w:after="0" w:line="276" w:lineRule="auto"/>
              <w:jc w:val="center"/>
              <w:rPr>
                <w:rFonts w:ascii="Arial" w:eastAsia="Arial" w:hAnsi="Arial" w:cs="Arial"/>
                <w:sz w:val="20"/>
                <w:szCs w:val="20"/>
                <w:lang w:val="en-GB"/>
              </w:rPr>
            </w:pPr>
            <w:r w:rsidRPr="0020339D">
              <w:rPr>
                <w:lang w:val="en-GB"/>
              </w:rPr>
              <w:t>2</w:t>
            </w:r>
          </w:p>
        </w:tc>
        <w:tc>
          <w:tcPr>
            <w:tcW w:w="572" w:type="pct"/>
            <w:tcBorders>
              <w:top w:val="single" w:sz="6" w:space="0" w:color="CCCCCC"/>
              <w:left w:val="single" w:sz="6" w:space="0" w:color="CCCCCC"/>
              <w:bottom w:val="single" w:sz="6" w:space="0" w:color="000000"/>
              <w:right w:val="single" w:sz="6" w:space="0" w:color="000000"/>
            </w:tcBorders>
            <w:shd w:val="clear" w:color="auto" w:fill="FCE5CD"/>
            <w:tcMar>
              <w:top w:w="0" w:type="dxa"/>
              <w:left w:w="40" w:type="dxa"/>
              <w:bottom w:w="0" w:type="dxa"/>
              <w:right w:w="40" w:type="dxa"/>
            </w:tcMar>
            <w:vAlign w:val="bottom"/>
          </w:tcPr>
          <w:p w14:paraId="326CEBCC" w14:textId="77777777" w:rsidR="00410BA5" w:rsidRPr="0020339D" w:rsidRDefault="00C55C36">
            <w:pPr>
              <w:widowControl w:val="0"/>
              <w:spacing w:before="0" w:after="0" w:line="276" w:lineRule="auto"/>
              <w:jc w:val="center"/>
              <w:rPr>
                <w:rFonts w:ascii="Arial" w:eastAsia="Arial" w:hAnsi="Arial" w:cs="Arial"/>
                <w:sz w:val="20"/>
                <w:szCs w:val="20"/>
                <w:lang w:val="en-GB"/>
              </w:rPr>
            </w:pPr>
            <w:r w:rsidRPr="0020339D">
              <w:rPr>
                <w:lang w:val="en-GB"/>
              </w:rPr>
              <w:t>25</w:t>
            </w:r>
          </w:p>
        </w:tc>
        <w:tc>
          <w:tcPr>
            <w:tcW w:w="987" w:type="pct"/>
            <w:tcBorders>
              <w:top w:val="single" w:sz="6" w:space="0" w:color="CCCCCC"/>
              <w:left w:val="single" w:sz="6" w:space="0" w:color="CCCCCC"/>
              <w:bottom w:val="single" w:sz="6" w:space="0" w:color="000000"/>
              <w:right w:val="single" w:sz="6" w:space="0" w:color="000000"/>
            </w:tcBorders>
            <w:shd w:val="clear" w:color="auto" w:fill="FCE5CD"/>
            <w:tcMar>
              <w:top w:w="0" w:type="dxa"/>
              <w:left w:w="40" w:type="dxa"/>
              <w:bottom w:w="0" w:type="dxa"/>
              <w:right w:w="40" w:type="dxa"/>
            </w:tcMar>
            <w:vAlign w:val="bottom"/>
          </w:tcPr>
          <w:p w14:paraId="179EB526" w14:textId="77777777" w:rsidR="00410BA5" w:rsidRPr="0020339D" w:rsidRDefault="00C55C36">
            <w:pPr>
              <w:widowControl w:val="0"/>
              <w:spacing w:before="0" w:after="0" w:line="276" w:lineRule="auto"/>
              <w:jc w:val="center"/>
              <w:rPr>
                <w:rFonts w:ascii="Arial" w:eastAsia="Arial" w:hAnsi="Arial" w:cs="Arial"/>
                <w:sz w:val="20"/>
                <w:szCs w:val="20"/>
                <w:lang w:val="en-GB"/>
              </w:rPr>
            </w:pPr>
            <w:r w:rsidRPr="0020339D">
              <w:rPr>
                <w:lang w:val="en-GB"/>
              </w:rPr>
              <w:t>20</w:t>
            </w:r>
          </w:p>
        </w:tc>
        <w:tc>
          <w:tcPr>
            <w:tcW w:w="823" w:type="pct"/>
            <w:tcBorders>
              <w:top w:val="single" w:sz="6" w:space="0" w:color="CCCCCC"/>
              <w:left w:val="single" w:sz="6" w:space="0" w:color="CCCCCC"/>
              <w:bottom w:val="single" w:sz="6" w:space="0" w:color="000000"/>
              <w:right w:val="single" w:sz="6" w:space="0" w:color="000000"/>
            </w:tcBorders>
            <w:shd w:val="clear" w:color="auto" w:fill="FCE5CD"/>
            <w:tcMar>
              <w:top w:w="0" w:type="dxa"/>
              <w:left w:w="40" w:type="dxa"/>
              <w:bottom w:w="0" w:type="dxa"/>
              <w:right w:w="40" w:type="dxa"/>
            </w:tcMar>
            <w:vAlign w:val="bottom"/>
          </w:tcPr>
          <w:p w14:paraId="3E982395" w14:textId="77777777" w:rsidR="00410BA5" w:rsidRPr="0020339D" w:rsidRDefault="00C55C36">
            <w:pPr>
              <w:widowControl w:val="0"/>
              <w:spacing w:before="0" w:after="0" w:line="276" w:lineRule="auto"/>
              <w:jc w:val="center"/>
              <w:rPr>
                <w:rFonts w:ascii="Arial" w:eastAsia="Arial" w:hAnsi="Arial" w:cs="Arial"/>
                <w:sz w:val="20"/>
                <w:szCs w:val="20"/>
                <w:lang w:val="en-GB"/>
              </w:rPr>
            </w:pPr>
            <w:r w:rsidRPr="0020339D">
              <w:rPr>
                <w:lang w:val="en-GB"/>
              </w:rPr>
              <w:t>-30</w:t>
            </w:r>
          </w:p>
        </w:tc>
        <w:tc>
          <w:tcPr>
            <w:tcW w:w="995" w:type="pct"/>
            <w:tcBorders>
              <w:top w:val="single" w:sz="6" w:space="0" w:color="CCCCCC"/>
              <w:left w:val="single" w:sz="6" w:space="0" w:color="CCCCCC"/>
              <w:bottom w:val="single" w:sz="6" w:space="0" w:color="000000"/>
              <w:right w:val="single" w:sz="6" w:space="0" w:color="000000"/>
            </w:tcBorders>
            <w:shd w:val="clear" w:color="auto" w:fill="FCE5CD"/>
            <w:tcMar>
              <w:top w:w="0" w:type="dxa"/>
              <w:left w:w="40" w:type="dxa"/>
              <w:bottom w:w="0" w:type="dxa"/>
              <w:right w:w="40" w:type="dxa"/>
            </w:tcMar>
            <w:vAlign w:val="bottom"/>
          </w:tcPr>
          <w:p w14:paraId="6D99EE7B" w14:textId="77777777" w:rsidR="00410BA5" w:rsidRPr="0020339D" w:rsidRDefault="00C55C36">
            <w:pPr>
              <w:widowControl w:val="0"/>
              <w:spacing w:before="0" w:after="0" w:line="276" w:lineRule="auto"/>
              <w:jc w:val="center"/>
              <w:rPr>
                <w:rFonts w:ascii="Arial" w:eastAsia="Arial" w:hAnsi="Arial" w:cs="Arial"/>
                <w:sz w:val="20"/>
                <w:szCs w:val="20"/>
                <w:lang w:val="en-GB"/>
              </w:rPr>
            </w:pPr>
            <w:r w:rsidRPr="0020339D">
              <w:rPr>
                <w:lang w:val="en-GB"/>
              </w:rPr>
              <w:t>-5</w:t>
            </w:r>
          </w:p>
        </w:tc>
        <w:tc>
          <w:tcPr>
            <w:tcW w:w="439" w:type="pct"/>
            <w:vMerge/>
            <w:tcBorders>
              <w:top w:val="single" w:sz="6" w:space="0" w:color="CCCCCC"/>
              <w:left w:val="single" w:sz="6" w:space="0" w:color="CCCCCC"/>
              <w:bottom w:val="single" w:sz="6" w:space="0" w:color="000000"/>
              <w:right w:val="single" w:sz="6" w:space="0" w:color="000000"/>
            </w:tcBorders>
            <w:shd w:val="clear" w:color="auto" w:fill="auto"/>
            <w:tcMar>
              <w:top w:w="100" w:type="dxa"/>
              <w:left w:w="100" w:type="dxa"/>
              <w:bottom w:w="100" w:type="dxa"/>
              <w:right w:w="100" w:type="dxa"/>
            </w:tcMar>
          </w:tcPr>
          <w:p w14:paraId="455EDF57" w14:textId="77777777" w:rsidR="00410BA5" w:rsidRPr="0020339D" w:rsidRDefault="00410BA5">
            <w:pPr>
              <w:widowControl w:val="0"/>
              <w:spacing w:before="0" w:after="0" w:line="276" w:lineRule="auto"/>
              <w:jc w:val="left"/>
              <w:rPr>
                <w:rFonts w:ascii="Arial" w:eastAsia="Arial" w:hAnsi="Arial" w:cs="Arial"/>
                <w:sz w:val="20"/>
                <w:szCs w:val="20"/>
                <w:lang w:val="en-GB"/>
              </w:rPr>
            </w:pPr>
          </w:p>
        </w:tc>
        <w:tc>
          <w:tcPr>
            <w:tcW w:w="525" w:type="pct"/>
            <w:vMerge/>
            <w:tcBorders>
              <w:top w:val="single" w:sz="6" w:space="0" w:color="CCCCCC"/>
              <w:left w:val="single" w:sz="6" w:space="0" w:color="CCCCCC"/>
              <w:bottom w:val="single" w:sz="6" w:space="0" w:color="000000"/>
              <w:right w:val="single" w:sz="6" w:space="0" w:color="000000"/>
            </w:tcBorders>
            <w:shd w:val="clear" w:color="auto" w:fill="auto"/>
            <w:tcMar>
              <w:top w:w="0" w:type="dxa"/>
              <w:bottom w:w="0" w:type="dxa"/>
            </w:tcMar>
          </w:tcPr>
          <w:p w14:paraId="63AAF3C8" w14:textId="77777777" w:rsidR="00410BA5" w:rsidRPr="0020339D" w:rsidRDefault="00410BA5">
            <w:pPr>
              <w:widowControl w:val="0"/>
              <w:spacing w:before="0" w:after="0" w:line="276" w:lineRule="auto"/>
              <w:jc w:val="left"/>
              <w:rPr>
                <w:rFonts w:ascii="Arial" w:eastAsia="Arial" w:hAnsi="Arial" w:cs="Arial"/>
                <w:sz w:val="20"/>
                <w:szCs w:val="20"/>
                <w:lang w:val="en-GB"/>
              </w:rPr>
            </w:pPr>
          </w:p>
        </w:tc>
      </w:tr>
      <w:tr w:rsidR="00410BA5" w:rsidRPr="0020339D" w14:paraId="5E9EB709" w14:textId="77777777" w:rsidTr="00714ECE">
        <w:trPr>
          <w:trHeight w:val="300"/>
        </w:trPr>
        <w:tc>
          <w:tcPr>
            <w:tcW w:w="658" w:type="pct"/>
            <w:tcBorders>
              <w:top w:val="single" w:sz="6" w:space="0" w:color="CCCCCC"/>
              <w:left w:val="single" w:sz="6" w:space="0" w:color="000000"/>
              <w:bottom w:val="single" w:sz="6" w:space="0" w:color="000000"/>
              <w:right w:val="single" w:sz="6" w:space="0" w:color="000000"/>
            </w:tcBorders>
            <w:shd w:val="clear" w:color="auto" w:fill="FCE5CD"/>
            <w:tcMar>
              <w:top w:w="0" w:type="dxa"/>
              <w:left w:w="40" w:type="dxa"/>
              <w:bottom w:w="0" w:type="dxa"/>
              <w:right w:w="40" w:type="dxa"/>
            </w:tcMar>
            <w:vAlign w:val="bottom"/>
          </w:tcPr>
          <w:p w14:paraId="192946EC" w14:textId="77777777" w:rsidR="00410BA5" w:rsidRPr="0020339D" w:rsidRDefault="00C55C36">
            <w:pPr>
              <w:widowControl w:val="0"/>
              <w:spacing w:before="0" w:after="0" w:line="276" w:lineRule="auto"/>
              <w:jc w:val="center"/>
              <w:rPr>
                <w:rFonts w:ascii="Arial" w:eastAsia="Arial" w:hAnsi="Arial" w:cs="Arial"/>
                <w:sz w:val="20"/>
                <w:szCs w:val="20"/>
                <w:lang w:val="en-GB"/>
              </w:rPr>
            </w:pPr>
            <w:r w:rsidRPr="0020339D">
              <w:rPr>
                <w:lang w:val="en-GB"/>
              </w:rPr>
              <w:t>3</w:t>
            </w:r>
          </w:p>
        </w:tc>
        <w:tc>
          <w:tcPr>
            <w:tcW w:w="572" w:type="pct"/>
            <w:tcBorders>
              <w:top w:val="single" w:sz="6" w:space="0" w:color="CCCCCC"/>
              <w:left w:val="single" w:sz="6" w:space="0" w:color="CCCCCC"/>
              <w:bottom w:val="single" w:sz="6" w:space="0" w:color="000000"/>
              <w:right w:val="single" w:sz="6" w:space="0" w:color="000000"/>
            </w:tcBorders>
            <w:shd w:val="clear" w:color="auto" w:fill="FCE5CD"/>
            <w:tcMar>
              <w:top w:w="0" w:type="dxa"/>
              <w:left w:w="40" w:type="dxa"/>
              <w:bottom w:w="0" w:type="dxa"/>
              <w:right w:w="40" w:type="dxa"/>
            </w:tcMar>
            <w:vAlign w:val="bottom"/>
          </w:tcPr>
          <w:p w14:paraId="5F928FEB" w14:textId="77777777" w:rsidR="00410BA5" w:rsidRPr="0020339D" w:rsidRDefault="00C55C36">
            <w:pPr>
              <w:widowControl w:val="0"/>
              <w:spacing w:before="0" w:after="0" w:line="276" w:lineRule="auto"/>
              <w:jc w:val="center"/>
              <w:rPr>
                <w:rFonts w:ascii="Arial" w:eastAsia="Arial" w:hAnsi="Arial" w:cs="Arial"/>
                <w:sz w:val="20"/>
                <w:szCs w:val="20"/>
                <w:lang w:val="en-GB"/>
              </w:rPr>
            </w:pPr>
            <w:r w:rsidRPr="0020339D">
              <w:rPr>
                <w:lang w:val="en-GB"/>
              </w:rPr>
              <w:t>20</w:t>
            </w:r>
          </w:p>
        </w:tc>
        <w:tc>
          <w:tcPr>
            <w:tcW w:w="987" w:type="pct"/>
            <w:tcBorders>
              <w:top w:val="single" w:sz="6" w:space="0" w:color="CCCCCC"/>
              <w:left w:val="single" w:sz="6" w:space="0" w:color="CCCCCC"/>
              <w:bottom w:val="single" w:sz="6" w:space="0" w:color="000000"/>
              <w:right w:val="single" w:sz="6" w:space="0" w:color="000000"/>
            </w:tcBorders>
            <w:shd w:val="clear" w:color="auto" w:fill="FCE5CD"/>
            <w:tcMar>
              <w:top w:w="0" w:type="dxa"/>
              <w:left w:w="40" w:type="dxa"/>
              <w:bottom w:w="0" w:type="dxa"/>
              <w:right w:w="40" w:type="dxa"/>
            </w:tcMar>
            <w:vAlign w:val="bottom"/>
          </w:tcPr>
          <w:p w14:paraId="14A80F74" w14:textId="77777777" w:rsidR="00410BA5" w:rsidRPr="0020339D" w:rsidRDefault="00C55C36">
            <w:pPr>
              <w:widowControl w:val="0"/>
              <w:spacing w:before="0" w:after="0" w:line="276" w:lineRule="auto"/>
              <w:jc w:val="center"/>
              <w:rPr>
                <w:rFonts w:ascii="Arial" w:eastAsia="Arial" w:hAnsi="Arial" w:cs="Arial"/>
                <w:sz w:val="20"/>
                <w:szCs w:val="20"/>
                <w:lang w:val="en-GB"/>
              </w:rPr>
            </w:pPr>
            <w:r w:rsidRPr="0020339D">
              <w:rPr>
                <w:lang w:val="en-GB"/>
              </w:rPr>
              <w:t>20</w:t>
            </w:r>
          </w:p>
        </w:tc>
        <w:tc>
          <w:tcPr>
            <w:tcW w:w="823" w:type="pct"/>
            <w:tcBorders>
              <w:top w:val="single" w:sz="6" w:space="0" w:color="CCCCCC"/>
              <w:left w:val="single" w:sz="6" w:space="0" w:color="CCCCCC"/>
              <w:bottom w:val="single" w:sz="6" w:space="0" w:color="000000"/>
              <w:right w:val="single" w:sz="6" w:space="0" w:color="000000"/>
            </w:tcBorders>
            <w:shd w:val="clear" w:color="auto" w:fill="FCE5CD"/>
            <w:tcMar>
              <w:top w:w="0" w:type="dxa"/>
              <w:left w:w="40" w:type="dxa"/>
              <w:bottom w:w="0" w:type="dxa"/>
              <w:right w:w="40" w:type="dxa"/>
            </w:tcMar>
            <w:vAlign w:val="bottom"/>
          </w:tcPr>
          <w:p w14:paraId="0E6589E5" w14:textId="77777777" w:rsidR="00410BA5" w:rsidRPr="0020339D" w:rsidRDefault="00C55C36">
            <w:pPr>
              <w:widowControl w:val="0"/>
              <w:spacing w:before="0" w:after="0" w:line="276" w:lineRule="auto"/>
              <w:jc w:val="center"/>
              <w:rPr>
                <w:rFonts w:ascii="Arial" w:eastAsia="Arial" w:hAnsi="Arial" w:cs="Arial"/>
                <w:sz w:val="20"/>
                <w:szCs w:val="20"/>
                <w:lang w:val="en-GB"/>
              </w:rPr>
            </w:pPr>
            <w:r w:rsidRPr="0020339D">
              <w:rPr>
                <w:lang w:val="en-GB"/>
              </w:rPr>
              <w:t>-10</w:t>
            </w:r>
          </w:p>
        </w:tc>
        <w:tc>
          <w:tcPr>
            <w:tcW w:w="995" w:type="pct"/>
            <w:tcBorders>
              <w:top w:val="single" w:sz="6" w:space="0" w:color="CCCCCC"/>
              <w:left w:val="single" w:sz="6" w:space="0" w:color="CCCCCC"/>
              <w:bottom w:val="single" w:sz="6" w:space="0" w:color="000000"/>
              <w:right w:val="single" w:sz="6" w:space="0" w:color="000000"/>
            </w:tcBorders>
            <w:shd w:val="clear" w:color="auto" w:fill="FCE5CD"/>
            <w:tcMar>
              <w:top w:w="0" w:type="dxa"/>
              <w:left w:w="40" w:type="dxa"/>
              <w:bottom w:w="0" w:type="dxa"/>
              <w:right w:w="40" w:type="dxa"/>
            </w:tcMar>
            <w:vAlign w:val="bottom"/>
          </w:tcPr>
          <w:p w14:paraId="6867C4DF" w14:textId="77777777" w:rsidR="00410BA5" w:rsidRPr="0020339D" w:rsidRDefault="00C55C36">
            <w:pPr>
              <w:widowControl w:val="0"/>
              <w:spacing w:before="0" w:after="0" w:line="276" w:lineRule="auto"/>
              <w:jc w:val="center"/>
              <w:rPr>
                <w:rFonts w:ascii="Arial" w:eastAsia="Arial" w:hAnsi="Arial" w:cs="Arial"/>
                <w:sz w:val="20"/>
                <w:szCs w:val="20"/>
                <w:lang w:val="en-GB"/>
              </w:rPr>
            </w:pPr>
            <w:r w:rsidRPr="0020339D">
              <w:rPr>
                <w:lang w:val="en-GB"/>
              </w:rPr>
              <w:t>15</w:t>
            </w:r>
          </w:p>
        </w:tc>
        <w:tc>
          <w:tcPr>
            <w:tcW w:w="439" w:type="pct"/>
            <w:vMerge/>
            <w:tcBorders>
              <w:top w:val="single" w:sz="6" w:space="0" w:color="CCCCCC"/>
              <w:left w:val="single" w:sz="6" w:space="0" w:color="CCCCCC"/>
              <w:bottom w:val="single" w:sz="6" w:space="0" w:color="000000"/>
              <w:right w:val="single" w:sz="6" w:space="0" w:color="000000"/>
            </w:tcBorders>
            <w:shd w:val="clear" w:color="auto" w:fill="auto"/>
            <w:tcMar>
              <w:top w:w="100" w:type="dxa"/>
              <w:left w:w="100" w:type="dxa"/>
              <w:bottom w:w="100" w:type="dxa"/>
              <w:right w:w="100" w:type="dxa"/>
            </w:tcMar>
          </w:tcPr>
          <w:p w14:paraId="6FF87F11" w14:textId="77777777" w:rsidR="00410BA5" w:rsidRPr="0020339D" w:rsidRDefault="00410BA5">
            <w:pPr>
              <w:widowControl w:val="0"/>
              <w:spacing w:before="0" w:after="0" w:line="276" w:lineRule="auto"/>
              <w:jc w:val="left"/>
              <w:rPr>
                <w:rFonts w:ascii="Arial" w:eastAsia="Arial" w:hAnsi="Arial" w:cs="Arial"/>
                <w:sz w:val="20"/>
                <w:szCs w:val="20"/>
                <w:lang w:val="en-GB"/>
              </w:rPr>
            </w:pPr>
          </w:p>
        </w:tc>
        <w:tc>
          <w:tcPr>
            <w:tcW w:w="525" w:type="pct"/>
            <w:vMerge/>
            <w:tcBorders>
              <w:top w:val="single" w:sz="6" w:space="0" w:color="CCCCCC"/>
              <w:left w:val="single" w:sz="6" w:space="0" w:color="CCCCCC"/>
              <w:bottom w:val="single" w:sz="6" w:space="0" w:color="000000"/>
              <w:right w:val="single" w:sz="6" w:space="0" w:color="000000"/>
            </w:tcBorders>
            <w:shd w:val="clear" w:color="auto" w:fill="auto"/>
            <w:tcMar>
              <w:top w:w="0" w:type="dxa"/>
              <w:bottom w:w="0" w:type="dxa"/>
            </w:tcMar>
          </w:tcPr>
          <w:p w14:paraId="2B2FAA22" w14:textId="77777777" w:rsidR="00410BA5" w:rsidRPr="0020339D" w:rsidRDefault="00410BA5">
            <w:pPr>
              <w:widowControl w:val="0"/>
              <w:spacing w:before="0" w:after="0" w:line="276" w:lineRule="auto"/>
              <w:jc w:val="left"/>
              <w:rPr>
                <w:rFonts w:ascii="Arial" w:eastAsia="Arial" w:hAnsi="Arial" w:cs="Arial"/>
                <w:sz w:val="20"/>
                <w:szCs w:val="20"/>
                <w:lang w:val="en-GB"/>
              </w:rPr>
            </w:pPr>
          </w:p>
        </w:tc>
      </w:tr>
      <w:tr w:rsidR="00410BA5" w:rsidRPr="0020339D" w14:paraId="7B4945A6" w14:textId="77777777" w:rsidTr="00714ECE">
        <w:trPr>
          <w:trHeight w:val="300"/>
        </w:trPr>
        <w:tc>
          <w:tcPr>
            <w:tcW w:w="658" w:type="pct"/>
            <w:tcBorders>
              <w:top w:val="single" w:sz="6" w:space="0" w:color="CCCCCC"/>
              <w:left w:val="single" w:sz="6" w:space="0" w:color="000000"/>
              <w:bottom w:val="single" w:sz="6" w:space="0" w:color="000000"/>
              <w:right w:val="single" w:sz="6" w:space="0" w:color="000000"/>
            </w:tcBorders>
            <w:shd w:val="clear" w:color="auto" w:fill="FCE5CD"/>
            <w:tcMar>
              <w:top w:w="0" w:type="dxa"/>
              <w:left w:w="40" w:type="dxa"/>
              <w:bottom w:w="0" w:type="dxa"/>
              <w:right w:w="40" w:type="dxa"/>
            </w:tcMar>
            <w:vAlign w:val="bottom"/>
          </w:tcPr>
          <w:p w14:paraId="09E0C890" w14:textId="77777777" w:rsidR="00410BA5" w:rsidRPr="0020339D" w:rsidRDefault="00C55C36">
            <w:pPr>
              <w:widowControl w:val="0"/>
              <w:spacing w:before="0" w:after="0" w:line="276" w:lineRule="auto"/>
              <w:jc w:val="center"/>
              <w:rPr>
                <w:rFonts w:ascii="Arial" w:eastAsia="Arial" w:hAnsi="Arial" w:cs="Arial"/>
                <w:sz w:val="20"/>
                <w:szCs w:val="20"/>
                <w:lang w:val="en-GB"/>
              </w:rPr>
            </w:pPr>
            <w:r w:rsidRPr="0020339D">
              <w:rPr>
                <w:lang w:val="en-GB"/>
              </w:rPr>
              <w:t>4</w:t>
            </w:r>
          </w:p>
        </w:tc>
        <w:tc>
          <w:tcPr>
            <w:tcW w:w="572" w:type="pct"/>
            <w:tcBorders>
              <w:top w:val="single" w:sz="6" w:space="0" w:color="CCCCCC"/>
              <w:left w:val="single" w:sz="6" w:space="0" w:color="CCCCCC"/>
              <w:bottom w:val="single" w:sz="6" w:space="0" w:color="000000"/>
              <w:right w:val="single" w:sz="6" w:space="0" w:color="000000"/>
            </w:tcBorders>
            <w:shd w:val="clear" w:color="auto" w:fill="FCE5CD"/>
            <w:tcMar>
              <w:top w:w="0" w:type="dxa"/>
              <w:left w:w="40" w:type="dxa"/>
              <w:bottom w:w="0" w:type="dxa"/>
              <w:right w:w="40" w:type="dxa"/>
            </w:tcMar>
            <w:vAlign w:val="bottom"/>
          </w:tcPr>
          <w:p w14:paraId="0F7AEC32" w14:textId="77777777" w:rsidR="00410BA5" w:rsidRPr="0020339D" w:rsidRDefault="00C55C36">
            <w:pPr>
              <w:widowControl w:val="0"/>
              <w:spacing w:before="0" w:after="0" w:line="276" w:lineRule="auto"/>
              <w:jc w:val="center"/>
              <w:rPr>
                <w:rFonts w:ascii="Arial" w:eastAsia="Arial" w:hAnsi="Arial" w:cs="Arial"/>
                <w:sz w:val="20"/>
                <w:szCs w:val="20"/>
                <w:lang w:val="en-GB"/>
              </w:rPr>
            </w:pPr>
            <w:r w:rsidRPr="0020339D">
              <w:rPr>
                <w:lang w:val="en-GB"/>
              </w:rPr>
              <w:t>55</w:t>
            </w:r>
          </w:p>
        </w:tc>
        <w:tc>
          <w:tcPr>
            <w:tcW w:w="987" w:type="pct"/>
            <w:tcBorders>
              <w:top w:val="single" w:sz="6" w:space="0" w:color="CCCCCC"/>
              <w:left w:val="single" w:sz="6" w:space="0" w:color="CCCCCC"/>
              <w:bottom w:val="single" w:sz="6" w:space="0" w:color="000000"/>
              <w:right w:val="single" w:sz="6" w:space="0" w:color="000000"/>
            </w:tcBorders>
            <w:shd w:val="clear" w:color="auto" w:fill="FCE5CD"/>
            <w:tcMar>
              <w:top w:w="0" w:type="dxa"/>
              <w:left w:w="40" w:type="dxa"/>
              <w:bottom w:w="0" w:type="dxa"/>
              <w:right w:w="40" w:type="dxa"/>
            </w:tcMar>
            <w:vAlign w:val="bottom"/>
          </w:tcPr>
          <w:p w14:paraId="79C3F042" w14:textId="77777777" w:rsidR="00410BA5" w:rsidRPr="0020339D" w:rsidRDefault="00C55C36">
            <w:pPr>
              <w:widowControl w:val="0"/>
              <w:spacing w:before="0" w:after="0" w:line="276" w:lineRule="auto"/>
              <w:jc w:val="center"/>
              <w:rPr>
                <w:rFonts w:ascii="Arial" w:eastAsia="Arial" w:hAnsi="Arial" w:cs="Arial"/>
                <w:sz w:val="20"/>
                <w:szCs w:val="20"/>
                <w:lang w:val="en-GB"/>
              </w:rPr>
            </w:pPr>
            <w:r w:rsidRPr="0020339D">
              <w:rPr>
                <w:lang w:val="en-GB"/>
              </w:rPr>
              <w:t>20</w:t>
            </w:r>
          </w:p>
        </w:tc>
        <w:tc>
          <w:tcPr>
            <w:tcW w:w="823" w:type="pct"/>
            <w:tcBorders>
              <w:top w:val="single" w:sz="6" w:space="0" w:color="CCCCCC"/>
              <w:left w:val="single" w:sz="6" w:space="0" w:color="CCCCCC"/>
              <w:bottom w:val="single" w:sz="6" w:space="0" w:color="000000"/>
              <w:right w:val="single" w:sz="6" w:space="0" w:color="000000"/>
            </w:tcBorders>
            <w:shd w:val="clear" w:color="auto" w:fill="FCE5CD"/>
            <w:tcMar>
              <w:top w:w="0" w:type="dxa"/>
              <w:left w:w="40" w:type="dxa"/>
              <w:bottom w:w="0" w:type="dxa"/>
              <w:right w:w="40" w:type="dxa"/>
            </w:tcMar>
            <w:vAlign w:val="bottom"/>
          </w:tcPr>
          <w:p w14:paraId="6CE519B9" w14:textId="77777777" w:rsidR="00410BA5" w:rsidRPr="0020339D" w:rsidRDefault="00C55C36">
            <w:pPr>
              <w:widowControl w:val="0"/>
              <w:spacing w:before="0" w:after="0" w:line="276" w:lineRule="auto"/>
              <w:jc w:val="center"/>
              <w:rPr>
                <w:rFonts w:ascii="Arial" w:eastAsia="Arial" w:hAnsi="Arial" w:cs="Arial"/>
                <w:sz w:val="20"/>
                <w:szCs w:val="20"/>
                <w:lang w:val="en-GB"/>
              </w:rPr>
            </w:pPr>
            <w:r w:rsidRPr="0020339D">
              <w:rPr>
                <w:lang w:val="en-GB"/>
              </w:rPr>
              <w:t>45</w:t>
            </w:r>
          </w:p>
        </w:tc>
        <w:tc>
          <w:tcPr>
            <w:tcW w:w="995" w:type="pct"/>
            <w:tcBorders>
              <w:top w:val="single" w:sz="6" w:space="0" w:color="CCCCCC"/>
              <w:left w:val="single" w:sz="6" w:space="0" w:color="CCCCCC"/>
              <w:bottom w:val="single" w:sz="6" w:space="0" w:color="000000"/>
              <w:right w:val="single" w:sz="6" w:space="0" w:color="000000"/>
            </w:tcBorders>
            <w:shd w:val="clear" w:color="auto" w:fill="FCE5CD"/>
            <w:tcMar>
              <w:top w:w="0" w:type="dxa"/>
              <w:left w:w="40" w:type="dxa"/>
              <w:bottom w:w="0" w:type="dxa"/>
              <w:right w:w="40" w:type="dxa"/>
            </w:tcMar>
            <w:vAlign w:val="bottom"/>
          </w:tcPr>
          <w:p w14:paraId="2C18B0E4" w14:textId="77777777" w:rsidR="00410BA5" w:rsidRPr="0020339D" w:rsidRDefault="00C55C36">
            <w:pPr>
              <w:widowControl w:val="0"/>
              <w:spacing w:before="0" w:after="0" w:line="276" w:lineRule="auto"/>
              <w:jc w:val="center"/>
              <w:rPr>
                <w:rFonts w:ascii="Arial" w:eastAsia="Arial" w:hAnsi="Arial" w:cs="Arial"/>
                <w:sz w:val="20"/>
                <w:szCs w:val="20"/>
                <w:lang w:val="en-GB"/>
              </w:rPr>
            </w:pPr>
            <w:r w:rsidRPr="0020339D">
              <w:rPr>
                <w:lang w:val="en-GB"/>
              </w:rPr>
              <w:t>35</w:t>
            </w:r>
          </w:p>
        </w:tc>
        <w:tc>
          <w:tcPr>
            <w:tcW w:w="439" w:type="pct"/>
            <w:vMerge/>
            <w:tcBorders>
              <w:top w:val="single" w:sz="6" w:space="0" w:color="CCCCCC"/>
              <w:left w:val="single" w:sz="6" w:space="0" w:color="CCCCCC"/>
              <w:bottom w:val="single" w:sz="6" w:space="0" w:color="000000"/>
              <w:right w:val="single" w:sz="6" w:space="0" w:color="000000"/>
            </w:tcBorders>
            <w:shd w:val="clear" w:color="auto" w:fill="auto"/>
            <w:tcMar>
              <w:top w:w="100" w:type="dxa"/>
              <w:left w:w="100" w:type="dxa"/>
              <w:bottom w:w="100" w:type="dxa"/>
              <w:right w:w="100" w:type="dxa"/>
            </w:tcMar>
          </w:tcPr>
          <w:p w14:paraId="4A46D6D8" w14:textId="77777777" w:rsidR="00410BA5" w:rsidRPr="0020339D" w:rsidRDefault="00410BA5">
            <w:pPr>
              <w:widowControl w:val="0"/>
              <w:spacing w:before="0" w:after="0" w:line="276" w:lineRule="auto"/>
              <w:jc w:val="left"/>
              <w:rPr>
                <w:rFonts w:ascii="Arial" w:eastAsia="Arial" w:hAnsi="Arial" w:cs="Arial"/>
                <w:sz w:val="20"/>
                <w:szCs w:val="20"/>
                <w:lang w:val="en-GB"/>
              </w:rPr>
            </w:pPr>
          </w:p>
        </w:tc>
        <w:tc>
          <w:tcPr>
            <w:tcW w:w="525" w:type="pct"/>
            <w:vMerge/>
            <w:tcBorders>
              <w:top w:val="single" w:sz="6" w:space="0" w:color="CCCCCC"/>
              <w:left w:val="single" w:sz="6" w:space="0" w:color="CCCCCC"/>
              <w:bottom w:val="single" w:sz="6" w:space="0" w:color="000000"/>
              <w:right w:val="single" w:sz="6" w:space="0" w:color="000000"/>
            </w:tcBorders>
            <w:shd w:val="clear" w:color="auto" w:fill="auto"/>
            <w:tcMar>
              <w:top w:w="0" w:type="dxa"/>
              <w:bottom w:w="0" w:type="dxa"/>
            </w:tcMar>
          </w:tcPr>
          <w:p w14:paraId="1AAD0944" w14:textId="77777777" w:rsidR="00410BA5" w:rsidRPr="0020339D" w:rsidRDefault="00410BA5">
            <w:pPr>
              <w:widowControl w:val="0"/>
              <w:spacing w:before="0" w:after="0" w:line="276" w:lineRule="auto"/>
              <w:jc w:val="left"/>
              <w:rPr>
                <w:rFonts w:ascii="Arial" w:eastAsia="Arial" w:hAnsi="Arial" w:cs="Arial"/>
                <w:sz w:val="20"/>
                <w:szCs w:val="20"/>
                <w:lang w:val="en-GB"/>
              </w:rPr>
            </w:pPr>
          </w:p>
        </w:tc>
      </w:tr>
    </w:tbl>
    <w:p w14:paraId="4501EA3D" w14:textId="77777777" w:rsidR="00410BA5" w:rsidRPr="0020339D" w:rsidRDefault="00C55C36">
      <w:pPr>
        <w:jc w:val="center"/>
        <w:rPr>
          <w:b/>
          <w:lang w:val="en-GB"/>
        </w:rPr>
      </w:pPr>
      <w:r w:rsidRPr="0020339D">
        <w:rPr>
          <w:b/>
          <w:lang w:val="en-GB"/>
        </w:rPr>
        <w:t>Table 3.1: PBP calculation</w:t>
      </w:r>
    </w:p>
    <w:p w14:paraId="75840697" w14:textId="77777777" w:rsidR="00410BA5" w:rsidRPr="0020339D" w:rsidRDefault="00C55C36">
      <w:pPr>
        <w:rPr>
          <w:lang w:val="en-GB"/>
        </w:rPr>
      </w:pPr>
      <w:r w:rsidRPr="0020339D">
        <w:rPr>
          <w:lang w:val="en-GB"/>
        </w:rPr>
        <w:t xml:space="preserve">From the above calculations, the PBP for project A is approximately 3.6 years while for B it yields a total of 1.7 years. Based on the financial metrics, it can be stated that Project B is more attractive for J&amp;J, as it has a shorter payback period of only 1.7 years indicating quicker recovery of the initial investment. </w:t>
      </w:r>
      <w:proofErr w:type="spellStart"/>
      <w:r w:rsidRPr="0020339D">
        <w:rPr>
          <w:lang w:val="en-GB"/>
        </w:rPr>
        <w:t>Imteaz</w:t>
      </w:r>
      <w:r w:rsidRPr="0020339D">
        <w:rPr>
          <w:i/>
          <w:lang w:val="en-GB"/>
        </w:rPr>
        <w:t>et</w:t>
      </w:r>
      <w:proofErr w:type="spellEnd"/>
      <w:r w:rsidRPr="0020339D">
        <w:rPr>
          <w:i/>
          <w:lang w:val="en-GB"/>
        </w:rPr>
        <w:t xml:space="preserve"> al</w:t>
      </w:r>
      <w:r w:rsidRPr="0020339D">
        <w:rPr>
          <w:lang w:val="en-GB"/>
        </w:rPr>
        <w:t xml:space="preserve">. (2021) suggested that a shorter PBP is always beneficial for a firm as it indicates less investment risk and faster profitability. Thus, as project B gives a quicker return, the firm should go with this and generate a better financial position over the project lifespan.    </w:t>
      </w:r>
    </w:p>
    <w:p w14:paraId="64FDC64A" w14:textId="77777777" w:rsidR="00410BA5" w:rsidRPr="0020339D" w:rsidRDefault="00C55C36">
      <w:pPr>
        <w:rPr>
          <w:b/>
          <w:lang w:val="en-GB"/>
        </w:rPr>
      </w:pPr>
      <w:r w:rsidRPr="0020339D">
        <w:rPr>
          <w:b/>
          <w:lang w:val="en-GB"/>
        </w:rPr>
        <w:t xml:space="preserve">Accounting Rate of </w:t>
      </w:r>
      <w:r w:rsidR="00714ECE" w:rsidRPr="0020339D">
        <w:rPr>
          <w:b/>
          <w:lang w:val="en-GB"/>
        </w:rPr>
        <w:t>Return (</w:t>
      </w:r>
      <w:r w:rsidRPr="0020339D">
        <w:rPr>
          <w:b/>
          <w:lang w:val="en-GB"/>
        </w:rPr>
        <w:t>ARR)</w:t>
      </w:r>
    </w:p>
    <w:tbl>
      <w:tblPr>
        <w:tblStyle w:val="a5"/>
        <w:tblW w:w="5000" w:type="pct"/>
        <w:tblBorders>
          <w:top w:val="nil"/>
          <w:left w:val="nil"/>
          <w:bottom w:val="nil"/>
          <w:right w:val="nil"/>
          <w:insideH w:val="nil"/>
          <w:insideV w:val="nil"/>
        </w:tblBorders>
        <w:tblLook w:val="0600" w:firstRow="0" w:lastRow="0" w:firstColumn="0" w:lastColumn="0" w:noHBand="1" w:noVBand="1"/>
      </w:tblPr>
      <w:tblGrid>
        <w:gridCol w:w="2660"/>
        <w:gridCol w:w="2322"/>
        <w:gridCol w:w="4458"/>
      </w:tblGrid>
      <w:tr w:rsidR="00410BA5" w:rsidRPr="0020339D" w14:paraId="025554EC" w14:textId="77777777" w:rsidTr="00714ECE">
        <w:trPr>
          <w:trHeight w:val="300"/>
        </w:trPr>
        <w:tc>
          <w:tcPr>
            <w:tcW w:w="1409" w:type="pct"/>
            <w:tcBorders>
              <w:top w:val="single" w:sz="6" w:space="0" w:color="000000"/>
              <w:left w:val="single" w:sz="6" w:space="0" w:color="000000"/>
              <w:bottom w:val="single" w:sz="6" w:space="0" w:color="000000"/>
              <w:right w:val="single" w:sz="6" w:space="0" w:color="000000"/>
            </w:tcBorders>
            <w:shd w:val="clear" w:color="auto" w:fill="FFD966"/>
            <w:tcMar>
              <w:top w:w="0" w:type="dxa"/>
              <w:left w:w="40" w:type="dxa"/>
              <w:bottom w:w="0" w:type="dxa"/>
              <w:right w:w="40" w:type="dxa"/>
            </w:tcMar>
            <w:vAlign w:val="bottom"/>
          </w:tcPr>
          <w:p w14:paraId="76ACF366" w14:textId="77777777" w:rsidR="00410BA5" w:rsidRPr="0020339D" w:rsidRDefault="00C55C36">
            <w:pPr>
              <w:widowControl w:val="0"/>
              <w:spacing w:before="0" w:after="0" w:line="276" w:lineRule="auto"/>
              <w:jc w:val="center"/>
              <w:rPr>
                <w:rFonts w:ascii="Arial" w:eastAsia="Arial" w:hAnsi="Arial" w:cs="Arial"/>
                <w:sz w:val="20"/>
                <w:szCs w:val="20"/>
                <w:lang w:val="en-GB"/>
              </w:rPr>
            </w:pPr>
            <w:r w:rsidRPr="0020339D">
              <w:rPr>
                <w:b/>
                <w:lang w:val="en-GB"/>
              </w:rPr>
              <w:t>Aspects</w:t>
            </w:r>
          </w:p>
        </w:tc>
        <w:tc>
          <w:tcPr>
            <w:tcW w:w="1230" w:type="pct"/>
            <w:tcBorders>
              <w:top w:val="single" w:sz="6" w:space="0" w:color="000000"/>
              <w:left w:val="single" w:sz="6" w:space="0" w:color="CCCCCC"/>
              <w:bottom w:val="single" w:sz="6" w:space="0" w:color="000000"/>
              <w:right w:val="single" w:sz="6" w:space="0" w:color="000000"/>
            </w:tcBorders>
            <w:shd w:val="clear" w:color="auto" w:fill="FFD966"/>
            <w:tcMar>
              <w:top w:w="0" w:type="dxa"/>
              <w:left w:w="40" w:type="dxa"/>
              <w:bottom w:w="0" w:type="dxa"/>
              <w:right w:w="40" w:type="dxa"/>
            </w:tcMar>
            <w:vAlign w:val="bottom"/>
          </w:tcPr>
          <w:p w14:paraId="64028D2F" w14:textId="77777777" w:rsidR="00410BA5" w:rsidRPr="0020339D" w:rsidRDefault="00C55C36">
            <w:pPr>
              <w:widowControl w:val="0"/>
              <w:spacing w:before="0" w:after="0" w:line="276" w:lineRule="auto"/>
              <w:jc w:val="center"/>
              <w:rPr>
                <w:rFonts w:ascii="Arial" w:eastAsia="Arial" w:hAnsi="Arial" w:cs="Arial"/>
                <w:sz w:val="20"/>
                <w:szCs w:val="20"/>
                <w:lang w:val="en-GB"/>
              </w:rPr>
            </w:pPr>
            <w:r w:rsidRPr="0020339D">
              <w:rPr>
                <w:b/>
                <w:lang w:val="en-GB"/>
              </w:rPr>
              <w:t>For Project A</w:t>
            </w:r>
          </w:p>
        </w:tc>
        <w:tc>
          <w:tcPr>
            <w:tcW w:w="2361" w:type="pct"/>
            <w:tcBorders>
              <w:top w:val="single" w:sz="6" w:space="0" w:color="000000"/>
              <w:left w:val="single" w:sz="6" w:space="0" w:color="CCCCCC"/>
              <w:bottom w:val="single" w:sz="6" w:space="0" w:color="000000"/>
              <w:right w:val="single" w:sz="6" w:space="0" w:color="000000"/>
            </w:tcBorders>
            <w:shd w:val="clear" w:color="auto" w:fill="FFD966"/>
            <w:tcMar>
              <w:top w:w="0" w:type="dxa"/>
              <w:left w:w="40" w:type="dxa"/>
              <w:bottom w:w="0" w:type="dxa"/>
              <w:right w:w="40" w:type="dxa"/>
            </w:tcMar>
            <w:vAlign w:val="bottom"/>
          </w:tcPr>
          <w:p w14:paraId="50EF2B1A" w14:textId="77777777" w:rsidR="00410BA5" w:rsidRPr="0020339D" w:rsidRDefault="00C55C36">
            <w:pPr>
              <w:widowControl w:val="0"/>
              <w:spacing w:before="0" w:after="0" w:line="276" w:lineRule="auto"/>
              <w:jc w:val="center"/>
              <w:rPr>
                <w:rFonts w:ascii="Arial" w:eastAsia="Arial" w:hAnsi="Arial" w:cs="Arial"/>
                <w:sz w:val="20"/>
                <w:szCs w:val="20"/>
                <w:lang w:val="en-GB"/>
              </w:rPr>
            </w:pPr>
            <w:r w:rsidRPr="0020339D">
              <w:rPr>
                <w:b/>
                <w:lang w:val="en-GB"/>
              </w:rPr>
              <w:t>For Project B</w:t>
            </w:r>
          </w:p>
        </w:tc>
      </w:tr>
      <w:tr w:rsidR="00410BA5" w:rsidRPr="0020339D" w14:paraId="6D7EF677" w14:textId="77777777" w:rsidTr="00714ECE">
        <w:trPr>
          <w:trHeight w:val="300"/>
        </w:trPr>
        <w:tc>
          <w:tcPr>
            <w:tcW w:w="1409" w:type="pct"/>
            <w:tcBorders>
              <w:top w:val="single" w:sz="6" w:space="0" w:color="CCCCCC"/>
              <w:left w:val="single" w:sz="6" w:space="0" w:color="000000"/>
              <w:bottom w:val="single" w:sz="6" w:space="0" w:color="000000"/>
              <w:right w:val="single" w:sz="6" w:space="0" w:color="000000"/>
            </w:tcBorders>
            <w:shd w:val="clear" w:color="auto" w:fill="B6D7A8"/>
            <w:tcMar>
              <w:top w:w="0" w:type="dxa"/>
              <w:left w:w="40" w:type="dxa"/>
              <w:bottom w:w="0" w:type="dxa"/>
              <w:right w:w="40" w:type="dxa"/>
            </w:tcMar>
            <w:vAlign w:val="bottom"/>
          </w:tcPr>
          <w:p w14:paraId="1EA7985C" w14:textId="77777777" w:rsidR="00410BA5" w:rsidRPr="0020339D" w:rsidRDefault="00C55C36">
            <w:pPr>
              <w:widowControl w:val="0"/>
              <w:spacing w:before="0" w:after="0" w:line="276" w:lineRule="auto"/>
              <w:jc w:val="center"/>
              <w:rPr>
                <w:rFonts w:ascii="Arial" w:eastAsia="Arial" w:hAnsi="Arial" w:cs="Arial"/>
                <w:sz w:val="20"/>
                <w:szCs w:val="20"/>
                <w:lang w:val="en-GB"/>
              </w:rPr>
            </w:pPr>
            <w:r w:rsidRPr="0020339D">
              <w:rPr>
                <w:lang w:val="en-GB"/>
              </w:rPr>
              <w:t>Average Annual Profit</w:t>
            </w:r>
          </w:p>
        </w:tc>
        <w:tc>
          <w:tcPr>
            <w:tcW w:w="1230" w:type="pct"/>
            <w:tcBorders>
              <w:top w:val="single" w:sz="6" w:space="0" w:color="CCCCCC"/>
              <w:left w:val="single" w:sz="6" w:space="0" w:color="CCCCCC"/>
              <w:bottom w:val="single" w:sz="6" w:space="0" w:color="000000"/>
              <w:right w:val="single" w:sz="6" w:space="0" w:color="000000"/>
            </w:tcBorders>
            <w:shd w:val="clear" w:color="auto" w:fill="B6D7A8"/>
            <w:tcMar>
              <w:top w:w="0" w:type="dxa"/>
              <w:left w:w="40" w:type="dxa"/>
              <w:bottom w:w="0" w:type="dxa"/>
              <w:right w:w="40" w:type="dxa"/>
            </w:tcMar>
            <w:vAlign w:val="bottom"/>
          </w:tcPr>
          <w:p w14:paraId="1E8CC4DD" w14:textId="77777777" w:rsidR="00410BA5" w:rsidRPr="0020339D" w:rsidRDefault="00C55C36">
            <w:pPr>
              <w:widowControl w:val="0"/>
              <w:spacing w:before="0" w:after="0" w:line="276" w:lineRule="auto"/>
              <w:jc w:val="center"/>
              <w:rPr>
                <w:rFonts w:ascii="Arial" w:eastAsia="Arial" w:hAnsi="Arial" w:cs="Arial"/>
                <w:sz w:val="20"/>
                <w:szCs w:val="20"/>
                <w:lang w:val="en-GB"/>
              </w:rPr>
            </w:pPr>
            <w:r w:rsidRPr="0020339D">
              <w:rPr>
                <w:lang w:val="en-GB"/>
              </w:rPr>
              <w:t>31.25</w:t>
            </w:r>
          </w:p>
        </w:tc>
        <w:tc>
          <w:tcPr>
            <w:tcW w:w="2361" w:type="pct"/>
            <w:tcBorders>
              <w:top w:val="single" w:sz="6" w:space="0" w:color="CCCCCC"/>
              <w:left w:val="single" w:sz="6" w:space="0" w:color="CCCCCC"/>
              <w:bottom w:val="single" w:sz="6" w:space="0" w:color="000000"/>
              <w:right w:val="single" w:sz="6" w:space="0" w:color="000000"/>
            </w:tcBorders>
            <w:shd w:val="clear" w:color="auto" w:fill="B6D7A8"/>
            <w:tcMar>
              <w:top w:w="0" w:type="dxa"/>
              <w:left w:w="40" w:type="dxa"/>
              <w:bottom w:w="0" w:type="dxa"/>
              <w:right w:w="40" w:type="dxa"/>
            </w:tcMar>
            <w:vAlign w:val="bottom"/>
          </w:tcPr>
          <w:p w14:paraId="196908B0" w14:textId="77777777" w:rsidR="00410BA5" w:rsidRPr="0020339D" w:rsidRDefault="00C55C36">
            <w:pPr>
              <w:widowControl w:val="0"/>
              <w:spacing w:before="0" w:after="0" w:line="276" w:lineRule="auto"/>
              <w:jc w:val="center"/>
              <w:rPr>
                <w:rFonts w:ascii="Arial" w:eastAsia="Arial" w:hAnsi="Arial" w:cs="Arial"/>
                <w:sz w:val="20"/>
                <w:szCs w:val="20"/>
                <w:lang w:val="en-GB"/>
              </w:rPr>
            </w:pPr>
            <w:r w:rsidRPr="0020339D">
              <w:rPr>
                <w:lang w:val="en-GB"/>
              </w:rPr>
              <w:t>27.50</w:t>
            </w:r>
          </w:p>
        </w:tc>
      </w:tr>
      <w:tr w:rsidR="00410BA5" w:rsidRPr="0020339D" w14:paraId="78EFAFE1" w14:textId="77777777" w:rsidTr="00714ECE">
        <w:trPr>
          <w:trHeight w:val="300"/>
        </w:trPr>
        <w:tc>
          <w:tcPr>
            <w:tcW w:w="1409" w:type="pct"/>
            <w:tcBorders>
              <w:top w:val="single" w:sz="6" w:space="0" w:color="CCCCCC"/>
              <w:left w:val="single" w:sz="6" w:space="0" w:color="000000"/>
              <w:bottom w:val="single" w:sz="6" w:space="0" w:color="000000"/>
              <w:right w:val="single" w:sz="6" w:space="0" w:color="000000"/>
            </w:tcBorders>
            <w:shd w:val="clear" w:color="auto" w:fill="B6D7A8"/>
            <w:tcMar>
              <w:top w:w="0" w:type="dxa"/>
              <w:left w:w="40" w:type="dxa"/>
              <w:bottom w:w="0" w:type="dxa"/>
              <w:right w:w="40" w:type="dxa"/>
            </w:tcMar>
            <w:vAlign w:val="bottom"/>
          </w:tcPr>
          <w:p w14:paraId="3AC22BB7" w14:textId="77777777" w:rsidR="00410BA5" w:rsidRPr="0020339D" w:rsidRDefault="00C55C36">
            <w:pPr>
              <w:widowControl w:val="0"/>
              <w:spacing w:before="0" w:after="0" w:line="276" w:lineRule="auto"/>
              <w:jc w:val="center"/>
              <w:rPr>
                <w:rFonts w:ascii="Arial" w:eastAsia="Arial" w:hAnsi="Arial" w:cs="Arial"/>
                <w:sz w:val="20"/>
                <w:szCs w:val="20"/>
                <w:lang w:val="en-GB"/>
              </w:rPr>
            </w:pPr>
            <w:r w:rsidRPr="0020339D">
              <w:rPr>
                <w:lang w:val="en-GB"/>
              </w:rPr>
              <w:lastRenderedPageBreak/>
              <w:t>Average Investment</w:t>
            </w:r>
          </w:p>
        </w:tc>
        <w:tc>
          <w:tcPr>
            <w:tcW w:w="1230" w:type="pct"/>
            <w:tcBorders>
              <w:top w:val="single" w:sz="6" w:space="0" w:color="CCCCCC"/>
              <w:left w:val="single" w:sz="6" w:space="0" w:color="CCCCCC"/>
              <w:bottom w:val="single" w:sz="6" w:space="0" w:color="000000"/>
              <w:right w:val="single" w:sz="6" w:space="0" w:color="000000"/>
            </w:tcBorders>
            <w:shd w:val="clear" w:color="auto" w:fill="B6D7A8"/>
            <w:tcMar>
              <w:top w:w="0" w:type="dxa"/>
              <w:left w:w="40" w:type="dxa"/>
              <w:bottom w:w="0" w:type="dxa"/>
              <w:right w:w="40" w:type="dxa"/>
            </w:tcMar>
            <w:vAlign w:val="bottom"/>
          </w:tcPr>
          <w:p w14:paraId="4613E851" w14:textId="77777777" w:rsidR="00410BA5" w:rsidRPr="0020339D" w:rsidRDefault="00C55C36">
            <w:pPr>
              <w:widowControl w:val="0"/>
              <w:spacing w:before="0" w:after="0" w:line="276" w:lineRule="auto"/>
              <w:jc w:val="center"/>
              <w:rPr>
                <w:rFonts w:ascii="Arial" w:eastAsia="Arial" w:hAnsi="Arial" w:cs="Arial"/>
                <w:sz w:val="20"/>
                <w:szCs w:val="20"/>
                <w:lang w:val="en-GB"/>
              </w:rPr>
            </w:pPr>
            <w:r w:rsidRPr="0020339D">
              <w:rPr>
                <w:lang w:val="en-GB"/>
              </w:rPr>
              <w:t>80</w:t>
            </w:r>
          </w:p>
        </w:tc>
        <w:tc>
          <w:tcPr>
            <w:tcW w:w="2361" w:type="pct"/>
            <w:tcBorders>
              <w:top w:val="single" w:sz="6" w:space="0" w:color="CCCCCC"/>
              <w:left w:val="single" w:sz="6" w:space="0" w:color="CCCCCC"/>
              <w:bottom w:val="single" w:sz="6" w:space="0" w:color="000000"/>
              <w:right w:val="single" w:sz="6" w:space="0" w:color="000000"/>
            </w:tcBorders>
            <w:shd w:val="clear" w:color="auto" w:fill="B6D7A8"/>
            <w:tcMar>
              <w:top w:w="0" w:type="dxa"/>
              <w:left w:w="40" w:type="dxa"/>
              <w:bottom w:w="0" w:type="dxa"/>
              <w:right w:w="40" w:type="dxa"/>
            </w:tcMar>
            <w:vAlign w:val="bottom"/>
          </w:tcPr>
          <w:p w14:paraId="04C4474B" w14:textId="77777777" w:rsidR="00410BA5" w:rsidRPr="0020339D" w:rsidRDefault="00C55C36">
            <w:pPr>
              <w:widowControl w:val="0"/>
              <w:spacing w:before="0" w:after="0" w:line="276" w:lineRule="auto"/>
              <w:jc w:val="center"/>
              <w:rPr>
                <w:rFonts w:ascii="Arial" w:eastAsia="Arial" w:hAnsi="Arial" w:cs="Arial"/>
                <w:sz w:val="20"/>
                <w:szCs w:val="20"/>
                <w:lang w:val="en-GB"/>
              </w:rPr>
            </w:pPr>
            <w:r w:rsidRPr="0020339D">
              <w:rPr>
                <w:lang w:val="en-GB"/>
              </w:rPr>
              <w:t>75.00</w:t>
            </w:r>
          </w:p>
        </w:tc>
      </w:tr>
      <w:tr w:rsidR="00410BA5" w:rsidRPr="0020339D" w14:paraId="64EF136E" w14:textId="77777777" w:rsidTr="00714ECE">
        <w:trPr>
          <w:trHeight w:val="300"/>
        </w:trPr>
        <w:tc>
          <w:tcPr>
            <w:tcW w:w="1409" w:type="pct"/>
            <w:tcBorders>
              <w:top w:val="single" w:sz="6" w:space="0" w:color="CCCCCC"/>
              <w:left w:val="single" w:sz="6" w:space="0" w:color="000000"/>
              <w:bottom w:val="single" w:sz="6" w:space="0" w:color="000000"/>
              <w:right w:val="single" w:sz="6" w:space="0" w:color="000000"/>
            </w:tcBorders>
            <w:shd w:val="clear" w:color="auto" w:fill="B6D7A8"/>
            <w:tcMar>
              <w:top w:w="0" w:type="dxa"/>
              <w:left w:w="40" w:type="dxa"/>
              <w:bottom w:w="0" w:type="dxa"/>
              <w:right w:w="40" w:type="dxa"/>
            </w:tcMar>
            <w:vAlign w:val="bottom"/>
          </w:tcPr>
          <w:p w14:paraId="1E3B4E51" w14:textId="77777777" w:rsidR="00410BA5" w:rsidRPr="0020339D" w:rsidRDefault="00C55C36">
            <w:pPr>
              <w:widowControl w:val="0"/>
              <w:spacing w:before="0" w:after="0" w:line="276" w:lineRule="auto"/>
              <w:jc w:val="center"/>
              <w:rPr>
                <w:rFonts w:ascii="Arial" w:eastAsia="Arial" w:hAnsi="Arial" w:cs="Arial"/>
                <w:sz w:val="20"/>
                <w:szCs w:val="20"/>
                <w:lang w:val="en-GB"/>
              </w:rPr>
            </w:pPr>
            <w:r w:rsidRPr="0020339D">
              <w:rPr>
                <w:lang w:val="en-GB"/>
              </w:rPr>
              <w:t>Accounting Rate of Return (ARR)</w:t>
            </w:r>
          </w:p>
        </w:tc>
        <w:tc>
          <w:tcPr>
            <w:tcW w:w="1230" w:type="pct"/>
            <w:tcBorders>
              <w:top w:val="single" w:sz="6" w:space="0" w:color="CCCCCC"/>
              <w:left w:val="single" w:sz="6" w:space="0" w:color="CCCCCC"/>
              <w:bottom w:val="single" w:sz="6" w:space="0" w:color="000000"/>
              <w:right w:val="single" w:sz="6" w:space="0" w:color="000000"/>
            </w:tcBorders>
            <w:shd w:val="clear" w:color="auto" w:fill="B6D7A8"/>
            <w:tcMar>
              <w:top w:w="0" w:type="dxa"/>
              <w:left w:w="40" w:type="dxa"/>
              <w:bottom w:w="0" w:type="dxa"/>
              <w:right w:w="40" w:type="dxa"/>
            </w:tcMar>
            <w:vAlign w:val="bottom"/>
          </w:tcPr>
          <w:p w14:paraId="64382B67" w14:textId="77777777" w:rsidR="00410BA5" w:rsidRPr="0020339D" w:rsidRDefault="00C55C36">
            <w:pPr>
              <w:widowControl w:val="0"/>
              <w:spacing w:before="0" w:after="0" w:line="276" w:lineRule="auto"/>
              <w:jc w:val="center"/>
              <w:rPr>
                <w:rFonts w:ascii="Arial" w:eastAsia="Arial" w:hAnsi="Arial" w:cs="Arial"/>
                <w:sz w:val="20"/>
                <w:szCs w:val="20"/>
                <w:lang w:val="en-GB"/>
              </w:rPr>
            </w:pPr>
            <w:r w:rsidRPr="0020339D">
              <w:rPr>
                <w:b/>
                <w:lang w:val="en-GB"/>
              </w:rPr>
              <w:t>39.06</w:t>
            </w:r>
          </w:p>
        </w:tc>
        <w:tc>
          <w:tcPr>
            <w:tcW w:w="2361" w:type="pct"/>
            <w:tcBorders>
              <w:top w:val="single" w:sz="6" w:space="0" w:color="CCCCCC"/>
              <w:left w:val="single" w:sz="6" w:space="0" w:color="CCCCCC"/>
              <w:bottom w:val="single" w:sz="6" w:space="0" w:color="000000"/>
              <w:right w:val="single" w:sz="6" w:space="0" w:color="000000"/>
            </w:tcBorders>
            <w:shd w:val="clear" w:color="auto" w:fill="B6D7A8"/>
            <w:tcMar>
              <w:top w:w="0" w:type="dxa"/>
              <w:left w:w="40" w:type="dxa"/>
              <w:bottom w:w="0" w:type="dxa"/>
              <w:right w:w="40" w:type="dxa"/>
            </w:tcMar>
            <w:vAlign w:val="bottom"/>
          </w:tcPr>
          <w:p w14:paraId="59E5EE2D" w14:textId="77777777" w:rsidR="00410BA5" w:rsidRPr="0020339D" w:rsidRDefault="00C55C36">
            <w:pPr>
              <w:widowControl w:val="0"/>
              <w:spacing w:before="0" w:after="0" w:line="276" w:lineRule="auto"/>
              <w:jc w:val="center"/>
              <w:rPr>
                <w:rFonts w:ascii="Arial" w:eastAsia="Arial" w:hAnsi="Arial" w:cs="Arial"/>
                <w:sz w:val="20"/>
                <w:szCs w:val="20"/>
                <w:lang w:val="en-GB"/>
              </w:rPr>
            </w:pPr>
            <w:r w:rsidRPr="0020339D">
              <w:rPr>
                <w:b/>
                <w:lang w:val="en-GB"/>
              </w:rPr>
              <w:t>36.67</w:t>
            </w:r>
          </w:p>
        </w:tc>
      </w:tr>
      <w:tr w:rsidR="00410BA5" w:rsidRPr="0020339D" w14:paraId="642F17B7" w14:textId="77777777" w:rsidTr="00714ECE">
        <w:trPr>
          <w:trHeight w:val="300"/>
        </w:trPr>
        <w:tc>
          <w:tcPr>
            <w:tcW w:w="1409" w:type="pct"/>
            <w:tcBorders>
              <w:top w:val="single" w:sz="6" w:space="0" w:color="CCCCCC"/>
              <w:left w:val="single" w:sz="6" w:space="0" w:color="000000"/>
              <w:bottom w:val="single" w:sz="6" w:space="0" w:color="000000"/>
              <w:right w:val="single" w:sz="6" w:space="0" w:color="000000"/>
            </w:tcBorders>
            <w:shd w:val="clear" w:color="auto" w:fill="F4CCCC"/>
            <w:tcMar>
              <w:top w:w="0" w:type="dxa"/>
              <w:left w:w="40" w:type="dxa"/>
              <w:bottom w:w="0" w:type="dxa"/>
              <w:right w:w="40" w:type="dxa"/>
            </w:tcMar>
            <w:vAlign w:val="bottom"/>
          </w:tcPr>
          <w:p w14:paraId="42C9500F" w14:textId="77777777" w:rsidR="00410BA5" w:rsidRPr="0020339D" w:rsidRDefault="00410BA5">
            <w:pPr>
              <w:widowControl w:val="0"/>
              <w:spacing w:before="0" w:after="0" w:line="276" w:lineRule="auto"/>
              <w:jc w:val="left"/>
              <w:rPr>
                <w:rFonts w:ascii="Arial" w:eastAsia="Arial" w:hAnsi="Arial" w:cs="Arial"/>
                <w:sz w:val="20"/>
                <w:szCs w:val="20"/>
                <w:lang w:val="en-GB"/>
              </w:rPr>
            </w:pPr>
          </w:p>
        </w:tc>
        <w:tc>
          <w:tcPr>
            <w:tcW w:w="1230" w:type="pct"/>
            <w:vMerge w:val="restart"/>
            <w:tcBorders>
              <w:top w:val="single" w:sz="6" w:space="0" w:color="CCCCCC"/>
              <w:left w:val="single" w:sz="6" w:space="0" w:color="CCCCCC"/>
              <w:bottom w:val="single" w:sz="6" w:space="0" w:color="000000"/>
              <w:right w:val="single" w:sz="6" w:space="0" w:color="000000"/>
            </w:tcBorders>
            <w:shd w:val="clear" w:color="auto" w:fill="F4CCCC"/>
            <w:tcMar>
              <w:top w:w="0" w:type="dxa"/>
              <w:left w:w="40" w:type="dxa"/>
              <w:bottom w:w="0" w:type="dxa"/>
              <w:right w:w="40" w:type="dxa"/>
            </w:tcMar>
            <w:vAlign w:val="bottom"/>
          </w:tcPr>
          <w:p w14:paraId="401114E8" w14:textId="77777777" w:rsidR="00410BA5" w:rsidRPr="0020339D" w:rsidRDefault="00C55C36">
            <w:pPr>
              <w:widowControl w:val="0"/>
              <w:spacing w:before="0" w:after="0" w:line="276" w:lineRule="auto"/>
              <w:jc w:val="center"/>
              <w:rPr>
                <w:b/>
                <w:lang w:val="en-GB"/>
              </w:rPr>
            </w:pPr>
            <w:r w:rsidRPr="0020339D">
              <w:rPr>
                <w:b/>
                <w:lang w:val="en-GB"/>
              </w:rPr>
              <w:t>Formula</w:t>
            </w:r>
          </w:p>
        </w:tc>
        <w:tc>
          <w:tcPr>
            <w:tcW w:w="2361" w:type="pct"/>
            <w:tcBorders>
              <w:top w:val="single" w:sz="6" w:space="0" w:color="CCCCCC"/>
              <w:left w:val="single" w:sz="6" w:space="0" w:color="CCCCCC"/>
              <w:bottom w:val="single" w:sz="6" w:space="0" w:color="000000"/>
              <w:right w:val="single" w:sz="6" w:space="0" w:color="000000"/>
            </w:tcBorders>
            <w:shd w:val="clear" w:color="auto" w:fill="F4CCCC"/>
            <w:tcMar>
              <w:top w:w="0" w:type="dxa"/>
              <w:left w:w="40" w:type="dxa"/>
              <w:bottom w:w="0" w:type="dxa"/>
              <w:right w:w="40" w:type="dxa"/>
            </w:tcMar>
            <w:vAlign w:val="bottom"/>
          </w:tcPr>
          <w:p w14:paraId="6A5BF0BB" w14:textId="77777777" w:rsidR="00410BA5" w:rsidRPr="0020339D" w:rsidRDefault="00C55C36">
            <w:pPr>
              <w:widowControl w:val="0"/>
              <w:spacing w:before="0" w:after="0" w:line="276" w:lineRule="auto"/>
              <w:jc w:val="center"/>
              <w:rPr>
                <w:rFonts w:ascii="Arial" w:eastAsia="Arial" w:hAnsi="Arial" w:cs="Arial"/>
                <w:sz w:val="20"/>
                <w:szCs w:val="20"/>
                <w:lang w:val="en-GB"/>
              </w:rPr>
            </w:pPr>
            <w:r w:rsidRPr="0020339D">
              <w:rPr>
                <w:b/>
                <w:lang w:val="en-GB"/>
              </w:rPr>
              <w:t>ARR=Average Annual Profit​/Average Investment</w:t>
            </w:r>
          </w:p>
        </w:tc>
      </w:tr>
      <w:tr w:rsidR="00410BA5" w:rsidRPr="0020339D" w14:paraId="0474E656" w14:textId="77777777" w:rsidTr="00714ECE">
        <w:trPr>
          <w:trHeight w:val="300"/>
        </w:trPr>
        <w:tc>
          <w:tcPr>
            <w:tcW w:w="1409" w:type="pct"/>
            <w:tcBorders>
              <w:top w:val="single" w:sz="6" w:space="0" w:color="CCCCCC"/>
              <w:left w:val="single" w:sz="6" w:space="0" w:color="000000"/>
              <w:bottom w:val="single" w:sz="6" w:space="0" w:color="000000"/>
              <w:right w:val="single" w:sz="6" w:space="0" w:color="000000"/>
            </w:tcBorders>
            <w:shd w:val="clear" w:color="auto" w:fill="F4CCCC"/>
            <w:tcMar>
              <w:top w:w="0" w:type="dxa"/>
              <w:left w:w="40" w:type="dxa"/>
              <w:bottom w:w="0" w:type="dxa"/>
              <w:right w:w="40" w:type="dxa"/>
            </w:tcMar>
            <w:vAlign w:val="bottom"/>
          </w:tcPr>
          <w:p w14:paraId="7DADA2E4" w14:textId="77777777" w:rsidR="00410BA5" w:rsidRPr="0020339D" w:rsidRDefault="00410BA5">
            <w:pPr>
              <w:widowControl w:val="0"/>
              <w:spacing w:before="0" w:after="0" w:line="276" w:lineRule="auto"/>
              <w:jc w:val="left"/>
              <w:rPr>
                <w:rFonts w:ascii="Arial" w:eastAsia="Arial" w:hAnsi="Arial" w:cs="Arial"/>
                <w:sz w:val="20"/>
                <w:szCs w:val="20"/>
                <w:lang w:val="en-GB"/>
              </w:rPr>
            </w:pPr>
          </w:p>
        </w:tc>
        <w:tc>
          <w:tcPr>
            <w:tcW w:w="1230" w:type="pct"/>
            <w:vMerge/>
            <w:tcBorders>
              <w:top w:val="single" w:sz="6" w:space="0" w:color="CCCCCC"/>
              <w:left w:val="single" w:sz="6" w:space="0" w:color="CCCCCC"/>
              <w:bottom w:val="single" w:sz="6" w:space="0" w:color="000000"/>
              <w:right w:val="single" w:sz="6" w:space="0" w:color="000000"/>
            </w:tcBorders>
            <w:shd w:val="clear" w:color="auto" w:fill="auto"/>
            <w:tcMar>
              <w:top w:w="100" w:type="dxa"/>
              <w:left w:w="100" w:type="dxa"/>
              <w:bottom w:w="100" w:type="dxa"/>
              <w:right w:w="100" w:type="dxa"/>
            </w:tcMar>
          </w:tcPr>
          <w:p w14:paraId="094EF5C0" w14:textId="77777777" w:rsidR="00410BA5" w:rsidRPr="0020339D" w:rsidRDefault="00410BA5">
            <w:pPr>
              <w:widowControl w:val="0"/>
              <w:spacing w:before="0" w:after="0" w:line="276" w:lineRule="auto"/>
              <w:jc w:val="left"/>
              <w:rPr>
                <w:rFonts w:ascii="Arial" w:eastAsia="Arial" w:hAnsi="Arial" w:cs="Arial"/>
                <w:sz w:val="20"/>
                <w:szCs w:val="20"/>
                <w:lang w:val="en-GB"/>
              </w:rPr>
            </w:pPr>
          </w:p>
        </w:tc>
        <w:tc>
          <w:tcPr>
            <w:tcW w:w="2361" w:type="pct"/>
            <w:tcBorders>
              <w:top w:val="single" w:sz="6" w:space="0" w:color="CCCCCC"/>
              <w:left w:val="single" w:sz="6" w:space="0" w:color="CCCCCC"/>
              <w:bottom w:val="single" w:sz="6" w:space="0" w:color="000000"/>
              <w:right w:val="single" w:sz="6" w:space="0" w:color="000000"/>
            </w:tcBorders>
            <w:shd w:val="clear" w:color="auto" w:fill="F4CCCC"/>
            <w:tcMar>
              <w:top w:w="0" w:type="dxa"/>
              <w:left w:w="40" w:type="dxa"/>
              <w:bottom w:w="0" w:type="dxa"/>
              <w:right w:w="40" w:type="dxa"/>
            </w:tcMar>
            <w:vAlign w:val="bottom"/>
          </w:tcPr>
          <w:p w14:paraId="35367009" w14:textId="77777777" w:rsidR="00410BA5" w:rsidRPr="0020339D" w:rsidRDefault="00C55C36">
            <w:pPr>
              <w:widowControl w:val="0"/>
              <w:spacing w:before="0" w:after="0" w:line="276" w:lineRule="auto"/>
              <w:jc w:val="center"/>
              <w:rPr>
                <w:rFonts w:ascii="Arial" w:eastAsia="Arial" w:hAnsi="Arial" w:cs="Arial"/>
                <w:sz w:val="20"/>
                <w:szCs w:val="20"/>
                <w:lang w:val="en-GB"/>
              </w:rPr>
            </w:pPr>
            <w:r w:rsidRPr="0020339D">
              <w:rPr>
                <w:b/>
                <w:lang w:val="en-GB"/>
              </w:rPr>
              <w:t>Average Investment= Initial investment/ The number of years</w:t>
            </w:r>
          </w:p>
        </w:tc>
      </w:tr>
    </w:tbl>
    <w:p w14:paraId="13B51549" w14:textId="77777777" w:rsidR="00410BA5" w:rsidRPr="0020339D" w:rsidRDefault="00C55C36">
      <w:pPr>
        <w:jc w:val="center"/>
        <w:rPr>
          <w:b/>
          <w:lang w:val="en-GB"/>
        </w:rPr>
      </w:pPr>
      <w:r w:rsidRPr="0020339D">
        <w:rPr>
          <w:b/>
          <w:lang w:val="en-GB"/>
        </w:rPr>
        <w:t>Table 3.2: ARR calculation</w:t>
      </w:r>
    </w:p>
    <w:p w14:paraId="24FE5329" w14:textId="77777777" w:rsidR="00410BA5" w:rsidRPr="0020339D" w:rsidRDefault="00C55C36">
      <w:pPr>
        <w:jc w:val="center"/>
        <w:rPr>
          <w:lang w:val="en-GB"/>
        </w:rPr>
      </w:pPr>
      <w:r w:rsidRPr="0020339D">
        <w:rPr>
          <w:lang w:val="en-GB"/>
        </w:rPr>
        <w:t>(Source: Self-created)</w:t>
      </w:r>
    </w:p>
    <w:p w14:paraId="4BC903DE" w14:textId="77777777" w:rsidR="00410BA5" w:rsidRPr="0020339D" w:rsidRDefault="00C55C36">
      <w:pPr>
        <w:rPr>
          <w:lang w:val="en-GB"/>
        </w:rPr>
      </w:pPr>
      <w:r w:rsidRPr="0020339D">
        <w:rPr>
          <w:lang w:val="en-GB"/>
        </w:rPr>
        <w:t xml:space="preserve">As stated by Wang </w:t>
      </w:r>
      <w:r w:rsidRPr="0020339D">
        <w:rPr>
          <w:i/>
          <w:lang w:val="en-GB"/>
        </w:rPr>
        <w:t>et al</w:t>
      </w:r>
      <w:r w:rsidRPr="0020339D">
        <w:rPr>
          <w:lang w:val="en-GB"/>
        </w:rPr>
        <w:t xml:space="preserve">. (2021), ARR is effective in the firm in measuring the proper net income generated from assets compared to the initial cost of investment for any project. For Project A, the ARR amounted to 39.06% while for Project B, it stands at 36.67%. Thus, project A would be more effective for J&amp;J as compared to Project B, as it indicates a higher return on investment and could be more profitable for the business as well when the initial outlay is optimised. On the other hand, Project B can be also taken as it is relative to the investment. </w:t>
      </w:r>
    </w:p>
    <w:p w14:paraId="79A6296C" w14:textId="77777777" w:rsidR="00410BA5" w:rsidRPr="0020339D" w:rsidRDefault="00C55C36">
      <w:pPr>
        <w:rPr>
          <w:b/>
          <w:lang w:val="en-GB"/>
        </w:rPr>
      </w:pPr>
      <w:r w:rsidRPr="0020339D">
        <w:rPr>
          <w:b/>
          <w:lang w:val="en-GB"/>
        </w:rPr>
        <w:t>Net Present Value (NPV) calculation</w:t>
      </w:r>
    </w:p>
    <w:p w14:paraId="769002E7" w14:textId="77777777" w:rsidR="00410BA5" w:rsidRPr="0020339D" w:rsidRDefault="00C55C36">
      <w:pPr>
        <w:rPr>
          <w:lang w:val="en-GB"/>
        </w:rPr>
      </w:pPr>
      <w:r w:rsidRPr="0020339D">
        <w:rPr>
          <w:lang w:val="en-GB"/>
        </w:rPr>
        <w:t>Effective busts of NPV help business organisations make effective decisions to select the most profitable project. Fontalvo-Lascano</w:t>
      </w:r>
      <w:r w:rsidRPr="0020339D">
        <w:rPr>
          <w:i/>
          <w:lang w:val="en-GB"/>
        </w:rPr>
        <w:t xml:space="preserve"> et al.</w:t>
      </w:r>
      <w:r w:rsidRPr="0020339D">
        <w:rPr>
          <w:lang w:val="en-GB"/>
        </w:rPr>
        <w:t xml:space="preserve"> (2022) stated that NPV is an important financial metric used in investment analysis and capital budgeting. </w:t>
      </w:r>
    </w:p>
    <w:tbl>
      <w:tblPr>
        <w:tblStyle w:val="a6"/>
        <w:tblW w:w="9360" w:type="dxa"/>
        <w:tblBorders>
          <w:top w:val="nil"/>
          <w:left w:val="nil"/>
          <w:bottom w:val="nil"/>
          <w:right w:val="nil"/>
          <w:insideH w:val="nil"/>
          <w:insideV w:val="nil"/>
        </w:tblBorders>
        <w:tblLayout w:type="fixed"/>
        <w:tblLook w:val="0600" w:firstRow="0" w:lastRow="0" w:firstColumn="0" w:lastColumn="0" w:noHBand="1" w:noVBand="1"/>
      </w:tblPr>
      <w:tblGrid>
        <w:gridCol w:w="1616"/>
        <w:gridCol w:w="1410"/>
        <w:gridCol w:w="2708"/>
        <w:gridCol w:w="2108"/>
        <w:gridCol w:w="1518"/>
      </w:tblGrid>
      <w:tr w:rsidR="00410BA5" w:rsidRPr="0020339D" w14:paraId="7CBF7D50" w14:textId="77777777">
        <w:trPr>
          <w:trHeight w:val="300"/>
        </w:trPr>
        <w:tc>
          <w:tcPr>
            <w:tcW w:w="1615" w:type="dxa"/>
            <w:tcBorders>
              <w:top w:val="single" w:sz="6" w:space="0" w:color="000000"/>
              <w:left w:val="single" w:sz="6" w:space="0" w:color="000000"/>
              <w:bottom w:val="single" w:sz="6" w:space="0" w:color="000000"/>
              <w:right w:val="single" w:sz="6" w:space="0" w:color="000000"/>
            </w:tcBorders>
            <w:shd w:val="clear" w:color="auto" w:fill="93C47D"/>
            <w:tcMar>
              <w:top w:w="0" w:type="dxa"/>
              <w:left w:w="40" w:type="dxa"/>
              <w:bottom w:w="0" w:type="dxa"/>
              <w:right w:w="40" w:type="dxa"/>
            </w:tcMar>
            <w:vAlign w:val="bottom"/>
          </w:tcPr>
          <w:p w14:paraId="0DCC3CB3" w14:textId="77777777" w:rsidR="00410BA5" w:rsidRPr="0020339D" w:rsidRDefault="00C55C36">
            <w:pPr>
              <w:widowControl w:val="0"/>
              <w:spacing w:before="0" w:after="0" w:line="276" w:lineRule="auto"/>
              <w:jc w:val="center"/>
              <w:rPr>
                <w:rFonts w:ascii="Arial" w:eastAsia="Arial" w:hAnsi="Arial" w:cs="Arial"/>
                <w:sz w:val="20"/>
                <w:szCs w:val="20"/>
                <w:lang w:val="en-GB"/>
              </w:rPr>
            </w:pPr>
            <w:r w:rsidRPr="0020339D">
              <w:rPr>
                <w:b/>
                <w:lang w:val="en-GB"/>
              </w:rPr>
              <w:t>Year</w:t>
            </w:r>
          </w:p>
        </w:tc>
        <w:tc>
          <w:tcPr>
            <w:tcW w:w="1410" w:type="dxa"/>
            <w:tcBorders>
              <w:top w:val="single" w:sz="6" w:space="0" w:color="000000"/>
              <w:left w:val="single" w:sz="6" w:space="0" w:color="CCCCCC"/>
              <w:bottom w:val="single" w:sz="6" w:space="0" w:color="000000"/>
              <w:right w:val="single" w:sz="6" w:space="0" w:color="000000"/>
            </w:tcBorders>
            <w:shd w:val="clear" w:color="auto" w:fill="93C47D"/>
            <w:tcMar>
              <w:top w:w="0" w:type="dxa"/>
              <w:left w:w="40" w:type="dxa"/>
              <w:bottom w:w="0" w:type="dxa"/>
              <w:right w:w="40" w:type="dxa"/>
            </w:tcMar>
            <w:vAlign w:val="bottom"/>
          </w:tcPr>
          <w:p w14:paraId="6F415E57" w14:textId="77777777" w:rsidR="00410BA5" w:rsidRPr="0020339D" w:rsidRDefault="00C55C36">
            <w:pPr>
              <w:widowControl w:val="0"/>
              <w:spacing w:before="0" w:after="0" w:line="276" w:lineRule="auto"/>
              <w:jc w:val="center"/>
              <w:rPr>
                <w:rFonts w:ascii="Arial" w:eastAsia="Arial" w:hAnsi="Arial" w:cs="Arial"/>
                <w:sz w:val="20"/>
                <w:szCs w:val="20"/>
                <w:lang w:val="en-GB"/>
              </w:rPr>
            </w:pPr>
            <w:r w:rsidRPr="0020339D">
              <w:rPr>
                <w:b/>
                <w:lang w:val="en-GB"/>
              </w:rPr>
              <w:t>Cumulative Cash Flow for A</w:t>
            </w:r>
          </w:p>
        </w:tc>
        <w:tc>
          <w:tcPr>
            <w:tcW w:w="2707" w:type="dxa"/>
            <w:tcBorders>
              <w:top w:val="single" w:sz="6" w:space="0" w:color="000000"/>
              <w:left w:val="single" w:sz="6" w:space="0" w:color="CCCCCC"/>
              <w:bottom w:val="single" w:sz="6" w:space="0" w:color="000000"/>
              <w:right w:val="single" w:sz="6" w:space="0" w:color="000000"/>
            </w:tcBorders>
            <w:shd w:val="clear" w:color="auto" w:fill="93C47D"/>
            <w:tcMar>
              <w:top w:w="0" w:type="dxa"/>
              <w:left w:w="40" w:type="dxa"/>
              <w:bottom w:w="0" w:type="dxa"/>
              <w:right w:w="40" w:type="dxa"/>
            </w:tcMar>
            <w:vAlign w:val="bottom"/>
          </w:tcPr>
          <w:p w14:paraId="39CD1C1A" w14:textId="77777777" w:rsidR="00410BA5" w:rsidRPr="0020339D" w:rsidRDefault="00C55C36">
            <w:pPr>
              <w:widowControl w:val="0"/>
              <w:spacing w:before="0" w:after="0" w:line="276" w:lineRule="auto"/>
              <w:jc w:val="center"/>
              <w:rPr>
                <w:rFonts w:ascii="Arial" w:eastAsia="Arial" w:hAnsi="Arial" w:cs="Arial"/>
                <w:sz w:val="20"/>
                <w:szCs w:val="20"/>
                <w:lang w:val="en-GB"/>
              </w:rPr>
            </w:pPr>
            <w:r w:rsidRPr="0020339D">
              <w:rPr>
                <w:b/>
                <w:lang w:val="en-GB"/>
              </w:rPr>
              <w:t>Discount Factor (1+</w:t>
            </w:r>
            <w:r w:rsidR="00714ECE" w:rsidRPr="0020339D">
              <w:rPr>
                <w:b/>
                <w:lang w:val="en-GB"/>
              </w:rPr>
              <w:t>r) ^</w:t>
            </w:r>
            <w:r w:rsidRPr="0020339D">
              <w:rPr>
                <w:b/>
                <w:lang w:val="en-GB"/>
              </w:rPr>
              <w:t>t for A</w:t>
            </w:r>
          </w:p>
        </w:tc>
        <w:tc>
          <w:tcPr>
            <w:tcW w:w="2107" w:type="dxa"/>
            <w:tcBorders>
              <w:top w:val="single" w:sz="6" w:space="0" w:color="000000"/>
              <w:left w:val="single" w:sz="6" w:space="0" w:color="CCCCCC"/>
              <w:bottom w:val="single" w:sz="6" w:space="0" w:color="000000"/>
              <w:right w:val="single" w:sz="6" w:space="0" w:color="000000"/>
            </w:tcBorders>
            <w:shd w:val="clear" w:color="auto" w:fill="93C47D"/>
            <w:tcMar>
              <w:top w:w="0" w:type="dxa"/>
              <w:left w:w="40" w:type="dxa"/>
              <w:bottom w:w="0" w:type="dxa"/>
              <w:right w:w="40" w:type="dxa"/>
            </w:tcMar>
            <w:vAlign w:val="bottom"/>
          </w:tcPr>
          <w:p w14:paraId="0CBBEBE3" w14:textId="77777777" w:rsidR="00410BA5" w:rsidRPr="0020339D" w:rsidRDefault="00C55C36">
            <w:pPr>
              <w:widowControl w:val="0"/>
              <w:spacing w:before="0" w:after="0" w:line="276" w:lineRule="auto"/>
              <w:jc w:val="center"/>
              <w:rPr>
                <w:rFonts w:ascii="Arial" w:eastAsia="Arial" w:hAnsi="Arial" w:cs="Arial"/>
                <w:sz w:val="20"/>
                <w:szCs w:val="20"/>
                <w:lang w:val="en-GB"/>
              </w:rPr>
            </w:pPr>
            <w:r w:rsidRPr="0020339D">
              <w:rPr>
                <w:b/>
                <w:lang w:val="en-GB"/>
              </w:rPr>
              <w:t>Present Value (</w:t>
            </w:r>
            <w:proofErr w:type="spellStart"/>
            <w:r w:rsidRPr="0020339D">
              <w:rPr>
                <w:b/>
                <w:lang w:val="en-GB"/>
              </w:rPr>
              <w:t>CF_t</w:t>
            </w:r>
            <w:proofErr w:type="spellEnd"/>
            <w:r w:rsidRPr="0020339D">
              <w:rPr>
                <w:b/>
                <w:lang w:val="en-GB"/>
              </w:rPr>
              <w:t xml:space="preserve"> / (1+</w:t>
            </w:r>
            <w:r w:rsidR="00714ECE" w:rsidRPr="0020339D">
              <w:rPr>
                <w:b/>
                <w:lang w:val="en-GB"/>
              </w:rPr>
              <w:t>r) ^</w:t>
            </w:r>
            <w:r w:rsidRPr="0020339D">
              <w:rPr>
                <w:b/>
                <w:lang w:val="en-GB"/>
              </w:rPr>
              <w:t>t) for A</w:t>
            </w:r>
          </w:p>
        </w:tc>
        <w:tc>
          <w:tcPr>
            <w:tcW w:w="1518" w:type="dxa"/>
            <w:tcBorders>
              <w:top w:val="single" w:sz="6" w:space="0" w:color="CCCCCC"/>
              <w:left w:val="single" w:sz="6" w:space="0" w:color="CCCCCC"/>
              <w:bottom w:val="single" w:sz="6" w:space="0" w:color="000000"/>
              <w:right w:val="single" w:sz="6" w:space="0" w:color="CCCCCC"/>
            </w:tcBorders>
            <w:shd w:val="clear" w:color="auto" w:fill="93C47D"/>
            <w:tcMar>
              <w:top w:w="0" w:type="dxa"/>
              <w:left w:w="40" w:type="dxa"/>
              <w:bottom w:w="0" w:type="dxa"/>
              <w:right w:w="40" w:type="dxa"/>
            </w:tcMar>
            <w:vAlign w:val="bottom"/>
          </w:tcPr>
          <w:p w14:paraId="20552029" w14:textId="77777777" w:rsidR="00410BA5" w:rsidRPr="0020339D" w:rsidRDefault="00C55C36">
            <w:pPr>
              <w:widowControl w:val="0"/>
              <w:spacing w:before="0" w:after="0" w:line="276" w:lineRule="auto"/>
              <w:jc w:val="center"/>
              <w:rPr>
                <w:rFonts w:ascii="Arial" w:eastAsia="Arial" w:hAnsi="Arial" w:cs="Arial"/>
                <w:sz w:val="20"/>
                <w:szCs w:val="20"/>
                <w:lang w:val="en-GB"/>
              </w:rPr>
            </w:pPr>
            <w:r w:rsidRPr="0020339D">
              <w:rPr>
                <w:b/>
                <w:lang w:val="en-GB"/>
              </w:rPr>
              <w:t>NPV for A</w:t>
            </w:r>
          </w:p>
        </w:tc>
      </w:tr>
      <w:tr w:rsidR="00410BA5" w:rsidRPr="0020339D" w14:paraId="650783B7" w14:textId="77777777">
        <w:trPr>
          <w:trHeight w:val="300"/>
        </w:trPr>
        <w:tc>
          <w:tcPr>
            <w:tcW w:w="1615" w:type="dxa"/>
            <w:tcBorders>
              <w:top w:val="single" w:sz="6" w:space="0" w:color="CCCCCC"/>
              <w:left w:val="single" w:sz="6" w:space="0" w:color="000000"/>
              <w:bottom w:val="single" w:sz="6" w:space="0" w:color="000000"/>
              <w:right w:val="single" w:sz="6" w:space="0" w:color="000000"/>
            </w:tcBorders>
            <w:shd w:val="clear" w:color="auto" w:fill="D9EAD3"/>
            <w:tcMar>
              <w:top w:w="0" w:type="dxa"/>
              <w:left w:w="40" w:type="dxa"/>
              <w:bottom w:w="0" w:type="dxa"/>
              <w:right w:w="40" w:type="dxa"/>
            </w:tcMar>
            <w:vAlign w:val="bottom"/>
          </w:tcPr>
          <w:p w14:paraId="59375DA6" w14:textId="77777777" w:rsidR="00410BA5" w:rsidRPr="0020339D" w:rsidRDefault="00C55C36">
            <w:pPr>
              <w:widowControl w:val="0"/>
              <w:spacing w:before="0" w:after="0" w:line="276" w:lineRule="auto"/>
              <w:jc w:val="center"/>
              <w:rPr>
                <w:rFonts w:ascii="Arial" w:eastAsia="Arial" w:hAnsi="Arial" w:cs="Arial"/>
                <w:sz w:val="20"/>
                <w:szCs w:val="20"/>
                <w:lang w:val="en-GB"/>
              </w:rPr>
            </w:pPr>
            <w:r w:rsidRPr="0020339D">
              <w:rPr>
                <w:lang w:val="en-GB"/>
              </w:rPr>
              <w:t>0</w:t>
            </w:r>
          </w:p>
        </w:tc>
        <w:tc>
          <w:tcPr>
            <w:tcW w:w="1410" w:type="dxa"/>
            <w:tcBorders>
              <w:top w:val="single" w:sz="6" w:space="0" w:color="CCCCCC"/>
              <w:left w:val="single" w:sz="6" w:space="0" w:color="CCCCCC"/>
              <w:bottom w:val="single" w:sz="6" w:space="0" w:color="000000"/>
              <w:right w:val="single" w:sz="6" w:space="0" w:color="000000"/>
            </w:tcBorders>
            <w:shd w:val="clear" w:color="auto" w:fill="D9EAD3"/>
            <w:tcMar>
              <w:top w:w="0" w:type="dxa"/>
              <w:left w:w="40" w:type="dxa"/>
              <w:bottom w:w="0" w:type="dxa"/>
              <w:right w:w="40" w:type="dxa"/>
            </w:tcMar>
            <w:vAlign w:val="bottom"/>
          </w:tcPr>
          <w:p w14:paraId="3C107F3F" w14:textId="77777777" w:rsidR="00410BA5" w:rsidRPr="0020339D" w:rsidRDefault="00C55C36">
            <w:pPr>
              <w:widowControl w:val="0"/>
              <w:spacing w:before="0" w:after="0" w:line="276" w:lineRule="auto"/>
              <w:jc w:val="center"/>
              <w:rPr>
                <w:rFonts w:ascii="Arial" w:eastAsia="Arial" w:hAnsi="Arial" w:cs="Arial"/>
                <w:sz w:val="20"/>
                <w:szCs w:val="20"/>
                <w:lang w:val="en-GB"/>
              </w:rPr>
            </w:pPr>
            <w:r w:rsidRPr="0020339D">
              <w:rPr>
                <w:lang w:val="en-GB"/>
              </w:rPr>
              <w:t>-80</w:t>
            </w:r>
          </w:p>
        </w:tc>
        <w:tc>
          <w:tcPr>
            <w:tcW w:w="2707" w:type="dxa"/>
            <w:tcBorders>
              <w:top w:val="single" w:sz="6" w:space="0" w:color="CCCCCC"/>
              <w:left w:val="single" w:sz="6" w:space="0" w:color="CCCCCC"/>
              <w:bottom w:val="single" w:sz="6" w:space="0" w:color="000000"/>
              <w:right w:val="single" w:sz="6" w:space="0" w:color="000000"/>
            </w:tcBorders>
            <w:shd w:val="clear" w:color="auto" w:fill="D9EAD3"/>
            <w:tcMar>
              <w:top w:w="0" w:type="dxa"/>
              <w:left w:w="40" w:type="dxa"/>
              <w:bottom w:w="0" w:type="dxa"/>
              <w:right w:w="40" w:type="dxa"/>
            </w:tcMar>
            <w:vAlign w:val="bottom"/>
          </w:tcPr>
          <w:p w14:paraId="5FEE7AD6" w14:textId="77777777" w:rsidR="00410BA5" w:rsidRPr="0020339D" w:rsidRDefault="00C55C36">
            <w:pPr>
              <w:widowControl w:val="0"/>
              <w:spacing w:before="0" w:after="0" w:line="276" w:lineRule="auto"/>
              <w:jc w:val="center"/>
              <w:rPr>
                <w:rFonts w:ascii="Arial" w:eastAsia="Arial" w:hAnsi="Arial" w:cs="Arial"/>
                <w:sz w:val="20"/>
                <w:szCs w:val="20"/>
                <w:lang w:val="en-GB"/>
              </w:rPr>
            </w:pPr>
            <w:r w:rsidRPr="0020339D">
              <w:rPr>
                <w:lang w:val="en-GB"/>
              </w:rPr>
              <w:t>1</w:t>
            </w:r>
          </w:p>
        </w:tc>
        <w:tc>
          <w:tcPr>
            <w:tcW w:w="2107" w:type="dxa"/>
            <w:tcBorders>
              <w:top w:val="single" w:sz="6" w:space="0" w:color="CCCCCC"/>
              <w:left w:val="single" w:sz="6" w:space="0" w:color="CCCCCC"/>
              <w:bottom w:val="single" w:sz="6" w:space="0" w:color="000000"/>
              <w:right w:val="single" w:sz="6" w:space="0" w:color="000000"/>
            </w:tcBorders>
            <w:shd w:val="clear" w:color="auto" w:fill="D9EAD3"/>
            <w:tcMar>
              <w:top w:w="0" w:type="dxa"/>
              <w:left w:w="40" w:type="dxa"/>
              <w:bottom w:w="0" w:type="dxa"/>
              <w:right w:w="40" w:type="dxa"/>
            </w:tcMar>
            <w:vAlign w:val="bottom"/>
          </w:tcPr>
          <w:p w14:paraId="5AEB539C" w14:textId="77777777" w:rsidR="00410BA5" w:rsidRPr="0020339D" w:rsidRDefault="00C55C36">
            <w:pPr>
              <w:widowControl w:val="0"/>
              <w:spacing w:before="0" w:after="0" w:line="276" w:lineRule="auto"/>
              <w:jc w:val="center"/>
              <w:rPr>
                <w:rFonts w:ascii="Arial" w:eastAsia="Arial" w:hAnsi="Arial" w:cs="Arial"/>
                <w:sz w:val="20"/>
                <w:szCs w:val="20"/>
                <w:lang w:val="en-GB"/>
              </w:rPr>
            </w:pPr>
            <w:r w:rsidRPr="0020339D">
              <w:rPr>
                <w:lang w:val="en-GB"/>
              </w:rPr>
              <w:t>-80</w:t>
            </w:r>
          </w:p>
        </w:tc>
        <w:tc>
          <w:tcPr>
            <w:tcW w:w="1518" w:type="dxa"/>
            <w:vMerge w:val="restart"/>
            <w:tcBorders>
              <w:top w:val="single" w:sz="6" w:space="0" w:color="CCCCCC"/>
              <w:left w:val="single" w:sz="6" w:space="0" w:color="CCCCCC"/>
              <w:bottom w:val="single" w:sz="6" w:space="0" w:color="000000"/>
              <w:right w:val="single" w:sz="6" w:space="0" w:color="000000"/>
            </w:tcBorders>
            <w:shd w:val="clear" w:color="auto" w:fill="D9EAD3"/>
            <w:tcMar>
              <w:top w:w="0" w:type="dxa"/>
              <w:left w:w="40" w:type="dxa"/>
              <w:bottom w:w="0" w:type="dxa"/>
              <w:right w:w="40" w:type="dxa"/>
            </w:tcMar>
            <w:vAlign w:val="bottom"/>
          </w:tcPr>
          <w:p w14:paraId="10F368C8" w14:textId="77777777" w:rsidR="00410BA5" w:rsidRPr="0020339D" w:rsidRDefault="00C55C36">
            <w:pPr>
              <w:widowControl w:val="0"/>
              <w:spacing w:before="0" w:after="0" w:line="276" w:lineRule="auto"/>
              <w:jc w:val="center"/>
              <w:rPr>
                <w:b/>
                <w:lang w:val="en-GB"/>
              </w:rPr>
            </w:pPr>
            <w:r w:rsidRPr="0020339D">
              <w:rPr>
                <w:b/>
                <w:lang w:val="en-GB"/>
              </w:rPr>
              <w:t>-51.4</w:t>
            </w:r>
          </w:p>
        </w:tc>
      </w:tr>
      <w:tr w:rsidR="00410BA5" w:rsidRPr="0020339D" w14:paraId="09BB6FE6" w14:textId="77777777">
        <w:trPr>
          <w:trHeight w:val="300"/>
        </w:trPr>
        <w:tc>
          <w:tcPr>
            <w:tcW w:w="1615" w:type="dxa"/>
            <w:tcBorders>
              <w:top w:val="single" w:sz="6" w:space="0" w:color="CCCCCC"/>
              <w:left w:val="single" w:sz="6" w:space="0" w:color="000000"/>
              <w:bottom w:val="single" w:sz="6" w:space="0" w:color="000000"/>
              <w:right w:val="single" w:sz="6" w:space="0" w:color="000000"/>
            </w:tcBorders>
            <w:shd w:val="clear" w:color="auto" w:fill="D9EAD3"/>
            <w:tcMar>
              <w:top w:w="0" w:type="dxa"/>
              <w:left w:w="40" w:type="dxa"/>
              <w:bottom w:w="0" w:type="dxa"/>
              <w:right w:w="40" w:type="dxa"/>
            </w:tcMar>
            <w:vAlign w:val="bottom"/>
          </w:tcPr>
          <w:p w14:paraId="6C54F31F" w14:textId="77777777" w:rsidR="00410BA5" w:rsidRPr="0020339D" w:rsidRDefault="00C55C36">
            <w:pPr>
              <w:widowControl w:val="0"/>
              <w:spacing w:before="0" w:after="0" w:line="276" w:lineRule="auto"/>
              <w:jc w:val="center"/>
              <w:rPr>
                <w:rFonts w:ascii="Arial" w:eastAsia="Arial" w:hAnsi="Arial" w:cs="Arial"/>
                <w:sz w:val="20"/>
                <w:szCs w:val="20"/>
                <w:lang w:val="en-GB"/>
              </w:rPr>
            </w:pPr>
            <w:r w:rsidRPr="0020339D">
              <w:rPr>
                <w:lang w:val="en-GB"/>
              </w:rPr>
              <w:t>1</w:t>
            </w:r>
          </w:p>
        </w:tc>
        <w:tc>
          <w:tcPr>
            <w:tcW w:w="1410" w:type="dxa"/>
            <w:tcBorders>
              <w:top w:val="single" w:sz="6" w:space="0" w:color="CCCCCC"/>
              <w:left w:val="single" w:sz="6" w:space="0" w:color="CCCCCC"/>
              <w:bottom w:val="single" w:sz="6" w:space="0" w:color="000000"/>
              <w:right w:val="single" w:sz="6" w:space="0" w:color="000000"/>
            </w:tcBorders>
            <w:shd w:val="clear" w:color="auto" w:fill="D9EAD3"/>
            <w:tcMar>
              <w:top w:w="0" w:type="dxa"/>
              <w:left w:w="40" w:type="dxa"/>
              <w:bottom w:w="0" w:type="dxa"/>
              <w:right w:w="40" w:type="dxa"/>
            </w:tcMar>
            <w:vAlign w:val="bottom"/>
          </w:tcPr>
          <w:p w14:paraId="11FFDED5" w14:textId="77777777" w:rsidR="00410BA5" w:rsidRPr="0020339D" w:rsidRDefault="00C55C36">
            <w:pPr>
              <w:widowControl w:val="0"/>
              <w:spacing w:before="0" w:after="0" w:line="276" w:lineRule="auto"/>
              <w:jc w:val="center"/>
              <w:rPr>
                <w:rFonts w:ascii="Arial" w:eastAsia="Arial" w:hAnsi="Arial" w:cs="Arial"/>
                <w:sz w:val="20"/>
                <w:szCs w:val="20"/>
                <w:lang w:val="en-GB"/>
              </w:rPr>
            </w:pPr>
            <w:r w:rsidRPr="0020339D">
              <w:rPr>
                <w:lang w:val="en-GB"/>
              </w:rPr>
              <w:t>-55</w:t>
            </w:r>
          </w:p>
        </w:tc>
        <w:tc>
          <w:tcPr>
            <w:tcW w:w="2707" w:type="dxa"/>
            <w:tcBorders>
              <w:top w:val="single" w:sz="6" w:space="0" w:color="CCCCCC"/>
              <w:left w:val="single" w:sz="6" w:space="0" w:color="CCCCCC"/>
              <w:bottom w:val="single" w:sz="6" w:space="0" w:color="000000"/>
              <w:right w:val="single" w:sz="6" w:space="0" w:color="000000"/>
            </w:tcBorders>
            <w:shd w:val="clear" w:color="auto" w:fill="D9EAD3"/>
            <w:tcMar>
              <w:top w:w="0" w:type="dxa"/>
              <w:left w:w="40" w:type="dxa"/>
              <w:bottom w:w="0" w:type="dxa"/>
              <w:right w:w="40" w:type="dxa"/>
            </w:tcMar>
            <w:vAlign w:val="bottom"/>
          </w:tcPr>
          <w:p w14:paraId="20143A84" w14:textId="77777777" w:rsidR="00410BA5" w:rsidRPr="0020339D" w:rsidRDefault="00C55C36">
            <w:pPr>
              <w:widowControl w:val="0"/>
              <w:spacing w:before="0" w:after="0" w:line="276" w:lineRule="auto"/>
              <w:jc w:val="center"/>
              <w:rPr>
                <w:rFonts w:ascii="Arial" w:eastAsia="Arial" w:hAnsi="Arial" w:cs="Arial"/>
                <w:sz w:val="20"/>
                <w:szCs w:val="20"/>
                <w:lang w:val="en-GB"/>
              </w:rPr>
            </w:pPr>
            <w:r w:rsidRPr="0020339D">
              <w:rPr>
                <w:lang w:val="en-GB"/>
              </w:rPr>
              <w:t>0.91</w:t>
            </w:r>
          </w:p>
        </w:tc>
        <w:tc>
          <w:tcPr>
            <w:tcW w:w="2107" w:type="dxa"/>
            <w:tcBorders>
              <w:top w:val="single" w:sz="6" w:space="0" w:color="CCCCCC"/>
              <w:left w:val="single" w:sz="6" w:space="0" w:color="CCCCCC"/>
              <w:bottom w:val="single" w:sz="6" w:space="0" w:color="000000"/>
              <w:right w:val="single" w:sz="6" w:space="0" w:color="000000"/>
            </w:tcBorders>
            <w:shd w:val="clear" w:color="auto" w:fill="D9EAD3"/>
            <w:tcMar>
              <w:top w:w="0" w:type="dxa"/>
              <w:left w:w="40" w:type="dxa"/>
              <w:bottom w:w="0" w:type="dxa"/>
              <w:right w:w="40" w:type="dxa"/>
            </w:tcMar>
            <w:vAlign w:val="bottom"/>
          </w:tcPr>
          <w:p w14:paraId="4315A914" w14:textId="77777777" w:rsidR="00410BA5" w:rsidRPr="0020339D" w:rsidRDefault="00C55C36">
            <w:pPr>
              <w:widowControl w:val="0"/>
              <w:spacing w:before="0" w:after="0" w:line="276" w:lineRule="auto"/>
              <w:jc w:val="center"/>
              <w:rPr>
                <w:rFonts w:ascii="Arial" w:eastAsia="Arial" w:hAnsi="Arial" w:cs="Arial"/>
                <w:sz w:val="20"/>
                <w:szCs w:val="20"/>
                <w:lang w:val="en-GB"/>
              </w:rPr>
            </w:pPr>
            <w:r w:rsidRPr="0020339D">
              <w:rPr>
                <w:lang w:val="en-GB"/>
              </w:rPr>
              <w:t>-50</w:t>
            </w:r>
          </w:p>
        </w:tc>
        <w:tc>
          <w:tcPr>
            <w:tcW w:w="1518" w:type="dxa"/>
            <w:vMerge/>
            <w:tcBorders>
              <w:top w:val="single" w:sz="6" w:space="0" w:color="CCCCCC"/>
              <w:left w:val="single" w:sz="6" w:space="0" w:color="CCCCCC"/>
              <w:bottom w:val="single" w:sz="6" w:space="0" w:color="000000"/>
              <w:right w:val="single" w:sz="6" w:space="0" w:color="000000"/>
            </w:tcBorders>
            <w:shd w:val="clear" w:color="auto" w:fill="auto"/>
            <w:tcMar>
              <w:top w:w="100" w:type="dxa"/>
              <w:left w:w="100" w:type="dxa"/>
              <w:bottom w:w="100" w:type="dxa"/>
              <w:right w:w="100" w:type="dxa"/>
            </w:tcMar>
          </w:tcPr>
          <w:p w14:paraId="310436EA" w14:textId="77777777" w:rsidR="00410BA5" w:rsidRPr="0020339D" w:rsidRDefault="00410BA5">
            <w:pPr>
              <w:widowControl w:val="0"/>
              <w:spacing w:before="0" w:after="0" w:line="276" w:lineRule="auto"/>
              <w:jc w:val="left"/>
              <w:rPr>
                <w:rFonts w:ascii="Arial" w:eastAsia="Arial" w:hAnsi="Arial" w:cs="Arial"/>
                <w:sz w:val="20"/>
                <w:szCs w:val="20"/>
                <w:lang w:val="en-GB"/>
              </w:rPr>
            </w:pPr>
          </w:p>
        </w:tc>
      </w:tr>
      <w:tr w:rsidR="00410BA5" w:rsidRPr="0020339D" w14:paraId="6912C200" w14:textId="77777777">
        <w:trPr>
          <w:trHeight w:val="300"/>
        </w:trPr>
        <w:tc>
          <w:tcPr>
            <w:tcW w:w="1615" w:type="dxa"/>
            <w:tcBorders>
              <w:top w:val="single" w:sz="6" w:space="0" w:color="CCCCCC"/>
              <w:left w:val="single" w:sz="6" w:space="0" w:color="000000"/>
              <w:bottom w:val="single" w:sz="6" w:space="0" w:color="000000"/>
              <w:right w:val="single" w:sz="6" w:space="0" w:color="000000"/>
            </w:tcBorders>
            <w:shd w:val="clear" w:color="auto" w:fill="D9EAD3"/>
            <w:tcMar>
              <w:top w:w="0" w:type="dxa"/>
              <w:left w:w="40" w:type="dxa"/>
              <w:bottom w:w="0" w:type="dxa"/>
              <w:right w:w="40" w:type="dxa"/>
            </w:tcMar>
            <w:vAlign w:val="bottom"/>
          </w:tcPr>
          <w:p w14:paraId="76C08991" w14:textId="77777777" w:rsidR="00410BA5" w:rsidRPr="0020339D" w:rsidRDefault="00C55C36">
            <w:pPr>
              <w:widowControl w:val="0"/>
              <w:spacing w:before="0" w:after="0" w:line="276" w:lineRule="auto"/>
              <w:jc w:val="center"/>
              <w:rPr>
                <w:rFonts w:ascii="Arial" w:eastAsia="Arial" w:hAnsi="Arial" w:cs="Arial"/>
                <w:sz w:val="20"/>
                <w:szCs w:val="20"/>
                <w:lang w:val="en-GB"/>
              </w:rPr>
            </w:pPr>
            <w:r w:rsidRPr="0020339D">
              <w:rPr>
                <w:lang w:val="en-GB"/>
              </w:rPr>
              <w:t>2</w:t>
            </w:r>
          </w:p>
        </w:tc>
        <w:tc>
          <w:tcPr>
            <w:tcW w:w="1410" w:type="dxa"/>
            <w:tcBorders>
              <w:top w:val="single" w:sz="6" w:space="0" w:color="CCCCCC"/>
              <w:left w:val="single" w:sz="6" w:space="0" w:color="CCCCCC"/>
              <w:bottom w:val="single" w:sz="6" w:space="0" w:color="000000"/>
              <w:right w:val="single" w:sz="6" w:space="0" w:color="000000"/>
            </w:tcBorders>
            <w:shd w:val="clear" w:color="auto" w:fill="D9EAD3"/>
            <w:tcMar>
              <w:top w:w="0" w:type="dxa"/>
              <w:left w:w="40" w:type="dxa"/>
              <w:bottom w:w="0" w:type="dxa"/>
              <w:right w:w="40" w:type="dxa"/>
            </w:tcMar>
            <w:vAlign w:val="bottom"/>
          </w:tcPr>
          <w:p w14:paraId="536A76A9" w14:textId="77777777" w:rsidR="00410BA5" w:rsidRPr="0020339D" w:rsidRDefault="00C55C36">
            <w:pPr>
              <w:widowControl w:val="0"/>
              <w:spacing w:before="0" w:after="0" w:line="276" w:lineRule="auto"/>
              <w:jc w:val="center"/>
              <w:rPr>
                <w:rFonts w:ascii="Arial" w:eastAsia="Arial" w:hAnsi="Arial" w:cs="Arial"/>
                <w:sz w:val="20"/>
                <w:szCs w:val="20"/>
                <w:lang w:val="en-GB"/>
              </w:rPr>
            </w:pPr>
            <w:r w:rsidRPr="0020339D">
              <w:rPr>
                <w:lang w:val="en-GB"/>
              </w:rPr>
              <w:t>-30</w:t>
            </w:r>
          </w:p>
        </w:tc>
        <w:tc>
          <w:tcPr>
            <w:tcW w:w="2707" w:type="dxa"/>
            <w:tcBorders>
              <w:top w:val="single" w:sz="6" w:space="0" w:color="CCCCCC"/>
              <w:left w:val="single" w:sz="6" w:space="0" w:color="CCCCCC"/>
              <w:bottom w:val="single" w:sz="6" w:space="0" w:color="000000"/>
              <w:right w:val="single" w:sz="6" w:space="0" w:color="000000"/>
            </w:tcBorders>
            <w:shd w:val="clear" w:color="auto" w:fill="D9EAD3"/>
            <w:tcMar>
              <w:top w:w="0" w:type="dxa"/>
              <w:left w:w="40" w:type="dxa"/>
              <w:bottom w:w="0" w:type="dxa"/>
              <w:right w:w="40" w:type="dxa"/>
            </w:tcMar>
            <w:vAlign w:val="bottom"/>
          </w:tcPr>
          <w:p w14:paraId="36571C51" w14:textId="77777777" w:rsidR="00410BA5" w:rsidRPr="0020339D" w:rsidRDefault="00C55C36">
            <w:pPr>
              <w:widowControl w:val="0"/>
              <w:spacing w:before="0" w:after="0" w:line="276" w:lineRule="auto"/>
              <w:jc w:val="center"/>
              <w:rPr>
                <w:rFonts w:ascii="Arial" w:eastAsia="Arial" w:hAnsi="Arial" w:cs="Arial"/>
                <w:sz w:val="20"/>
                <w:szCs w:val="20"/>
                <w:lang w:val="en-GB"/>
              </w:rPr>
            </w:pPr>
            <w:r w:rsidRPr="0020339D">
              <w:rPr>
                <w:lang w:val="en-GB"/>
              </w:rPr>
              <w:t>0.83</w:t>
            </w:r>
          </w:p>
        </w:tc>
        <w:tc>
          <w:tcPr>
            <w:tcW w:w="2107" w:type="dxa"/>
            <w:tcBorders>
              <w:top w:val="single" w:sz="6" w:space="0" w:color="CCCCCC"/>
              <w:left w:val="single" w:sz="6" w:space="0" w:color="CCCCCC"/>
              <w:bottom w:val="single" w:sz="6" w:space="0" w:color="000000"/>
              <w:right w:val="single" w:sz="6" w:space="0" w:color="000000"/>
            </w:tcBorders>
            <w:shd w:val="clear" w:color="auto" w:fill="D9EAD3"/>
            <w:tcMar>
              <w:top w:w="0" w:type="dxa"/>
              <w:left w:w="40" w:type="dxa"/>
              <w:bottom w:w="0" w:type="dxa"/>
              <w:right w:w="40" w:type="dxa"/>
            </w:tcMar>
            <w:vAlign w:val="bottom"/>
          </w:tcPr>
          <w:p w14:paraId="46E630FB" w14:textId="77777777" w:rsidR="00410BA5" w:rsidRPr="0020339D" w:rsidRDefault="00C55C36">
            <w:pPr>
              <w:widowControl w:val="0"/>
              <w:spacing w:before="0" w:after="0" w:line="276" w:lineRule="auto"/>
              <w:jc w:val="center"/>
              <w:rPr>
                <w:rFonts w:ascii="Arial" w:eastAsia="Arial" w:hAnsi="Arial" w:cs="Arial"/>
                <w:sz w:val="20"/>
                <w:szCs w:val="20"/>
                <w:lang w:val="en-GB"/>
              </w:rPr>
            </w:pPr>
            <w:r w:rsidRPr="0020339D">
              <w:rPr>
                <w:lang w:val="en-GB"/>
              </w:rPr>
              <w:t>-25.07</w:t>
            </w:r>
          </w:p>
        </w:tc>
        <w:tc>
          <w:tcPr>
            <w:tcW w:w="1518" w:type="dxa"/>
            <w:vMerge/>
            <w:tcBorders>
              <w:top w:val="single" w:sz="6" w:space="0" w:color="CCCCCC"/>
              <w:left w:val="single" w:sz="6" w:space="0" w:color="CCCCCC"/>
              <w:bottom w:val="single" w:sz="6" w:space="0" w:color="000000"/>
              <w:right w:val="single" w:sz="6" w:space="0" w:color="000000"/>
            </w:tcBorders>
            <w:shd w:val="clear" w:color="auto" w:fill="auto"/>
            <w:tcMar>
              <w:top w:w="100" w:type="dxa"/>
              <w:left w:w="100" w:type="dxa"/>
              <w:bottom w:w="100" w:type="dxa"/>
              <w:right w:w="100" w:type="dxa"/>
            </w:tcMar>
          </w:tcPr>
          <w:p w14:paraId="07F1FA0F" w14:textId="77777777" w:rsidR="00410BA5" w:rsidRPr="0020339D" w:rsidRDefault="00410BA5">
            <w:pPr>
              <w:widowControl w:val="0"/>
              <w:spacing w:before="0" w:after="0" w:line="276" w:lineRule="auto"/>
              <w:jc w:val="left"/>
              <w:rPr>
                <w:rFonts w:ascii="Arial" w:eastAsia="Arial" w:hAnsi="Arial" w:cs="Arial"/>
                <w:sz w:val="20"/>
                <w:szCs w:val="20"/>
                <w:lang w:val="en-GB"/>
              </w:rPr>
            </w:pPr>
          </w:p>
        </w:tc>
      </w:tr>
      <w:tr w:rsidR="00410BA5" w:rsidRPr="0020339D" w14:paraId="07E9D722" w14:textId="77777777">
        <w:trPr>
          <w:trHeight w:val="300"/>
        </w:trPr>
        <w:tc>
          <w:tcPr>
            <w:tcW w:w="1615" w:type="dxa"/>
            <w:tcBorders>
              <w:top w:val="single" w:sz="6" w:space="0" w:color="CCCCCC"/>
              <w:left w:val="single" w:sz="6" w:space="0" w:color="000000"/>
              <w:bottom w:val="single" w:sz="6" w:space="0" w:color="000000"/>
              <w:right w:val="single" w:sz="6" w:space="0" w:color="000000"/>
            </w:tcBorders>
            <w:shd w:val="clear" w:color="auto" w:fill="D9EAD3"/>
            <w:tcMar>
              <w:top w:w="0" w:type="dxa"/>
              <w:left w:w="40" w:type="dxa"/>
              <w:bottom w:w="0" w:type="dxa"/>
              <w:right w:w="40" w:type="dxa"/>
            </w:tcMar>
            <w:vAlign w:val="bottom"/>
          </w:tcPr>
          <w:p w14:paraId="0FA96ED1" w14:textId="77777777" w:rsidR="00410BA5" w:rsidRPr="0020339D" w:rsidRDefault="00C55C36">
            <w:pPr>
              <w:widowControl w:val="0"/>
              <w:spacing w:before="0" w:after="0" w:line="276" w:lineRule="auto"/>
              <w:jc w:val="center"/>
              <w:rPr>
                <w:rFonts w:ascii="Arial" w:eastAsia="Arial" w:hAnsi="Arial" w:cs="Arial"/>
                <w:sz w:val="20"/>
                <w:szCs w:val="20"/>
                <w:lang w:val="en-GB"/>
              </w:rPr>
            </w:pPr>
            <w:r w:rsidRPr="0020339D">
              <w:rPr>
                <w:lang w:val="en-GB"/>
              </w:rPr>
              <w:t>3</w:t>
            </w:r>
          </w:p>
        </w:tc>
        <w:tc>
          <w:tcPr>
            <w:tcW w:w="1410" w:type="dxa"/>
            <w:tcBorders>
              <w:top w:val="single" w:sz="6" w:space="0" w:color="CCCCCC"/>
              <w:left w:val="single" w:sz="6" w:space="0" w:color="CCCCCC"/>
              <w:bottom w:val="single" w:sz="6" w:space="0" w:color="000000"/>
              <w:right w:val="single" w:sz="6" w:space="0" w:color="000000"/>
            </w:tcBorders>
            <w:shd w:val="clear" w:color="auto" w:fill="D9EAD3"/>
            <w:tcMar>
              <w:top w:w="0" w:type="dxa"/>
              <w:left w:w="40" w:type="dxa"/>
              <w:bottom w:w="0" w:type="dxa"/>
              <w:right w:w="40" w:type="dxa"/>
            </w:tcMar>
            <w:vAlign w:val="bottom"/>
          </w:tcPr>
          <w:p w14:paraId="720D0238" w14:textId="77777777" w:rsidR="00410BA5" w:rsidRPr="0020339D" w:rsidRDefault="00C55C36">
            <w:pPr>
              <w:widowControl w:val="0"/>
              <w:spacing w:before="0" w:after="0" w:line="276" w:lineRule="auto"/>
              <w:jc w:val="center"/>
              <w:rPr>
                <w:rFonts w:ascii="Arial" w:eastAsia="Arial" w:hAnsi="Arial" w:cs="Arial"/>
                <w:sz w:val="20"/>
                <w:szCs w:val="20"/>
                <w:lang w:val="en-GB"/>
              </w:rPr>
            </w:pPr>
            <w:r w:rsidRPr="0020339D">
              <w:rPr>
                <w:lang w:val="en-GB"/>
              </w:rPr>
              <w:t>-10</w:t>
            </w:r>
          </w:p>
        </w:tc>
        <w:tc>
          <w:tcPr>
            <w:tcW w:w="2707" w:type="dxa"/>
            <w:tcBorders>
              <w:top w:val="single" w:sz="6" w:space="0" w:color="CCCCCC"/>
              <w:left w:val="single" w:sz="6" w:space="0" w:color="CCCCCC"/>
              <w:bottom w:val="single" w:sz="6" w:space="0" w:color="000000"/>
              <w:right w:val="single" w:sz="6" w:space="0" w:color="000000"/>
            </w:tcBorders>
            <w:shd w:val="clear" w:color="auto" w:fill="D9EAD3"/>
            <w:tcMar>
              <w:top w:w="0" w:type="dxa"/>
              <w:left w:w="40" w:type="dxa"/>
              <w:bottom w:w="0" w:type="dxa"/>
              <w:right w:w="40" w:type="dxa"/>
            </w:tcMar>
            <w:vAlign w:val="bottom"/>
          </w:tcPr>
          <w:p w14:paraId="781B0451" w14:textId="77777777" w:rsidR="00410BA5" w:rsidRPr="0020339D" w:rsidRDefault="00C55C36">
            <w:pPr>
              <w:widowControl w:val="0"/>
              <w:spacing w:before="0" w:after="0" w:line="276" w:lineRule="auto"/>
              <w:jc w:val="center"/>
              <w:rPr>
                <w:rFonts w:ascii="Arial" w:eastAsia="Arial" w:hAnsi="Arial" w:cs="Arial"/>
                <w:sz w:val="20"/>
                <w:szCs w:val="20"/>
                <w:lang w:val="en-GB"/>
              </w:rPr>
            </w:pPr>
            <w:r w:rsidRPr="0020339D">
              <w:rPr>
                <w:lang w:val="en-GB"/>
              </w:rPr>
              <w:t>0.76</w:t>
            </w:r>
          </w:p>
        </w:tc>
        <w:tc>
          <w:tcPr>
            <w:tcW w:w="2107" w:type="dxa"/>
            <w:tcBorders>
              <w:top w:val="single" w:sz="6" w:space="0" w:color="CCCCCC"/>
              <w:left w:val="single" w:sz="6" w:space="0" w:color="CCCCCC"/>
              <w:bottom w:val="single" w:sz="6" w:space="0" w:color="000000"/>
              <w:right w:val="single" w:sz="6" w:space="0" w:color="000000"/>
            </w:tcBorders>
            <w:shd w:val="clear" w:color="auto" w:fill="D9EAD3"/>
            <w:tcMar>
              <w:top w:w="0" w:type="dxa"/>
              <w:left w:w="40" w:type="dxa"/>
              <w:bottom w:w="0" w:type="dxa"/>
              <w:right w:w="40" w:type="dxa"/>
            </w:tcMar>
            <w:vAlign w:val="bottom"/>
          </w:tcPr>
          <w:p w14:paraId="3F819FDF" w14:textId="77777777" w:rsidR="00410BA5" w:rsidRPr="0020339D" w:rsidRDefault="00C55C36">
            <w:pPr>
              <w:widowControl w:val="0"/>
              <w:spacing w:before="0" w:after="0" w:line="276" w:lineRule="auto"/>
              <w:jc w:val="center"/>
              <w:rPr>
                <w:rFonts w:ascii="Arial" w:eastAsia="Arial" w:hAnsi="Arial" w:cs="Arial"/>
                <w:sz w:val="20"/>
                <w:szCs w:val="20"/>
                <w:lang w:val="en-GB"/>
              </w:rPr>
            </w:pPr>
            <w:r w:rsidRPr="0020339D">
              <w:rPr>
                <w:lang w:val="en-GB"/>
              </w:rPr>
              <w:t>-7.64</w:t>
            </w:r>
          </w:p>
        </w:tc>
        <w:tc>
          <w:tcPr>
            <w:tcW w:w="1518" w:type="dxa"/>
            <w:vMerge/>
            <w:tcBorders>
              <w:top w:val="single" w:sz="6" w:space="0" w:color="CCCCCC"/>
              <w:left w:val="single" w:sz="6" w:space="0" w:color="CCCCCC"/>
              <w:bottom w:val="single" w:sz="6" w:space="0" w:color="000000"/>
              <w:right w:val="single" w:sz="6" w:space="0" w:color="000000"/>
            </w:tcBorders>
            <w:shd w:val="clear" w:color="auto" w:fill="auto"/>
            <w:tcMar>
              <w:top w:w="100" w:type="dxa"/>
              <w:left w:w="100" w:type="dxa"/>
              <w:bottom w:w="100" w:type="dxa"/>
              <w:right w:w="100" w:type="dxa"/>
            </w:tcMar>
          </w:tcPr>
          <w:p w14:paraId="6ADEFF02" w14:textId="77777777" w:rsidR="00410BA5" w:rsidRPr="0020339D" w:rsidRDefault="00410BA5">
            <w:pPr>
              <w:widowControl w:val="0"/>
              <w:spacing w:before="0" w:after="0" w:line="276" w:lineRule="auto"/>
              <w:jc w:val="left"/>
              <w:rPr>
                <w:rFonts w:ascii="Arial" w:eastAsia="Arial" w:hAnsi="Arial" w:cs="Arial"/>
                <w:sz w:val="20"/>
                <w:szCs w:val="20"/>
                <w:lang w:val="en-GB"/>
              </w:rPr>
            </w:pPr>
          </w:p>
        </w:tc>
      </w:tr>
      <w:tr w:rsidR="00410BA5" w:rsidRPr="0020339D" w14:paraId="2F6E635D" w14:textId="77777777">
        <w:trPr>
          <w:trHeight w:val="300"/>
        </w:trPr>
        <w:tc>
          <w:tcPr>
            <w:tcW w:w="1615" w:type="dxa"/>
            <w:tcBorders>
              <w:top w:val="single" w:sz="6" w:space="0" w:color="CCCCCC"/>
              <w:left w:val="single" w:sz="6" w:space="0" w:color="000000"/>
              <w:bottom w:val="single" w:sz="6" w:space="0" w:color="000000"/>
              <w:right w:val="single" w:sz="6" w:space="0" w:color="000000"/>
            </w:tcBorders>
            <w:shd w:val="clear" w:color="auto" w:fill="D9EAD3"/>
            <w:tcMar>
              <w:top w:w="0" w:type="dxa"/>
              <w:left w:w="40" w:type="dxa"/>
              <w:bottom w:w="0" w:type="dxa"/>
              <w:right w:w="40" w:type="dxa"/>
            </w:tcMar>
            <w:vAlign w:val="bottom"/>
          </w:tcPr>
          <w:p w14:paraId="30EED9F1" w14:textId="77777777" w:rsidR="00410BA5" w:rsidRPr="0020339D" w:rsidRDefault="00C55C36">
            <w:pPr>
              <w:widowControl w:val="0"/>
              <w:spacing w:before="0" w:after="0" w:line="276" w:lineRule="auto"/>
              <w:jc w:val="center"/>
              <w:rPr>
                <w:rFonts w:ascii="Arial" w:eastAsia="Arial" w:hAnsi="Arial" w:cs="Arial"/>
                <w:sz w:val="20"/>
                <w:szCs w:val="20"/>
                <w:lang w:val="en-GB"/>
              </w:rPr>
            </w:pPr>
            <w:r w:rsidRPr="0020339D">
              <w:rPr>
                <w:lang w:val="en-GB"/>
              </w:rPr>
              <w:t>4</w:t>
            </w:r>
          </w:p>
        </w:tc>
        <w:tc>
          <w:tcPr>
            <w:tcW w:w="1410" w:type="dxa"/>
            <w:tcBorders>
              <w:top w:val="single" w:sz="6" w:space="0" w:color="CCCCCC"/>
              <w:left w:val="single" w:sz="6" w:space="0" w:color="CCCCCC"/>
              <w:bottom w:val="single" w:sz="6" w:space="0" w:color="000000"/>
              <w:right w:val="single" w:sz="6" w:space="0" w:color="000000"/>
            </w:tcBorders>
            <w:shd w:val="clear" w:color="auto" w:fill="D9EAD3"/>
            <w:tcMar>
              <w:top w:w="0" w:type="dxa"/>
              <w:left w:w="40" w:type="dxa"/>
              <w:bottom w:w="0" w:type="dxa"/>
              <w:right w:w="40" w:type="dxa"/>
            </w:tcMar>
            <w:vAlign w:val="bottom"/>
          </w:tcPr>
          <w:p w14:paraId="562BBAEE" w14:textId="77777777" w:rsidR="00410BA5" w:rsidRPr="0020339D" w:rsidRDefault="00C55C36">
            <w:pPr>
              <w:widowControl w:val="0"/>
              <w:spacing w:before="0" w:after="0" w:line="276" w:lineRule="auto"/>
              <w:jc w:val="center"/>
              <w:rPr>
                <w:rFonts w:ascii="Arial" w:eastAsia="Arial" w:hAnsi="Arial" w:cs="Arial"/>
                <w:sz w:val="20"/>
                <w:szCs w:val="20"/>
                <w:lang w:val="en-GB"/>
              </w:rPr>
            </w:pPr>
            <w:r w:rsidRPr="0020339D">
              <w:rPr>
                <w:lang w:val="en-GB"/>
              </w:rPr>
              <w:t>45</w:t>
            </w:r>
          </w:p>
        </w:tc>
        <w:tc>
          <w:tcPr>
            <w:tcW w:w="2707" w:type="dxa"/>
            <w:tcBorders>
              <w:top w:val="single" w:sz="6" w:space="0" w:color="CCCCCC"/>
              <w:left w:val="single" w:sz="6" w:space="0" w:color="CCCCCC"/>
              <w:bottom w:val="single" w:sz="6" w:space="0" w:color="000000"/>
              <w:right w:val="single" w:sz="6" w:space="0" w:color="000000"/>
            </w:tcBorders>
            <w:shd w:val="clear" w:color="auto" w:fill="D9EAD3"/>
            <w:tcMar>
              <w:top w:w="0" w:type="dxa"/>
              <w:left w:w="40" w:type="dxa"/>
              <w:bottom w:w="0" w:type="dxa"/>
              <w:right w:w="40" w:type="dxa"/>
            </w:tcMar>
            <w:vAlign w:val="bottom"/>
          </w:tcPr>
          <w:p w14:paraId="66AF2821" w14:textId="77777777" w:rsidR="00410BA5" w:rsidRPr="0020339D" w:rsidRDefault="00C55C36">
            <w:pPr>
              <w:widowControl w:val="0"/>
              <w:spacing w:before="0" w:after="0" w:line="276" w:lineRule="auto"/>
              <w:jc w:val="center"/>
              <w:rPr>
                <w:rFonts w:ascii="Arial" w:eastAsia="Arial" w:hAnsi="Arial" w:cs="Arial"/>
                <w:sz w:val="20"/>
                <w:szCs w:val="20"/>
                <w:lang w:val="en-GB"/>
              </w:rPr>
            </w:pPr>
            <w:r w:rsidRPr="0020339D">
              <w:rPr>
                <w:lang w:val="en-GB"/>
              </w:rPr>
              <w:t>0.69</w:t>
            </w:r>
          </w:p>
        </w:tc>
        <w:tc>
          <w:tcPr>
            <w:tcW w:w="2107" w:type="dxa"/>
            <w:tcBorders>
              <w:top w:val="single" w:sz="6" w:space="0" w:color="CCCCCC"/>
              <w:left w:val="single" w:sz="6" w:space="0" w:color="CCCCCC"/>
              <w:bottom w:val="single" w:sz="6" w:space="0" w:color="000000"/>
              <w:right w:val="single" w:sz="6" w:space="0" w:color="000000"/>
            </w:tcBorders>
            <w:shd w:val="clear" w:color="auto" w:fill="D9EAD3"/>
            <w:tcMar>
              <w:top w:w="0" w:type="dxa"/>
              <w:left w:w="40" w:type="dxa"/>
              <w:bottom w:w="0" w:type="dxa"/>
              <w:right w:w="40" w:type="dxa"/>
            </w:tcMar>
            <w:vAlign w:val="bottom"/>
          </w:tcPr>
          <w:p w14:paraId="68A37ADD" w14:textId="77777777" w:rsidR="00410BA5" w:rsidRPr="0020339D" w:rsidRDefault="00C55C36">
            <w:pPr>
              <w:widowControl w:val="0"/>
              <w:spacing w:before="0" w:after="0" w:line="276" w:lineRule="auto"/>
              <w:jc w:val="center"/>
              <w:rPr>
                <w:rFonts w:ascii="Arial" w:eastAsia="Arial" w:hAnsi="Arial" w:cs="Arial"/>
                <w:sz w:val="20"/>
                <w:szCs w:val="20"/>
                <w:lang w:val="en-GB"/>
              </w:rPr>
            </w:pPr>
            <w:r w:rsidRPr="0020339D">
              <w:rPr>
                <w:lang w:val="en-GB"/>
              </w:rPr>
              <w:t>31.31</w:t>
            </w:r>
          </w:p>
        </w:tc>
        <w:tc>
          <w:tcPr>
            <w:tcW w:w="1518" w:type="dxa"/>
            <w:vMerge/>
            <w:tcBorders>
              <w:top w:val="single" w:sz="6" w:space="0" w:color="CCCCCC"/>
              <w:left w:val="single" w:sz="6" w:space="0" w:color="CCCCCC"/>
              <w:bottom w:val="single" w:sz="6" w:space="0" w:color="000000"/>
              <w:right w:val="single" w:sz="6" w:space="0" w:color="000000"/>
            </w:tcBorders>
            <w:shd w:val="clear" w:color="auto" w:fill="auto"/>
            <w:tcMar>
              <w:top w:w="100" w:type="dxa"/>
              <w:left w:w="100" w:type="dxa"/>
              <w:bottom w:w="100" w:type="dxa"/>
              <w:right w:w="100" w:type="dxa"/>
            </w:tcMar>
          </w:tcPr>
          <w:p w14:paraId="62AD5A4F" w14:textId="77777777" w:rsidR="00410BA5" w:rsidRPr="0020339D" w:rsidRDefault="00410BA5">
            <w:pPr>
              <w:widowControl w:val="0"/>
              <w:spacing w:before="0" w:after="0" w:line="276" w:lineRule="auto"/>
              <w:jc w:val="left"/>
              <w:rPr>
                <w:rFonts w:ascii="Arial" w:eastAsia="Arial" w:hAnsi="Arial" w:cs="Arial"/>
                <w:sz w:val="20"/>
                <w:szCs w:val="20"/>
                <w:lang w:val="en-GB"/>
              </w:rPr>
            </w:pPr>
          </w:p>
        </w:tc>
      </w:tr>
      <w:tr w:rsidR="00410BA5" w:rsidRPr="0020339D" w14:paraId="54566A86" w14:textId="77777777">
        <w:trPr>
          <w:trHeight w:val="300"/>
        </w:trPr>
        <w:tc>
          <w:tcPr>
            <w:tcW w:w="1615" w:type="dxa"/>
            <w:tcBorders>
              <w:top w:val="single" w:sz="6" w:space="0" w:color="CCCCCC"/>
              <w:left w:val="single" w:sz="6" w:space="0" w:color="CCCCCC"/>
              <w:bottom w:val="single" w:sz="6" w:space="0" w:color="CCCCCC"/>
              <w:right w:val="single" w:sz="6" w:space="0" w:color="000000"/>
            </w:tcBorders>
            <w:shd w:val="clear" w:color="auto" w:fill="FFE599"/>
            <w:tcMar>
              <w:top w:w="0" w:type="dxa"/>
              <w:left w:w="40" w:type="dxa"/>
              <w:bottom w:w="0" w:type="dxa"/>
              <w:right w:w="40" w:type="dxa"/>
            </w:tcMar>
            <w:vAlign w:val="bottom"/>
          </w:tcPr>
          <w:p w14:paraId="38E6B862" w14:textId="77777777" w:rsidR="00410BA5" w:rsidRPr="0020339D" w:rsidRDefault="00C55C36">
            <w:pPr>
              <w:widowControl w:val="0"/>
              <w:spacing w:before="0" w:after="0" w:line="276" w:lineRule="auto"/>
              <w:jc w:val="center"/>
              <w:rPr>
                <w:rFonts w:ascii="Arial" w:eastAsia="Arial" w:hAnsi="Arial" w:cs="Arial"/>
                <w:sz w:val="20"/>
                <w:szCs w:val="20"/>
                <w:lang w:val="en-GB"/>
              </w:rPr>
            </w:pPr>
            <w:r w:rsidRPr="0020339D">
              <w:rPr>
                <w:lang w:val="en-GB"/>
              </w:rPr>
              <w:t>Formula for NPV</w:t>
            </w:r>
          </w:p>
        </w:tc>
        <w:tc>
          <w:tcPr>
            <w:tcW w:w="7742" w:type="dxa"/>
            <w:gridSpan w:val="4"/>
            <w:tcBorders>
              <w:top w:val="single" w:sz="6" w:space="0" w:color="CCCCCC"/>
              <w:left w:val="single" w:sz="6" w:space="0" w:color="CCCCCC"/>
              <w:bottom w:val="single" w:sz="6" w:space="0" w:color="000000"/>
              <w:right w:val="single" w:sz="6" w:space="0" w:color="000000"/>
            </w:tcBorders>
            <w:shd w:val="clear" w:color="auto" w:fill="FFE599"/>
            <w:tcMar>
              <w:top w:w="0" w:type="dxa"/>
              <w:left w:w="40" w:type="dxa"/>
              <w:bottom w:w="0" w:type="dxa"/>
              <w:right w:w="40" w:type="dxa"/>
            </w:tcMar>
            <w:vAlign w:val="bottom"/>
          </w:tcPr>
          <w:p w14:paraId="063C5A07" w14:textId="77777777" w:rsidR="00410BA5" w:rsidRPr="0020339D" w:rsidRDefault="00C55C36">
            <w:pPr>
              <w:widowControl w:val="0"/>
              <w:spacing w:before="0" w:after="0" w:line="276" w:lineRule="auto"/>
              <w:jc w:val="center"/>
              <w:rPr>
                <w:rFonts w:ascii="Arial" w:eastAsia="Arial" w:hAnsi="Arial" w:cs="Arial"/>
                <w:sz w:val="20"/>
                <w:szCs w:val="20"/>
                <w:lang w:val="en-GB"/>
              </w:rPr>
            </w:pPr>
            <w:r w:rsidRPr="0020339D">
              <w:rPr>
                <w:lang w:val="en-GB"/>
              </w:rPr>
              <w:t>The sum of Present Values - Initial Investment</w:t>
            </w:r>
          </w:p>
        </w:tc>
      </w:tr>
      <w:tr w:rsidR="00410BA5" w:rsidRPr="0020339D" w14:paraId="49690B29" w14:textId="77777777">
        <w:trPr>
          <w:trHeight w:val="300"/>
        </w:trPr>
        <w:tc>
          <w:tcPr>
            <w:tcW w:w="1615" w:type="dxa"/>
            <w:tcBorders>
              <w:top w:val="single" w:sz="6" w:space="0" w:color="CCCCCC"/>
              <w:left w:val="single" w:sz="6" w:space="0" w:color="000000"/>
              <w:bottom w:val="single" w:sz="6" w:space="0" w:color="000000"/>
              <w:right w:val="single" w:sz="6" w:space="0" w:color="000000"/>
            </w:tcBorders>
            <w:shd w:val="clear" w:color="auto" w:fill="C27BA0"/>
            <w:tcMar>
              <w:top w:w="0" w:type="dxa"/>
              <w:left w:w="40" w:type="dxa"/>
              <w:bottom w:w="0" w:type="dxa"/>
              <w:right w:w="40" w:type="dxa"/>
            </w:tcMar>
            <w:vAlign w:val="bottom"/>
          </w:tcPr>
          <w:p w14:paraId="1241886D" w14:textId="77777777" w:rsidR="00410BA5" w:rsidRPr="0020339D" w:rsidRDefault="00C55C36">
            <w:pPr>
              <w:widowControl w:val="0"/>
              <w:spacing w:before="0" w:after="0" w:line="276" w:lineRule="auto"/>
              <w:jc w:val="center"/>
              <w:rPr>
                <w:rFonts w:ascii="Arial" w:eastAsia="Arial" w:hAnsi="Arial" w:cs="Arial"/>
                <w:sz w:val="20"/>
                <w:szCs w:val="20"/>
                <w:lang w:val="en-GB"/>
              </w:rPr>
            </w:pPr>
            <w:r w:rsidRPr="0020339D">
              <w:rPr>
                <w:b/>
                <w:lang w:val="en-GB"/>
              </w:rPr>
              <w:lastRenderedPageBreak/>
              <w:t>Year</w:t>
            </w:r>
          </w:p>
        </w:tc>
        <w:tc>
          <w:tcPr>
            <w:tcW w:w="1410" w:type="dxa"/>
            <w:tcBorders>
              <w:top w:val="single" w:sz="6" w:space="0" w:color="CCCCCC"/>
              <w:left w:val="single" w:sz="6" w:space="0" w:color="CCCCCC"/>
              <w:bottom w:val="single" w:sz="6" w:space="0" w:color="000000"/>
              <w:right w:val="single" w:sz="6" w:space="0" w:color="000000"/>
            </w:tcBorders>
            <w:shd w:val="clear" w:color="auto" w:fill="C27BA0"/>
            <w:tcMar>
              <w:top w:w="0" w:type="dxa"/>
              <w:left w:w="40" w:type="dxa"/>
              <w:bottom w:w="0" w:type="dxa"/>
              <w:right w:w="40" w:type="dxa"/>
            </w:tcMar>
            <w:vAlign w:val="bottom"/>
          </w:tcPr>
          <w:p w14:paraId="771B66BB" w14:textId="77777777" w:rsidR="00410BA5" w:rsidRPr="0020339D" w:rsidRDefault="00C55C36">
            <w:pPr>
              <w:widowControl w:val="0"/>
              <w:spacing w:before="0" w:after="0" w:line="276" w:lineRule="auto"/>
              <w:jc w:val="center"/>
              <w:rPr>
                <w:rFonts w:ascii="Arial" w:eastAsia="Arial" w:hAnsi="Arial" w:cs="Arial"/>
                <w:sz w:val="20"/>
                <w:szCs w:val="20"/>
                <w:lang w:val="en-GB"/>
              </w:rPr>
            </w:pPr>
            <w:r w:rsidRPr="0020339D">
              <w:rPr>
                <w:b/>
                <w:lang w:val="en-GB"/>
              </w:rPr>
              <w:t>Cumulative Cash Flow for B</w:t>
            </w:r>
          </w:p>
        </w:tc>
        <w:tc>
          <w:tcPr>
            <w:tcW w:w="2707" w:type="dxa"/>
            <w:tcBorders>
              <w:top w:val="single" w:sz="6" w:space="0" w:color="CCCCCC"/>
              <w:left w:val="single" w:sz="6" w:space="0" w:color="CCCCCC"/>
              <w:bottom w:val="single" w:sz="6" w:space="0" w:color="000000"/>
              <w:right w:val="single" w:sz="6" w:space="0" w:color="000000"/>
            </w:tcBorders>
            <w:shd w:val="clear" w:color="auto" w:fill="C27BA0"/>
            <w:tcMar>
              <w:top w:w="0" w:type="dxa"/>
              <w:left w:w="40" w:type="dxa"/>
              <w:bottom w:w="0" w:type="dxa"/>
              <w:right w:w="40" w:type="dxa"/>
            </w:tcMar>
            <w:vAlign w:val="bottom"/>
          </w:tcPr>
          <w:p w14:paraId="7141096B" w14:textId="77777777" w:rsidR="00410BA5" w:rsidRPr="0020339D" w:rsidRDefault="00C55C36">
            <w:pPr>
              <w:widowControl w:val="0"/>
              <w:spacing w:before="0" w:after="0" w:line="276" w:lineRule="auto"/>
              <w:jc w:val="center"/>
              <w:rPr>
                <w:rFonts w:ascii="Arial" w:eastAsia="Arial" w:hAnsi="Arial" w:cs="Arial"/>
                <w:sz w:val="20"/>
                <w:szCs w:val="20"/>
                <w:lang w:val="en-GB"/>
              </w:rPr>
            </w:pPr>
            <w:r w:rsidRPr="0020339D">
              <w:rPr>
                <w:b/>
                <w:lang w:val="en-GB"/>
              </w:rPr>
              <w:t>Discount Factor (1+</w:t>
            </w:r>
            <w:r w:rsidR="00714ECE" w:rsidRPr="0020339D">
              <w:rPr>
                <w:b/>
                <w:lang w:val="en-GB"/>
              </w:rPr>
              <w:t>r) ^</w:t>
            </w:r>
            <w:r w:rsidRPr="0020339D">
              <w:rPr>
                <w:b/>
                <w:lang w:val="en-GB"/>
              </w:rPr>
              <w:t>t for B</w:t>
            </w:r>
          </w:p>
        </w:tc>
        <w:tc>
          <w:tcPr>
            <w:tcW w:w="2107" w:type="dxa"/>
            <w:tcBorders>
              <w:top w:val="single" w:sz="6" w:space="0" w:color="CCCCCC"/>
              <w:left w:val="single" w:sz="6" w:space="0" w:color="CCCCCC"/>
              <w:bottom w:val="single" w:sz="6" w:space="0" w:color="000000"/>
              <w:right w:val="single" w:sz="6" w:space="0" w:color="CCCCCC"/>
            </w:tcBorders>
            <w:shd w:val="clear" w:color="auto" w:fill="C27BA0"/>
            <w:tcMar>
              <w:top w:w="0" w:type="dxa"/>
              <w:left w:w="40" w:type="dxa"/>
              <w:bottom w:w="0" w:type="dxa"/>
              <w:right w:w="40" w:type="dxa"/>
            </w:tcMar>
            <w:vAlign w:val="bottom"/>
          </w:tcPr>
          <w:p w14:paraId="671346E1" w14:textId="77777777" w:rsidR="00410BA5" w:rsidRPr="0020339D" w:rsidRDefault="00C55C36">
            <w:pPr>
              <w:widowControl w:val="0"/>
              <w:spacing w:before="0" w:after="0" w:line="276" w:lineRule="auto"/>
              <w:jc w:val="center"/>
              <w:rPr>
                <w:rFonts w:ascii="Arial" w:eastAsia="Arial" w:hAnsi="Arial" w:cs="Arial"/>
                <w:sz w:val="20"/>
                <w:szCs w:val="20"/>
                <w:lang w:val="en-GB"/>
              </w:rPr>
            </w:pPr>
            <w:r w:rsidRPr="0020339D">
              <w:rPr>
                <w:b/>
                <w:sz w:val="20"/>
                <w:szCs w:val="20"/>
                <w:lang w:val="en-GB"/>
              </w:rPr>
              <w:t>Present Value (</w:t>
            </w:r>
            <w:proofErr w:type="spellStart"/>
            <w:r w:rsidRPr="0020339D">
              <w:rPr>
                <w:b/>
                <w:sz w:val="20"/>
                <w:szCs w:val="20"/>
                <w:lang w:val="en-GB"/>
              </w:rPr>
              <w:t>CF_t</w:t>
            </w:r>
            <w:proofErr w:type="spellEnd"/>
            <w:r w:rsidRPr="0020339D">
              <w:rPr>
                <w:b/>
                <w:sz w:val="20"/>
                <w:szCs w:val="20"/>
                <w:lang w:val="en-GB"/>
              </w:rPr>
              <w:t xml:space="preserve"> / (1+</w:t>
            </w:r>
            <w:r w:rsidR="00714ECE" w:rsidRPr="0020339D">
              <w:rPr>
                <w:b/>
                <w:sz w:val="20"/>
                <w:szCs w:val="20"/>
                <w:lang w:val="en-GB"/>
              </w:rPr>
              <w:t>r) ^</w:t>
            </w:r>
            <w:r w:rsidRPr="0020339D">
              <w:rPr>
                <w:b/>
                <w:sz w:val="20"/>
                <w:szCs w:val="20"/>
                <w:lang w:val="en-GB"/>
              </w:rPr>
              <w:t>t) for B</w:t>
            </w:r>
          </w:p>
        </w:tc>
        <w:tc>
          <w:tcPr>
            <w:tcW w:w="1518" w:type="dxa"/>
            <w:tcBorders>
              <w:top w:val="single" w:sz="6" w:space="0" w:color="CCCCCC"/>
              <w:left w:val="single" w:sz="6" w:space="0" w:color="CCCCCC"/>
              <w:bottom w:val="single" w:sz="6" w:space="0" w:color="000000"/>
              <w:right w:val="single" w:sz="6" w:space="0" w:color="CCCCCC"/>
            </w:tcBorders>
            <w:shd w:val="clear" w:color="auto" w:fill="C27BA0"/>
            <w:tcMar>
              <w:top w:w="0" w:type="dxa"/>
              <w:left w:w="40" w:type="dxa"/>
              <w:bottom w:w="0" w:type="dxa"/>
              <w:right w:w="40" w:type="dxa"/>
            </w:tcMar>
            <w:vAlign w:val="bottom"/>
          </w:tcPr>
          <w:p w14:paraId="69930D10" w14:textId="77777777" w:rsidR="00410BA5" w:rsidRPr="0020339D" w:rsidRDefault="00C55C36">
            <w:pPr>
              <w:widowControl w:val="0"/>
              <w:spacing w:before="0" w:after="0" w:line="276" w:lineRule="auto"/>
              <w:jc w:val="center"/>
              <w:rPr>
                <w:rFonts w:ascii="Arial" w:eastAsia="Arial" w:hAnsi="Arial" w:cs="Arial"/>
                <w:sz w:val="20"/>
                <w:szCs w:val="20"/>
                <w:lang w:val="en-GB"/>
              </w:rPr>
            </w:pPr>
            <w:r w:rsidRPr="0020339D">
              <w:rPr>
                <w:b/>
                <w:sz w:val="20"/>
                <w:szCs w:val="20"/>
                <w:lang w:val="en-GB"/>
              </w:rPr>
              <w:t>NPV for B</w:t>
            </w:r>
          </w:p>
        </w:tc>
      </w:tr>
      <w:tr w:rsidR="00410BA5" w:rsidRPr="0020339D" w14:paraId="24E366B5" w14:textId="77777777">
        <w:trPr>
          <w:trHeight w:val="300"/>
        </w:trPr>
        <w:tc>
          <w:tcPr>
            <w:tcW w:w="1615" w:type="dxa"/>
            <w:tcBorders>
              <w:top w:val="single" w:sz="6" w:space="0" w:color="CCCCCC"/>
              <w:left w:val="single" w:sz="6" w:space="0" w:color="000000"/>
              <w:bottom w:val="single" w:sz="6" w:space="0" w:color="000000"/>
              <w:right w:val="single" w:sz="6" w:space="0" w:color="000000"/>
            </w:tcBorders>
            <w:shd w:val="clear" w:color="auto" w:fill="EAD1DC"/>
            <w:tcMar>
              <w:top w:w="0" w:type="dxa"/>
              <w:left w:w="40" w:type="dxa"/>
              <w:bottom w:w="0" w:type="dxa"/>
              <w:right w:w="40" w:type="dxa"/>
            </w:tcMar>
            <w:vAlign w:val="bottom"/>
          </w:tcPr>
          <w:p w14:paraId="5DDDF065" w14:textId="77777777" w:rsidR="00410BA5" w:rsidRPr="0020339D" w:rsidRDefault="00C55C36">
            <w:pPr>
              <w:widowControl w:val="0"/>
              <w:spacing w:before="0" w:after="0" w:line="276" w:lineRule="auto"/>
              <w:jc w:val="center"/>
              <w:rPr>
                <w:rFonts w:ascii="Arial" w:eastAsia="Arial" w:hAnsi="Arial" w:cs="Arial"/>
                <w:sz w:val="20"/>
                <w:szCs w:val="20"/>
                <w:lang w:val="en-GB"/>
              </w:rPr>
            </w:pPr>
            <w:r w:rsidRPr="0020339D">
              <w:rPr>
                <w:lang w:val="en-GB"/>
              </w:rPr>
              <w:t>0</w:t>
            </w:r>
          </w:p>
        </w:tc>
        <w:tc>
          <w:tcPr>
            <w:tcW w:w="1410" w:type="dxa"/>
            <w:tcBorders>
              <w:top w:val="single" w:sz="6" w:space="0" w:color="CCCCCC"/>
              <w:left w:val="single" w:sz="6" w:space="0" w:color="CCCCCC"/>
              <w:bottom w:val="single" w:sz="6" w:space="0" w:color="000000"/>
              <w:right w:val="single" w:sz="6" w:space="0" w:color="000000"/>
            </w:tcBorders>
            <w:shd w:val="clear" w:color="auto" w:fill="EAD1DC"/>
            <w:tcMar>
              <w:top w:w="0" w:type="dxa"/>
              <w:left w:w="40" w:type="dxa"/>
              <w:bottom w:w="0" w:type="dxa"/>
              <w:right w:w="40" w:type="dxa"/>
            </w:tcMar>
            <w:vAlign w:val="bottom"/>
          </w:tcPr>
          <w:p w14:paraId="265C3DFE" w14:textId="77777777" w:rsidR="00410BA5" w:rsidRPr="0020339D" w:rsidRDefault="00C55C36">
            <w:pPr>
              <w:widowControl w:val="0"/>
              <w:spacing w:before="0" w:after="0" w:line="276" w:lineRule="auto"/>
              <w:jc w:val="center"/>
              <w:rPr>
                <w:rFonts w:ascii="Arial" w:eastAsia="Arial" w:hAnsi="Arial" w:cs="Arial"/>
                <w:sz w:val="20"/>
                <w:szCs w:val="20"/>
                <w:lang w:val="en-GB"/>
              </w:rPr>
            </w:pPr>
            <w:r w:rsidRPr="0020339D">
              <w:rPr>
                <w:lang w:val="en-GB"/>
              </w:rPr>
              <w:t>-75</w:t>
            </w:r>
          </w:p>
        </w:tc>
        <w:tc>
          <w:tcPr>
            <w:tcW w:w="2707" w:type="dxa"/>
            <w:tcBorders>
              <w:top w:val="single" w:sz="6" w:space="0" w:color="CCCCCC"/>
              <w:left w:val="single" w:sz="6" w:space="0" w:color="CCCCCC"/>
              <w:bottom w:val="single" w:sz="6" w:space="0" w:color="000000"/>
              <w:right w:val="single" w:sz="6" w:space="0" w:color="000000"/>
            </w:tcBorders>
            <w:shd w:val="clear" w:color="auto" w:fill="EAD1DC"/>
            <w:tcMar>
              <w:top w:w="0" w:type="dxa"/>
              <w:left w:w="40" w:type="dxa"/>
              <w:bottom w:w="0" w:type="dxa"/>
              <w:right w:w="40" w:type="dxa"/>
            </w:tcMar>
            <w:vAlign w:val="bottom"/>
          </w:tcPr>
          <w:p w14:paraId="3BC2F0F2" w14:textId="77777777" w:rsidR="00410BA5" w:rsidRPr="0020339D" w:rsidRDefault="00C55C36">
            <w:pPr>
              <w:widowControl w:val="0"/>
              <w:spacing w:before="0" w:after="0" w:line="276" w:lineRule="auto"/>
              <w:jc w:val="center"/>
              <w:rPr>
                <w:rFonts w:ascii="Arial" w:eastAsia="Arial" w:hAnsi="Arial" w:cs="Arial"/>
                <w:sz w:val="20"/>
                <w:szCs w:val="20"/>
                <w:lang w:val="en-GB"/>
              </w:rPr>
            </w:pPr>
            <w:r w:rsidRPr="0020339D">
              <w:rPr>
                <w:sz w:val="20"/>
                <w:szCs w:val="20"/>
                <w:lang w:val="en-GB"/>
              </w:rPr>
              <w:t>1</w:t>
            </w:r>
          </w:p>
        </w:tc>
        <w:tc>
          <w:tcPr>
            <w:tcW w:w="2107" w:type="dxa"/>
            <w:tcBorders>
              <w:top w:val="single" w:sz="6" w:space="0" w:color="CCCCCC"/>
              <w:left w:val="single" w:sz="6" w:space="0" w:color="CCCCCC"/>
              <w:bottom w:val="single" w:sz="6" w:space="0" w:color="000000"/>
              <w:right w:val="single" w:sz="6" w:space="0" w:color="000000"/>
            </w:tcBorders>
            <w:shd w:val="clear" w:color="auto" w:fill="EAD1DC"/>
            <w:tcMar>
              <w:top w:w="0" w:type="dxa"/>
              <w:left w:w="40" w:type="dxa"/>
              <w:bottom w:w="0" w:type="dxa"/>
              <w:right w:w="40" w:type="dxa"/>
            </w:tcMar>
            <w:vAlign w:val="bottom"/>
          </w:tcPr>
          <w:p w14:paraId="40A24C2E" w14:textId="77777777" w:rsidR="00410BA5" w:rsidRPr="0020339D" w:rsidRDefault="00C55C36">
            <w:pPr>
              <w:widowControl w:val="0"/>
              <w:spacing w:before="0" w:after="0" w:line="276" w:lineRule="auto"/>
              <w:jc w:val="center"/>
              <w:rPr>
                <w:rFonts w:ascii="Arial" w:eastAsia="Arial" w:hAnsi="Arial" w:cs="Arial"/>
                <w:sz w:val="20"/>
                <w:szCs w:val="20"/>
                <w:lang w:val="en-GB"/>
              </w:rPr>
            </w:pPr>
            <w:r w:rsidRPr="0020339D">
              <w:rPr>
                <w:lang w:val="en-GB"/>
              </w:rPr>
              <w:t>-75</w:t>
            </w:r>
          </w:p>
        </w:tc>
        <w:tc>
          <w:tcPr>
            <w:tcW w:w="1518" w:type="dxa"/>
            <w:vMerge w:val="restart"/>
            <w:tcBorders>
              <w:top w:val="single" w:sz="6" w:space="0" w:color="CCCCCC"/>
              <w:left w:val="single" w:sz="6" w:space="0" w:color="CCCCCC"/>
              <w:bottom w:val="single" w:sz="6" w:space="0" w:color="000000"/>
              <w:right w:val="single" w:sz="6" w:space="0" w:color="000000"/>
            </w:tcBorders>
            <w:shd w:val="clear" w:color="auto" w:fill="EAD1DC"/>
            <w:tcMar>
              <w:top w:w="0" w:type="dxa"/>
              <w:left w:w="40" w:type="dxa"/>
              <w:bottom w:w="0" w:type="dxa"/>
              <w:right w:w="40" w:type="dxa"/>
            </w:tcMar>
            <w:vAlign w:val="bottom"/>
          </w:tcPr>
          <w:p w14:paraId="2D515981" w14:textId="77777777" w:rsidR="00410BA5" w:rsidRPr="0020339D" w:rsidRDefault="00C55C36">
            <w:pPr>
              <w:widowControl w:val="0"/>
              <w:spacing w:before="0" w:after="0" w:line="276" w:lineRule="auto"/>
              <w:jc w:val="center"/>
              <w:rPr>
                <w:b/>
                <w:sz w:val="20"/>
                <w:szCs w:val="20"/>
                <w:lang w:val="en-GB"/>
              </w:rPr>
            </w:pPr>
            <w:r w:rsidRPr="0020339D">
              <w:rPr>
                <w:b/>
                <w:sz w:val="20"/>
                <w:szCs w:val="20"/>
                <w:lang w:val="en-GB"/>
              </w:rPr>
              <w:t>9.68</w:t>
            </w:r>
          </w:p>
        </w:tc>
      </w:tr>
      <w:tr w:rsidR="00410BA5" w:rsidRPr="0020339D" w14:paraId="6D32A91F" w14:textId="77777777">
        <w:trPr>
          <w:trHeight w:val="300"/>
        </w:trPr>
        <w:tc>
          <w:tcPr>
            <w:tcW w:w="1615" w:type="dxa"/>
            <w:tcBorders>
              <w:top w:val="single" w:sz="6" w:space="0" w:color="CCCCCC"/>
              <w:left w:val="single" w:sz="6" w:space="0" w:color="000000"/>
              <w:bottom w:val="single" w:sz="6" w:space="0" w:color="000000"/>
              <w:right w:val="single" w:sz="6" w:space="0" w:color="000000"/>
            </w:tcBorders>
            <w:shd w:val="clear" w:color="auto" w:fill="EAD1DC"/>
            <w:tcMar>
              <w:top w:w="0" w:type="dxa"/>
              <w:left w:w="40" w:type="dxa"/>
              <w:bottom w:w="0" w:type="dxa"/>
              <w:right w:w="40" w:type="dxa"/>
            </w:tcMar>
            <w:vAlign w:val="bottom"/>
          </w:tcPr>
          <w:p w14:paraId="42E7F41D" w14:textId="77777777" w:rsidR="00410BA5" w:rsidRPr="0020339D" w:rsidRDefault="00C55C36">
            <w:pPr>
              <w:widowControl w:val="0"/>
              <w:spacing w:before="0" w:after="0" w:line="276" w:lineRule="auto"/>
              <w:jc w:val="center"/>
              <w:rPr>
                <w:rFonts w:ascii="Arial" w:eastAsia="Arial" w:hAnsi="Arial" w:cs="Arial"/>
                <w:sz w:val="20"/>
                <w:szCs w:val="20"/>
                <w:lang w:val="en-GB"/>
              </w:rPr>
            </w:pPr>
            <w:r w:rsidRPr="0020339D">
              <w:rPr>
                <w:lang w:val="en-GB"/>
              </w:rPr>
              <w:t>1</w:t>
            </w:r>
          </w:p>
        </w:tc>
        <w:tc>
          <w:tcPr>
            <w:tcW w:w="1410" w:type="dxa"/>
            <w:tcBorders>
              <w:top w:val="single" w:sz="6" w:space="0" w:color="CCCCCC"/>
              <w:left w:val="single" w:sz="6" w:space="0" w:color="CCCCCC"/>
              <w:bottom w:val="single" w:sz="6" w:space="0" w:color="000000"/>
              <w:right w:val="single" w:sz="6" w:space="0" w:color="000000"/>
            </w:tcBorders>
            <w:shd w:val="clear" w:color="auto" w:fill="EAD1DC"/>
            <w:tcMar>
              <w:top w:w="0" w:type="dxa"/>
              <w:left w:w="40" w:type="dxa"/>
              <w:bottom w:w="0" w:type="dxa"/>
              <w:right w:w="40" w:type="dxa"/>
            </w:tcMar>
            <w:vAlign w:val="bottom"/>
          </w:tcPr>
          <w:p w14:paraId="578CC584" w14:textId="77777777" w:rsidR="00410BA5" w:rsidRPr="0020339D" w:rsidRDefault="00C55C36">
            <w:pPr>
              <w:widowControl w:val="0"/>
              <w:spacing w:before="0" w:after="0" w:line="276" w:lineRule="auto"/>
              <w:jc w:val="center"/>
              <w:rPr>
                <w:rFonts w:ascii="Arial" w:eastAsia="Arial" w:hAnsi="Arial" w:cs="Arial"/>
                <w:sz w:val="20"/>
                <w:szCs w:val="20"/>
                <w:lang w:val="en-GB"/>
              </w:rPr>
            </w:pPr>
            <w:r w:rsidRPr="0020339D">
              <w:rPr>
                <w:lang w:val="en-GB"/>
              </w:rPr>
              <w:t>-25</w:t>
            </w:r>
          </w:p>
        </w:tc>
        <w:tc>
          <w:tcPr>
            <w:tcW w:w="2707" w:type="dxa"/>
            <w:tcBorders>
              <w:top w:val="single" w:sz="6" w:space="0" w:color="CCCCCC"/>
              <w:left w:val="single" w:sz="6" w:space="0" w:color="CCCCCC"/>
              <w:bottom w:val="single" w:sz="6" w:space="0" w:color="000000"/>
              <w:right w:val="single" w:sz="6" w:space="0" w:color="000000"/>
            </w:tcBorders>
            <w:shd w:val="clear" w:color="auto" w:fill="EAD1DC"/>
            <w:tcMar>
              <w:top w:w="0" w:type="dxa"/>
              <w:left w:w="40" w:type="dxa"/>
              <w:bottom w:w="0" w:type="dxa"/>
              <w:right w:w="40" w:type="dxa"/>
            </w:tcMar>
            <w:vAlign w:val="bottom"/>
          </w:tcPr>
          <w:p w14:paraId="4E822FA5" w14:textId="77777777" w:rsidR="00410BA5" w:rsidRPr="0020339D" w:rsidRDefault="00C55C36">
            <w:pPr>
              <w:widowControl w:val="0"/>
              <w:spacing w:before="0" w:after="0" w:line="276" w:lineRule="auto"/>
              <w:jc w:val="center"/>
              <w:rPr>
                <w:rFonts w:ascii="Arial" w:eastAsia="Arial" w:hAnsi="Arial" w:cs="Arial"/>
                <w:sz w:val="20"/>
                <w:szCs w:val="20"/>
                <w:lang w:val="en-GB"/>
              </w:rPr>
            </w:pPr>
            <w:r w:rsidRPr="0020339D">
              <w:rPr>
                <w:sz w:val="20"/>
                <w:szCs w:val="20"/>
                <w:lang w:val="en-GB"/>
              </w:rPr>
              <w:t>0.91</w:t>
            </w:r>
          </w:p>
        </w:tc>
        <w:tc>
          <w:tcPr>
            <w:tcW w:w="2107" w:type="dxa"/>
            <w:tcBorders>
              <w:top w:val="single" w:sz="6" w:space="0" w:color="CCCCCC"/>
              <w:left w:val="single" w:sz="6" w:space="0" w:color="CCCCCC"/>
              <w:bottom w:val="single" w:sz="6" w:space="0" w:color="000000"/>
              <w:right w:val="single" w:sz="6" w:space="0" w:color="000000"/>
            </w:tcBorders>
            <w:shd w:val="clear" w:color="auto" w:fill="EAD1DC"/>
            <w:tcMar>
              <w:top w:w="0" w:type="dxa"/>
              <w:left w:w="40" w:type="dxa"/>
              <w:bottom w:w="0" w:type="dxa"/>
              <w:right w:w="40" w:type="dxa"/>
            </w:tcMar>
            <w:vAlign w:val="bottom"/>
          </w:tcPr>
          <w:p w14:paraId="736AACD9" w14:textId="77777777" w:rsidR="00410BA5" w:rsidRPr="0020339D" w:rsidRDefault="00C55C36">
            <w:pPr>
              <w:widowControl w:val="0"/>
              <w:spacing w:before="0" w:after="0" w:line="276" w:lineRule="auto"/>
              <w:jc w:val="center"/>
              <w:rPr>
                <w:rFonts w:ascii="Arial" w:eastAsia="Arial" w:hAnsi="Arial" w:cs="Arial"/>
                <w:sz w:val="20"/>
                <w:szCs w:val="20"/>
                <w:lang w:val="en-GB"/>
              </w:rPr>
            </w:pPr>
            <w:r w:rsidRPr="0020339D">
              <w:rPr>
                <w:lang w:val="en-GB"/>
              </w:rPr>
              <w:t>-22</w:t>
            </w:r>
          </w:p>
        </w:tc>
        <w:tc>
          <w:tcPr>
            <w:tcW w:w="1518" w:type="dxa"/>
            <w:vMerge/>
            <w:tcBorders>
              <w:top w:val="single" w:sz="6" w:space="0" w:color="CCCCCC"/>
              <w:left w:val="single" w:sz="6" w:space="0" w:color="CCCCCC"/>
              <w:bottom w:val="single" w:sz="6" w:space="0" w:color="000000"/>
              <w:right w:val="single" w:sz="6" w:space="0" w:color="000000"/>
            </w:tcBorders>
            <w:shd w:val="clear" w:color="auto" w:fill="auto"/>
            <w:tcMar>
              <w:top w:w="100" w:type="dxa"/>
              <w:left w:w="100" w:type="dxa"/>
              <w:bottom w:w="100" w:type="dxa"/>
              <w:right w:w="100" w:type="dxa"/>
            </w:tcMar>
          </w:tcPr>
          <w:p w14:paraId="5E75EDDA" w14:textId="77777777" w:rsidR="00410BA5" w:rsidRPr="0020339D" w:rsidRDefault="00410BA5">
            <w:pPr>
              <w:widowControl w:val="0"/>
              <w:spacing w:before="0" w:after="0" w:line="276" w:lineRule="auto"/>
              <w:jc w:val="left"/>
              <w:rPr>
                <w:rFonts w:ascii="Arial" w:eastAsia="Arial" w:hAnsi="Arial" w:cs="Arial"/>
                <w:sz w:val="20"/>
                <w:szCs w:val="20"/>
                <w:lang w:val="en-GB"/>
              </w:rPr>
            </w:pPr>
          </w:p>
        </w:tc>
      </w:tr>
      <w:tr w:rsidR="00410BA5" w:rsidRPr="0020339D" w14:paraId="72198CB8" w14:textId="77777777">
        <w:trPr>
          <w:trHeight w:val="300"/>
        </w:trPr>
        <w:tc>
          <w:tcPr>
            <w:tcW w:w="1615" w:type="dxa"/>
            <w:tcBorders>
              <w:top w:val="single" w:sz="6" w:space="0" w:color="CCCCCC"/>
              <w:left w:val="single" w:sz="6" w:space="0" w:color="000000"/>
              <w:bottom w:val="single" w:sz="6" w:space="0" w:color="000000"/>
              <w:right w:val="single" w:sz="6" w:space="0" w:color="000000"/>
            </w:tcBorders>
            <w:shd w:val="clear" w:color="auto" w:fill="EAD1DC"/>
            <w:tcMar>
              <w:top w:w="0" w:type="dxa"/>
              <w:left w:w="40" w:type="dxa"/>
              <w:bottom w:w="0" w:type="dxa"/>
              <w:right w:w="40" w:type="dxa"/>
            </w:tcMar>
            <w:vAlign w:val="bottom"/>
          </w:tcPr>
          <w:p w14:paraId="4B8EFDCD" w14:textId="77777777" w:rsidR="00410BA5" w:rsidRPr="0020339D" w:rsidRDefault="00C55C36">
            <w:pPr>
              <w:widowControl w:val="0"/>
              <w:spacing w:before="0" w:after="0" w:line="276" w:lineRule="auto"/>
              <w:jc w:val="center"/>
              <w:rPr>
                <w:rFonts w:ascii="Arial" w:eastAsia="Arial" w:hAnsi="Arial" w:cs="Arial"/>
                <w:sz w:val="20"/>
                <w:szCs w:val="20"/>
                <w:lang w:val="en-GB"/>
              </w:rPr>
            </w:pPr>
            <w:r w:rsidRPr="0020339D">
              <w:rPr>
                <w:lang w:val="en-GB"/>
              </w:rPr>
              <w:t>2</w:t>
            </w:r>
          </w:p>
        </w:tc>
        <w:tc>
          <w:tcPr>
            <w:tcW w:w="1410" w:type="dxa"/>
            <w:tcBorders>
              <w:top w:val="single" w:sz="6" w:space="0" w:color="CCCCCC"/>
              <w:left w:val="single" w:sz="6" w:space="0" w:color="CCCCCC"/>
              <w:bottom w:val="single" w:sz="6" w:space="0" w:color="000000"/>
              <w:right w:val="single" w:sz="6" w:space="0" w:color="000000"/>
            </w:tcBorders>
            <w:shd w:val="clear" w:color="auto" w:fill="EAD1DC"/>
            <w:tcMar>
              <w:top w:w="0" w:type="dxa"/>
              <w:left w:w="40" w:type="dxa"/>
              <w:bottom w:w="0" w:type="dxa"/>
              <w:right w:w="40" w:type="dxa"/>
            </w:tcMar>
            <w:vAlign w:val="bottom"/>
          </w:tcPr>
          <w:p w14:paraId="47AB7EE8" w14:textId="77777777" w:rsidR="00410BA5" w:rsidRPr="0020339D" w:rsidRDefault="00C55C36">
            <w:pPr>
              <w:widowControl w:val="0"/>
              <w:spacing w:before="0" w:after="0" w:line="276" w:lineRule="auto"/>
              <w:jc w:val="center"/>
              <w:rPr>
                <w:rFonts w:ascii="Arial" w:eastAsia="Arial" w:hAnsi="Arial" w:cs="Arial"/>
                <w:sz w:val="20"/>
                <w:szCs w:val="20"/>
                <w:lang w:val="en-GB"/>
              </w:rPr>
            </w:pPr>
            <w:r w:rsidRPr="0020339D">
              <w:rPr>
                <w:lang w:val="en-GB"/>
              </w:rPr>
              <w:t>-5</w:t>
            </w:r>
          </w:p>
        </w:tc>
        <w:tc>
          <w:tcPr>
            <w:tcW w:w="2707" w:type="dxa"/>
            <w:tcBorders>
              <w:top w:val="single" w:sz="6" w:space="0" w:color="CCCCCC"/>
              <w:left w:val="single" w:sz="6" w:space="0" w:color="CCCCCC"/>
              <w:bottom w:val="single" w:sz="6" w:space="0" w:color="000000"/>
              <w:right w:val="single" w:sz="6" w:space="0" w:color="000000"/>
            </w:tcBorders>
            <w:shd w:val="clear" w:color="auto" w:fill="EAD1DC"/>
            <w:tcMar>
              <w:top w:w="0" w:type="dxa"/>
              <w:left w:w="40" w:type="dxa"/>
              <w:bottom w:w="0" w:type="dxa"/>
              <w:right w:w="40" w:type="dxa"/>
            </w:tcMar>
            <w:vAlign w:val="bottom"/>
          </w:tcPr>
          <w:p w14:paraId="19307788" w14:textId="77777777" w:rsidR="00410BA5" w:rsidRPr="0020339D" w:rsidRDefault="00C55C36">
            <w:pPr>
              <w:widowControl w:val="0"/>
              <w:spacing w:before="0" w:after="0" w:line="276" w:lineRule="auto"/>
              <w:jc w:val="center"/>
              <w:rPr>
                <w:rFonts w:ascii="Arial" w:eastAsia="Arial" w:hAnsi="Arial" w:cs="Arial"/>
                <w:sz w:val="20"/>
                <w:szCs w:val="20"/>
                <w:lang w:val="en-GB"/>
              </w:rPr>
            </w:pPr>
            <w:r w:rsidRPr="0020339D">
              <w:rPr>
                <w:lang w:val="en-GB"/>
              </w:rPr>
              <w:t>0.83</w:t>
            </w:r>
          </w:p>
        </w:tc>
        <w:tc>
          <w:tcPr>
            <w:tcW w:w="2107" w:type="dxa"/>
            <w:tcBorders>
              <w:top w:val="single" w:sz="6" w:space="0" w:color="CCCCCC"/>
              <w:left w:val="single" w:sz="6" w:space="0" w:color="CCCCCC"/>
              <w:bottom w:val="single" w:sz="6" w:space="0" w:color="000000"/>
              <w:right w:val="single" w:sz="6" w:space="0" w:color="000000"/>
            </w:tcBorders>
            <w:shd w:val="clear" w:color="auto" w:fill="EAD1DC"/>
            <w:tcMar>
              <w:top w:w="0" w:type="dxa"/>
              <w:left w:w="40" w:type="dxa"/>
              <w:bottom w:w="0" w:type="dxa"/>
              <w:right w:w="40" w:type="dxa"/>
            </w:tcMar>
            <w:vAlign w:val="bottom"/>
          </w:tcPr>
          <w:p w14:paraId="7366496F" w14:textId="77777777" w:rsidR="00410BA5" w:rsidRPr="0020339D" w:rsidRDefault="00C55C36">
            <w:pPr>
              <w:widowControl w:val="0"/>
              <w:spacing w:before="0" w:after="0" w:line="276" w:lineRule="auto"/>
              <w:jc w:val="center"/>
              <w:rPr>
                <w:rFonts w:ascii="Arial" w:eastAsia="Arial" w:hAnsi="Arial" w:cs="Arial"/>
                <w:sz w:val="20"/>
                <w:szCs w:val="20"/>
                <w:lang w:val="en-GB"/>
              </w:rPr>
            </w:pPr>
            <w:r w:rsidRPr="0020339D">
              <w:rPr>
                <w:lang w:val="en-GB"/>
              </w:rPr>
              <w:t>-4.18</w:t>
            </w:r>
          </w:p>
        </w:tc>
        <w:tc>
          <w:tcPr>
            <w:tcW w:w="1518" w:type="dxa"/>
            <w:vMerge/>
            <w:tcBorders>
              <w:top w:val="single" w:sz="6" w:space="0" w:color="CCCCCC"/>
              <w:left w:val="single" w:sz="6" w:space="0" w:color="CCCCCC"/>
              <w:bottom w:val="single" w:sz="6" w:space="0" w:color="000000"/>
              <w:right w:val="single" w:sz="6" w:space="0" w:color="000000"/>
            </w:tcBorders>
            <w:shd w:val="clear" w:color="auto" w:fill="auto"/>
            <w:tcMar>
              <w:top w:w="100" w:type="dxa"/>
              <w:left w:w="100" w:type="dxa"/>
              <w:bottom w:w="100" w:type="dxa"/>
              <w:right w:w="100" w:type="dxa"/>
            </w:tcMar>
          </w:tcPr>
          <w:p w14:paraId="361C2DE5" w14:textId="77777777" w:rsidR="00410BA5" w:rsidRPr="0020339D" w:rsidRDefault="00410BA5">
            <w:pPr>
              <w:widowControl w:val="0"/>
              <w:spacing w:before="0" w:after="0" w:line="276" w:lineRule="auto"/>
              <w:jc w:val="left"/>
              <w:rPr>
                <w:rFonts w:ascii="Arial" w:eastAsia="Arial" w:hAnsi="Arial" w:cs="Arial"/>
                <w:sz w:val="20"/>
                <w:szCs w:val="20"/>
                <w:lang w:val="en-GB"/>
              </w:rPr>
            </w:pPr>
          </w:p>
        </w:tc>
      </w:tr>
      <w:tr w:rsidR="00410BA5" w:rsidRPr="0020339D" w14:paraId="56682DAE" w14:textId="77777777">
        <w:trPr>
          <w:trHeight w:val="300"/>
        </w:trPr>
        <w:tc>
          <w:tcPr>
            <w:tcW w:w="1615" w:type="dxa"/>
            <w:tcBorders>
              <w:top w:val="single" w:sz="6" w:space="0" w:color="CCCCCC"/>
              <w:left w:val="single" w:sz="6" w:space="0" w:color="000000"/>
              <w:bottom w:val="single" w:sz="6" w:space="0" w:color="000000"/>
              <w:right w:val="single" w:sz="6" w:space="0" w:color="000000"/>
            </w:tcBorders>
            <w:shd w:val="clear" w:color="auto" w:fill="EAD1DC"/>
            <w:tcMar>
              <w:top w:w="0" w:type="dxa"/>
              <w:left w:w="40" w:type="dxa"/>
              <w:bottom w:w="0" w:type="dxa"/>
              <w:right w:w="40" w:type="dxa"/>
            </w:tcMar>
            <w:vAlign w:val="bottom"/>
          </w:tcPr>
          <w:p w14:paraId="59386993" w14:textId="77777777" w:rsidR="00410BA5" w:rsidRPr="0020339D" w:rsidRDefault="00C55C36">
            <w:pPr>
              <w:widowControl w:val="0"/>
              <w:spacing w:before="0" w:after="0" w:line="276" w:lineRule="auto"/>
              <w:jc w:val="center"/>
              <w:rPr>
                <w:rFonts w:ascii="Arial" w:eastAsia="Arial" w:hAnsi="Arial" w:cs="Arial"/>
                <w:sz w:val="20"/>
                <w:szCs w:val="20"/>
                <w:lang w:val="en-GB"/>
              </w:rPr>
            </w:pPr>
            <w:r w:rsidRPr="0020339D">
              <w:rPr>
                <w:lang w:val="en-GB"/>
              </w:rPr>
              <w:t>3</w:t>
            </w:r>
          </w:p>
        </w:tc>
        <w:tc>
          <w:tcPr>
            <w:tcW w:w="1410" w:type="dxa"/>
            <w:tcBorders>
              <w:top w:val="single" w:sz="6" w:space="0" w:color="CCCCCC"/>
              <w:left w:val="single" w:sz="6" w:space="0" w:color="CCCCCC"/>
              <w:bottom w:val="single" w:sz="6" w:space="0" w:color="000000"/>
              <w:right w:val="single" w:sz="6" w:space="0" w:color="000000"/>
            </w:tcBorders>
            <w:shd w:val="clear" w:color="auto" w:fill="EAD1DC"/>
            <w:tcMar>
              <w:top w:w="0" w:type="dxa"/>
              <w:left w:w="40" w:type="dxa"/>
              <w:bottom w:w="0" w:type="dxa"/>
              <w:right w:w="40" w:type="dxa"/>
            </w:tcMar>
            <w:vAlign w:val="bottom"/>
          </w:tcPr>
          <w:p w14:paraId="64371A9F" w14:textId="77777777" w:rsidR="00410BA5" w:rsidRPr="0020339D" w:rsidRDefault="00C55C36">
            <w:pPr>
              <w:widowControl w:val="0"/>
              <w:spacing w:before="0" w:after="0" w:line="276" w:lineRule="auto"/>
              <w:jc w:val="center"/>
              <w:rPr>
                <w:rFonts w:ascii="Arial" w:eastAsia="Arial" w:hAnsi="Arial" w:cs="Arial"/>
                <w:sz w:val="20"/>
                <w:szCs w:val="20"/>
                <w:lang w:val="en-GB"/>
              </w:rPr>
            </w:pPr>
            <w:r w:rsidRPr="0020339D">
              <w:rPr>
                <w:lang w:val="en-GB"/>
              </w:rPr>
              <w:t>15</w:t>
            </w:r>
          </w:p>
        </w:tc>
        <w:tc>
          <w:tcPr>
            <w:tcW w:w="2707" w:type="dxa"/>
            <w:tcBorders>
              <w:top w:val="single" w:sz="6" w:space="0" w:color="CCCCCC"/>
              <w:left w:val="single" w:sz="6" w:space="0" w:color="CCCCCC"/>
              <w:bottom w:val="single" w:sz="6" w:space="0" w:color="000000"/>
              <w:right w:val="single" w:sz="6" w:space="0" w:color="000000"/>
            </w:tcBorders>
            <w:shd w:val="clear" w:color="auto" w:fill="EAD1DC"/>
            <w:tcMar>
              <w:top w:w="0" w:type="dxa"/>
              <w:left w:w="40" w:type="dxa"/>
              <w:bottom w:w="0" w:type="dxa"/>
              <w:right w:w="40" w:type="dxa"/>
            </w:tcMar>
            <w:vAlign w:val="bottom"/>
          </w:tcPr>
          <w:p w14:paraId="31052705" w14:textId="77777777" w:rsidR="00410BA5" w:rsidRPr="0020339D" w:rsidRDefault="00C55C36">
            <w:pPr>
              <w:widowControl w:val="0"/>
              <w:spacing w:before="0" w:after="0" w:line="276" w:lineRule="auto"/>
              <w:jc w:val="center"/>
              <w:rPr>
                <w:rFonts w:ascii="Arial" w:eastAsia="Arial" w:hAnsi="Arial" w:cs="Arial"/>
                <w:sz w:val="20"/>
                <w:szCs w:val="20"/>
                <w:lang w:val="en-GB"/>
              </w:rPr>
            </w:pPr>
            <w:r w:rsidRPr="0020339D">
              <w:rPr>
                <w:lang w:val="en-GB"/>
              </w:rPr>
              <w:t>0.76</w:t>
            </w:r>
          </w:p>
        </w:tc>
        <w:tc>
          <w:tcPr>
            <w:tcW w:w="2107" w:type="dxa"/>
            <w:tcBorders>
              <w:top w:val="single" w:sz="6" w:space="0" w:color="CCCCCC"/>
              <w:left w:val="single" w:sz="6" w:space="0" w:color="CCCCCC"/>
              <w:bottom w:val="single" w:sz="6" w:space="0" w:color="000000"/>
              <w:right w:val="single" w:sz="6" w:space="0" w:color="000000"/>
            </w:tcBorders>
            <w:shd w:val="clear" w:color="auto" w:fill="EAD1DC"/>
            <w:tcMar>
              <w:top w:w="0" w:type="dxa"/>
              <w:left w:w="40" w:type="dxa"/>
              <w:bottom w:w="0" w:type="dxa"/>
              <w:right w:w="40" w:type="dxa"/>
            </w:tcMar>
            <w:vAlign w:val="bottom"/>
          </w:tcPr>
          <w:p w14:paraId="2DB6BBD1" w14:textId="77777777" w:rsidR="00410BA5" w:rsidRPr="0020339D" w:rsidRDefault="00C55C36">
            <w:pPr>
              <w:widowControl w:val="0"/>
              <w:spacing w:before="0" w:after="0" w:line="276" w:lineRule="auto"/>
              <w:jc w:val="center"/>
              <w:rPr>
                <w:rFonts w:ascii="Arial" w:eastAsia="Arial" w:hAnsi="Arial" w:cs="Arial"/>
                <w:sz w:val="20"/>
                <w:szCs w:val="20"/>
                <w:lang w:val="en-GB"/>
              </w:rPr>
            </w:pPr>
            <w:r w:rsidRPr="0020339D">
              <w:rPr>
                <w:lang w:val="en-GB"/>
              </w:rPr>
              <w:t>11.45</w:t>
            </w:r>
          </w:p>
        </w:tc>
        <w:tc>
          <w:tcPr>
            <w:tcW w:w="1518" w:type="dxa"/>
            <w:vMerge/>
            <w:tcBorders>
              <w:top w:val="single" w:sz="6" w:space="0" w:color="CCCCCC"/>
              <w:left w:val="single" w:sz="6" w:space="0" w:color="CCCCCC"/>
              <w:bottom w:val="single" w:sz="6" w:space="0" w:color="000000"/>
              <w:right w:val="single" w:sz="6" w:space="0" w:color="000000"/>
            </w:tcBorders>
            <w:shd w:val="clear" w:color="auto" w:fill="auto"/>
            <w:tcMar>
              <w:top w:w="100" w:type="dxa"/>
              <w:left w:w="100" w:type="dxa"/>
              <w:bottom w:w="100" w:type="dxa"/>
              <w:right w:w="100" w:type="dxa"/>
            </w:tcMar>
          </w:tcPr>
          <w:p w14:paraId="565001F6" w14:textId="77777777" w:rsidR="00410BA5" w:rsidRPr="0020339D" w:rsidRDefault="00410BA5">
            <w:pPr>
              <w:widowControl w:val="0"/>
              <w:spacing w:before="0" w:after="0" w:line="276" w:lineRule="auto"/>
              <w:jc w:val="left"/>
              <w:rPr>
                <w:rFonts w:ascii="Arial" w:eastAsia="Arial" w:hAnsi="Arial" w:cs="Arial"/>
                <w:sz w:val="20"/>
                <w:szCs w:val="20"/>
                <w:lang w:val="en-GB"/>
              </w:rPr>
            </w:pPr>
          </w:p>
        </w:tc>
      </w:tr>
      <w:tr w:rsidR="00410BA5" w:rsidRPr="0020339D" w14:paraId="62CC9636" w14:textId="77777777">
        <w:trPr>
          <w:trHeight w:val="300"/>
        </w:trPr>
        <w:tc>
          <w:tcPr>
            <w:tcW w:w="1615" w:type="dxa"/>
            <w:tcBorders>
              <w:top w:val="single" w:sz="6" w:space="0" w:color="CCCCCC"/>
              <w:left w:val="single" w:sz="6" w:space="0" w:color="000000"/>
              <w:bottom w:val="single" w:sz="6" w:space="0" w:color="000000"/>
              <w:right w:val="single" w:sz="6" w:space="0" w:color="000000"/>
            </w:tcBorders>
            <w:shd w:val="clear" w:color="auto" w:fill="EAD1DC"/>
            <w:tcMar>
              <w:top w:w="0" w:type="dxa"/>
              <w:left w:w="40" w:type="dxa"/>
              <w:bottom w:w="0" w:type="dxa"/>
              <w:right w:w="40" w:type="dxa"/>
            </w:tcMar>
            <w:vAlign w:val="bottom"/>
          </w:tcPr>
          <w:p w14:paraId="75AD5AF4" w14:textId="77777777" w:rsidR="00410BA5" w:rsidRPr="0020339D" w:rsidRDefault="00C55C36">
            <w:pPr>
              <w:widowControl w:val="0"/>
              <w:spacing w:before="0" w:after="0" w:line="276" w:lineRule="auto"/>
              <w:jc w:val="center"/>
              <w:rPr>
                <w:rFonts w:ascii="Arial" w:eastAsia="Arial" w:hAnsi="Arial" w:cs="Arial"/>
                <w:sz w:val="20"/>
                <w:szCs w:val="20"/>
                <w:lang w:val="en-GB"/>
              </w:rPr>
            </w:pPr>
            <w:r w:rsidRPr="0020339D">
              <w:rPr>
                <w:lang w:val="en-GB"/>
              </w:rPr>
              <w:t>4</w:t>
            </w:r>
          </w:p>
        </w:tc>
        <w:tc>
          <w:tcPr>
            <w:tcW w:w="1410" w:type="dxa"/>
            <w:tcBorders>
              <w:top w:val="single" w:sz="6" w:space="0" w:color="CCCCCC"/>
              <w:left w:val="single" w:sz="6" w:space="0" w:color="CCCCCC"/>
              <w:bottom w:val="single" w:sz="6" w:space="0" w:color="000000"/>
              <w:right w:val="single" w:sz="6" w:space="0" w:color="000000"/>
            </w:tcBorders>
            <w:shd w:val="clear" w:color="auto" w:fill="EAD1DC"/>
            <w:tcMar>
              <w:top w:w="0" w:type="dxa"/>
              <w:left w:w="40" w:type="dxa"/>
              <w:bottom w:w="0" w:type="dxa"/>
              <w:right w:w="40" w:type="dxa"/>
            </w:tcMar>
            <w:vAlign w:val="bottom"/>
          </w:tcPr>
          <w:p w14:paraId="16872E51" w14:textId="77777777" w:rsidR="00410BA5" w:rsidRPr="0020339D" w:rsidRDefault="00C55C36">
            <w:pPr>
              <w:widowControl w:val="0"/>
              <w:spacing w:before="0" w:after="0" w:line="276" w:lineRule="auto"/>
              <w:jc w:val="center"/>
              <w:rPr>
                <w:rFonts w:ascii="Arial" w:eastAsia="Arial" w:hAnsi="Arial" w:cs="Arial"/>
                <w:sz w:val="20"/>
                <w:szCs w:val="20"/>
                <w:lang w:val="en-GB"/>
              </w:rPr>
            </w:pPr>
            <w:r w:rsidRPr="0020339D">
              <w:rPr>
                <w:lang w:val="en-GB"/>
              </w:rPr>
              <w:t>35</w:t>
            </w:r>
          </w:p>
        </w:tc>
        <w:tc>
          <w:tcPr>
            <w:tcW w:w="2707" w:type="dxa"/>
            <w:tcBorders>
              <w:top w:val="single" w:sz="6" w:space="0" w:color="CCCCCC"/>
              <w:left w:val="single" w:sz="6" w:space="0" w:color="CCCCCC"/>
              <w:bottom w:val="single" w:sz="6" w:space="0" w:color="000000"/>
              <w:right w:val="single" w:sz="6" w:space="0" w:color="000000"/>
            </w:tcBorders>
            <w:shd w:val="clear" w:color="auto" w:fill="EAD1DC"/>
            <w:tcMar>
              <w:top w:w="0" w:type="dxa"/>
              <w:left w:w="40" w:type="dxa"/>
              <w:bottom w:w="0" w:type="dxa"/>
              <w:right w:w="40" w:type="dxa"/>
            </w:tcMar>
            <w:vAlign w:val="bottom"/>
          </w:tcPr>
          <w:p w14:paraId="5B088DA6" w14:textId="77777777" w:rsidR="00410BA5" w:rsidRPr="0020339D" w:rsidRDefault="00C55C36">
            <w:pPr>
              <w:widowControl w:val="0"/>
              <w:spacing w:before="0" w:after="0" w:line="276" w:lineRule="auto"/>
              <w:jc w:val="center"/>
              <w:rPr>
                <w:rFonts w:ascii="Arial" w:eastAsia="Arial" w:hAnsi="Arial" w:cs="Arial"/>
                <w:sz w:val="20"/>
                <w:szCs w:val="20"/>
                <w:lang w:val="en-GB"/>
              </w:rPr>
            </w:pPr>
            <w:r w:rsidRPr="0020339D">
              <w:rPr>
                <w:lang w:val="en-GB"/>
              </w:rPr>
              <w:t>0.69</w:t>
            </w:r>
          </w:p>
        </w:tc>
        <w:tc>
          <w:tcPr>
            <w:tcW w:w="2107" w:type="dxa"/>
            <w:tcBorders>
              <w:top w:val="single" w:sz="6" w:space="0" w:color="CCCCCC"/>
              <w:left w:val="single" w:sz="6" w:space="0" w:color="CCCCCC"/>
              <w:bottom w:val="single" w:sz="6" w:space="0" w:color="000000"/>
              <w:right w:val="single" w:sz="6" w:space="0" w:color="000000"/>
            </w:tcBorders>
            <w:shd w:val="clear" w:color="auto" w:fill="EAD1DC"/>
            <w:tcMar>
              <w:top w:w="0" w:type="dxa"/>
              <w:left w:w="40" w:type="dxa"/>
              <w:bottom w:w="0" w:type="dxa"/>
              <w:right w:w="40" w:type="dxa"/>
            </w:tcMar>
            <w:vAlign w:val="bottom"/>
          </w:tcPr>
          <w:p w14:paraId="722F0A4B" w14:textId="77777777" w:rsidR="00410BA5" w:rsidRPr="0020339D" w:rsidRDefault="00C55C36">
            <w:pPr>
              <w:widowControl w:val="0"/>
              <w:spacing w:before="0" w:after="0" w:line="276" w:lineRule="auto"/>
              <w:jc w:val="center"/>
              <w:rPr>
                <w:rFonts w:ascii="Arial" w:eastAsia="Arial" w:hAnsi="Arial" w:cs="Arial"/>
                <w:sz w:val="20"/>
                <w:szCs w:val="20"/>
                <w:lang w:val="en-GB"/>
              </w:rPr>
            </w:pPr>
            <w:r w:rsidRPr="0020339D">
              <w:rPr>
                <w:lang w:val="en-GB"/>
              </w:rPr>
              <w:t>24.41</w:t>
            </w:r>
          </w:p>
        </w:tc>
        <w:tc>
          <w:tcPr>
            <w:tcW w:w="1518" w:type="dxa"/>
            <w:vMerge/>
            <w:tcBorders>
              <w:top w:val="single" w:sz="6" w:space="0" w:color="CCCCCC"/>
              <w:left w:val="single" w:sz="6" w:space="0" w:color="CCCCCC"/>
              <w:bottom w:val="single" w:sz="6" w:space="0" w:color="000000"/>
              <w:right w:val="single" w:sz="6" w:space="0" w:color="000000"/>
            </w:tcBorders>
            <w:shd w:val="clear" w:color="auto" w:fill="auto"/>
            <w:tcMar>
              <w:top w:w="100" w:type="dxa"/>
              <w:left w:w="100" w:type="dxa"/>
              <w:bottom w:w="100" w:type="dxa"/>
              <w:right w:w="100" w:type="dxa"/>
            </w:tcMar>
          </w:tcPr>
          <w:p w14:paraId="11AADC28" w14:textId="77777777" w:rsidR="00410BA5" w:rsidRPr="0020339D" w:rsidRDefault="00410BA5">
            <w:pPr>
              <w:widowControl w:val="0"/>
              <w:spacing w:before="0" w:after="0" w:line="276" w:lineRule="auto"/>
              <w:jc w:val="left"/>
              <w:rPr>
                <w:rFonts w:ascii="Arial" w:eastAsia="Arial" w:hAnsi="Arial" w:cs="Arial"/>
                <w:sz w:val="20"/>
                <w:szCs w:val="20"/>
                <w:lang w:val="en-GB"/>
              </w:rPr>
            </w:pPr>
          </w:p>
        </w:tc>
      </w:tr>
      <w:tr w:rsidR="00410BA5" w:rsidRPr="0020339D" w14:paraId="1C434C8E" w14:textId="77777777">
        <w:trPr>
          <w:trHeight w:val="300"/>
        </w:trPr>
        <w:tc>
          <w:tcPr>
            <w:tcW w:w="1615" w:type="dxa"/>
            <w:tcBorders>
              <w:top w:val="single" w:sz="6" w:space="0" w:color="CCCCCC"/>
              <w:left w:val="single" w:sz="6" w:space="0" w:color="000000"/>
              <w:bottom w:val="single" w:sz="6" w:space="0" w:color="000000"/>
              <w:right w:val="single" w:sz="6" w:space="0" w:color="000000"/>
            </w:tcBorders>
            <w:shd w:val="clear" w:color="auto" w:fill="6FA8DC"/>
            <w:tcMar>
              <w:top w:w="0" w:type="dxa"/>
              <w:left w:w="40" w:type="dxa"/>
              <w:bottom w:w="0" w:type="dxa"/>
              <w:right w:w="40" w:type="dxa"/>
            </w:tcMar>
            <w:vAlign w:val="bottom"/>
          </w:tcPr>
          <w:p w14:paraId="5DAB91D9" w14:textId="77777777" w:rsidR="00410BA5" w:rsidRPr="0020339D" w:rsidRDefault="00C55C36">
            <w:pPr>
              <w:widowControl w:val="0"/>
              <w:spacing w:before="0" w:after="0" w:line="276" w:lineRule="auto"/>
              <w:jc w:val="center"/>
              <w:rPr>
                <w:rFonts w:ascii="Arial" w:eastAsia="Arial" w:hAnsi="Arial" w:cs="Arial"/>
                <w:sz w:val="20"/>
                <w:szCs w:val="20"/>
                <w:lang w:val="en-GB"/>
              </w:rPr>
            </w:pPr>
            <w:r w:rsidRPr="0020339D">
              <w:rPr>
                <w:lang w:val="en-GB"/>
              </w:rPr>
              <w:t>Formula for NPV</w:t>
            </w:r>
          </w:p>
        </w:tc>
        <w:tc>
          <w:tcPr>
            <w:tcW w:w="7742" w:type="dxa"/>
            <w:gridSpan w:val="4"/>
            <w:tcBorders>
              <w:top w:val="single" w:sz="6" w:space="0" w:color="CCCCCC"/>
              <w:left w:val="single" w:sz="6" w:space="0" w:color="CCCCCC"/>
              <w:bottom w:val="single" w:sz="6" w:space="0" w:color="000000"/>
              <w:right w:val="single" w:sz="6" w:space="0" w:color="000000"/>
            </w:tcBorders>
            <w:shd w:val="clear" w:color="auto" w:fill="6FA8DC"/>
            <w:tcMar>
              <w:top w:w="0" w:type="dxa"/>
              <w:left w:w="40" w:type="dxa"/>
              <w:bottom w:w="0" w:type="dxa"/>
              <w:right w:w="40" w:type="dxa"/>
            </w:tcMar>
            <w:vAlign w:val="bottom"/>
          </w:tcPr>
          <w:p w14:paraId="1A0711D1" w14:textId="77777777" w:rsidR="00410BA5" w:rsidRPr="0020339D" w:rsidRDefault="00C55C36">
            <w:pPr>
              <w:widowControl w:val="0"/>
              <w:spacing w:before="0" w:after="0" w:line="276" w:lineRule="auto"/>
              <w:jc w:val="center"/>
              <w:rPr>
                <w:rFonts w:ascii="Arial" w:eastAsia="Arial" w:hAnsi="Arial" w:cs="Arial"/>
                <w:sz w:val="20"/>
                <w:szCs w:val="20"/>
                <w:lang w:val="en-GB"/>
              </w:rPr>
            </w:pPr>
            <w:r w:rsidRPr="0020339D">
              <w:rPr>
                <w:lang w:val="en-GB"/>
              </w:rPr>
              <w:t>The sum of Present Values - Initial Investment</w:t>
            </w:r>
          </w:p>
        </w:tc>
      </w:tr>
    </w:tbl>
    <w:p w14:paraId="5CDC9DF4" w14:textId="77777777" w:rsidR="00410BA5" w:rsidRPr="0020339D" w:rsidRDefault="00C55C36">
      <w:pPr>
        <w:jc w:val="center"/>
        <w:rPr>
          <w:b/>
          <w:lang w:val="en-GB"/>
        </w:rPr>
      </w:pPr>
      <w:r w:rsidRPr="0020339D">
        <w:rPr>
          <w:b/>
          <w:lang w:val="en-GB"/>
        </w:rPr>
        <w:t xml:space="preserve">Table 3.3: NPV calculations </w:t>
      </w:r>
    </w:p>
    <w:p w14:paraId="16A48697" w14:textId="77777777" w:rsidR="00410BA5" w:rsidRPr="0020339D" w:rsidRDefault="00C55C36">
      <w:pPr>
        <w:jc w:val="center"/>
        <w:rPr>
          <w:lang w:val="en-GB"/>
        </w:rPr>
      </w:pPr>
      <w:r w:rsidRPr="0020339D">
        <w:rPr>
          <w:lang w:val="en-GB"/>
        </w:rPr>
        <w:t>(Source: Self-created)</w:t>
      </w:r>
    </w:p>
    <w:p w14:paraId="40CC0661" w14:textId="77777777" w:rsidR="00410BA5" w:rsidRPr="0020339D" w:rsidRDefault="00C55C36">
      <w:pPr>
        <w:spacing w:before="240" w:after="240"/>
        <w:rPr>
          <w:lang w:val="en-GB"/>
        </w:rPr>
      </w:pPr>
      <w:r w:rsidRPr="0020339D">
        <w:rPr>
          <w:lang w:val="en-GB"/>
        </w:rPr>
        <w:t xml:space="preserve">Both the NPV calculations of the projects demonstrate a clear NPV. It has been determined that the NPV for Project A is -51.4, while the NPV for Project B is 9.68. Based on the gathered results, it can be said that project B can be selected by J&amp;J, as this provides a positive value. Project A has a larger initial cash flow followed by a positive cash flow at year 4, while Project B has an initial negative cash flow, but after 2 years, this project successfully achieved positive cash flow compared to Project A. Both projects have been analysed using the same diagnostic factor of 9.75%, and based on this comparison, the NPV for Project A was -51.4 and the NPV for Project B was 9.68. Thus, project B needs to be selected as it has a more balanced cash flow, which is crucial for reducing financial risks and maintaining strong financial liquidity. </w:t>
      </w:r>
    </w:p>
    <w:p w14:paraId="6E1D8191" w14:textId="77777777" w:rsidR="00410BA5" w:rsidRPr="0020339D" w:rsidRDefault="00C55C36">
      <w:pPr>
        <w:spacing w:before="240" w:after="240"/>
        <w:rPr>
          <w:lang w:val="en-GB"/>
        </w:rPr>
      </w:pPr>
      <w:r w:rsidRPr="0020339D">
        <w:rPr>
          <w:lang w:val="en-GB"/>
        </w:rPr>
        <w:t>Project B has a significantly positive NPV compared to Project A, which demonstrates that Project B is more suitable and can provide a better financial return than Project A. On the other hand, project B is more capable of creating value than project A. It means project A will create additional value for J&amp;J’s stakeholders, and this will critically align with the organisational objectives. This project will also be beneficial to maintain sustainable financial goals. Further, project B should have effective resource management practices, whereas project A would like to drain organisational resources and increase financial strain. Therefore, the selection of Project B will be an effective choice for J&amp;J, and it will provide better financial health and liquidity.</w:t>
      </w:r>
    </w:p>
    <w:p w14:paraId="7D0078B4" w14:textId="77777777" w:rsidR="00410BA5" w:rsidRPr="0020339D" w:rsidRDefault="00C55C36">
      <w:pPr>
        <w:pStyle w:val="Heading2"/>
        <w:rPr>
          <w:lang w:val="en-GB"/>
        </w:rPr>
      </w:pPr>
      <w:bookmarkStart w:id="19" w:name="_Toc171804432"/>
      <w:r w:rsidRPr="0020339D">
        <w:rPr>
          <w:lang w:val="en-GB"/>
        </w:rPr>
        <w:lastRenderedPageBreak/>
        <w:t>Critical Discussion of Investment Appraisal Techniques</w:t>
      </w:r>
      <w:bookmarkEnd w:id="19"/>
    </w:p>
    <w:p w14:paraId="16239A4A" w14:textId="77777777" w:rsidR="00410BA5" w:rsidRPr="0020339D" w:rsidRDefault="00C55C36">
      <w:pPr>
        <w:rPr>
          <w:b/>
          <w:lang w:val="en-GB"/>
        </w:rPr>
      </w:pPr>
      <w:r w:rsidRPr="0020339D">
        <w:rPr>
          <w:b/>
          <w:lang w:val="en-GB"/>
        </w:rPr>
        <w:t>Advantages and shortcomings of PBP</w:t>
      </w:r>
    </w:p>
    <w:p w14:paraId="6EE2B6F6" w14:textId="77777777" w:rsidR="00410BA5" w:rsidRPr="0020339D" w:rsidRDefault="00C55C36">
      <w:pPr>
        <w:spacing w:before="240" w:after="240"/>
        <w:rPr>
          <w:lang w:val="en-GB"/>
        </w:rPr>
      </w:pPr>
      <w:r w:rsidRPr="0020339D">
        <w:rPr>
          <w:lang w:val="en-GB"/>
        </w:rPr>
        <w:t xml:space="preserve">The payback period (PBP) is an important aspect of making investment decisions; it is calculated by dividing the investment amount by the cash flows (Ardiles Sinaga </w:t>
      </w:r>
      <w:r w:rsidRPr="0020339D">
        <w:rPr>
          <w:i/>
          <w:lang w:val="en-GB"/>
        </w:rPr>
        <w:t>et al.</w:t>
      </w:r>
      <w:r w:rsidRPr="0020339D">
        <w:rPr>
          <w:lang w:val="en-GB"/>
        </w:rPr>
        <w:t xml:space="preserve"> 2023). Choosing between projects is a common situation for business managers, financial experts, investors, and businesses. These decisions are crucial because resources are limited and management must select the best project to maximise return on investment. However, effective use of PBP makes it easy to make investment decisions. Further, PBP analysts usually provide a quick understanding of the potential investment profitability after investment, which helps organisations determine the project’s liquidity or any other type of accumulated risk. However, it has some disadvantages, including that PBP ignores the time value of money, which can lead to affected decisions when comparing projects with timelines (</w:t>
      </w:r>
      <w:proofErr w:type="spellStart"/>
      <w:r w:rsidRPr="0020339D">
        <w:rPr>
          <w:lang w:val="en-GB"/>
        </w:rPr>
        <w:t>Imteaz</w:t>
      </w:r>
      <w:proofErr w:type="spellEnd"/>
      <w:r w:rsidRPr="0020339D">
        <w:rPr>
          <w:i/>
          <w:lang w:val="en-GB"/>
        </w:rPr>
        <w:t xml:space="preserve"> et al. </w:t>
      </w:r>
      <w:r w:rsidRPr="0020339D">
        <w:rPr>
          <w:lang w:val="en-GB"/>
        </w:rPr>
        <w:t>2021). Further, PBP primarily focuses on the period required to get the return; it ignores cash flow after the payback period, which can create potential challenges in achieving effective profitability in the long term.</w:t>
      </w:r>
    </w:p>
    <w:p w14:paraId="0A91F069" w14:textId="77777777" w:rsidR="00410BA5" w:rsidRPr="0020339D" w:rsidRDefault="00C55C36">
      <w:pPr>
        <w:rPr>
          <w:b/>
          <w:lang w:val="en-GB"/>
        </w:rPr>
      </w:pPr>
      <w:r w:rsidRPr="0020339D">
        <w:rPr>
          <w:b/>
          <w:lang w:val="en-GB"/>
        </w:rPr>
        <w:t>Benefits and limitations of ARR</w:t>
      </w:r>
    </w:p>
    <w:p w14:paraId="1BC09522" w14:textId="77777777" w:rsidR="00410BA5" w:rsidRPr="0020339D" w:rsidRDefault="00C55C36">
      <w:pPr>
        <w:rPr>
          <w:lang w:val="en-GB"/>
        </w:rPr>
      </w:pPr>
      <w:r w:rsidRPr="0020339D">
        <w:rPr>
          <w:lang w:val="en-GB"/>
        </w:rPr>
        <w:t xml:space="preserve">Calculating the accounting rate of return (ARR) is important as it provides the yearly return percentage difference between assets and average net income, which helps to calculate the average capital cost. It has some benefits as it is used to understand investment projects as it takes less time to measure profitability. Further, ARR provides a broad perspective of organisational performance and analyses all the potential revenue generation and cost over the project lifecycle. Wang </w:t>
      </w:r>
      <w:r w:rsidRPr="0020339D">
        <w:rPr>
          <w:i/>
          <w:lang w:val="en-GB"/>
        </w:rPr>
        <w:t>et al</w:t>
      </w:r>
      <w:r w:rsidRPr="0020339D">
        <w:rPr>
          <w:lang w:val="en-GB"/>
        </w:rPr>
        <w:t>. (2021) stated that it is used when companies decide whether or not to invest in a venture, purchase, or other kind of asset by comparing the estimated future net earnings against the capital cost. Further, when it comes to making decisions, the project is appropriate if the accounting rate of return is at least that of the firm's required rate of return, meaning that the company would make a profit. At the same time, it has some limitations, such as that it also ignores the time value of money, which may create difficulties in understanding future cash flow equality (Fontalvo-Lascano</w:t>
      </w:r>
      <w:r w:rsidRPr="0020339D">
        <w:rPr>
          <w:i/>
          <w:lang w:val="en-GB"/>
        </w:rPr>
        <w:t xml:space="preserve"> et al. </w:t>
      </w:r>
      <w:r w:rsidRPr="0020339D">
        <w:rPr>
          <w:lang w:val="en-GB"/>
        </w:rPr>
        <w:t>2022). Additionally, it has less capability to analyse cash flow as it is solely based on accounting practices, which may decrease the decision-making ability to understand any project’s cash-generating ability.</w:t>
      </w:r>
    </w:p>
    <w:p w14:paraId="4625FA8A" w14:textId="77777777" w:rsidR="00410BA5" w:rsidRPr="0020339D" w:rsidRDefault="00C55C36">
      <w:pPr>
        <w:rPr>
          <w:b/>
          <w:lang w:val="en-GB"/>
        </w:rPr>
      </w:pPr>
      <w:r w:rsidRPr="0020339D">
        <w:rPr>
          <w:b/>
          <w:lang w:val="en-GB"/>
        </w:rPr>
        <w:lastRenderedPageBreak/>
        <w:t>Merits and demerits of NPV</w:t>
      </w:r>
    </w:p>
    <w:p w14:paraId="3A095B06" w14:textId="77777777" w:rsidR="00410BA5" w:rsidRPr="0020339D" w:rsidRDefault="00C55C36">
      <w:pPr>
        <w:rPr>
          <w:lang w:val="en-GB"/>
        </w:rPr>
      </w:pPr>
      <w:r w:rsidRPr="0020339D">
        <w:rPr>
          <w:lang w:val="en-GB"/>
        </w:rPr>
        <w:t xml:space="preserve">As stated by </w:t>
      </w:r>
      <w:proofErr w:type="spellStart"/>
      <w:r w:rsidRPr="0020339D">
        <w:rPr>
          <w:lang w:val="en-GB"/>
        </w:rPr>
        <w:t>Bazmi</w:t>
      </w:r>
      <w:r w:rsidRPr="0020339D">
        <w:rPr>
          <w:i/>
          <w:lang w:val="en-GB"/>
        </w:rPr>
        <w:t>et</w:t>
      </w:r>
      <w:proofErr w:type="spellEnd"/>
      <w:r w:rsidRPr="0020339D">
        <w:rPr>
          <w:i/>
          <w:lang w:val="en-GB"/>
        </w:rPr>
        <w:t xml:space="preserve"> al</w:t>
      </w:r>
      <w:r w:rsidRPr="0020339D">
        <w:rPr>
          <w:lang w:val="en-GB"/>
        </w:rPr>
        <w:t xml:space="preserve">. (2021), NPV is one of the effective cash flow techniques utilised in the workplace to assess the viability of the project or any investment while considering capital budgeting. One of the main benefits of this technique is that it effectively considers the time value of money which is effective for business in earning capacity. In addition, Bulama </w:t>
      </w:r>
      <w:r w:rsidRPr="0020339D">
        <w:rPr>
          <w:i/>
          <w:lang w:val="en-GB"/>
        </w:rPr>
        <w:t>et al</w:t>
      </w:r>
      <w:r w:rsidRPr="0020339D">
        <w:rPr>
          <w:lang w:val="en-GB"/>
        </w:rPr>
        <w:t xml:space="preserve">. (2023) opined that it effectively guarantees a decision-making process using which businesses can consider whether the project is profit-making or loss-making in a certain period. Apart from that it offers a clear picture of profitability as well which can be effective in adding extra value to the firm. In contrast, Rekker (2024) the disadvantage of NPV includes the complex process which needs a detailed forecast and detailed knowledge regarding the financial landscape. Other demerits of such a technique include no set guidelines to track the required rate of return. </w:t>
      </w:r>
    </w:p>
    <w:p w14:paraId="13F5B552" w14:textId="77777777" w:rsidR="00410BA5" w:rsidRPr="0020339D" w:rsidRDefault="00C55C36">
      <w:pPr>
        <w:rPr>
          <w:b/>
          <w:lang w:val="en-GB"/>
        </w:rPr>
      </w:pPr>
      <w:r w:rsidRPr="0020339D">
        <w:rPr>
          <w:b/>
          <w:lang w:val="en-GB"/>
        </w:rPr>
        <w:t xml:space="preserve">Non-Financial Factors </w:t>
      </w:r>
    </w:p>
    <w:p w14:paraId="5439D0D9" w14:textId="77777777" w:rsidR="00410BA5" w:rsidRPr="0020339D" w:rsidRDefault="00C55C36">
      <w:pPr>
        <w:rPr>
          <w:lang w:val="en-GB"/>
        </w:rPr>
      </w:pPr>
      <w:r w:rsidRPr="0020339D">
        <w:rPr>
          <w:lang w:val="en-GB"/>
        </w:rPr>
        <w:t xml:space="preserve">According to Ferreira (2022), strategic alignment is one of the effective non-financial factors that every firm wants to consider as it works with numerous terms and individuals to connect its efforts to the entire goals of the </w:t>
      </w:r>
      <w:r w:rsidR="00714ECE" w:rsidRPr="0020339D">
        <w:rPr>
          <w:lang w:val="en-GB"/>
        </w:rPr>
        <w:t>organisation</w:t>
      </w:r>
      <w:r w:rsidRPr="0020339D">
        <w:rPr>
          <w:lang w:val="en-GB"/>
        </w:rPr>
        <w:t>. It can be stated that the project perfectly aligns with core values and mission can accelerate sustained growth and would become competitive in a sector. However, Coskun-</w:t>
      </w:r>
      <w:proofErr w:type="spellStart"/>
      <w:r w:rsidRPr="0020339D">
        <w:rPr>
          <w:lang w:val="en-GB"/>
        </w:rPr>
        <w:t>Setirek</w:t>
      </w:r>
      <w:proofErr w:type="spellEnd"/>
      <w:r w:rsidRPr="0020339D">
        <w:rPr>
          <w:lang w:val="en-GB"/>
        </w:rPr>
        <w:t xml:space="preserve"> and </w:t>
      </w:r>
      <w:proofErr w:type="spellStart"/>
      <w:r w:rsidRPr="0020339D">
        <w:rPr>
          <w:lang w:val="en-GB"/>
        </w:rPr>
        <w:t>Tanrikulu</w:t>
      </w:r>
      <w:proofErr w:type="spellEnd"/>
      <w:r w:rsidRPr="0020339D">
        <w:rPr>
          <w:lang w:val="en-GB"/>
        </w:rPr>
        <w:t xml:space="preserve"> (2021) argued and stated that projects that put innovation or any specific technology can be successive for maintaining operations and generating profit. For example, if J&amp;J continuously invest in R&amp;D or any advanced manufacturing process, they should </w:t>
      </w:r>
      <w:r w:rsidR="00714ECE" w:rsidRPr="0020339D">
        <w:rPr>
          <w:lang w:val="en-GB"/>
        </w:rPr>
        <w:t>competitive</w:t>
      </w:r>
      <w:r w:rsidRPr="0020339D">
        <w:rPr>
          <w:lang w:val="en-GB"/>
        </w:rPr>
        <w:t xml:space="preserve"> in the healthcare sector and may left behind companies like Pfizer. Moreover, regulatory and environmental considerations are also important for a firm as they maintain a rule in the workplace and mitigate risks regarding the environment as well. Focusing on the SDG principle and sustainability initiatives, J&amp;J can attract investors and eco-conscious customers and deliver long-term profitability. </w:t>
      </w:r>
      <w:r w:rsidRPr="0020339D">
        <w:rPr>
          <w:lang w:val="en-GB"/>
        </w:rPr>
        <w:br w:type="page"/>
      </w:r>
    </w:p>
    <w:p w14:paraId="490DE84D" w14:textId="77777777" w:rsidR="00410BA5" w:rsidRPr="0020339D" w:rsidRDefault="00C55C36">
      <w:pPr>
        <w:pStyle w:val="Heading1"/>
        <w:rPr>
          <w:lang w:val="en-GB"/>
        </w:rPr>
      </w:pPr>
      <w:bookmarkStart w:id="20" w:name="_Toc171804433"/>
      <w:r w:rsidRPr="0020339D">
        <w:rPr>
          <w:lang w:val="en-GB"/>
        </w:rPr>
        <w:lastRenderedPageBreak/>
        <w:t>References</w:t>
      </w:r>
      <w:bookmarkEnd w:id="20"/>
    </w:p>
    <w:p w14:paraId="3595B926" w14:textId="77777777" w:rsidR="00714ECE" w:rsidRPr="0020339D" w:rsidRDefault="00714ECE">
      <w:pPr>
        <w:spacing w:before="240" w:after="240"/>
        <w:rPr>
          <w:lang w:val="en-GB"/>
        </w:rPr>
      </w:pPr>
      <w:r w:rsidRPr="0020339D">
        <w:rPr>
          <w:lang w:val="en-GB"/>
        </w:rPr>
        <w:t xml:space="preserve">‌Albertus, R.H. (2022). THE EFFECT OF CURRENT RATIO, INVENTORY TURNOVER, DEBT TO EQUITY RATIO, AND NET PROFIT MARGIN ON THE VALUE OF COMPANIES IN THE HEALTHCARE SECTOR LISTED ON IDX 2017-2020. </w:t>
      </w:r>
      <w:r w:rsidRPr="0020339D">
        <w:rPr>
          <w:i/>
          <w:lang w:val="en-GB"/>
        </w:rPr>
        <w:t>Strategic Management Business Journal</w:t>
      </w:r>
      <w:r w:rsidRPr="0020339D">
        <w:rPr>
          <w:lang w:val="en-GB"/>
        </w:rPr>
        <w:t xml:space="preserve">, 2(01), pp.8–16. </w:t>
      </w:r>
      <w:proofErr w:type="spellStart"/>
      <w:r w:rsidRPr="0020339D">
        <w:rPr>
          <w:lang w:val="en-GB"/>
        </w:rPr>
        <w:t>doi:</w:t>
      </w:r>
      <w:hyperlink r:id="rId20" w:history="1">
        <w:r w:rsidR="0020339D" w:rsidRPr="0020339D">
          <w:rPr>
            <w:rStyle w:val="Hyperlink"/>
            <w:color w:val="auto"/>
            <w:lang w:val="en-GB"/>
          </w:rPr>
          <w:t>https</w:t>
        </w:r>
        <w:proofErr w:type="spellEnd"/>
        <w:r w:rsidR="0020339D" w:rsidRPr="0020339D">
          <w:rPr>
            <w:rStyle w:val="Hyperlink"/>
            <w:color w:val="auto"/>
            <w:lang w:val="en-GB"/>
          </w:rPr>
          <w:t>://doi.org/10.55751/smbj.v2i01.29</w:t>
        </w:r>
      </w:hyperlink>
      <w:r w:rsidRPr="0020339D">
        <w:rPr>
          <w:lang w:val="en-GB"/>
        </w:rPr>
        <w:t>.</w:t>
      </w:r>
    </w:p>
    <w:p w14:paraId="4BECC537" w14:textId="77777777" w:rsidR="00714ECE" w:rsidRPr="0020339D" w:rsidRDefault="00714ECE">
      <w:pPr>
        <w:spacing w:before="240" w:after="240"/>
        <w:rPr>
          <w:highlight w:val="white"/>
          <w:lang w:val="en-GB"/>
        </w:rPr>
      </w:pPr>
      <w:r w:rsidRPr="0020339D">
        <w:rPr>
          <w:highlight w:val="white"/>
          <w:lang w:val="en-GB"/>
        </w:rPr>
        <w:t>Amponsah-</w:t>
      </w:r>
      <w:proofErr w:type="spellStart"/>
      <w:r w:rsidRPr="0020339D">
        <w:rPr>
          <w:highlight w:val="white"/>
          <w:lang w:val="en-GB"/>
        </w:rPr>
        <w:t>Kwatiah</w:t>
      </w:r>
      <w:proofErr w:type="spellEnd"/>
      <w:r w:rsidRPr="0020339D">
        <w:rPr>
          <w:highlight w:val="white"/>
          <w:lang w:val="en-GB"/>
        </w:rPr>
        <w:t xml:space="preserve">, </w:t>
      </w:r>
      <w:proofErr w:type="spellStart"/>
      <w:proofErr w:type="gramStart"/>
      <w:r w:rsidRPr="0020339D">
        <w:rPr>
          <w:highlight w:val="white"/>
          <w:lang w:val="en-GB"/>
        </w:rPr>
        <w:t>K.,and</w:t>
      </w:r>
      <w:proofErr w:type="spellEnd"/>
      <w:proofErr w:type="gramEnd"/>
      <w:r w:rsidRPr="0020339D">
        <w:rPr>
          <w:highlight w:val="white"/>
          <w:lang w:val="en-GB"/>
        </w:rPr>
        <w:t xml:space="preserve"> Asiamah, M. (2021). Working capital management and profitability of listed manufacturing firms in Ghana. </w:t>
      </w:r>
      <w:r w:rsidRPr="0020339D">
        <w:rPr>
          <w:i/>
          <w:highlight w:val="white"/>
          <w:lang w:val="en-GB"/>
        </w:rPr>
        <w:t>International journal of productivity and performance management</w:t>
      </w:r>
      <w:r w:rsidRPr="0020339D">
        <w:rPr>
          <w:highlight w:val="white"/>
          <w:lang w:val="en-GB"/>
        </w:rPr>
        <w:t xml:space="preserve">, </w:t>
      </w:r>
      <w:r w:rsidRPr="0020339D">
        <w:rPr>
          <w:i/>
          <w:highlight w:val="white"/>
          <w:lang w:val="en-GB"/>
        </w:rPr>
        <w:t>70</w:t>
      </w:r>
      <w:r w:rsidRPr="0020339D">
        <w:rPr>
          <w:highlight w:val="white"/>
          <w:lang w:val="en-GB"/>
        </w:rPr>
        <w:t xml:space="preserve">(7), 1751-1771. </w:t>
      </w:r>
      <w:hyperlink r:id="rId21">
        <w:r w:rsidRPr="0020339D">
          <w:rPr>
            <w:highlight w:val="white"/>
            <w:u w:val="single"/>
            <w:lang w:val="en-GB"/>
          </w:rPr>
          <w:t>https://www.emerald.com/insight/content/doi/10.1108/IJPPM-02-2020-0043/full/html</w:t>
        </w:r>
      </w:hyperlink>
    </w:p>
    <w:p w14:paraId="5556A3B9" w14:textId="77777777" w:rsidR="00714ECE" w:rsidRPr="0020339D" w:rsidRDefault="00714ECE">
      <w:pPr>
        <w:spacing w:before="0" w:after="0"/>
        <w:rPr>
          <w:lang w:val="en-GB"/>
        </w:rPr>
      </w:pPr>
      <w:r w:rsidRPr="0020339D">
        <w:rPr>
          <w:lang w:val="en-GB"/>
        </w:rPr>
        <w:t xml:space="preserve">Ardiles Sinaga, Mediatrix, M., None </w:t>
      </w:r>
      <w:proofErr w:type="spellStart"/>
      <w:r w:rsidRPr="0020339D">
        <w:rPr>
          <w:lang w:val="en-GB"/>
        </w:rPr>
        <w:t>Anggi</w:t>
      </w:r>
      <w:proofErr w:type="spellEnd"/>
      <w:r w:rsidRPr="0020339D">
        <w:rPr>
          <w:lang w:val="en-GB"/>
        </w:rPr>
        <w:t xml:space="preserve"> Andini </w:t>
      </w:r>
      <w:proofErr w:type="spellStart"/>
      <w:r w:rsidRPr="0020339D">
        <w:rPr>
          <w:lang w:val="en-GB"/>
        </w:rPr>
        <w:t>Hutasuhut</w:t>
      </w:r>
      <w:proofErr w:type="spellEnd"/>
      <w:r w:rsidRPr="0020339D">
        <w:rPr>
          <w:lang w:val="en-GB"/>
        </w:rPr>
        <w:t xml:space="preserve">, Zahara, T., None Ayu Amanda, Annisa </w:t>
      </w:r>
      <w:proofErr w:type="spellStart"/>
      <w:r w:rsidRPr="0020339D">
        <w:rPr>
          <w:lang w:val="en-GB"/>
        </w:rPr>
        <w:t>Fitri</w:t>
      </w:r>
      <w:proofErr w:type="spellEnd"/>
      <w:r w:rsidRPr="0020339D">
        <w:rPr>
          <w:lang w:val="en-GB"/>
        </w:rPr>
        <w:t xml:space="preserve"> and Muhammad, N. (2023). Comparison of capital budgeting methods: NPV, IRR, PAYBACK PERIOD. </w:t>
      </w:r>
      <w:r w:rsidRPr="0020339D">
        <w:rPr>
          <w:i/>
          <w:lang w:val="en-GB"/>
        </w:rPr>
        <w:t xml:space="preserve">World Journal </w:t>
      </w:r>
      <w:proofErr w:type="gramStart"/>
      <w:r w:rsidRPr="0020339D">
        <w:rPr>
          <w:i/>
          <w:lang w:val="en-GB"/>
        </w:rPr>
        <w:t>Of</w:t>
      </w:r>
      <w:proofErr w:type="gramEnd"/>
      <w:r w:rsidRPr="0020339D">
        <w:rPr>
          <w:i/>
          <w:lang w:val="en-GB"/>
        </w:rPr>
        <w:t xml:space="preserve"> Advanced Research and Reviews</w:t>
      </w:r>
      <w:r w:rsidRPr="0020339D">
        <w:rPr>
          <w:lang w:val="en-GB"/>
        </w:rPr>
        <w:t xml:space="preserve">, 19(2), pp.1078–1081. </w:t>
      </w:r>
      <w:proofErr w:type="spellStart"/>
      <w:r w:rsidRPr="0020339D">
        <w:rPr>
          <w:lang w:val="en-GB"/>
        </w:rPr>
        <w:t>doi:</w:t>
      </w:r>
      <w:hyperlink r:id="rId22">
        <w:r w:rsidRPr="0020339D">
          <w:rPr>
            <w:u w:val="single"/>
            <w:lang w:val="en-GB"/>
          </w:rPr>
          <w:t>https</w:t>
        </w:r>
        <w:proofErr w:type="spellEnd"/>
        <w:r w:rsidRPr="0020339D">
          <w:rPr>
            <w:u w:val="single"/>
            <w:lang w:val="en-GB"/>
          </w:rPr>
          <w:t>://doi.org/10.30574/wjarr.2023.19.2.1483</w:t>
        </w:r>
      </w:hyperlink>
      <w:r w:rsidRPr="0020339D">
        <w:rPr>
          <w:lang w:val="en-GB"/>
        </w:rPr>
        <w:t>.</w:t>
      </w:r>
    </w:p>
    <w:p w14:paraId="77D3DAC1" w14:textId="77777777" w:rsidR="00714ECE" w:rsidRPr="0020339D" w:rsidRDefault="00714ECE">
      <w:pPr>
        <w:spacing w:before="0" w:after="0"/>
        <w:rPr>
          <w:lang w:val="en-GB"/>
        </w:rPr>
      </w:pPr>
      <w:r w:rsidRPr="0020339D">
        <w:rPr>
          <w:lang w:val="en-GB"/>
        </w:rPr>
        <w:t xml:space="preserve">Atradiuscollections.com. (2022). </w:t>
      </w:r>
      <w:r w:rsidRPr="0020339D">
        <w:rPr>
          <w:i/>
          <w:lang w:val="en-GB"/>
        </w:rPr>
        <w:t>Pharmaceuticals Industry Trends United Kingdom - 2022 | Atradius</w:t>
      </w:r>
      <w:r w:rsidRPr="0020339D">
        <w:rPr>
          <w:lang w:val="en-GB"/>
        </w:rPr>
        <w:t xml:space="preserve">. [online] Available at: </w:t>
      </w:r>
      <w:hyperlink r:id="rId23">
        <w:r w:rsidRPr="0020339D">
          <w:rPr>
            <w:u w:val="single"/>
            <w:lang w:val="en-GB"/>
          </w:rPr>
          <w:t>https://atradiuscollections.com/global/reports/pharmaceuticals-industry-trends-united-kingdom-2022.html</w:t>
        </w:r>
      </w:hyperlink>
      <w:r w:rsidRPr="0020339D">
        <w:rPr>
          <w:lang w:val="en-GB"/>
        </w:rPr>
        <w:t>.</w:t>
      </w:r>
    </w:p>
    <w:p w14:paraId="157C0332" w14:textId="77777777" w:rsidR="00714ECE" w:rsidRPr="0020339D" w:rsidRDefault="00714ECE">
      <w:pPr>
        <w:spacing w:before="0" w:after="0"/>
        <w:rPr>
          <w:lang w:val="en-GB"/>
        </w:rPr>
      </w:pPr>
      <w:r w:rsidRPr="0020339D">
        <w:rPr>
          <w:lang w:val="en-GB"/>
        </w:rPr>
        <w:t xml:space="preserve">Balkhi, B., Alshahrani, A. and Khan, A. (2022). Just-in-Time Approach in Healthcare Inventory Management: Does It Really Work? </w:t>
      </w:r>
      <w:r w:rsidRPr="0020339D">
        <w:rPr>
          <w:i/>
          <w:lang w:val="en-GB"/>
        </w:rPr>
        <w:t>Saudi Pharmaceutical Journal</w:t>
      </w:r>
      <w:r w:rsidRPr="0020339D">
        <w:rPr>
          <w:lang w:val="en-GB"/>
        </w:rPr>
        <w:t xml:space="preserve">, [online] 30(12). Available at: </w:t>
      </w:r>
      <w:hyperlink r:id="rId24" w:history="1">
        <w:r w:rsidR="0020339D" w:rsidRPr="0020339D">
          <w:rPr>
            <w:rStyle w:val="Hyperlink"/>
            <w:color w:val="auto"/>
            <w:lang w:val="en-GB"/>
          </w:rPr>
          <w:t>https://www.ncbi.nlm.nih.gov/pmc/articles/PMC9805965/</w:t>
        </w:r>
      </w:hyperlink>
      <w:r w:rsidRPr="0020339D">
        <w:rPr>
          <w:lang w:val="en-GB"/>
        </w:rPr>
        <w:t>.</w:t>
      </w:r>
    </w:p>
    <w:p w14:paraId="519349FD" w14:textId="77777777" w:rsidR="00714ECE" w:rsidRPr="0020339D" w:rsidRDefault="00714ECE">
      <w:pPr>
        <w:spacing w:before="0" w:after="0"/>
        <w:rPr>
          <w:lang w:val="en-GB"/>
        </w:rPr>
      </w:pPr>
      <w:proofErr w:type="spellStart"/>
      <w:r w:rsidRPr="0020339D">
        <w:rPr>
          <w:lang w:val="en-GB"/>
        </w:rPr>
        <w:t>Bandiyono</w:t>
      </w:r>
      <w:proofErr w:type="spellEnd"/>
      <w:r w:rsidRPr="0020339D">
        <w:rPr>
          <w:lang w:val="en-GB"/>
        </w:rPr>
        <w:t xml:space="preserve">, A. (2020). Budget Participation and Internal Control for Better Quality Financial Statements. </w:t>
      </w:r>
      <w:proofErr w:type="spellStart"/>
      <w:r w:rsidRPr="0020339D">
        <w:rPr>
          <w:i/>
          <w:lang w:val="en-GB"/>
        </w:rPr>
        <w:t>JurnalAkuntansi</w:t>
      </w:r>
      <w:proofErr w:type="spellEnd"/>
      <w:r w:rsidRPr="0020339D">
        <w:rPr>
          <w:lang w:val="en-GB"/>
        </w:rPr>
        <w:t xml:space="preserve">, 24(2), p.313. </w:t>
      </w:r>
      <w:proofErr w:type="spellStart"/>
      <w:r w:rsidRPr="0020339D">
        <w:rPr>
          <w:lang w:val="en-GB"/>
        </w:rPr>
        <w:t>doi:</w:t>
      </w:r>
      <w:hyperlink r:id="rId25">
        <w:r w:rsidRPr="0020339D">
          <w:rPr>
            <w:u w:val="single"/>
            <w:lang w:val="en-GB"/>
          </w:rPr>
          <w:t>https</w:t>
        </w:r>
        <w:proofErr w:type="spellEnd"/>
        <w:r w:rsidRPr="0020339D">
          <w:rPr>
            <w:u w:val="single"/>
            <w:lang w:val="en-GB"/>
          </w:rPr>
          <w:t>://doi.org/10.24912/ja.v24i2.699</w:t>
        </w:r>
      </w:hyperlink>
      <w:r w:rsidRPr="0020339D">
        <w:rPr>
          <w:lang w:val="en-GB"/>
        </w:rPr>
        <w:t>.</w:t>
      </w:r>
    </w:p>
    <w:p w14:paraId="1A8A4AED" w14:textId="77777777" w:rsidR="00714ECE" w:rsidRPr="0020339D" w:rsidRDefault="00714ECE">
      <w:pPr>
        <w:spacing w:before="0" w:after="0"/>
        <w:rPr>
          <w:lang w:val="en-GB"/>
        </w:rPr>
      </w:pPr>
      <w:r w:rsidRPr="0020339D">
        <w:rPr>
          <w:lang w:val="en-GB"/>
        </w:rPr>
        <w:t xml:space="preserve">Bioworld.com. (2024). </w:t>
      </w:r>
      <w:r w:rsidRPr="0020339D">
        <w:rPr>
          <w:i/>
          <w:lang w:val="en-GB"/>
        </w:rPr>
        <w:t xml:space="preserve">J&amp;J splits off consumer health division | </w:t>
      </w:r>
      <w:proofErr w:type="spellStart"/>
      <w:r w:rsidRPr="0020339D">
        <w:rPr>
          <w:i/>
          <w:lang w:val="en-GB"/>
        </w:rPr>
        <w:t>BioWorld</w:t>
      </w:r>
      <w:proofErr w:type="spellEnd"/>
      <w:r w:rsidRPr="0020339D">
        <w:rPr>
          <w:lang w:val="en-GB"/>
        </w:rPr>
        <w:t xml:space="preserve">. [online] Available at: </w:t>
      </w:r>
      <w:hyperlink r:id="rId26" w:history="1">
        <w:r w:rsidR="0020339D" w:rsidRPr="0020339D">
          <w:rPr>
            <w:rStyle w:val="Hyperlink"/>
            <w:color w:val="auto"/>
            <w:lang w:val="en-GB"/>
          </w:rPr>
          <w:t>https://www.bioworld.com/articles/513344-j-and-j-splits-off-consumer-health-division?v=preview</w:t>
        </w:r>
      </w:hyperlink>
      <w:r w:rsidRPr="0020339D">
        <w:rPr>
          <w:lang w:val="en-GB"/>
        </w:rPr>
        <w:t>[Accessed 13 Jul. 2024].</w:t>
      </w:r>
    </w:p>
    <w:p w14:paraId="46691BAC" w14:textId="77777777" w:rsidR="00714ECE" w:rsidRPr="0020339D" w:rsidRDefault="00714ECE">
      <w:pPr>
        <w:spacing w:before="240" w:after="240"/>
        <w:rPr>
          <w:lang w:val="en-GB"/>
        </w:rPr>
      </w:pPr>
      <w:r w:rsidRPr="0020339D">
        <w:rPr>
          <w:lang w:val="en-GB"/>
        </w:rPr>
        <w:t>‌</w:t>
      </w:r>
      <w:proofErr w:type="spellStart"/>
      <w:r w:rsidRPr="0020339D">
        <w:rPr>
          <w:lang w:val="en-GB"/>
        </w:rPr>
        <w:t>Brunnermeier</w:t>
      </w:r>
      <w:proofErr w:type="spellEnd"/>
      <w:r w:rsidRPr="0020339D">
        <w:rPr>
          <w:lang w:val="en-GB"/>
        </w:rPr>
        <w:t xml:space="preserve">, M. and Krishnamurthy, A. (2020). Corporate Debt Overhang and Credit Policy. </w:t>
      </w:r>
      <w:r w:rsidRPr="0020339D">
        <w:rPr>
          <w:i/>
          <w:lang w:val="en-GB"/>
        </w:rPr>
        <w:t>Brookings Papers on Economic Activity</w:t>
      </w:r>
      <w:r w:rsidRPr="0020339D">
        <w:rPr>
          <w:lang w:val="en-GB"/>
        </w:rPr>
        <w:t xml:space="preserve">, [online] 2020(2), pp.447–502. Available at: </w:t>
      </w:r>
      <w:hyperlink r:id="rId27" w:history="1">
        <w:r w:rsidR="0020339D" w:rsidRPr="0020339D">
          <w:rPr>
            <w:rStyle w:val="Hyperlink"/>
            <w:color w:val="auto"/>
            <w:lang w:val="en-GB"/>
          </w:rPr>
          <w:t>https://muse.jhu.edu/pub/11/article/787115/summary</w:t>
        </w:r>
      </w:hyperlink>
      <w:r w:rsidRPr="0020339D">
        <w:rPr>
          <w:lang w:val="en-GB"/>
        </w:rPr>
        <w:t>[Accessed 13 Jul. 2024].</w:t>
      </w:r>
    </w:p>
    <w:p w14:paraId="49576A74" w14:textId="77777777" w:rsidR="00714ECE" w:rsidRPr="0020339D" w:rsidRDefault="00714ECE">
      <w:pPr>
        <w:spacing w:before="0" w:after="0"/>
        <w:rPr>
          <w:highlight w:val="white"/>
          <w:lang w:val="en-GB"/>
        </w:rPr>
      </w:pPr>
      <w:r w:rsidRPr="0020339D">
        <w:rPr>
          <w:highlight w:val="white"/>
          <w:lang w:val="en-GB"/>
        </w:rPr>
        <w:lastRenderedPageBreak/>
        <w:t xml:space="preserve">Effiong, S.A. and </w:t>
      </w:r>
      <w:proofErr w:type="spellStart"/>
      <w:r w:rsidRPr="0020339D">
        <w:rPr>
          <w:highlight w:val="white"/>
          <w:lang w:val="en-GB"/>
        </w:rPr>
        <w:t>Ejabu</w:t>
      </w:r>
      <w:proofErr w:type="spellEnd"/>
      <w:r w:rsidRPr="0020339D">
        <w:rPr>
          <w:highlight w:val="white"/>
          <w:lang w:val="en-GB"/>
        </w:rPr>
        <w:t xml:space="preserve">, F.E., (2020). Liquidity risk management and financial performance: are consumer goods companies involved. </w:t>
      </w:r>
      <w:r w:rsidRPr="0020339D">
        <w:rPr>
          <w:i/>
          <w:highlight w:val="white"/>
          <w:lang w:val="en-GB"/>
        </w:rPr>
        <w:t>International Journal of Recent Technology and Engineering</w:t>
      </w:r>
      <w:r w:rsidRPr="0020339D">
        <w:rPr>
          <w:highlight w:val="white"/>
          <w:lang w:val="en-GB"/>
        </w:rPr>
        <w:t xml:space="preserve">, </w:t>
      </w:r>
      <w:r w:rsidRPr="0020339D">
        <w:rPr>
          <w:i/>
          <w:highlight w:val="white"/>
          <w:lang w:val="en-GB"/>
        </w:rPr>
        <w:t>9</w:t>
      </w:r>
      <w:r w:rsidRPr="0020339D">
        <w:rPr>
          <w:highlight w:val="white"/>
          <w:lang w:val="en-GB"/>
        </w:rPr>
        <w:t>(1), pp.580-589.</w:t>
      </w:r>
    </w:p>
    <w:p w14:paraId="399BBD3B" w14:textId="77777777" w:rsidR="00714ECE" w:rsidRPr="0020339D" w:rsidRDefault="00714ECE" w:rsidP="00714ECE">
      <w:pPr>
        <w:rPr>
          <w:lang w:val="en-GB"/>
        </w:rPr>
      </w:pPr>
      <w:r w:rsidRPr="0020339D">
        <w:rPr>
          <w:lang w:val="en-GB"/>
        </w:rPr>
        <w:t xml:space="preserve">‌Fontalvo-Lascano, M.A., Alvarado-Hernández, B.B., Conde, C., Sánchez, E.J., Méndez-Piñero, M.I. and </w:t>
      </w:r>
      <w:proofErr w:type="spellStart"/>
      <w:r w:rsidRPr="0020339D">
        <w:rPr>
          <w:lang w:val="en-GB"/>
        </w:rPr>
        <w:t>Romañach</w:t>
      </w:r>
      <w:proofErr w:type="spellEnd"/>
      <w:r w:rsidRPr="0020339D">
        <w:rPr>
          <w:lang w:val="en-GB"/>
        </w:rPr>
        <w:t xml:space="preserve">, R.J. (2022). Development and Application of a Business Case Model for a Stream Sampler in the Pharmaceutical Industry. </w:t>
      </w:r>
      <w:r w:rsidRPr="0020339D">
        <w:rPr>
          <w:i/>
          <w:lang w:val="en-GB"/>
        </w:rPr>
        <w:t>Journal of Pharmaceutical Innovation</w:t>
      </w:r>
      <w:r w:rsidRPr="0020339D">
        <w:rPr>
          <w:lang w:val="en-GB"/>
        </w:rPr>
        <w:t xml:space="preserve">, [online] 18(1), pp.182–194. </w:t>
      </w:r>
      <w:proofErr w:type="spellStart"/>
      <w:r w:rsidRPr="0020339D">
        <w:rPr>
          <w:lang w:val="en-GB"/>
        </w:rPr>
        <w:t>doi:</w:t>
      </w:r>
      <w:hyperlink r:id="rId28" w:history="1">
        <w:r w:rsidR="0020339D" w:rsidRPr="0020339D">
          <w:rPr>
            <w:rStyle w:val="Hyperlink"/>
            <w:color w:val="auto"/>
            <w:lang w:val="en-GB"/>
          </w:rPr>
          <w:t>https</w:t>
        </w:r>
        <w:proofErr w:type="spellEnd"/>
        <w:r w:rsidR="0020339D" w:rsidRPr="0020339D">
          <w:rPr>
            <w:rStyle w:val="Hyperlink"/>
            <w:color w:val="auto"/>
            <w:lang w:val="en-GB"/>
          </w:rPr>
          <w:t>://doi.org/10.1007/s12247-022-09634-0</w:t>
        </w:r>
      </w:hyperlink>
      <w:r w:rsidRPr="0020339D">
        <w:rPr>
          <w:lang w:val="en-GB"/>
        </w:rPr>
        <w:t>.</w:t>
      </w:r>
    </w:p>
    <w:p w14:paraId="26B75927" w14:textId="77777777" w:rsidR="00714ECE" w:rsidRPr="0020339D" w:rsidRDefault="00714ECE" w:rsidP="00714ECE">
      <w:pPr>
        <w:rPr>
          <w:lang w:val="en-GB"/>
        </w:rPr>
      </w:pPr>
      <w:r w:rsidRPr="0020339D">
        <w:rPr>
          <w:lang w:val="en-GB"/>
        </w:rPr>
        <w:t xml:space="preserve">Globaldata.com. (2022). </w:t>
      </w:r>
      <w:r w:rsidRPr="0020339D">
        <w:rPr>
          <w:i/>
          <w:lang w:val="en-GB"/>
        </w:rPr>
        <w:t xml:space="preserve">Johnson &amp; Johnson Company Profile - Johnson &amp; Johnson Overview - </w:t>
      </w:r>
      <w:proofErr w:type="spellStart"/>
      <w:r w:rsidRPr="0020339D">
        <w:rPr>
          <w:i/>
          <w:lang w:val="en-GB"/>
        </w:rPr>
        <w:t>GlobalData</w:t>
      </w:r>
      <w:proofErr w:type="spellEnd"/>
      <w:r w:rsidRPr="0020339D">
        <w:rPr>
          <w:lang w:val="en-GB"/>
        </w:rPr>
        <w:t xml:space="preserve">. [online] Available at: </w:t>
      </w:r>
      <w:hyperlink r:id="rId29">
        <w:r w:rsidRPr="0020339D">
          <w:rPr>
            <w:u w:val="single"/>
            <w:lang w:val="en-GB"/>
          </w:rPr>
          <w:t>https://www.globaldata.com/company-profile/johnson-johnson/</w:t>
        </w:r>
      </w:hyperlink>
      <w:r w:rsidRPr="0020339D">
        <w:rPr>
          <w:lang w:val="en-GB"/>
        </w:rPr>
        <w:t>.</w:t>
      </w:r>
    </w:p>
    <w:p w14:paraId="62E3E30A" w14:textId="77777777" w:rsidR="00714ECE" w:rsidRPr="0020339D" w:rsidRDefault="00714ECE">
      <w:pPr>
        <w:spacing w:before="0" w:after="0"/>
        <w:rPr>
          <w:highlight w:val="white"/>
          <w:lang w:val="en-GB"/>
        </w:rPr>
      </w:pPr>
      <w:r w:rsidRPr="0020339D">
        <w:rPr>
          <w:highlight w:val="white"/>
          <w:lang w:val="en-GB"/>
        </w:rPr>
        <w:t xml:space="preserve">HRISHIKES, B. (2021). </w:t>
      </w:r>
      <w:r w:rsidRPr="0020339D">
        <w:rPr>
          <w:i/>
          <w:highlight w:val="white"/>
          <w:lang w:val="en-GB"/>
        </w:rPr>
        <w:t xml:space="preserve">WORKING CAPITAL </w:t>
      </w:r>
      <w:proofErr w:type="gramStart"/>
      <w:r w:rsidRPr="0020339D">
        <w:rPr>
          <w:i/>
          <w:highlight w:val="white"/>
          <w:lang w:val="en-GB"/>
        </w:rPr>
        <w:t>MANAGEMENT :</w:t>
      </w:r>
      <w:proofErr w:type="gramEnd"/>
      <w:r w:rsidRPr="0020339D">
        <w:rPr>
          <w:i/>
          <w:highlight w:val="white"/>
          <w:lang w:val="en-GB"/>
        </w:rPr>
        <w:t xml:space="preserve"> STRATEGIES AND TECHNIQUES, Fourth Edition</w:t>
      </w:r>
      <w:r w:rsidRPr="0020339D">
        <w:rPr>
          <w:highlight w:val="white"/>
          <w:lang w:val="en-GB"/>
        </w:rPr>
        <w:t xml:space="preserve">. [online] </w:t>
      </w:r>
      <w:r w:rsidRPr="0020339D">
        <w:rPr>
          <w:i/>
          <w:highlight w:val="white"/>
          <w:lang w:val="en-GB"/>
        </w:rPr>
        <w:t>Google Books</w:t>
      </w:r>
      <w:r w:rsidRPr="0020339D">
        <w:rPr>
          <w:highlight w:val="white"/>
          <w:lang w:val="en-GB"/>
        </w:rPr>
        <w:t xml:space="preserve">. PHI Learning </w:t>
      </w:r>
      <w:proofErr w:type="spellStart"/>
      <w:r w:rsidRPr="0020339D">
        <w:rPr>
          <w:highlight w:val="white"/>
          <w:lang w:val="en-GB"/>
        </w:rPr>
        <w:t>Pvt.</w:t>
      </w:r>
      <w:proofErr w:type="spellEnd"/>
      <w:r w:rsidRPr="0020339D">
        <w:rPr>
          <w:highlight w:val="white"/>
          <w:lang w:val="en-GB"/>
        </w:rPr>
        <w:t xml:space="preserve"> Ltd. Available at: </w:t>
      </w:r>
      <w:hyperlink r:id="rId30" w:history="1">
        <w:r w:rsidR="0020339D" w:rsidRPr="0020339D">
          <w:rPr>
            <w:rStyle w:val="Hyperlink"/>
            <w:color w:val="auto"/>
            <w:lang w:val="en-GB"/>
          </w:rPr>
          <w:t>https://books.google.com/books?hl=en&amp;lr=&amp;id=jBw7EAAAQBAJ&amp;oi=fnd&amp;pg=PP1&amp;dq=working+capital+management+is+one+of+the+important+tactics+that+can+be+crucial+for+enhancing+liquidity+ratios&amp;ots=LjPomSKzWm&amp;sig=u3MwAazhq-_vZHpODNJFXs41XLE</w:t>
        </w:r>
      </w:hyperlink>
      <w:r w:rsidRPr="0020339D">
        <w:rPr>
          <w:highlight w:val="white"/>
          <w:lang w:val="en-GB"/>
        </w:rPr>
        <w:t>[Accessed 13 Jul. 2024].</w:t>
      </w:r>
    </w:p>
    <w:p w14:paraId="5B89E779" w14:textId="77777777" w:rsidR="00714ECE" w:rsidRPr="0020339D" w:rsidRDefault="00714ECE">
      <w:pPr>
        <w:spacing w:before="0" w:after="0"/>
        <w:rPr>
          <w:lang w:val="en-GB"/>
        </w:rPr>
      </w:pPr>
      <w:r w:rsidRPr="0020339D">
        <w:rPr>
          <w:lang w:val="en-GB"/>
        </w:rPr>
        <w:t xml:space="preserve">HRISHIKES, B. (2021). </w:t>
      </w:r>
      <w:r w:rsidRPr="0020339D">
        <w:rPr>
          <w:i/>
          <w:lang w:val="en-GB"/>
        </w:rPr>
        <w:t xml:space="preserve">WORKING CAPITAL </w:t>
      </w:r>
      <w:proofErr w:type="gramStart"/>
      <w:r w:rsidRPr="0020339D">
        <w:rPr>
          <w:i/>
          <w:lang w:val="en-GB"/>
        </w:rPr>
        <w:t>MANAGEMENT :</w:t>
      </w:r>
      <w:proofErr w:type="gramEnd"/>
      <w:r w:rsidRPr="0020339D">
        <w:rPr>
          <w:i/>
          <w:lang w:val="en-GB"/>
        </w:rPr>
        <w:t xml:space="preserve"> STRATEGIES AND TECHNIQUES, Fourth Edition</w:t>
      </w:r>
      <w:r w:rsidRPr="0020339D">
        <w:rPr>
          <w:lang w:val="en-GB"/>
        </w:rPr>
        <w:t xml:space="preserve">. [online] </w:t>
      </w:r>
      <w:r w:rsidRPr="0020339D">
        <w:rPr>
          <w:i/>
          <w:lang w:val="en-GB"/>
        </w:rPr>
        <w:t>Google Books</w:t>
      </w:r>
      <w:r w:rsidRPr="0020339D">
        <w:rPr>
          <w:lang w:val="en-GB"/>
        </w:rPr>
        <w:t xml:space="preserve">. PHI Learning </w:t>
      </w:r>
      <w:proofErr w:type="spellStart"/>
      <w:r w:rsidRPr="0020339D">
        <w:rPr>
          <w:lang w:val="en-GB"/>
        </w:rPr>
        <w:t>Pvt.</w:t>
      </w:r>
      <w:proofErr w:type="spellEnd"/>
      <w:r w:rsidRPr="0020339D">
        <w:rPr>
          <w:lang w:val="en-GB"/>
        </w:rPr>
        <w:t xml:space="preserve"> Ltd. Available at: </w:t>
      </w:r>
      <w:hyperlink r:id="rId31" w:history="1">
        <w:r w:rsidR="0020339D" w:rsidRPr="0020339D">
          <w:rPr>
            <w:rStyle w:val="Hyperlink"/>
            <w:color w:val="auto"/>
            <w:lang w:val="en-GB"/>
          </w:rPr>
          <w:t>https://books.google.com/books?hl=en&amp;lr=&amp;id=jBw7EAAAQBAJ&amp;oi=fnd&amp;pg=PP1&amp;dq=fluctuations+in+current+assets+are+mainly+due+to+factors+like+economic+conditions+and+changes+in+the+operations+of+a+company&amp;ots=LjPomRQt_q&amp;sig=iGO8AbbtpqdQ6tcvU1FU2J_yZuo</w:t>
        </w:r>
      </w:hyperlink>
      <w:r w:rsidRPr="0020339D">
        <w:rPr>
          <w:lang w:val="en-GB"/>
        </w:rPr>
        <w:t>[Accessed 13 Jul. 2024].</w:t>
      </w:r>
    </w:p>
    <w:p w14:paraId="5481FBED" w14:textId="77777777" w:rsidR="00714ECE" w:rsidRPr="0020339D" w:rsidRDefault="00714ECE">
      <w:pPr>
        <w:spacing w:before="0" w:after="0"/>
        <w:rPr>
          <w:lang w:val="en-GB"/>
        </w:rPr>
      </w:pPr>
      <w:proofErr w:type="spellStart"/>
      <w:r w:rsidRPr="0020339D">
        <w:rPr>
          <w:lang w:val="en-GB"/>
        </w:rPr>
        <w:t>Imteaz</w:t>
      </w:r>
      <w:proofErr w:type="spellEnd"/>
      <w:r w:rsidRPr="0020339D">
        <w:rPr>
          <w:lang w:val="en-GB"/>
        </w:rPr>
        <w:t xml:space="preserve">, M.A., </w:t>
      </w:r>
      <w:proofErr w:type="spellStart"/>
      <w:r w:rsidRPr="0020339D">
        <w:rPr>
          <w:lang w:val="en-GB"/>
        </w:rPr>
        <w:t>Bayatvarkeshi</w:t>
      </w:r>
      <w:proofErr w:type="spellEnd"/>
      <w:r w:rsidRPr="0020339D">
        <w:rPr>
          <w:lang w:val="en-GB"/>
        </w:rPr>
        <w:t xml:space="preserve">, M. and Karim, </w:t>
      </w:r>
      <w:proofErr w:type="spellStart"/>
      <w:r w:rsidRPr="0020339D">
        <w:rPr>
          <w:lang w:val="en-GB"/>
        </w:rPr>
        <w:t>Md.R</w:t>
      </w:r>
      <w:proofErr w:type="spellEnd"/>
      <w:r w:rsidRPr="0020339D">
        <w:rPr>
          <w:lang w:val="en-GB"/>
        </w:rPr>
        <w:t xml:space="preserve">. (2021). Developing Generalised Equation for the Calculation of </w:t>
      </w:r>
      <w:proofErr w:type="spellStart"/>
      <w:r w:rsidRPr="0020339D">
        <w:rPr>
          <w:lang w:val="en-GB"/>
        </w:rPr>
        <w:t>PayBack</w:t>
      </w:r>
      <w:proofErr w:type="spellEnd"/>
      <w:r w:rsidRPr="0020339D">
        <w:rPr>
          <w:lang w:val="en-GB"/>
        </w:rPr>
        <w:t xml:space="preserve"> Period for Rainwater Harvesting Systems. </w:t>
      </w:r>
      <w:r w:rsidRPr="0020339D">
        <w:rPr>
          <w:i/>
          <w:lang w:val="en-GB"/>
        </w:rPr>
        <w:t>Sustainability</w:t>
      </w:r>
      <w:r w:rsidRPr="0020339D">
        <w:rPr>
          <w:lang w:val="en-GB"/>
        </w:rPr>
        <w:t xml:space="preserve">, [online] 13(8), p.4266. </w:t>
      </w:r>
      <w:proofErr w:type="spellStart"/>
      <w:r w:rsidRPr="0020339D">
        <w:rPr>
          <w:lang w:val="en-GB"/>
        </w:rPr>
        <w:t>doi:</w:t>
      </w:r>
      <w:hyperlink r:id="rId32">
        <w:r w:rsidRPr="0020339D">
          <w:rPr>
            <w:u w:val="single"/>
            <w:lang w:val="en-GB"/>
          </w:rPr>
          <w:t>https</w:t>
        </w:r>
        <w:proofErr w:type="spellEnd"/>
        <w:r w:rsidRPr="0020339D">
          <w:rPr>
            <w:u w:val="single"/>
            <w:lang w:val="en-GB"/>
          </w:rPr>
          <w:t>://doi.org/10.3390/su13084266</w:t>
        </w:r>
      </w:hyperlink>
      <w:r w:rsidRPr="0020339D">
        <w:rPr>
          <w:lang w:val="en-GB"/>
        </w:rPr>
        <w:t>.</w:t>
      </w:r>
    </w:p>
    <w:p w14:paraId="19AA8D50" w14:textId="77777777" w:rsidR="00714ECE" w:rsidRPr="0020339D" w:rsidRDefault="00714ECE">
      <w:pPr>
        <w:spacing w:before="0" w:after="0"/>
        <w:rPr>
          <w:lang w:val="en-GB"/>
        </w:rPr>
      </w:pPr>
      <w:proofErr w:type="spellStart"/>
      <w:r w:rsidRPr="0020339D">
        <w:rPr>
          <w:lang w:val="en-GB"/>
        </w:rPr>
        <w:t>Jnj</w:t>
      </w:r>
      <w:proofErr w:type="spellEnd"/>
      <w:r w:rsidRPr="0020339D">
        <w:rPr>
          <w:lang w:val="en-GB"/>
        </w:rPr>
        <w:t xml:space="preserve"> (2024). </w:t>
      </w:r>
      <w:r w:rsidRPr="0020339D">
        <w:rPr>
          <w:i/>
          <w:lang w:val="en-GB"/>
        </w:rPr>
        <w:t>About Johnson &amp; Johnson</w:t>
      </w:r>
      <w:r w:rsidRPr="0020339D">
        <w:rPr>
          <w:lang w:val="en-GB"/>
        </w:rPr>
        <w:t xml:space="preserve">. [online] Available at: </w:t>
      </w:r>
      <w:hyperlink r:id="rId33" w:anchor=":~:text=Our%20over%20125%2C000%20employees%20in">
        <w:r w:rsidRPr="0020339D">
          <w:rPr>
            <w:u w:val="single"/>
            <w:lang w:val="en-GB"/>
          </w:rPr>
          <w:t>https://www.jnj.in/about-us#:~:text=Our%20over%20125%2C000%20employees%20in</w:t>
        </w:r>
      </w:hyperlink>
      <w:r w:rsidRPr="0020339D">
        <w:rPr>
          <w:lang w:val="en-GB"/>
        </w:rPr>
        <w:t>.</w:t>
      </w:r>
    </w:p>
    <w:p w14:paraId="3EFC0437" w14:textId="77777777" w:rsidR="00714ECE" w:rsidRPr="0020339D" w:rsidRDefault="00714ECE">
      <w:pPr>
        <w:spacing w:before="0" w:after="0"/>
        <w:rPr>
          <w:lang w:val="en-GB"/>
        </w:rPr>
      </w:pPr>
      <w:r w:rsidRPr="0020339D">
        <w:rPr>
          <w:lang w:val="en-GB"/>
        </w:rPr>
        <w:t xml:space="preserve">Johnson &amp; Johnson (2024). </w:t>
      </w:r>
      <w:r w:rsidRPr="0020339D">
        <w:rPr>
          <w:i/>
          <w:lang w:val="en-GB"/>
        </w:rPr>
        <w:t>Our credo</w:t>
      </w:r>
      <w:r w:rsidRPr="0020339D">
        <w:rPr>
          <w:lang w:val="en-GB"/>
        </w:rPr>
        <w:t xml:space="preserve">. [online] Content Lab U.S. Available at: </w:t>
      </w:r>
      <w:hyperlink r:id="rId34">
        <w:r w:rsidRPr="0020339D">
          <w:rPr>
            <w:u w:val="single"/>
            <w:lang w:val="en-GB"/>
          </w:rPr>
          <w:t>https://www.jnj.com/our-credo</w:t>
        </w:r>
      </w:hyperlink>
      <w:r w:rsidRPr="0020339D">
        <w:rPr>
          <w:lang w:val="en-GB"/>
        </w:rPr>
        <w:t>. [Accessed 13 Jul. 2024]</w:t>
      </w:r>
    </w:p>
    <w:p w14:paraId="653A76C3" w14:textId="77777777" w:rsidR="00714ECE" w:rsidRPr="0020339D" w:rsidRDefault="00714ECE">
      <w:pPr>
        <w:spacing w:before="240" w:after="240"/>
        <w:rPr>
          <w:lang w:val="en-GB"/>
        </w:rPr>
      </w:pPr>
      <w:r w:rsidRPr="0020339D">
        <w:rPr>
          <w:lang w:val="en-GB"/>
        </w:rPr>
        <w:lastRenderedPageBreak/>
        <w:t xml:space="preserve">‌Kim, H.K. and Lee, C.W. (2021). Relationships among Healthcare Digitalization, Social Capital, and Supply Chain Performance in the Healthcare Manufacturing Industry. </w:t>
      </w:r>
      <w:r w:rsidRPr="0020339D">
        <w:rPr>
          <w:i/>
          <w:lang w:val="en-GB"/>
        </w:rPr>
        <w:t>International Journal of Environmental Research and Public Health</w:t>
      </w:r>
      <w:r w:rsidRPr="0020339D">
        <w:rPr>
          <w:lang w:val="en-GB"/>
        </w:rPr>
        <w:t xml:space="preserve">, 18(4), p.1417. </w:t>
      </w:r>
      <w:proofErr w:type="spellStart"/>
      <w:r w:rsidRPr="0020339D">
        <w:rPr>
          <w:lang w:val="en-GB"/>
        </w:rPr>
        <w:t>doi:</w:t>
      </w:r>
      <w:hyperlink r:id="rId35" w:history="1">
        <w:r w:rsidR="0020339D" w:rsidRPr="0020339D">
          <w:rPr>
            <w:rStyle w:val="Hyperlink"/>
            <w:color w:val="auto"/>
            <w:lang w:val="en-GB"/>
          </w:rPr>
          <w:t>https</w:t>
        </w:r>
        <w:proofErr w:type="spellEnd"/>
        <w:r w:rsidR="0020339D" w:rsidRPr="0020339D">
          <w:rPr>
            <w:rStyle w:val="Hyperlink"/>
            <w:color w:val="auto"/>
            <w:lang w:val="en-GB"/>
          </w:rPr>
          <w:t>://doi.org/10.3390/ijerph18041417</w:t>
        </w:r>
      </w:hyperlink>
      <w:r w:rsidRPr="0020339D">
        <w:rPr>
          <w:lang w:val="en-GB"/>
        </w:rPr>
        <w:t>.</w:t>
      </w:r>
    </w:p>
    <w:p w14:paraId="0EEB0D4E" w14:textId="77777777" w:rsidR="00714ECE" w:rsidRPr="0020339D" w:rsidRDefault="00714ECE">
      <w:pPr>
        <w:spacing w:before="240" w:after="240"/>
        <w:rPr>
          <w:lang w:val="en-GB"/>
        </w:rPr>
      </w:pPr>
      <w:r w:rsidRPr="0020339D">
        <w:rPr>
          <w:lang w:val="en-GB"/>
        </w:rPr>
        <w:t xml:space="preserve">‌Kinyua, B. and Ochieng’, D.E. (2022). Firm Characteristics, Corporate Governance and Financial Leverage: A Critical Literature Review. </w:t>
      </w:r>
      <w:r w:rsidRPr="0020339D">
        <w:rPr>
          <w:i/>
          <w:lang w:val="en-GB"/>
        </w:rPr>
        <w:t>African Development Finance Journal</w:t>
      </w:r>
      <w:r w:rsidRPr="0020339D">
        <w:rPr>
          <w:lang w:val="en-GB"/>
        </w:rPr>
        <w:t xml:space="preserve">, [online] 4(3), pp.78–103. Available at: </w:t>
      </w:r>
      <w:hyperlink r:id="rId36" w:history="1">
        <w:r w:rsidR="0020339D" w:rsidRPr="0020339D">
          <w:rPr>
            <w:rStyle w:val="Hyperlink"/>
            <w:color w:val="auto"/>
            <w:lang w:val="en-GB"/>
          </w:rPr>
          <w:t>http://uonjournals.uonbi.ac.ke/ojs/index.php/adfj/article/view/1321</w:t>
        </w:r>
      </w:hyperlink>
      <w:r w:rsidRPr="0020339D">
        <w:rPr>
          <w:lang w:val="en-GB"/>
        </w:rPr>
        <w:t>[Accessed 13 Jul. 2024].</w:t>
      </w:r>
    </w:p>
    <w:p w14:paraId="6A6A237A" w14:textId="77777777" w:rsidR="00714ECE" w:rsidRPr="0020339D" w:rsidRDefault="00714ECE">
      <w:pPr>
        <w:spacing w:before="0" w:after="0"/>
        <w:rPr>
          <w:highlight w:val="white"/>
          <w:lang w:val="en-GB"/>
        </w:rPr>
      </w:pPr>
      <w:r w:rsidRPr="0020339D">
        <w:rPr>
          <w:highlight w:val="white"/>
          <w:lang w:val="en-GB"/>
        </w:rPr>
        <w:t xml:space="preserve">Lee, R. (2021). The Effect of Supply Chain Management Strategy on Operational and Financial Performance. </w:t>
      </w:r>
      <w:r w:rsidRPr="0020339D">
        <w:rPr>
          <w:i/>
          <w:highlight w:val="white"/>
          <w:lang w:val="en-GB"/>
        </w:rPr>
        <w:t>Sustainability</w:t>
      </w:r>
      <w:r w:rsidRPr="0020339D">
        <w:rPr>
          <w:highlight w:val="white"/>
          <w:lang w:val="en-GB"/>
        </w:rPr>
        <w:t xml:space="preserve">, [online] 13(9), pp.1–18. </w:t>
      </w:r>
      <w:proofErr w:type="spellStart"/>
      <w:r w:rsidRPr="0020339D">
        <w:rPr>
          <w:highlight w:val="white"/>
          <w:lang w:val="en-GB"/>
        </w:rPr>
        <w:t>doi:</w:t>
      </w:r>
      <w:hyperlink r:id="rId37">
        <w:r w:rsidRPr="0020339D">
          <w:rPr>
            <w:highlight w:val="white"/>
            <w:u w:val="single"/>
            <w:lang w:val="en-GB"/>
          </w:rPr>
          <w:t>https</w:t>
        </w:r>
        <w:proofErr w:type="spellEnd"/>
        <w:r w:rsidRPr="0020339D">
          <w:rPr>
            <w:highlight w:val="white"/>
            <w:u w:val="single"/>
            <w:lang w:val="en-GB"/>
          </w:rPr>
          <w:t>://doi.org/10.3390/su13095138</w:t>
        </w:r>
      </w:hyperlink>
      <w:r w:rsidRPr="0020339D">
        <w:rPr>
          <w:highlight w:val="white"/>
          <w:lang w:val="en-GB"/>
        </w:rPr>
        <w:t xml:space="preserve">. </w:t>
      </w:r>
    </w:p>
    <w:p w14:paraId="04DFFDBA" w14:textId="77777777" w:rsidR="00714ECE" w:rsidRPr="0020339D" w:rsidRDefault="00714ECE">
      <w:pPr>
        <w:spacing w:before="0" w:after="0"/>
        <w:rPr>
          <w:lang w:val="en-GB"/>
        </w:rPr>
      </w:pPr>
      <w:r w:rsidRPr="0020339D">
        <w:rPr>
          <w:lang w:val="en-GB"/>
        </w:rPr>
        <w:t xml:space="preserve">Luigi, B., Candidate, Y. and </w:t>
      </w:r>
      <w:proofErr w:type="spellStart"/>
      <w:r w:rsidRPr="0020339D">
        <w:rPr>
          <w:lang w:val="en-GB"/>
        </w:rPr>
        <w:t>Shiqian</w:t>
      </w:r>
      <w:proofErr w:type="spellEnd"/>
      <w:r w:rsidRPr="0020339D">
        <w:rPr>
          <w:lang w:val="en-GB"/>
        </w:rPr>
        <w:t xml:space="preserve"> (2021). </w:t>
      </w:r>
      <w:r w:rsidRPr="0020339D">
        <w:rPr>
          <w:i/>
          <w:lang w:val="en-GB"/>
        </w:rPr>
        <w:t xml:space="preserve">Economic Analysis of the FMCG Industry </w:t>
      </w:r>
      <w:proofErr w:type="gramStart"/>
      <w:r w:rsidRPr="0020339D">
        <w:rPr>
          <w:i/>
          <w:lang w:val="en-GB"/>
        </w:rPr>
        <w:t>In</w:t>
      </w:r>
      <w:proofErr w:type="gramEnd"/>
      <w:r w:rsidRPr="0020339D">
        <w:rPr>
          <w:i/>
          <w:lang w:val="en-GB"/>
        </w:rPr>
        <w:t xml:space="preserve"> China (Fast Moving Consumer Goods)</w:t>
      </w:r>
      <w:r w:rsidRPr="0020339D">
        <w:rPr>
          <w:lang w:val="en-GB"/>
        </w:rPr>
        <w:t xml:space="preserve">. [online] Available at: </w:t>
      </w:r>
      <w:hyperlink r:id="rId38">
        <w:r w:rsidRPr="0020339D">
          <w:rPr>
            <w:u w:val="single"/>
            <w:lang w:val="en-GB"/>
          </w:rPr>
          <w:t>https://webthesis.biblio.polito.it/secure/17759/1/tesi.pdf</w:t>
        </w:r>
      </w:hyperlink>
      <w:r w:rsidRPr="0020339D">
        <w:rPr>
          <w:lang w:val="en-GB"/>
        </w:rPr>
        <w:t xml:space="preserve">. </w:t>
      </w:r>
    </w:p>
    <w:p w14:paraId="20158C75" w14:textId="77777777" w:rsidR="00714ECE" w:rsidRPr="0020339D" w:rsidRDefault="00714ECE">
      <w:pPr>
        <w:spacing w:before="0" w:after="0"/>
        <w:rPr>
          <w:lang w:val="en-GB"/>
        </w:rPr>
      </w:pPr>
      <w:proofErr w:type="spellStart"/>
      <w:r w:rsidRPr="0020339D">
        <w:rPr>
          <w:lang w:val="en-GB"/>
        </w:rPr>
        <w:t>Naknok</w:t>
      </w:r>
      <w:proofErr w:type="spellEnd"/>
      <w:r w:rsidRPr="0020339D">
        <w:rPr>
          <w:lang w:val="en-GB"/>
        </w:rPr>
        <w:t xml:space="preserve">, S. (2022). Firm Performance Indicators as a Fundamental Analysis of Stocks and a Determinant of a Firm’s Operation. </w:t>
      </w:r>
      <w:r w:rsidRPr="0020339D">
        <w:rPr>
          <w:i/>
          <w:lang w:val="en-GB"/>
        </w:rPr>
        <w:t>International Journal of Economics and Business Administration</w:t>
      </w:r>
      <w:r w:rsidRPr="0020339D">
        <w:rPr>
          <w:lang w:val="en-GB"/>
        </w:rPr>
        <w:t xml:space="preserve">, </w:t>
      </w:r>
      <w:proofErr w:type="gramStart"/>
      <w:r w:rsidRPr="0020339D">
        <w:rPr>
          <w:lang w:val="en-GB"/>
        </w:rPr>
        <w:t>X(</w:t>
      </w:r>
      <w:proofErr w:type="gramEnd"/>
      <w:r w:rsidRPr="0020339D">
        <w:rPr>
          <w:lang w:val="en-GB"/>
        </w:rPr>
        <w:t xml:space="preserve">Issue 1), pp.190–213. </w:t>
      </w:r>
      <w:proofErr w:type="spellStart"/>
      <w:r w:rsidRPr="0020339D">
        <w:rPr>
          <w:lang w:val="en-GB"/>
        </w:rPr>
        <w:t>doi:</w:t>
      </w:r>
      <w:hyperlink r:id="rId39">
        <w:r w:rsidRPr="0020339D">
          <w:rPr>
            <w:u w:val="single"/>
            <w:lang w:val="en-GB"/>
          </w:rPr>
          <w:t>https</w:t>
        </w:r>
        <w:proofErr w:type="spellEnd"/>
        <w:r w:rsidRPr="0020339D">
          <w:rPr>
            <w:u w:val="single"/>
            <w:lang w:val="en-GB"/>
          </w:rPr>
          <w:t>://doi.org/10.35808/</w:t>
        </w:r>
        <w:proofErr w:type="spellStart"/>
        <w:r w:rsidRPr="0020339D">
          <w:rPr>
            <w:u w:val="single"/>
            <w:lang w:val="en-GB"/>
          </w:rPr>
          <w:t>ijeba</w:t>
        </w:r>
        <w:proofErr w:type="spellEnd"/>
        <w:r w:rsidRPr="0020339D">
          <w:rPr>
            <w:u w:val="single"/>
            <w:lang w:val="en-GB"/>
          </w:rPr>
          <w:t>/758</w:t>
        </w:r>
      </w:hyperlink>
    </w:p>
    <w:p w14:paraId="75BA2DB5" w14:textId="77777777" w:rsidR="00714ECE" w:rsidRPr="0020339D" w:rsidRDefault="00714ECE">
      <w:pPr>
        <w:spacing w:before="0" w:after="0"/>
        <w:rPr>
          <w:lang w:val="en-GB"/>
        </w:rPr>
      </w:pPr>
      <w:proofErr w:type="spellStart"/>
      <w:r w:rsidRPr="0020339D">
        <w:rPr>
          <w:lang w:val="en-GB"/>
        </w:rPr>
        <w:t>Nariswari</w:t>
      </w:r>
      <w:proofErr w:type="spellEnd"/>
      <w:r w:rsidRPr="0020339D">
        <w:rPr>
          <w:lang w:val="en-GB"/>
        </w:rPr>
        <w:t xml:space="preserve">, T.N. and Nugraha, N.M. (2020). Profit </w:t>
      </w:r>
      <w:proofErr w:type="gramStart"/>
      <w:r w:rsidRPr="0020339D">
        <w:rPr>
          <w:lang w:val="en-GB"/>
        </w:rPr>
        <w:t>Growth :</w:t>
      </w:r>
      <w:proofErr w:type="gramEnd"/>
      <w:r w:rsidRPr="0020339D">
        <w:rPr>
          <w:lang w:val="en-GB"/>
        </w:rPr>
        <w:t xml:space="preserve"> Impact of Net Profit Margin, Gross Profit Margin and Total </w:t>
      </w:r>
      <w:proofErr w:type="spellStart"/>
      <w:r w:rsidRPr="0020339D">
        <w:rPr>
          <w:lang w:val="en-GB"/>
        </w:rPr>
        <w:t>Assests</w:t>
      </w:r>
      <w:proofErr w:type="spellEnd"/>
      <w:r w:rsidRPr="0020339D">
        <w:rPr>
          <w:lang w:val="en-GB"/>
        </w:rPr>
        <w:t xml:space="preserve"> Turnover. </w:t>
      </w:r>
      <w:r w:rsidRPr="0020339D">
        <w:rPr>
          <w:i/>
          <w:lang w:val="en-GB"/>
        </w:rPr>
        <w:t>International Journal of Finance &amp; Banking Studies (2147-4486)</w:t>
      </w:r>
      <w:r w:rsidRPr="0020339D">
        <w:rPr>
          <w:lang w:val="en-GB"/>
        </w:rPr>
        <w:t>, 9(4), pp.87–96.</w:t>
      </w:r>
    </w:p>
    <w:p w14:paraId="0278645B" w14:textId="77777777" w:rsidR="00714ECE" w:rsidRPr="0020339D" w:rsidRDefault="00714ECE">
      <w:pPr>
        <w:spacing w:before="0" w:after="0"/>
        <w:rPr>
          <w:lang w:val="en-GB"/>
        </w:rPr>
      </w:pPr>
      <w:proofErr w:type="spellStart"/>
      <w:r w:rsidRPr="0020339D">
        <w:rPr>
          <w:lang w:val="en-GB"/>
        </w:rPr>
        <w:t>OsazefuaImhanzenobe</w:t>
      </w:r>
      <w:proofErr w:type="spellEnd"/>
      <w:r w:rsidRPr="0020339D">
        <w:rPr>
          <w:lang w:val="en-GB"/>
        </w:rPr>
        <w:t xml:space="preserve">, J. (2020). Managers’ financial practices and financial sustainability of Nigerian manufacturing companies: Which ratios matter most? </w:t>
      </w:r>
      <w:r w:rsidRPr="0020339D">
        <w:rPr>
          <w:i/>
          <w:lang w:val="en-GB"/>
        </w:rPr>
        <w:t>Cogent Economics &amp; Finance</w:t>
      </w:r>
      <w:r w:rsidRPr="0020339D">
        <w:rPr>
          <w:lang w:val="en-GB"/>
        </w:rPr>
        <w:t xml:space="preserve">, 8(1). </w:t>
      </w:r>
      <w:proofErr w:type="spellStart"/>
      <w:r w:rsidRPr="0020339D">
        <w:rPr>
          <w:lang w:val="en-GB"/>
        </w:rPr>
        <w:t>doi:</w:t>
      </w:r>
      <w:hyperlink r:id="rId40" w:history="1">
        <w:r w:rsidR="0020339D" w:rsidRPr="0020339D">
          <w:rPr>
            <w:rStyle w:val="Hyperlink"/>
            <w:color w:val="auto"/>
            <w:lang w:val="en-GB"/>
          </w:rPr>
          <w:t>https</w:t>
        </w:r>
        <w:proofErr w:type="spellEnd"/>
        <w:r w:rsidR="0020339D" w:rsidRPr="0020339D">
          <w:rPr>
            <w:rStyle w:val="Hyperlink"/>
            <w:color w:val="auto"/>
            <w:lang w:val="en-GB"/>
          </w:rPr>
          <w:t>://doi.org/10.1080/23322039.2020.1724241</w:t>
        </w:r>
      </w:hyperlink>
      <w:r w:rsidRPr="0020339D">
        <w:rPr>
          <w:lang w:val="en-GB"/>
        </w:rPr>
        <w:t>.</w:t>
      </w:r>
    </w:p>
    <w:p w14:paraId="5FAEA43D" w14:textId="77777777" w:rsidR="00714ECE" w:rsidRPr="0020339D" w:rsidRDefault="00714ECE">
      <w:pPr>
        <w:spacing w:before="240" w:after="240"/>
        <w:rPr>
          <w:lang w:val="en-GB"/>
        </w:rPr>
      </w:pPr>
      <w:r w:rsidRPr="0020339D">
        <w:rPr>
          <w:lang w:val="en-GB"/>
        </w:rPr>
        <w:t>‌</w:t>
      </w:r>
      <w:r w:rsidRPr="0020339D">
        <w:rPr>
          <w:highlight w:val="white"/>
          <w:lang w:val="en-GB"/>
        </w:rPr>
        <w:t xml:space="preserve">Osterwalder, A., Pigneur, Y., Smith, A. and </w:t>
      </w:r>
      <w:proofErr w:type="spellStart"/>
      <w:r w:rsidRPr="0020339D">
        <w:rPr>
          <w:highlight w:val="white"/>
          <w:lang w:val="en-GB"/>
        </w:rPr>
        <w:t>Etiemble</w:t>
      </w:r>
      <w:proofErr w:type="spellEnd"/>
      <w:r w:rsidRPr="0020339D">
        <w:rPr>
          <w:highlight w:val="white"/>
          <w:lang w:val="en-GB"/>
        </w:rPr>
        <w:t xml:space="preserve">, F., (2020). </w:t>
      </w:r>
      <w:r w:rsidRPr="0020339D">
        <w:rPr>
          <w:i/>
          <w:highlight w:val="white"/>
          <w:lang w:val="en-GB"/>
        </w:rPr>
        <w:t>The invincible company: how to constantly reinvent your organization with inspiration from the world's best business models</w:t>
      </w:r>
      <w:r w:rsidRPr="0020339D">
        <w:rPr>
          <w:highlight w:val="white"/>
          <w:lang w:val="en-GB"/>
        </w:rPr>
        <w:t xml:space="preserve"> (Vol. 4). John Wiley &amp; Sons.</w:t>
      </w:r>
      <w:hyperlink r:id="rId41" w:history="1">
        <w:r w:rsidR="0020339D" w:rsidRPr="0020339D">
          <w:rPr>
            <w:rStyle w:val="Hyperlink"/>
            <w:color w:val="auto"/>
            <w:lang w:val="en-GB"/>
          </w:rPr>
          <w:t>https://lup.lub.lu.se/student-papers/record/1978924/file/1978926.pdf</w:t>
        </w:r>
      </w:hyperlink>
    </w:p>
    <w:p w14:paraId="49DFA64F" w14:textId="77777777" w:rsidR="00714ECE" w:rsidRPr="0020339D" w:rsidRDefault="00714ECE">
      <w:pPr>
        <w:spacing w:before="0" w:after="0"/>
        <w:rPr>
          <w:lang w:val="en-GB"/>
        </w:rPr>
      </w:pPr>
      <w:r w:rsidRPr="0020339D">
        <w:rPr>
          <w:lang w:val="en-GB"/>
        </w:rPr>
        <w:t xml:space="preserve">Ourstory.jnj.com. (2021). </w:t>
      </w:r>
      <w:r w:rsidRPr="0020339D">
        <w:rPr>
          <w:i/>
          <w:lang w:val="en-GB"/>
        </w:rPr>
        <w:t>Our Beginning | Johnson &amp; Johnson Our Story</w:t>
      </w:r>
      <w:r w:rsidRPr="0020339D">
        <w:rPr>
          <w:lang w:val="en-GB"/>
        </w:rPr>
        <w:t xml:space="preserve">. [online] Available at: </w:t>
      </w:r>
      <w:hyperlink r:id="rId42" w:anchor=":~:text=Early%20Male%20Workers" w:history="1">
        <w:r w:rsidR="0020339D" w:rsidRPr="0020339D">
          <w:rPr>
            <w:rStyle w:val="Hyperlink"/>
            <w:color w:val="auto"/>
            <w:lang w:val="en-GB"/>
          </w:rPr>
          <w:t>https://ourstory.jnj.com/our-beginning#:~:text=Early%20Male%20Workers</w:t>
        </w:r>
      </w:hyperlink>
      <w:r w:rsidRPr="0020339D">
        <w:rPr>
          <w:lang w:val="en-GB"/>
        </w:rPr>
        <w:t>[Accessed 13 Jul. 2024].</w:t>
      </w:r>
    </w:p>
    <w:p w14:paraId="23FBEFA1" w14:textId="77777777" w:rsidR="00714ECE" w:rsidRPr="0020339D" w:rsidRDefault="00714ECE">
      <w:pPr>
        <w:spacing w:before="240" w:after="240"/>
        <w:rPr>
          <w:lang w:val="en-GB"/>
        </w:rPr>
      </w:pPr>
      <w:r w:rsidRPr="0020339D">
        <w:rPr>
          <w:lang w:val="en-GB"/>
        </w:rPr>
        <w:lastRenderedPageBreak/>
        <w:t>‌</w:t>
      </w:r>
      <w:proofErr w:type="spellStart"/>
      <w:r w:rsidRPr="0020339D">
        <w:rPr>
          <w:lang w:val="en-GB"/>
        </w:rPr>
        <w:t>Oyinloye</w:t>
      </w:r>
      <w:proofErr w:type="spellEnd"/>
      <w:r w:rsidRPr="0020339D">
        <w:rPr>
          <w:lang w:val="en-GB"/>
        </w:rPr>
        <w:t xml:space="preserve">, L., Olaniyan, T.O. and Agbadua, B.O. (2020). Effect of financial leverage on shareholder’s returns in a dynamic business environment. </w:t>
      </w:r>
      <w:r w:rsidRPr="0020339D">
        <w:rPr>
          <w:i/>
          <w:lang w:val="en-GB"/>
        </w:rPr>
        <w:t xml:space="preserve">Corporate Governance and Organizational </w:t>
      </w:r>
      <w:proofErr w:type="spellStart"/>
      <w:r w:rsidRPr="0020339D">
        <w:rPr>
          <w:i/>
          <w:lang w:val="en-GB"/>
        </w:rPr>
        <w:t>Behavior</w:t>
      </w:r>
      <w:proofErr w:type="spellEnd"/>
      <w:r w:rsidRPr="0020339D">
        <w:rPr>
          <w:i/>
          <w:lang w:val="en-GB"/>
        </w:rPr>
        <w:t xml:space="preserve"> Review</w:t>
      </w:r>
      <w:r w:rsidRPr="0020339D">
        <w:rPr>
          <w:lang w:val="en-GB"/>
        </w:rPr>
        <w:t xml:space="preserve">, 4(2), pp.40–49. </w:t>
      </w:r>
      <w:proofErr w:type="spellStart"/>
      <w:r w:rsidRPr="0020339D">
        <w:rPr>
          <w:lang w:val="en-GB"/>
        </w:rPr>
        <w:t>doi:</w:t>
      </w:r>
      <w:hyperlink r:id="rId43" w:history="1">
        <w:r w:rsidR="0020339D" w:rsidRPr="0020339D">
          <w:rPr>
            <w:rStyle w:val="Hyperlink"/>
            <w:color w:val="auto"/>
            <w:lang w:val="en-GB"/>
          </w:rPr>
          <w:t>https</w:t>
        </w:r>
        <w:proofErr w:type="spellEnd"/>
        <w:r w:rsidR="0020339D" w:rsidRPr="0020339D">
          <w:rPr>
            <w:rStyle w:val="Hyperlink"/>
            <w:color w:val="auto"/>
            <w:lang w:val="en-GB"/>
          </w:rPr>
          <w:t>://doi.org/10.22495/cgobrv4i2p4</w:t>
        </w:r>
      </w:hyperlink>
      <w:r w:rsidRPr="0020339D">
        <w:rPr>
          <w:lang w:val="en-GB"/>
        </w:rPr>
        <w:t>.</w:t>
      </w:r>
    </w:p>
    <w:p w14:paraId="1324BF8B" w14:textId="77777777" w:rsidR="00714ECE" w:rsidRPr="0020339D" w:rsidRDefault="00714ECE">
      <w:pPr>
        <w:spacing w:before="0" w:after="0"/>
        <w:rPr>
          <w:lang w:val="en-GB"/>
        </w:rPr>
      </w:pPr>
      <w:r w:rsidRPr="0020339D">
        <w:rPr>
          <w:lang w:val="en-GB"/>
        </w:rPr>
        <w:t xml:space="preserve">Pereira, D. (2023). </w:t>
      </w:r>
      <w:r w:rsidRPr="0020339D">
        <w:rPr>
          <w:i/>
          <w:lang w:val="en-GB"/>
        </w:rPr>
        <w:t>Johnson &amp; Johnson Business Model - How Johnson &amp; Johnson Makes Money?</w:t>
      </w:r>
      <w:r w:rsidRPr="0020339D">
        <w:rPr>
          <w:lang w:val="en-GB"/>
        </w:rPr>
        <w:t xml:space="preserve"> [online] businessmodelanalyst.com. Available at: </w:t>
      </w:r>
      <w:hyperlink r:id="rId44">
        <w:r w:rsidRPr="0020339D">
          <w:rPr>
            <w:u w:val="single"/>
            <w:lang w:val="en-GB"/>
          </w:rPr>
          <w:t>https://businessmodelanalyst.com/johnson-johnson-business-model/</w:t>
        </w:r>
      </w:hyperlink>
      <w:r w:rsidRPr="0020339D">
        <w:rPr>
          <w:lang w:val="en-GB"/>
        </w:rPr>
        <w:t>.</w:t>
      </w:r>
    </w:p>
    <w:p w14:paraId="03D4F8FD" w14:textId="77777777" w:rsidR="00714ECE" w:rsidRPr="0020339D" w:rsidRDefault="00714ECE">
      <w:pPr>
        <w:spacing w:before="0" w:after="0"/>
        <w:rPr>
          <w:lang w:val="en-GB"/>
        </w:rPr>
      </w:pPr>
      <w:proofErr w:type="spellStart"/>
      <w:r w:rsidRPr="0020339D">
        <w:rPr>
          <w:highlight w:val="white"/>
          <w:lang w:val="en-GB"/>
        </w:rPr>
        <w:t>Pornupatham</w:t>
      </w:r>
      <w:proofErr w:type="spellEnd"/>
      <w:r w:rsidRPr="0020339D">
        <w:rPr>
          <w:highlight w:val="white"/>
          <w:lang w:val="en-GB"/>
        </w:rPr>
        <w:t xml:space="preserve">, S., Tan, H.-T., </w:t>
      </w:r>
      <w:proofErr w:type="spellStart"/>
      <w:r w:rsidRPr="0020339D">
        <w:rPr>
          <w:highlight w:val="white"/>
          <w:lang w:val="en-GB"/>
        </w:rPr>
        <w:t>Vichitsarawong</w:t>
      </w:r>
      <w:proofErr w:type="spellEnd"/>
      <w:r w:rsidRPr="0020339D">
        <w:rPr>
          <w:highlight w:val="white"/>
          <w:lang w:val="en-GB"/>
        </w:rPr>
        <w:t xml:space="preserve">, T. and Yoo, G-Song. (2022). The Effect of Cash Flow Presentation Method on Investors’ Forecast of Future Cash Flows. </w:t>
      </w:r>
      <w:r w:rsidRPr="0020339D">
        <w:rPr>
          <w:i/>
          <w:highlight w:val="white"/>
          <w:lang w:val="en-GB"/>
        </w:rPr>
        <w:t>Management Science</w:t>
      </w:r>
      <w:r w:rsidRPr="0020339D">
        <w:rPr>
          <w:highlight w:val="white"/>
          <w:lang w:val="en-GB"/>
        </w:rPr>
        <w:t xml:space="preserve">, 69(3). </w:t>
      </w:r>
      <w:proofErr w:type="spellStart"/>
      <w:r w:rsidRPr="0020339D">
        <w:rPr>
          <w:highlight w:val="white"/>
          <w:lang w:val="en-GB"/>
        </w:rPr>
        <w:t>doi:</w:t>
      </w:r>
      <w:hyperlink r:id="rId45">
        <w:r w:rsidRPr="0020339D">
          <w:rPr>
            <w:highlight w:val="white"/>
            <w:u w:val="single"/>
            <w:lang w:val="en-GB"/>
          </w:rPr>
          <w:t>https</w:t>
        </w:r>
        <w:proofErr w:type="spellEnd"/>
        <w:r w:rsidRPr="0020339D">
          <w:rPr>
            <w:highlight w:val="white"/>
            <w:u w:val="single"/>
            <w:lang w:val="en-GB"/>
          </w:rPr>
          <w:t>://doi.org/10.1287/mnsc.2022.4406</w:t>
        </w:r>
      </w:hyperlink>
      <w:r w:rsidRPr="0020339D">
        <w:rPr>
          <w:highlight w:val="white"/>
          <w:lang w:val="en-GB"/>
        </w:rPr>
        <w:t>.</w:t>
      </w:r>
    </w:p>
    <w:p w14:paraId="1C60ABF3" w14:textId="77777777" w:rsidR="00714ECE" w:rsidRPr="0020339D" w:rsidRDefault="00714ECE">
      <w:pPr>
        <w:spacing w:before="0" w:after="0"/>
        <w:rPr>
          <w:lang w:val="en-GB"/>
        </w:rPr>
      </w:pPr>
      <w:r w:rsidRPr="0020339D">
        <w:rPr>
          <w:lang w:val="en-GB"/>
        </w:rPr>
        <w:t xml:space="preserve">Statista. (2018). </w:t>
      </w:r>
      <w:r w:rsidRPr="0020339D">
        <w:rPr>
          <w:i/>
          <w:lang w:val="en-GB"/>
        </w:rPr>
        <w:t>Leading pharmaceutical companies in the UK 2018 by market share | Statista</w:t>
      </w:r>
      <w:r w:rsidRPr="0020339D">
        <w:rPr>
          <w:lang w:val="en-GB"/>
        </w:rPr>
        <w:t xml:space="preserve">. [online] Available at: </w:t>
      </w:r>
      <w:hyperlink r:id="rId46">
        <w:r w:rsidRPr="0020339D">
          <w:rPr>
            <w:u w:val="single"/>
            <w:lang w:val="en-GB"/>
          </w:rPr>
          <w:t>https://www.statista.com/statistics/956282/leading-pharmaceutical-companies-market-share-united-kingdom-uk/</w:t>
        </w:r>
      </w:hyperlink>
      <w:r w:rsidRPr="0020339D">
        <w:rPr>
          <w:lang w:val="en-GB"/>
        </w:rPr>
        <w:t>.</w:t>
      </w:r>
    </w:p>
    <w:p w14:paraId="43B138EF" w14:textId="77777777" w:rsidR="00714ECE" w:rsidRPr="0020339D" w:rsidRDefault="00714ECE">
      <w:pPr>
        <w:spacing w:before="240" w:after="240"/>
        <w:rPr>
          <w:lang w:val="en-GB"/>
        </w:rPr>
      </w:pPr>
      <w:r w:rsidRPr="0020339D">
        <w:rPr>
          <w:lang w:val="en-GB"/>
        </w:rPr>
        <w:t xml:space="preserve">‌Statista. (2023). </w:t>
      </w:r>
      <w:r w:rsidRPr="0020339D">
        <w:rPr>
          <w:i/>
          <w:lang w:val="en-GB"/>
        </w:rPr>
        <w:t>Johnson &amp; Johnson net earnings 2005-2023</w:t>
      </w:r>
      <w:r w:rsidRPr="0020339D">
        <w:rPr>
          <w:lang w:val="en-GB"/>
        </w:rPr>
        <w:t xml:space="preserve">. [online] Available at: </w:t>
      </w:r>
      <w:hyperlink r:id="rId47" w:anchor=":~:text=In%202023%2C%20Johnson%20%26%20Johnson">
        <w:r w:rsidRPr="0020339D">
          <w:rPr>
            <w:u w:val="single"/>
            <w:lang w:val="en-GB"/>
          </w:rPr>
          <w:t>https://www.statista.com/statistics/281389/johnson-und-johnsons-net-income/#:~:text=In%202023%2C%20Johnson%20%26%20Johnson</w:t>
        </w:r>
      </w:hyperlink>
      <w:r w:rsidRPr="0020339D">
        <w:rPr>
          <w:lang w:val="en-GB"/>
        </w:rPr>
        <w:t>.</w:t>
      </w:r>
    </w:p>
    <w:p w14:paraId="00E1F063" w14:textId="77777777" w:rsidR="00714ECE" w:rsidRPr="0020339D" w:rsidRDefault="00714ECE">
      <w:pPr>
        <w:spacing w:before="0" w:after="0"/>
        <w:rPr>
          <w:lang w:val="en-GB"/>
        </w:rPr>
      </w:pPr>
      <w:proofErr w:type="spellStart"/>
      <w:r w:rsidRPr="0020339D">
        <w:rPr>
          <w:lang w:val="en-GB"/>
        </w:rPr>
        <w:t>Stefvy</w:t>
      </w:r>
      <w:proofErr w:type="spellEnd"/>
      <w:r w:rsidRPr="0020339D">
        <w:rPr>
          <w:lang w:val="en-GB"/>
        </w:rPr>
        <w:t xml:space="preserve"> and </w:t>
      </w:r>
      <w:proofErr w:type="spellStart"/>
      <w:r w:rsidRPr="0020339D">
        <w:rPr>
          <w:lang w:val="en-GB"/>
        </w:rPr>
        <w:t>Djohan</w:t>
      </w:r>
      <w:proofErr w:type="spellEnd"/>
      <w:r w:rsidRPr="0020339D">
        <w:rPr>
          <w:lang w:val="en-GB"/>
        </w:rPr>
        <w:t xml:space="preserve">, D. (2023). The Analysis of Liquidity Ratio as Tool to Measure Financial Position in PT. </w:t>
      </w:r>
      <w:proofErr w:type="spellStart"/>
      <w:r w:rsidRPr="0020339D">
        <w:rPr>
          <w:lang w:val="en-GB"/>
        </w:rPr>
        <w:t>Iplug</w:t>
      </w:r>
      <w:proofErr w:type="spellEnd"/>
      <w:r w:rsidRPr="0020339D">
        <w:rPr>
          <w:lang w:val="en-GB"/>
        </w:rPr>
        <w:t xml:space="preserve"> Indonesia at Medan. </w:t>
      </w:r>
      <w:r w:rsidRPr="0020339D">
        <w:rPr>
          <w:i/>
          <w:lang w:val="en-GB"/>
        </w:rPr>
        <w:t>International Journal of Health, Economics, and Social Sciences (IJHESS)</w:t>
      </w:r>
      <w:r w:rsidRPr="0020339D">
        <w:rPr>
          <w:lang w:val="en-GB"/>
        </w:rPr>
        <w:t xml:space="preserve">, [online] 5(3), pp.322–327. </w:t>
      </w:r>
      <w:proofErr w:type="spellStart"/>
      <w:r w:rsidRPr="0020339D">
        <w:rPr>
          <w:lang w:val="en-GB"/>
        </w:rPr>
        <w:t>doi:</w:t>
      </w:r>
      <w:hyperlink r:id="rId48">
        <w:r w:rsidRPr="0020339D">
          <w:rPr>
            <w:u w:val="single"/>
            <w:lang w:val="en-GB"/>
          </w:rPr>
          <w:t>https</w:t>
        </w:r>
        <w:proofErr w:type="spellEnd"/>
        <w:r w:rsidRPr="0020339D">
          <w:rPr>
            <w:u w:val="single"/>
            <w:lang w:val="en-GB"/>
          </w:rPr>
          <w:t>://doi.org/10.56338/ijhess.v5i3.3934</w:t>
        </w:r>
      </w:hyperlink>
      <w:r w:rsidRPr="0020339D">
        <w:rPr>
          <w:lang w:val="en-GB"/>
        </w:rPr>
        <w:t>.</w:t>
      </w:r>
    </w:p>
    <w:p w14:paraId="76CFA4FB" w14:textId="77777777" w:rsidR="00714ECE" w:rsidRPr="0020339D" w:rsidRDefault="00714ECE">
      <w:pPr>
        <w:spacing w:before="240" w:after="240"/>
        <w:rPr>
          <w:lang w:val="en-GB"/>
        </w:rPr>
      </w:pPr>
      <w:r w:rsidRPr="0020339D">
        <w:rPr>
          <w:lang w:val="en-GB"/>
        </w:rPr>
        <w:t>‌</w:t>
      </w:r>
      <w:proofErr w:type="spellStart"/>
      <w:r w:rsidRPr="0020339D">
        <w:rPr>
          <w:lang w:val="en-GB"/>
        </w:rPr>
        <w:t>Sumrit</w:t>
      </w:r>
      <w:proofErr w:type="spellEnd"/>
      <w:r w:rsidRPr="0020339D">
        <w:rPr>
          <w:lang w:val="en-GB"/>
        </w:rPr>
        <w:t xml:space="preserve">, D. (2020). Supplier selection for vendor-managed inventory in healthcare using fuzzy multi-criteria decision-making approach. </w:t>
      </w:r>
      <w:r w:rsidRPr="0020339D">
        <w:rPr>
          <w:i/>
          <w:lang w:val="en-GB"/>
        </w:rPr>
        <w:t>Decision Science Letters</w:t>
      </w:r>
      <w:r w:rsidRPr="0020339D">
        <w:rPr>
          <w:lang w:val="en-GB"/>
        </w:rPr>
        <w:t xml:space="preserve">, [online] 9(2), pp.233–256. Available at: </w:t>
      </w:r>
      <w:hyperlink r:id="rId49" w:history="1">
        <w:r w:rsidR="0020339D" w:rsidRPr="0020339D">
          <w:rPr>
            <w:rStyle w:val="Hyperlink"/>
            <w:color w:val="auto"/>
            <w:lang w:val="en-GB"/>
          </w:rPr>
          <w:t>http://growingscience.com/beta/dsl/3660-supplier-selection-for-vendor-managed-inventory-in-healthcare-using-fuzzy-multi-criteria-decision-making-approach.html</w:t>
        </w:r>
      </w:hyperlink>
      <w:r w:rsidRPr="0020339D">
        <w:rPr>
          <w:lang w:val="en-GB"/>
        </w:rPr>
        <w:t>[Accessed 12 May 2020].</w:t>
      </w:r>
    </w:p>
    <w:p w14:paraId="16F93908" w14:textId="77777777" w:rsidR="00714ECE" w:rsidRPr="0020339D" w:rsidRDefault="00714ECE">
      <w:pPr>
        <w:spacing w:before="0" w:after="0"/>
        <w:rPr>
          <w:lang w:val="en-GB"/>
        </w:rPr>
      </w:pPr>
      <w:proofErr w:type="spellStart"/>
      <w:r w:rsidRPr="0020339D">
        <w:rPr>
          <w:highlight w:val="white"/>
          <w:lang w:val="en-GB"/>
        </w:rPr>
        <w:t>Tömöri</w:t>
      </w:r>
      <w:proofErr w:type="spellEnd"/>
      <w:r w:rsidRPr="0020339D">
        <w:rPr>
          <w:highlight w:val="white"/>
          <w:lang w:val="en-GB"/>
        </w:rPr>
        <w:t xml:space="preserve">, G., Lakatos, V. and Mártha, B.B. (2021). The Effect of Financial Risk Taking on Profitability in the Pharmaceutical Industry. </w:t>
      </w:r>
      <w:r w:rsidRPr="0020339D">
        <w:rPr>
          <w:i/>
          <w:highlight w:val="white"/>
          <w:lang w:val="en-GB"/>
        </w:rPr>
        <w:t>Economies</w:t>
      </w:r>
      <w:r w:rsidRPr="0020339D">
        <w:rPr>
          <w:highlight w:val="white"/>
          <w:lang w:val="en-GB"/>
        </w:rPr>
        <w:t xml:space="preserve">, 9(4), p.153. </w:t>
      </w:r>
      <w:proofErr w:type="spellStart"/>
      <w:r w:rsidRPr="0020339D">
        <w:rPr>
          <w:highlight w:val="white"/>
          <w:lang w:val="en-GB"/>
        </w:rPr>
        <w:t>doi:</w:t>
      </w:r>
      <w:hyperlink r:id="rId50" w:history="1">
        <w:r w:rsidR="0020339D" w:rsidRPr="0020339D">
          <w:rPr>
            <w:rStyle w:val="Hyperlink"/>
            <w:color w:val="auto"/>
            <w:lang w:val="en-GB"/>
          </w:rPr>
          <w:t>https</w:t>
        </w:r>
        <w:proofErr w:type="spellEnd"/>
        <w:r w:rsidR="0020339D" w:rsidRPr="0020339D">
          <w:rPr>
            <w:rStyle w:val="Hyperlink"/>
            <w:color w:val="auto"/>
            <w:lang w:val="en-GB"/>
          </w:rPr>
          <w:t>://doi.org/10.3390/economies9040153</w:t>
        </w:r>
      </w:hyperlink>
      <w:r w:rsidRPr="0020339D">
        <w:rPr>
          <w:highlight w:val="white"/>
          <w:lang w:val="en-GB"/>
        </w:rPr>
        <w:t>.</w:t>
      </w:r>
    </w:p>
    <w:p w14:paraId="720DB30E" w14:textId="77777777" w:rsidR="00714ECE" w:rsidRPr="0020339D" w:rsidRDefault="00714ECE">
      <w:pPr>
        <w:spacing w:before="0" w:after="0"/>
        <w:rPr>
          <w:lang w:val="en-GB"/>
        </w:rPr>
      </w:pPr>
      <w:r w:rsidRPr="0020339D">
        <w:rPr>
          <w:lang w:val="en-GB"/>
        </w:rPr>
        <w:lastRenderedPageBreak/>
        <w:t xml:space="preserve">VU, T.M.T., TRUONG, T.V. and DINH, D.T. (2020). Determinants of Liquidity in Manufacturing Firms. </w:t>
      </w:r>
      <w:r w:rsidRPr="0020339D">
        <w:rPr>
          <w:i/>
          <w:lang w:val="en-GB"/>
        </w:rPr>
        <w:t>The Journal of Asian Finance, Economics and Business</w:t>
      </w:r>
      <w:r w:rsidRPr="0020339D">
        <w:rPr>
          <w:lang w:val="en-GB"/>
        </w:rPr>
        <w:t xml:space="preserve">, 7(12), pp.11–19. </w:t>
      </w:r>
      <w:proofErr w:type="spellStart"/>
      <w:r w:rsidRPr="0020339D">
        <w:rPr>
          <w:lang w:val="en-GB"/>
        </w:rPr>
        <w:t>doi:</w:t>
      </w:r>
      <w:hyperlink r:id="rId51">
        <w:r w:rsidRPr="0020339D">
          <w:rPr>
            <w:u w:val="single"/>
            <w:lang w:val="en-GB"/>
          </w:rPr>
          <w:t>https</w:t>
        </w:r>
        <w:proofErr w:type="spellEnd"/>
        <w:r w:rsidRPr="0020339D">
          <w:rPr>
            <w:u w:val="single"/>
            <w:lang w:val="en-GB"/>
          </w:rPr>
          <w:t>://doi.org/10.13106/jafeb.2020.vol7.no12.011</w:t>
        </w:r>
      </w:hyperlink>
      <w:r w:rsidRPr="0020339D">
        <w:rPr>
          <w:lang w:val="en-GB"/>
        </w:rPr>
        <w:t xml:space="preserve">. </w:t>
      </w:r>
    </w:p>
    <w:p w14:paraId="129B2769" w14:textId="77777777" w:rsidR="00714ECE" w:rsidRPr="0020339D" w:rsidRDefault="00714ECE">
      <w:pPr>
        <w:spacing w:before="0" w:after="0"/>
        <w:rPr>
          <w:lang w:val="en-GB"/>
        </w:rPr>
      </w:pPr>
      <w:bookmarkStart w:id="21" w:name="_uzb3se8ubiws" w:colFirst="0" w:colLast="0"/>
      <w:bookmarkEnd w:id="21"/>
      <w:r w:rsidRPr="0020339D">
        <w:rPr>
          <w:lang w:val="en-GB"/>
        </w:rPr>
        <w:t xml:space="preserve">Wang, Z., Huang, B., Tu, S., Zhang, K. and Xu, L. (2021). </w:t>
      </w:r>
      <w:proofErr w:type="spellStart"/>
      <w:r w:rsidRPr="0020339D">
        <w:rPr>
          <w:lang w:val="en-GB"/>
        </w:rPr>
        <w:t>DeepTrader</w:t>
      </w:r>
      <w:proofErr w:type="spellEnd"/>
      <w:r w:rsidRPr="0020339D">
        <w:rPr>
          <w:lang w:val="en-GB"/>
        </w:rPr>
        <w:t xml:space="preserve">: A Deep Reinforcement Learning Approach for Risk-Return Balanced Portfolio Management with Market Conditions Embedding. </w:t>
      </w:r>
      <w:r w:rsidRPr="0020339D">
        <w:rPr>
          <w:i/>
          <w:lang w:val="en-GB"/>
        </w:rPr>
        <w:t>Proceedings of the AAAI Conference on Artificial Intelligence</w:t>
      </w:r>
      <w:r w:rsidRPr="0020339D">
        <w:rPr>
          <w:lang w:val="en-GB"/>
        </w:rPr>
        <w:t xml:space="preserve">, 35(1), pp.643–650. </w:t>
      </w:r>
      <w:proofErr w:type="spellStart"/>
      <w:r w:rsidRPr="0020339D">
        <w:rPr>
          <w:lang w:val="en-GB"/>
        </w:rPr>
        <w:t>doi:</w:t>
      </w:r>
      <w:hyperlink r:id="rId52">
        <w:r w:rsidRPr="0020339D">
          <w:rPr>
            <w:u w:val="single"/>
            <w:lang w:val="en-GB"/>
          </w:rPr>
          <w:t>https</w:t>
        </w:r>
        <w:proofErr w:type="spellEnd"/>
        <w:r w:rsidRPr="0020339D">
          <w:rPr>
            <w:u w:val="single"/>
            <w:lang w:val="en-GB"/>
          </w:rPr>
          <w:t>://doi.org/10.1609/aaai.v35i1.16144</w:t>
        </w:r>
      </w:hyperlink>
      <w:r w:rsidRPr="0020339D">
        <w:rPr>
          <w:lang w:val="en-GB"/>
        </w:rPr>
        <w:t>.</w:t>
      </w:r>
    </w:p>
    <w:p w14:paraId="65439C6B" w14:textId="77777777" w:rsidR="00410BA5" w:rsidRPr="0020339D" w:rsidRDefault="00C55C36">
      <w:pPr>
        <w:pStyle w:val="Heading1"/>
        <w:rPr>
          <w:lang w:val="en-GB"/>
        </w:rPr>
      </w:pPr>
      <w:bookmarkStart w:id="22" w:name="_Toc171804434"/>
      <w:r w:rsidRPr="0020339D">
        <w:rPr>
          <w:lang w:val="en-GB"/>
        </w:rPr>
        <w:lastRenderedPageBreak/>
        <w:t>Appendices</w:t>
      </w:r>
      <w:bookmarkEnd w:id="22"/>
    </w:p>
    <w:p w14:paraId="6DD49454" w14:textId="77777777" w:rsidR="00410BA5" w:rsidRPr="0020339D" w:rsidRDefault="00C55C36">
      <w:pPr>
        <w:pStyle w:val="Heading2"/>
        <w:rPr>
          <w:lang w:val="en-GB"/>
        </w:rPr>
      </w:pPr>
      <w:bookmarkStart w:id="23" w:name="_Toc171804435"/>
      <w:r w:rsidRPr="0020339D">
        <w:rPr>
          <w:lang w:val="en-GB"/>
        </w:rPr>
        <w:t>Appendix 1: Ratios Calculation</w:t>
      </w:r>
      <w:bookmarkEnd w:id="23"/>
    </w:p>
    <w:p w14:paraId="0F4B4418" w14:textId="77777777" w:rsidR="00410BA5" w:rsidRPr="0020339D" w:rsidRDefault="00C55C36">
      <w:pPr>
        <w:jc w:val="center"/>
        <w:rPr>
          <w:lang w:val="en-GB"/>
        </w:rPr>
      </w:pPr>
      <w:r w:rsidRPr="0020339D">
        <w:rPr>
          <w:noProof/>
          <w:lang w:val="en-US" w:eastAsia="en-US"/>
        </w:rPr>
        <w:drawing>
          <wp:inline distT="114300" distB="114300" distL="114300" distR="114300" wp14:anchorId="7958A474" wp14:editId="58A9EE53">
            <wp:extent cx="5943600" cy="5816600"/>
            <wp:effectExtent l="25400" t="25400" r="25400" b="25400"/>
            <wp:docPr id="9"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53"/>
                    <a:srcRect/>
                    <a:stretch>
                      <a:fillRect/>
                    </a:stretch>
                  </pic:blipFill>
                  <pic:spPr>
                    <a:xfrm>
                      <a:off x="0" y="0"/>
                      <a:ext cx="5943600" cy="5816600"/>
                    </a:xfrm>
                    <a:prstGeom prst="rect">
                      <a:avLst/>
                    </a:prstGeom>
                    <a:ln w="25400">
                      <a:solidFill>
                        <a:srgbClr val="000000"/>
                      </a:solidFill>
                      <a:prstDash val="solid"/>
                    </a:ln>
                  </pic:spPr>
                </pic:pic>
              </a:graphicData>
            </a:graphic>
          </wp:inline>
        </w:drawing>
      </w:r>
      <w:r w:rsidRPr="0020339D">
        <w:rPr>
          <w:lang w:val="en-GB"/>
        </w:rPr>
        <w:br w:type="page"/>
      </w:r>
    </w:p>
    <w:p w14:paraId="557FFDA5" w14:textId="77777777" w:rsidR="00410BA5" w:rsidRPr="0020339D" w:rsidRDefault="00C55C36">
      <w:pPr>
        <w:jc w:val="center"/>
        <w:rPr>
          <w:lang w:val="en-GB"/>
        </w:rPr>
      </w:pPr>
      <w:r w:rsidRPr="0020339D">
        <w:rPr>
          <w:noProof/>
          <w:lang w:val="en-US" w:eastAsia="en-US"/>
        </w:rPr>
        <w:lastRenderedPageBreak/>
        <w:drawing>
          <wp:inline distT="114300" distB="114300" distL="114300" distR="114300" wp14:anchorId="0A28CD7B" wp14:editId="5A5FADAA">
            <wp:extent cx="5943600" cy="5295900"/>
            <wp:effectExtent l="25400" t="25400" r="25400" b="25400"/>
            <wp:docPr id="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54"/>
                    <a:srcRect/>
                    <a:stretch>
                      <a:fillRect/>
                    </a:stretch>
                  </pic:blipFill>
                  <pic:spPr>
                    <a:xfrm>
                      <a:off x="0" y="0"/>
                      <a:ext cx="5943600" cy="5295900"/>
                    </a:xfrm>
                    <a:prstGeom prst="rect">
                      <a:avLst/>
                    </a:prstGeom>
                    <a:ln w="25400">
                      <a:solidFill>
                        <a:srgbClr val="000000"/>
                      </a:solidFill>
                      <a:prstDash val="solid"/>
                    </a:ln>
                  </pic:spPr>
                </pic:pic>
              </a:graphicData>
            </a:graphic>
          </wp:inline>
        </w:drawing>
      </w:r>
    </w:p>
    <w:p w14:paraId="2A32943C" w14:textId="77777777" w:rsidR="00410BA5" w:rsidRPr="0020339D" w:rsidRDefault="00C55C36">
      <w:pPr>
        <w:jc w:val="center"/>
        <w:rPr>
          <w:lang w:val="en-GB"/>
        </w:rPr>
      </w:pPr>
      <w:r w:rsidRPr="0020339D">
        <w:rPr>
          <w:noProof/>
          <w:lang w:val="en-US" w:eastAsia="en-US"/>
        </w:rPr>
        <w:drawing>
          <wp:inline distT="114300" distB="114300" distL="114300" distR="114300" wp14:anchorId="239645A0" wp14:editId="56F9D00F">
            <wp:extent cx="5943600" cy="1752600"/>
            <wp:effectExtent l="25400" t="25400" r="25400" b="25400"/>
            <wp:docPr id="7"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55"/>
                    <a:srcRect/>
                    <a:stretch>
                      <a:fillRect/>
                    </a:stretch>
                  </pic:blipFill>
                  <pic:spPr>
                    <a:xfrm>
                      <a:off x="0" y="0"/>
                      <a:ext cx="5943600" cy="1752600"/>
                    </a:xfrm>
                    <a:prstGeom prst="rect">
                      <a:avLst/>
                    </a:prstGeom>
                    <a:ln w="25400">
                      <a:solidFill>
                        <a:srgbClr val="000000"/>
                      </a:solidFill>
                      <a:prstDash val="solid"/>
                    </a:ln>
                  </pic:spPr>
                </pic:pic>
              </a:graphicData>
            </a:graphic>
          </wp:inline>
        </w:drawing>
      </w:r>
    </w:p>
    <w:p w14:paraId="716D8DD9" w14:textId="77777777" w:rsidR="00410BA5" w:rsidRPr="0020339D" w:rsidRDefault="00410BA5">
      <w:pPr>
        <w:rPr>
          <w:lang w:val="en-GB"/>
        </w:rPr>
      </w:pPr>
    </w:p>
    <w:sectPr w:rsidR="00410BA5" w:rsidRPr="0020339D" w:rsidSect="006E7FE3">
      <w:footerReference w:type="default" r:id="rId56"/>
      <w:headerReference w:type="first" r:id="rId57"/>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C784E13" w14:textId="77777777" w:rsidR="00967B3B" w:rsidRDefault="00967B3B">
      <w:pPr>
        <w:spacing w:before="0" w:after="0" w:line="240" w:lineRule="auto"/>
      </w:pPr>
      <w:r>
        <w:separator/>
      </w:r>
    </w:p>
  </w:endnote>
  <w:endnote w:type="continuationSeparator" w:id="0">
    <w:p w14:paraId="056D8F15" w14:textId="77777777" w:rsidR="00967B3B" w:rsidRDefault="00967B3B">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2AA883" w14:textId="77777777" w:rsidR="00C55C36" w:rsidRDefault="000A47A9">
    <w:pPr>
      <w:jc w:val="right"/>
      <w:rPr>
        <w:b/>
        <w:sz w:val="20"/>
        <w:szCs w:val="20"/>
      </w:rPr>
    </w:pPr>
    <w:r>
      <w:rPr>
        <w:b/>
        <w:sz w:val="20"/>
        <w:szCs w:val="20"/>
      </w:rPr>
      <w:fldChar w:fldCharType="begin"/>
    </w:r>
    <w:r w:rsidR="00C55C36">
      <w:rPr>
        <w:b/>
        <w:sz w:val="20"/>
        <w:szCs w:val="20"/>
      </w:rPr>
      <w:instrText>PAGE</w:instrText>
    </w:r>
    <w:r>
      <w:rPr>
        <w:b/>
        <w:sz w:val="20"/>
        <w:szCs w:val="20"/>
      </w:rPr>
      <w:fldChar w:fldCharType="separate"/>
    </w:r>
    <w:r w:rsidR="002A7057">
      <w:rPr>
        <w:b/>
        <w:noProof/>
        <w:sz w:val="20"/>
        <w:szCs w:val="20"/>
      </w:rPr>
      <w:t>2</w:t>
    </w:r>
    <w:r>
      <w:rPr>
        <w:b/>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83ABDFA" w14:textId="77777777" w:rsidR="00967B3B" w:rsidRDefault="00967B3B">
      <w:pPr>
        <w:spacing w:before="0" w:after="0" w:line="240" w:lineRule="auto"/>
      </w:pPr>
      <w:r>
        <w:separator/>
      </w:r>
    </w:p>
  </w:footnote>
  <w:footnote w:type="continuationSeparator" w:id="0">
    <w:p w14:paraId="0D4A7F2C" w14:textId="77777777" w:rsidR="00967B3B" w:rsidRDefault="00967B3B">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C6B16" w14:textId="77777777" w:rsidR="00C55C36" w:rsidRDefault="00C55C36">
    <w:pPr>
      <w:pStyle w:val="Header"/>
    </w:pPr>
    <w:r>
      <w:rPr>
        <w:noProof/>
        <w:lang w:val="en-US" w:eastAsia="en-US"/>
      </w:rPr>
      <w:drawing>
        <wp:inline distT="0" distB="0" distL="0" distR="0" wp14:anchorId="3CBB3620" wp14:editId="751844BC">
          <wp:extent cx="2286000" cy="1057275"/>
          <wp:effectExtent l="19050" t="0" r="0" b="0"/>
          <wp:docPr id="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2286000" cy="1057275"/>
                  </a:xfrm>
                  <a:prstGeom prst="rect">
                    <a:avLst/>
                  </a:prstGeom>
                  <a:noFill/>
                  <a:ln w="9525">
                    <a:noFill/>
                    <a:miter lim="800000"/>
                    <a:headEnd/>
                    <a:tailEnd/>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10BA5"/>
    <w:rsid w:val="000A47A9"/>
    <w:rsid w:val="000D6117"/>
    <w:rsid w:val="000F543A"/>
    <w:rsid w:val="00121431"/>
    <w:rsid w:val="0020339D"/>
    <w:rsid w:val="00221BDD"/>
    <w:rsid w:val="002A7057"/>
    <w:rsid w:val="00346476"/>
    <w:rsid w:val="00410BA5"/>
    <w:rsid w:val="0042347E"/>
    <w:rsid w:val="00455466"/>
    <w:rsid w:val="004F2285"/>
    <w:rsid w:val="006A40FD"/>
    <w:rsid w:val="006E7FE3"/>
    <w:rsid w:val="00714ECE"/>
    <w:rsid w:val="00795B79"/>
    <w:rsid w:val="007C7AF8"/>
    <w:rsid w:val="009239BF"/>
    <w:rsid w:val="00967B3B"/>
    <w:rsid w:val="009874A2"/>
    <w:rsid w:val="00A03A71"/>
    <w:rsid w:val="00C55C36"/>
    <w:rsid w:val="00CE56F6"/>
    <w:rsid w:val="00DF0C63"/>
    <w:rsid w:val="00E543F9"/>
    <w:rsid w:val="00EB4ED1"/>
    <w:rsid w:val="00F3545F"/>
    <w:rsid w:val="00FA687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266886"/>
  <w15:docId w15:val="{61F4F6D6-9EDE-4A19-8651-3369824086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IN" w:eastAsia="en-IN" w:bidi="ar-SA"/>
      </w:rPr>
    </w:rPrDefault>
    <w:pPrDefault>
      <w:pPr>
        <w:spacing w:before="200"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545F"/>
  </w:style>
  <w:style w:type="paragraph" w:styleId="Heading1">
    <w:name w:val="heading 1"/>
    <w:basedOn w:val="Normal"/>
    <w:next w:val="Normal"/>
    <w:uiPriority w:val="9"/>
    <w:qFormat/>
    <w:rsid w:val="00F3545F"/>
    <w:pPr>
      <w:keepNext/>
      <w:keepLines/>
      <w:outlineLvl w:val="0"/>
    </w:pPr>
    <w:rPr>
      <w:b/>
      <w:sz w:val="28"/>
      <w:szCs w:val="28"/>
    </w:rPr>
  </w:style>
  <w:style w:type="paragraph" w:styleId="Heading2">
    <w:name w:val="heading 2"/>
    <w:basedOn w:val="Normal"/>
    <w:next w:val="Normal"/>
    <w:uiPriority w:val="9"/>
    <w:unhideWhenUsed/>
    <w:qFormat/>
    <w:rsid w:val="00F3545F"/>
    <w:pPr>
      <w:keepNext/>
      <w:keepLines/>
      <w:outlineLvl w:val="1"/>
    </w:pPr>
    <w:rPr>
      <w:b/>
      <w:sz w:val="26"/>
      <w:szCs w:val="26"/>
    </w:rPr>
  </w:style>
  <w:style w:type="paragraph" w:styleId="Heading3">
    <w:name w:val="heading 3"/>
    <w:basedOn w:val="Normal"/>
    <w:next w:val="Normal"/>
    <w:uiPriority w:val="9"/>
    <w:unhideWhenUsed/>
    <w:qFormat/>
    <w:rsid w:val="00F3545F"/>
    <w:pPr>
      <w:keepNext/>
      <w:keepLines/>
      <w:outlineLvl w:val="2"/>
    </w:pPr>
    <w:rPr>
      <w:b/>
    </w:rPr>
  </w:style>
  <w:style w:type="paragraph" w:styleId="Heading4">
    <w:name w:val="heading 4"/>
    <w:basedOn w:val="Normal"/>
    <w:next w:val="Normal"/>
    <w:uiPriority w:val="9"/>
    <w:semiHidden/>
    <w:unhideWhenUsed/>
    <w:qFormat/>
    <w:rsid w:val="00F3545F"/>
    <w:pPr>
      <w:keepNext/>
      <w:keepLines/>
      <w:spacing w:before="280" w:after="80"/>
      <w:outlineLvl w:val="3"/>
    </w:pPr>
    <w:rPr>
      <w:color w:val="666666"/>
    </w:rPr>
  </w:style>
  <w:style w:type="paragraph" w:styleId="Heading5">
    <w:name w:val="heading 5"/>
    <w:basedOn w:val="Normal"/>
    <w:next w:val="Normal"/>
    <w:uiPriority w:val="9"/>
    <w:semiHidden/>
    <w:unhideWhenUsed/>
    <w:qFormat/>
    <w:rsid w:val="00F3545F"/>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rsid w:val="00F3545F"/>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F3545F"/>
    <w:pPr>
      <w:keepNext/>
      <w:keepLines/>
      <w:spacing w:before="0" w:after="60"/>
    </w:pPr>
    <w:rPr>
      <w:sz w:val="52"/>
      <w:szCs w:val="52"/>
    </w:rPr>
  </w:style>
  <w:style w:type="paragraph" w:styleId="Subtitle">
    <w:name w:val="Subtitle"/>
    <w:basedOn w:val="Normal"/>
    <w:next w:val="Normal"/>
    <w:uiPriority w:val="11"/>
    <w:qFormat/>
    <w:rsid w:val="00F3545F"/>
    <w:pPr>
      <w:keepNext/>
      <w:keepLines/>
      <w:spacing w:before="0" w:after="320"/>
    </w:pPr>
    <w:rPr>
      <w:rFonts w:ascii="Arial" w:eastAsia="Arial" w:hAnsi="Arial" w:cs="Arial"/>
      <w:color w:val="666666"/>
      <w:sz w:val="30"/>
      <w:szCs w:val="30"/>
    </w:rPr>
  </w:style>
  <w:style w:type="table" w:customStyle="1" w:styleId="a">
    <w:basedOn w:val="TableNormal"/>
    <w:rsid w:val="00F3545F"/>
    <w:tblPr>
      <w:tblStyleRowBandSize w:val="1"/>
      <w:tblStyleColBandSize w:val="1"/>
      <w:tblCellMar>
        <w:top w:w="100" w:type="dxa"/>
        <w:left w:w="100" w:type="dxa"/>
        <w:bottom w:w="100" w:type="dxa"/>
        <w:right w:w="100" w:type="dxa"/>
      </w:tblCellMar>
    </w:tblPr>
  </w:style>
  <w:style w:type="table" w:customStyle="1" w:styleId="a0">
    <w:basedOn w:val="TableNormal"/>
    <w:rsid w:val="00F3545F"/>
    <w:tblPr>
      <w:tblStyleRowBandSize w:val="1"/>
      <w:tblStyleColBandSize w:val="1"/>
      <w:tblCellMar>
        <w:top w:w="100" w:type="dxa"/>
        <w:left w:w="100" w:type="dxa"/>
        <w:bottom w:w="100" w:type="dxa"/>
        <w:right w:w="100" w:type="dxa"/>
      </w:tblCellMar>
    </w:tblPr>
  </w:style>
  <w:style w:type="table" w:customStyle="1" w:styleId="a1">
    <w:basedOn w:val="TableNormal"/>
    <w:rsid w:val="00F3545F"/>
    <w:tblPr>
      <w:tblStyleRowBandSize w:val="1"/>
      <w:tblStyleColBandSize w:val="1"/>
      <w:tblCellMar>
        <w:top w:w="100" w:type="dxa"/>
        <w:left w:w="100" w:type="dxa"/>
        <w:bottom w:w="100" w:type="dxa"/>
        <w:right w:w="100" w:type="dxa"/>
      </w:tblCellMar>
    </w:tblPr>
  </w:style>
  <w:style w:type="table" w:customStyle="1" w:styleId="a2">
    <w:basedOn w:val="TableNormal"/>
    <w:rsid w:val="00F3545F"/>
    <w:tblPr>
      <w:tblStyleRowBandSize w:val="1"/>
      <w:tblStyleColBandSize w:val="1"/>
      <w:tblCellMar>
        <w:top w:w="100" w:type="dxa"/>
        <w:left w:w="100" w:type="dxa"/>
        <w:bottom w:w="100" w:type="dxa"/>
        <w:right w:w="100" w:type="dxa"/>
      </w:tblCellMar>
    </w:tblPr>
  </w:style>
  <w:style w:type="table" w:customStyle="1" w:styleId="a3">
    <w:basedOn w:val="TableNormal"/>
    <w:rsid w:val="00F3545F"/>
    <w:tblPr>
      <w:tblStyleRowBandSize w:val="1"/>
      <w:tblStyleColBandSize w:val="1"/>
      <w:tblCellMar>
        <w:top w:w="100" w:type="dxa"/>
        <w:left w:w="100" w:type="dxa"/>
        <w:bottom w:w="100" w:type="dxa"/>
        <w:right w:w="100" w:type="dxa"/>
      </w:tblCellMar>
    </w:tblPr>
  </w:style>
  <w:style w:type="table" w:customStyle="1" w:styleId="a4">
    <w:basedOn w:val="TableNormal"/>
    <w:rsid w:val="00F3545F"/>
    <w:tblPr>
      <w:tblStyleRowBandSize w:val="1"/>
      <w:tblStyleColBandSize w:val="1"/>
      <w:tblCellMar>
        <w:top w:w="100" w:type="dxa"/>
        <w:left w:w="100" w:type="dxa"/>
        <w:bottom w:w="100" w:type="dxa"/>
        <w:right w:w="100" w:type="dxa"/>
      </w:tblCellMar>
    </w:tblPr>
  </w:style>
  <w:style w:type="table" w:customStyle="1" w:styleId="a5">
    <w:basedOn w:val="TableNormal"/>
    <w:rsid w:val="00F3545F"/>
    <w:tblPr>
      <w:tblStyleRowBandSize w:val="1"/>
      <w:tblStyleColBandSize w:val="1"/>
      <w:tblCellMar>
        <w:top w:w="100" w:type="dxa"/>
        <w:left w:w="100" w:type="dxa"/>
        <w:bottom w:w="100" w:type="dxa"/>
        <w:right w:w="100" w:type="dxa"/>
      </w:tblCellMar>
    </w:tblPr>
  </w:style>
  <w:style w:type="table" w:customStyle="1" w:styleId="a6">
    <w:basedOn w:val="TableNormal"/>
    <w:rsid w:val="00F3545F"/>
    <w:tblPr>
      <w:tblStyleRowBandSize w:val="1"/>
      <w:tblStyleColBandSize w:val="1"/>
      <w:tblCellMar>
        <w:top w:w="100" w:type="dxa"/>
        <w:left w:w="100" w:type="dxa"/>
        <w:bottom w:w="100" w:type="dxa"/>
        <w:right w:w="100" w:type="dxa"/>
      </w:tblCellMar>
    </w:tblPr>
  </w:style>
  <w:style w:type="paragraph" w:styleId="TOC1">
    <w:name w:val="toc 1"/>
    <w:basedOn w:val="Normal"/>
    <w:next w:val="Normal"/>
    <w:autoRedefine/>
    <w:uiPriority w:val="39"/>
    <w:unhideWhenUsed/>
    <w:rsid w:val="00FA6877"/>
    <w:pPr>
      <w:spacing w:after="100"/>
    </w:pPr>
  </w:style>
  <w:style w:type="paragraph" w:styleId="TOC2">
    <w:name w:val="toc 2"/>
    <w:basedOn w:val="Normal"/>
    <w:next w:val="Normal"/>
    <w:autoRedefine/>
    <w:uiPriority w:val="39"/>
    <w:unhideWhenUsed/>
    <w:rsid w:val="00FA6877"/>
    <w:pPr>
      <w:spacing w:after="100"/>
      <w:ind w:left="240"/>
    </w:pPr>
  </w:style>
  <w:style w:type="paragraph" w:styleId="TOC3">
    <w:name w:val="toc 3"/>
    <w:basedOn w:val="Normal"/>
    <w:next w:val="Normal"/>
    <w:autoRedefine/>
    <w:uiPriority w:val="39"/>
    <w:unhideWhenUsed/>
    <w:rsid w:val="00FA6877"/>
    <w:pPr>
      <w:spacing w:after="100"/>
      <w:ind w:left="480"/>
    </w:pPr>
  </w:style>
  <w:style w:type="character" w:styleId="Hyperlink">
    <w:name w:val="Hyperlink"/>
    <w:basedOn w:val="DefaultParagraphFont"/>
    <w:uiPriority w:val="99"/>
    <w:unhideWhenUsed/>
    <w:rsid w:val="00FA6877"/>
    <w:rPr>
      <w:color w:val="0000FF" w:themeColor="hyperlink"/>
      <w:u w:val="single"/>
    </w:rPr>
  </w:style>
  <w:style w:type="paragraph" w:styleId="Caption">
    <w:name w:val="caption"/>
    <w:basedOn w:val="Normal"/>
    <w:next w:val="Normal"/>
    <w:uiPriority w:val="35"/>
    <w:unhideWhenUsed/>
    <w:qFormat/>
    <w:rsid w:val="00FA6877"/>
    <w:pPr>
      <w:jc w:val="center"/>
    </w:pPr>
    <w:rPr>
      <w:b/>
      <w:lang w:val="en-GB"/>
    </w:rPr>
  </w:style>
  <w:style w:type="paragraph" w:styleId="Header">
    <w:name w:val="header"/>
    <w:basedOn w:val="Normal"/>
    <w:link w:val="HeaderChar"/>
    <w:uiPriority w:val="99"/>
    <w:semiHidden/>
    <w:unhideWhenUsed/>
    <w:rsid w:val="006A40FD"/>
    <w:pPr>
      <w:tabs>
        <w:tab w:val="center" w:pos="4680"/>
        <w:tab w:val="right" w:pos="9360"/>
      </w:tabs>
      <w:spacing w:before="0" w:after="0" w:line="240" w:lineRule="auto"/>
    </w:pPr>
  </w:style>
  <w:style w:type="character" w:customStyle="1" w:styleId="HeaderChar">
    <w:name w:val="Header Char"/>
    <w:basedOn w:val="DefaultParagraphFont"/>
    <w:link w:val="Header"/>
    <w:uiPriority w:val="99"/>
    <w:semiHidden/>
    <w:rsid w:val="006A40FD"/>
  </w:style>
  <w:style w:type="paragraph" w:styleId="Footer">
    <w:name w:val="footer"/>
    <w:basedOn w:val="Normal"/>
    <w:link w:val="FooterChar"/>
    <w:uiPriority w:val="99"/>
    <w:semiHidden/>
    <w:unhideWhenUsed/>
    <w:rsid w:val="006A40FD"/>
    <w:pPr>
      <w:tabs>
        <w:tab w:val="center" w:pos="4680"/>
        <w:tab w:val="right" w:pos="9360"/>
      </w:tabs>
      <w:spacing w:before="0" w:after="0" w:line="240" w:lineRule="auto"/>
    </w:pPr>
  </w:style>
  <w:style w:type="character" w:customStyle="1" w:styleId="FooterChar">
    <w:name w:val="Footer Char"/>
    <w:basedOn w:val="DefaultParagraphFont"/>
    <w:link w:val="Footer"/>
    <w:uiPriority w:val="99"/>
    <w:semiHidden/>
    <w:rsid w:val="006A40FD"/>
  </w:style>
  <w:style w:type="paragraph" w:styleId="BalloonText">
    <w:name w:val="Balloon Text"/>
    <w:basedOn w:val="Normal"/>
    <w:link w:val="BalloonTextChar"/>
    <w:uiPriority w:val="99"/>
    <w:semiHidden/>
    <w:unhideWhenUsed/>
    <w:rsid w:val="006A40FD"/>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A40F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6700246">
      <w:bodyDiv w:val="1"/>
      <w:marLeft w:val="0"/>
      <w:marRight w:val="0"/>
      <w:marTop w:val="0"/>
      <w:marBottom w:val="0"/>
      <w:divBdr>
        <w:top w:val="none" w:sz="0" w:space="0" w:color="auto"/>
        <w:left w:val="none" w:sz="0" w:space="0" w:color="auto"/>
        <w:bottom w:val="none" w:sz="0" w:space="0" w:color="auto"/>
        <w:right w:val="none" w:sz="0" w:space="0" w:color="auto"/>
      </w:divBdr>
    </w:div>
    <w:div w:id="315494733">
      <w:bodyDiv w:val="1"/>
      <w:marLeft w:val="0"/>
      <w:marRight w:val="0"/>
      <w:marTop w:val="0"/>
      <w:marBottom w:val="0"/>
      <w:divBdr>
        <w:top w:val="none" w:sz="0" w:space="0" w:color="auto"/>
        <w:left w:val="none" w:sz="0" w:space="0" w:color="auto"/>
        <w:bottom w:val="none" w:sz="0" w:space="0" w:color="auto"/>
        <w:right w:val="none" w:sz="0" w:space="0" w:color="auto"/>
      </w:divBdr>
    </w:div>
    <w:div w:id="995492096">
      <w:bodyDiv w:val="1"/>
      <w:marLeft w:val="0"/>
      <w:marRight w:val="0"/>
      <w:marTop w:val="0"/>
      <w:marBottom w:val="0"/>
      <w:divBdr>
        <w:top w:val="none" w:sz="0" w:space="0" w:color="auto"/>
        <w:left w:val="none" w:sz="0" w:space="0" w:color="auto"/>
        <w:bottom w:val="none" w:sz="0" w:space="0" w:color="auto"/>
        <w:right w:val="none" w:sz="0" w:space="0" w:color="auto"/>
      </w:divBdr>
    </w:div>
    <w:div w:id="1094597239">
      <w:bodyDiv w:val="1"/>
      <w:marLeft w:val="0"/>
      <w:marRight w:val="0"/>
      <w:marTop w:val="0"/>
      <w:marBottom w:val="0"/>
      <w:divBdr>
        <w:top w:val="none" w:sz="0" w:space="0" w:color="auto"/>
        <w:left w:val="none" w:sz="0" w:space="0" w:color="auto"/>
        <w:bottom w:val="none" w:sz="0" w:space="0" w:color="auto"/>
        <w:right w:val="none" w:sz="0" w:space="0" w:color="auto"/>
      </w:divBdr>
    </w:div>
    <w:div w:id="113648739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hyperlink" Target="https://www.bioworld.com/articles/513344-j-and-j-splits-off-consumer-health-division?v=preview" TargetMode="External"/><Relationship Id="rId39" Type="http://schemas.openxmlformats.org/officeDocument/2006/relationships/hyperlink" Target="https://doi.org/10.35808/ijeba/758" TargetMode="External"/><Relationship Id="rId21" Type="http://schemas.openxmlformats.org/officeDocument/2006/relationships/hyperlink" Target="https://www.emerald.com/insight/content/doi/10.1108/IJPPM-02-2020-0043/full/html" TargetMode="External"/><Relationship Id="rId34" Type="http://schemas.openxmlformats.org/officeDocument/2006/relationships/hyperlink" Target="https://www.jnj.com/our-credo" TargetMode="External"/><Relationship Id="rId42" Type="http://schemas.openxmlformats.org/officeDocument/2006/relationships/hyperlink" Target="https://ourstory.jnj.com/our-beginning" TargetMode="External"/><Relationship Id="rId47" Type="http://schemas.openxmlformats.org/officeDocument/2006/relationships/hyperlink" Target="https://www.statista.com/statistics/281389/johnson-und-johnsons-net-income/" TargetMode="External"/><Relationship Id="rId50" Type="http://schemas.openxmlformats.org/officeDocument/2006/relationships/hyperlink" Target="https://doi.org/10.3390/economies9040153" TargetMode="External"/><Relationship Id="rId55" Type="http://schemas.openxmlformats.org/officeDocument/2006/relationships/image" Target="media/image17.png"/><Relationship Id="rId7" Type="http://schemas.openxmlformats.org/officeDocument/2006/relationships/image" Target="media/image2.png"/><Relationship Id="rId2" Type="http://schemas.openxmlformats.org/officeDocument/2006/relationships/settings" Target="settings.xml"/><Relationship Id="rId16" Type="http://schemas.openxmlformats.org/officeDocument/2006/relationships/image" Target="media/image11.png"/><Relationship Id="rId29" Type="http://schemas.openxmlformats.org/officeDocument/2006/relationships/hyperlink" Target="https://www.globaldata.com/company-profile/johnson-johnson/" TargetMode="External"/><Relationship Id="rId11" Type="http://schemas.openxmlformats.org/officeDocument/2006/relationships/image" Target="media/image6.png"/><Relationship Id="rId24" Type="http://schemas.openxmlformats.org/officeDocument/2006/relationships/hyperlink" Target="https://www.ncbi.nlm.nih.gov/pmc/articles/PMC9805965/" TargetMode="External"/><Relationship Id="rId32" Type="http://schemas.openxmlformats.org/officeDocument/2006/relationships/hyperlink" Target="https://doi.org/10.3390/su13084266" TargetMode="External"/><Relationship Id="rId37" Type="http://schemas.openxmlformats.org/officeDocument/2006/relationships/hyperlink" Target="https://doi.org/10.3390/su13095138" TargetMode="External"/><Relationship Id="rId40" Type="http://schemas.openxmlformats.org/officeDocument/2006/relationships/hyperlink" Target="https://doi.org/10.1080/23322039.2020.1724241" TargetMode="External"/><Relationship Id="rId45" Type="http://schemas.openxmlformats.org/officeDocument/2006/relationships/hyperlink" Target="https://doi.org/10.1287/mnsc.2022.4406" TargetMode="External"/><Relationship Id="rId53" Type="http://schemas.openxmlformats.org/officeDocument/2006/relationships/image" Target="media/image15.png"/><Relationship Id="rId58" Type="http://schemas.openxmlformats.org/officeDocument/2006/relationships/fontTable" Target="fontTable.xml"/><Relationship Id="rId5" Type="http://schemas.openxmlformats.org/officeDocument/2006/relationships/endnotes" Target="endnotes.xml"/><Relationship Id="rId19" Type="http://schemas.openxmlformats.org/officeDocument/2006/relationships/image" Target="media/image14.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hyperlink" Target="https://doi.org/10.30574/wjarr.2023.19.2.1483" TargetMode="External"/><Relationship Id="rId27" Type="http://schemas.openxmlformats.org/officeDocument/2006/relationships/hyperlink" Target="https://muse.jhu.edu/pub/11/article/787115/summary" TargetMode="External"/><Relationship Id="rId30" Type="http://schemas.openxmlformats.org/officeDocument/2006/relationships/hyperlink" Target="https://books.google.com/books?hl=en&amp;lr=&amp;id=jBw7EAAAQBAJ&amp;oi=fnd&amp;pg=PP1&amp;dq=working+capital+management+is+one+of+the+important+tactics+that+can+be+crucial+for+enhancing+liquidity+ratios&amp;ots=LjPomSKzWm&amp;sig=u3MwAazhq-_vZHpODNJFXs41XLE" TargetMode="External"/><Relationship Id="rId35" Type="http://schemas.openxmlformats.org/officeDocument/2006/relationships/hyperlink" Target="https://doi.org/10.3390/ijerph18041417" TargetMode="External"/><Relationship Id="rId43" Type="http://schemas.openxmlformats.org/officeDocument/2006/relationships/hyperlink" Target="https://doi.org/10.22495/cgobrv4i2p4" TargetMode="External"/><Relationship Id="rId48" Type="http://schemas.openxmlformats.org/officeDocument/2006/relationships/hyperlink" Target="https://doi.org/10.56338/ijhess.v5i3.3934" TargetMode="External"/><Relationship Id="rId56" Type="http://schemas.openxmlformats.org/officeDocument/2006/relationships/footer" Target="footer1.xml"/><Relationship Id="rId8" Type="http://schemas.openxmlformats.org/officeDocument/2006/relationships/image" Target="media/image3.png"/><Relationship Id="rId51" Type="http://schemas.openxmlformats.org/officeDocument/2006/relationships/hyperlink" Target="https://doi.org/10.13106/jafeb.2020.vol7.no12.011" TargetMode="External"/><Relationship Id="rId3" Type="http://schemas.openxmlformats.org/officeDocument/2006/relationships/webSettings" Target="webSettings.xml"/><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hyperlink" Target="https://doi.org/10.24912/ja.v24i2.699" TargetMode="External"/><Relationship Id="rId33" Type="http://schemas.openxmlformats.org/officeDocument/2006/relationships/hyperlink" Target="https://www.jnj.in/about-us" TargetMode="External"/><Relationship Id="rId38" Type="http://schemas.openxmlformats.org/officeDocument/2006/relationships/hyperlink" Target="https://webthesis.biblio.polito.it/secure/17759/1/tesi.pdf" TargetMode="External"/><Relationship Id="rId46" Type="http://schemas.openxmlformats.org/officeDocument/2006/relationships/hyperlink" Target="https://www.statista.com/statistics/956282/leading-pharmaceutical-companies-market-share-united-kingdom-uk/" TargetMode="External"/><Relationship Id="rId59" Type="http://schemas.openxmlformats.org/officeDocument/2006/relationships/theme" Target="theme/theme1.xml"/><Relationship Id="rId20" Type="http://schemas.openxmlformats.org/officeDocument/2006/relationships/hyperlink" Target="https://doi.org/10.55751/smbj.v2i01.29" TargetMode="External"/><Relationship Id="rId41" Type="http://schemas.openxmlformats.org/officeDocument/2006/relationships/hyperlink" Target="https://lup.lub.lu.se/student-papers/record/1978924/file/1978926.pdf" TargetMode="External"/><Relationship Id="rId54" Type="http://schemas.openxmlformats.org/officeDocument/2006/relationships/image" Target="media/image16.png"/><Relationship Id="rId1" Type="http://schemas.openxmlformats.org/officeDocument/2006/relationships/styles" Target="styles.xml"/><Relationship Id="rId6" Type="http://schemas.openxmlformats.org/officeDocument/2006/relationships/image" Target="media/image1.png"/><Relationship Id="rId15" Type="http://schemas.openxmlformats.org/officeDocument/2006/relationships/image" Target="media/image10.png"/><Relationship Id="rId23" Type="http://schemas.openxmlformats.org/officeDocument/2006/relationships/hyperlink" Target="https://atradiuscollections.com/global/reports/pharmaceuticals-industry-trends-united-kingdom-2022.html" TargetMode="External"/><Relationship Id="rId28" Type="http://schemas.openxmlformats.org/officeDocument/2006/relationships/hyperlink" Target="https://doi.org/10.1007/s12247-022-09634-0" TargetMode="External"/><Relationship Id="rId36" Type="http://schemas.openxmlformats.org/officeDocument/2006/relationships/hyperlink" Target="http://uonjournals.uonbi.ac.ke/ojs/index.php/adfj/article/view/1321" TargetMode="External"/><Relationship Id="rId49" Type="http://schemas.openxmlformats.org/officeDocument/2006/relationships/hyperlink" Target="http://growingscience.com/beta/dsl/3660-supplier-selection-for-vendor-managed-inventory-in-healthcare-using-fuzzy-multi-criteria-decision-making-approach.html" TargetMode="External"/><Relationship Id="rId57" Type="http://schemas.openxmlformats.org/officeDocument/2006/relationships/header" Target="header1.xml"/><Relationship Id="rId10" Type="http://schemas.openxmlformats.org/officeDocument/2006/relationships/image" Target="media/image5.png"/><Relationship Id="rId31" Type="http://schemas.openxmlformats.org/officeDocument/2006/relationships/hyperlink" Target="https://books.google.com/books?hl=en&amp;lr=&amp;id=jBw7EAAAQBAJ&amp;oi=fnd&amp;pg=PP1&amp;dq=fluctuations+in+current+assets+are+mainly+due+to+factors+like+economic+conditions+and+changes+in+the+operations+of+a+company&amp;ots=LjPomRQt_q&amp;sig=iGO8AbbtpqdQ6tcvU1FU2J_yZuo" TargetMode="External"/><Relationship Id="rId44" Type="http://schemas.openxmlformats.org/officeDocument/2006/relationships/hyperlink" Target="https://businessmodelanalyst.com/johnson-johnson-business-model/" TargetMode="External"/><Relationship Id="rId52" Type="http://schemas.openxmlformats.org/officeDocument/2006/relationships/hyperlink" Target="https://doi.org/10.1609/aaai.v35i1.16144"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34</Pages>
  <Words>6854</Words>
  <Characters>39073</Characters>
  <Application>Microsoft Office Word</Application>
  <DocSecurity>0</DocSecurity>
  <Lines>325</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Miten Kanara</cp:lastModifiedBy>
  <cp:revision>14</cp:revision>
  <dcterms:created xsi:type="dcterms:W3CDTF">2024-07-13T10:12:00Z</dcterms:created>
  <dcterms:modified xsi:type="dcterms:W3CDTF">2024-08-19T13:31:00Z</dcterms:modified>
</cp:coreProperties>
</file>