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FB47D"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Advocacy provision if not known to you is best described as this the act of providing something for someone in this case a service of Advocacy for its users. Advocacy provision can be found here in the UK in various pieces of legislation such as section 10 of the social services and wellbeing act Wales (2014) (SSWBAW 2014) and the advocacy charter (Advocacy Charter 2002). It is also embedded in many others too if you know what you are looking for as descriptions can demonstrate advocacy. The service of Advocacy has been around for many years it was first coined by in </w:t>
      </w:r>
      <w:r w:rsidRPr="00792FE7">
        <w:rPr>
          <w:rFonts w:ascii="Times New Roman" w:hAnsi="Times New Roman" w:cs="Times New Roman"/>
          <w:color w:val="463F43"/>
          <w:sz w:val="24"/>
          <w:szCs w:val="24"/>
          <w:shd w:val="clear" w:color="auto" w:fill="FFFFFF"/>
        </w:rPr>
        <w:t xml:space="preserve">Dr Wolf Wolfensberger </w:t>
      </w:r>
      <w:r w:rsidRPr="00792FE7">
        <w:rPr>
          <w:rFonts w:ascii="Times New Roman" w:hAnsi="Times New Roman" w:cs="Times New Roman"/>
          <w:sz w:val="24"/>
          <w:szCs w:val="24"/>
        </w:rPr>
        <w:t xml:space="preserve">1966 in the form of citizen advocacy. Agencies helping fight against Poverty through Advocacy in the </w:t>
      </w:r>
      <w:proofErr w:type="spellStart"/>
      <w:r w:rsidRPr="00792FE7">
        <w:rPr>
          <w:rFonts w:ascii="Times New Roman" w:hAnsi="Times New Roman" w:cs="Times New Roman"/>
          <w:sz w:val="24"/>
          <w:szCs w:val="24"/>
        </w:rPr>
        <w:t>Uk</w:t>
      </w:r>
      <w:proofErr w:type="spellEnd"/>
      <w:r w:rsidRPr="00792FE7">
        <w:rPr>
          <w:rFonts w:ascii="Times New Roman" w:hAnsi="Times New Roman" w:cs="Times New Roman"/>
          <w:sz w:val="24"/>
          <w:szCs w:val="24"/>
        </w:rPr>
        <w:t xml:space="preserve"> and Globally include Oxfam, The Borgen Project, Care Internatioal.org, and many all aiding and supporting people in the fight against poverty. </w:t>
      </w:r>
    </w:p>
    <w:p w14:paraId="65DBD296"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b/>
          <w:bCs/>
          <w:sz w:val="24"/>
          <w:szCs w:val="24"/>
        </w:rPr>
        <w:t xml:space="preserve">Drivers for advocacy </w:t>
      </w:r>
    </w:p>
    <w:p w14:paraId="3D2AA0A8" w14:textId="77777777" w:rsidR="00BA3AA6" w:rsidRPr="00792FE7" w:rsidRDefault="00BA3AA6" w:rsidP="00BA3AA6">
      <w:pPr>
        <w:spacing w:line="360" w:lineRule="auto"/>
        <w:jc w:val="both"/>
        <w:rPr>
          <w:rFonts w:ascii="Times New Roman" w:hAnsi="Times New Roman" w:cs="Times New Roman"/>
          <w:i/>
          <w:iCs/>
          <w:sz w:val="24"/>
          <w:szCs w:val="24"/>
        </w:rPr>
      </w:pPr>
      <w:r w:rsidRPr="00792FE7">
        <w:rPr>
          <w:rFonts w:ascii="Times New Roman" w:hAnsi="Times New Roman" w:cs="Times New Roman"/>
          <w:sz w:val="24"/>
          <w:szCs w:val="24"/>
        </w:rPr>
        <w:t xml:space="preserve">A driver for advocacy is dependent on the situation for the chosen problem of poverty it is the need to help the person/group break this cycle and prevent it being passed on to further generations of society.  Advocates in this field will use this as a driver A dynamic approach to poverty involves a focus on both ways to prevent poverty and find ways to escape it. Interventions that are most likely to have a significant and long-lasting effect on individuals with the least resources need to be given top priority (Goulden, C&amp; D’Arcy, C 2014). Oxfam has stated that poverty has increased for the first time in twenty-five years </w:t>
      </w:r>
      <w:r w:rsidRPr="00792FE7">
        <w:rPr>
          <w:rFonts w:ascii="Times New Roman" w:hAnsi="Times New Roman" w:cs="Times New Roman"/>
          <w:color w:val="333333"/>
          <w:sz w:val="24"/>
          <w:szCs w:val="24"/>
        </w:rPr>
        <w:t>But this is more than a cost of living crisis, it’s an inequality crisis. A symptom of an unequal economic system. One that prioritises profits and sees billionaires and big business profiting more than ever. While most people, especially those living in poverty, pay the price (Oxfam,2023). The Joseph Rowntree Foundation works to support and speed up the transition to a more equitable and just future, free from poverty, in which people and planet can flourish (Joesph Rowntree Foundation, 2023).</w:t>
      </w:r>
      <w:r w:rsidRPr="00792FE7">
        <w:rPr>
          <w:rFonts w:ascii="Times New Roman" w:hAnsi="Times New Roman" w:cs="Times New Roman"/>
          <w:sz w:val="24"/>
          <w:szCs w:val="24"/>
        </w:rPr>
        <w:t xml:space="preserve"> </w:t>
      </w:r>
      <w:r w:rsidRPr="00792FE7">
        <w:rPr>
          <w:rFonts w:ascii="Times New Roman" w:hAnsi="Times New Roman" w:cs="Times New Roman"/>
          <w:color w:val="333333"/>
          <w:sz w:val="24"/>
          <w:szCs w:val="24"/>
        </w:rPr>
        <w:t>Scotland's headline poverty figures are comparatively simple to recall, in part because they are rounded figures and, sadly, because there hasn't been much of a change in them recently. In Scotland, more than a million people—roughly 25% of the total—live in relative poverty (Birt</w:t>
      </w:r>
      <w:r w:rsidRPr="00792FE7">
        <w:rPr>
          <w:rFonts w:ascii="Times New Roman" w:hAnsi="Times New Roman" w:cs="Times New Roman"/>
          <w:i/>
          <w:iCs/>
          <w:color w:val="333333"/>
          <w:sz w:val="24"/>
          <w:szCs w:val="24"/>
        </w:rPr>
        <w:t xml:space="preserve">, et al, </w:t>
      </w:r>
      <w:r w:rsidRPr="00792FE7">
        <w:rPr>
          <w:rFonts w:ascii="Times New Roman" w:hAnsi="Times New Roman" w:cs="Times New Roman"/>
          <w:color w:val="333333"/>
          <w:sz w:val="24"/>
          <w:szCs w:val="24"/>
        </w:rPr>
        <w:t>2023).</w:t>
      </w:r>
    </w:p>
    <w:p w14:paraId="2762108B" w14:textId="77777777" w:rsidR="00BA3AA6" w:rsidRPr="00792FE7" w:rsidRDefault="00BA3AA6" w:rsidP="00BA3AA6">
      <w:pPr>
        <w:spacing w:line="360" w:lineRule="auto"/>
        <w:jc w:val="both"/>
        <w:rPr>
          <w:rFonts w:ascii="Times New Roman" w:hAnsi="Times New Roman" w:cs="Times New Roman"/>
          <w:b/>
          <w:bCs/>
          <w:sz w:val="24"/>
          <w:szCs w:val="24"/>
        </w:rPr>
      </w:pPr>
    </w:p>
    <w:p w14:paraId="78217138" w14:textId="77777777" w:rsidR="00BA3AA6" w:rsidRPr="00792FE7" w:rsidRDefault="00BA3AA6" w:rsidP="00BA3AA6">
      <w:pPr>
        <w:spacing w:line="360" w:lineRule="auto"/>
        <w:jc w:val="both"/>
        <w:rPr>
          <w:rFonts w:ascii="Times New Roman" w:hAnsi="Times New Roman" w:cs="Times New Roman"/>
          <w:b/>
          <w:bCs/>
          <w:sz w:val="24"/>
          <w:szCs w:val="24"/>
        </w:rPr>
      </w:pPr>
    </w:p>
    <w:p w14:paraId="3601718C" w14:textId="77777777" w:rsidR="00BA3AA6" w:rsidRPr="00792FE7" w:rsidRDefault="00BA3AA6" w:rsidP="00BA3AA6">
      <w:pPr>
        <w:spacing w:line="360" w:lineRule="auto"/>
        <w:jc w:val="both"/>
        <w:rPr>
          <w:rFonts w:ascii="Times New Roman" w:hAnsi="Times New Roman" w:cs="Times New Roman"/>
          <w:b/>
          <w:bCs/>
          <w:sz w:val="24"/>
          <w:szCs w:val="24"/>
        </w:rPr>
      </w:pPr>
      <w:r w:rsidRPr="00792FE7">
        <w:rPr>
          <w:rFonts w:ascii="Times New Roman" w:hAnsi="Times New Roman" w:cs="Times New Roman"/>
          <w:b/>
          <w:bCs/>
          <w:sz w:val="24"/>
          <w:szCs w:val="24"/>
        </w:rPr>
        <w:t xml:space="preserve">The impact of advocacy on its users </w:t>
      </w:r>
    </w:p>
    <w:p w14:paraId="706DD99A"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lastRenderedPageBreak/>
        <w:t>Advocacy as service has outstanding reviews from its users and its originations Advocacy serves as a safeguard for individuals' human rights as well as a platform for them to take the necessary steps to live rich, fulfilling lives (Senker, J 2022). However, a take from (Ross, J 2013) Organisations may be worried about the possible consequences of advocacy, especially in situations where there is little or no room for civil society. Many groups fear that by engaging in actions that could be interpreted as "political," they would offend sponsors, supporters, and the government. Concerns about losing organisational focus, overextending capacity, and diverting resources can also exist for service delivery organisations. In some cases, if the government or other important players disagree with the organization's advocacy messages, there may be worries for the safety and security of employees and communities. There are two main conclusions that the study makes when evaluating independent advocates' work in light of the SIAA's Principles and Standards. The experiences of working with advocates shared by interviewees demonstrate how advocates were successful in giving advocacy partners greater freedom, authority, and control over their life (Scottish Independent Advocacy Alliance, 2014).</w:t>
      </w:r>
    </w:p>
    <w:p w14:paraId="4141EFAB" w14:textId="77777777" w:rsidR="00BA3AA6" w:rsidRPr="00792FE7" w:rsidRDefault="00BA3AA6" w:rsidP="00BA3AA6">
      <w:pPr>
        <w:spacing w:line="360" w:lineRule="auto"/>
        <w:jc w:val="both"/>
        <w:rPr>
          <w:rFonts w:ascii="Times New Roman" w:hAnsi="Times New Roman" w:cs="Times New Roman"/>
          <w:sz w:val="24"/>
          <w:szCs w:val="24"/>
        </w:rPr>
      </w:pPr>
    </w:p>
    <w:p w14:paraId="19943D61" w14:textId="77777777" w:rsidR="00BA3AA6" w:rsidRPr="00792FE7" w:rsidRDefault="00BA3AA6" w:rsidP="00BA3AA6">
      <w:pPr>
        <w:spacing w:line="360" w:lineRule="auto"/>
        <w:jc w:val="both"/>
        <w:rPr>
          <w:rFonts w:ascii="Times New Roman" w:hAnsi="Times New Roman" w:cs="Times New Roman"/>
          <w:sz w:val="24"/>
          <w:szCs w:val="24"/>
        </w:rPr>
      </w:pPr>
    </w:p>
    <w:p w14:paraId="670365F0" w14:textId="77777777" w:rsidR="00BA3AA6" w:rsidRPr="00792FE7" w:rsidRDefault="00BA3AA6" w:rsidP="00BA3AA6">
      <w:pPr>
        <w:spacing w:line="360" w:lineRule="auto"/>
        <w:jc w:val="both"/>
        <w:rPr>
          <w:rFonts w:ascii="Times New Roman" w:hAnsi="Times New Roman" w:cs="Times New Roman"/>
          <w:sz w:val="24"/>
          <w:szCs w:val="24"/>
        </w:rPr>
      </w:pPr>
    </w:p>
    <w:p w14:paraId="086A8EC5"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In order to effectively involve policymakers in the elimination of poverty, it is critical to conduct policy-specific research, cultivate relationships, effectively articulate arguments based on data, organise your community, and persevere in your efforts. Illustrate your proposals' advantages and how they contribute to the fight against poverty. Remain in contact with elected authorities and ensure that they understand the significance of this matter. Maintaining contact and following up is crucial, even though it could take some time (Grey group international, 2023)</w:t>
      </w:r>
    </w:p>
    <w:p w14:paraId="7AF3C23A"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Numerous factors influence the likelihood that working-age adults will experience poverty later in life and that children will experience poverty when they grow up. Many of these variables are not only linked to the likelihood of poverty in the future, but they also result from it now, at least in part. A child's likelihood of performing poorly in school is increased when they live in poverty. Compared to people who are paid more, adults living in poverty and in low-paying occupations are less likely to get training and advance into better positions. It is less common for those with modest incomes to save money or contribute to a pension (Bernard, </w:t>
      </w:r>
      <w:r w:rsidRPr="00792FE7">
        <w:rPr>
          <w:rFonts w:ascii="Times New Roman" w:hAnsi="Times New Roman" w:cs="Times New Roman"/>
          <w:i/>
          <w:iCs/>
          <w:sz w:val="24"/>
          <w:szCs w:val="24"/>
        </w:rPr>
        <w:t>et al</w:t>
      </w:r>
      <w:r w:rsidRPr="00792FE7">
        <w:rPr>
          <w:rFonts w:ascii="Times New Roman" w:hAnsi="Times New Roman" w:cs="Times New Roman"/>
          <w:sz w:val="24"/>
          <w:szCs w:val="24"/>
        </w:rPr>
        <w:t xml:space="preserve"> 2017).</w:t>
      </w:r>
    </w:p>
    <w:p w14:paraId="746F20C8" w14:textId="77777777" w:rsidR="00BA3AA6" w:rsidRPr="00792FE7" w:rsidRDefault="00BA3AA6" w:rsidP="00BA3AA6">
      <w:pPr>
        <w:spacing w:line="360" w:lineRule="auto"/>
        <w:jc w:val="both"/>
        <w:rPr>
          <w:rFonts w:ascii="Times New Roman" w:hAnsi="Times New Roman" w:cs="Times New Roman"/>
          <w:color w:val="494848"/>
          <w:sz w:val="24"/>
          <w:szCs w:val="24"/>
          <w:shd w:val="clear" w:color="auto" w:fill="FFFFFF"/>
        </w:rPr>
      </w:pPr>
      <w:r w:rsidRPr="00792FE7">
        <w:rPr>
          <w:rFonts w:ascii="Times New Roman" w:hAnsi="Times New Roman" w:cs="Times New Roman"/>
          <w:sz w:val="24"/>
          <w:szCs w:val="24"/>
        </w:rPr>
        <w:lastRenderedPageBreak/>
        <w:t>Marx Webber had a different approach to class from Karl Marx, he seen it to be more than just a class dived as a result of the unequal distribution of power in society, Weber also introduced the idea of another type of fragmentation when he contended that political parties and status groups were two more social groupings that intersected with classes (Bradley, H 1996). Although is approach to the class system differs from Marx it was still a top-down system which was the issue and needed to be changed. (Bradley, H 1996). The goal of much sociological theory is to comprehend how society changes. Even while social theorists haven't discussed poverty in and of itself much throughout history, their understanding of the structure and economic ordering of society provides insightful theories to help us understand poverty (</w:t>
      </w:r>
      <w:proofErr w:type="spellStart"/>
      <w:r w:rsidRPr="00792FE7">
        <w:rPr>
          <w:rFonts w:ascii="Times New Roman" w:hAnsi="Times New Roman" w:cs="Times New Roman"/>
          <w:color w:val="494848"/>
          <w:sz w:val="24"/>
          <w:szCs w:val="24"/>
          <w:shd w:val="clear" w:color="auto" w:fill="FFFFFF"/>
        </w:rPr>
        <w:t>Shildrick</w:t>
      </w:r>
      <w:proofErr w:type="spellEnd"/>
      <w:r w:rsidRPr="00792FE7">
        <w:rPr>
          <w:rFonts w:ascii="Times New Roman" w:hAnsi="Times New Roman" w:cs="Times New Roman"/>
          <w:color w:val="494848"/>
          <w:sz w:val="24"/>
          <w:szCs w:val="24"/>
          <w:shd w:val="clear" w:color="auto" w:fill="FFFFFF"/>
        </w:rPr>
        <w:t xml:space="preserve">,&amp; </w:t>
      </w:r>
      <w:proofErr w:type="spellStart"/>
      <w:r w:rsidRPr="00792FE7">
        <w:rPr>
          <w:rFonts w:ascii="Times New Roman" w:hAnsi="Times New Roman" w:cs="Times New Roman"/>
          <w:color w:val="494848"/>
          <w:sz w:val="24"/>
          <w:szCs w:val="24"/>
          <w:shd w:val="clear" w:color="auto" w:fill="FFFFFF"/>
        </w:rPr>
        <w:t>Rucell</w:t>
      </w:r>
      <w:proofErr w:type="spellEnd"/>
      <w:r w:rsidRPr="00792FE7">
        <w:rPr>
          <w:rFonts w:ascii="Times New Roman" w:hAnsi="Times New Roman" w:cs="Times New Roman"/>
          <w:color w:val="494848"/>
          <w:sz w:val="24"/>
          <w:szCs w:val="24"/>
          <w:shd w:val="clear" w:color="auto" w:fill="FFFFFF"/>
        </w:rPr>
        <w:t xml:space="preserve"> 2015).</w:t>
      </w:r>
      <w:r w:rsidRPr="00792FE7">
        <w:rPr>
          <w:rFonts w:ascii="Times New Roman" w:hAnsi="Times New Roman" w:cs="Times New Roman"/>
          <w:sz w:val="24"/>
          <w:szCs w:val="24"/>
        </w:rPr>
        <w:t xml:space="preserve"> I</w:t>
      </w:r>
      <w:r w:rsidRPr="00792FE7">
        <w:rPr>
          <w:rFonts w:ascii="Times New Roman" w:hAnsi="Times New Roman" w:cs="Times New Roman"/>
          <w:color w:val="494848"/>
          <w:sz w:val="24"/>
          <w:szCs w:val="24"/>
          <w:shd w:val="clear" w:color="auto" w:fill="FFFFFF"/>
        </w:rPr>
        <w:t>n writings from the turn of the 20th century, sociologist Max Weber emphasised the role that prestige, authority, and status have in maintaining dominant relations in addition to the role that economic considerations play in creating and maintaining inequality (</w:t>
      </w:r>
      <w:proofErr w:type="spellStart"/>
      <w:r w:rsidRPr="00792FE7">
        <w:rPr>
          <w:rFonts w:ascii="Times New Roman" w:hAnsi="Times New Roman" w:cs="Times New Roman"/>
          <w:color w:val="494848"/>
          <w:sz w:val="24"/>
          <w:szCs w:val="24"/>
          <w:shd w:val="clear" w:color="auto" w:fill="FFFFFF"/>
        </w:rPr>
        <w:t>Shildrick</w:t>
      </w:r>
      <w:proofErr w:type="spellEnd"/>
      <w:r w:rsidRPr="00792FE7">
        <w:rPr>
          <w:rFonts w:ascii="Times New Roman" w:hAnsi="Times New Roman" w:cs="Times New Roman"/>
          <w:color w:val="494848"/>
          <w:sz w:val="24"/>
          <w:szCs w:val="24"/>
          <w:shd w:val="clear" w:color="auto" w:fill="FFFFFF"/>
        </w:rPr>
        <w:t>,&amp;</w:t>
      </w:r>
      <w:proofErr w:type="spellStart"/>
      <w:r w:rsidRPr="00792FE7">
        <w:rPr>
          <w:rFonts w:ascii="Times New Roman" w:hAnsi="Times New Roman" w:cs="Times New Roman"/>
          <w:color w:val="494848"/>
          <w:sz w:val="24"/>
          <w:szCs w:val="24"/>
          <w:shd w:val="clear" w:color="auto" w:fill="FFFFFF"/>
        </w:rPr>
        <w:t>Rucell</w:t>
      </w:r>
      <w:proofErr w:type="spellEnd"/>
      <w:r w:rsidRPr="00792FE7">
        <w:rPr>
          <w:rFonts w:ascii="Times New Roman" w:hAnsi="Times New Roman" w:cs="Times New Roman"/>
          <w:color w:val="494848"/>
          <w:sz w:val="24"/>
          <w:szCs w:val="24"/>
          <w:shd w:val="clear" w:color="auto" w:fill="FFFFFF"/>
        </w:rPr>
        <w:t xml:space="preserve"> 2015). Additionally, Peter Townsend (1979) contended that "evidence about inequality must be included in any preliminary outline of available evidence about poverty." </w:t>
      </w:r>
    </w:p>
    <w:p w14:paraId="66498048"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Legislation is vital in advocacy and its provision as this is the platform to help them and can be the focus point of change to. The Care Act (2010), (SSWBAW 2014) PART 10, include the provision of the service but it can fall short and who can and can’t have it and what the service is as stated by (Clements 2022). The Code takes time to outline the different kinds of advocacy that are available, but it doesn't go into detail on what kinds of advocacy authorities must commission in order to fulfil their duties or define "independent advocate." Only "services which provide assistance ‘by way of representation or otherwise’ to persons for purposes relating to their care and support" are mentioned in the Act. (Clements, 2022) Also critics the independent advocacy part of the (SSWBAW, 2014) as well by stating the lack of a "appropriate individual" is one of the only circumstances in which the right to an independent advocate is invoked, and the Code's description of what qualities a "appropriate individual" must possess seems to point towards what qualities an independent advocate must possess as well.</w:t>
      </w:r>
    </w:p>
    <w:p w14:paraId="2CCB2C17"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The list of duties "where local authorities must consider individuals' needs for advocacy support" is extensive and includes a variety of tasks like informational and preventative services delivery, need assessments, care planning, meeting needs, direct payments, support portability, reviews, and property protection (Clements, 2022). Although not perfect the legislative powers of the </w:t>
      </w:r>
      <w:r>
        <w:rPr>
          <w:rFonts w:ascii="Times New Roman" w:hAnsi="Times New Roman" w:cs="Times New Roman"/>
          <w:sz w:val="24"/>
          <w:szCs w:val="24"/>
        </w:rPr>
        <w:t>(</w:t>
      </w:r>
      <w:r w:rsidRPr="00792FE7">
        <w:rPr>
          <w:rFonts w:ascii="Times New Roman" w:hAnsi="Times New Roman" w:cs="Times New Roman"/>
          <w:sz w:val="24"/>
          <w:szCs w:val="24"/>
        </w:rPr>
        <w:t>Care</w:t>
      </w:r>
      <w:r>
        <w:rPr>
          <w:rFonts w:ascii="Times New Roman" w:hAnsi="Times New Roman" w:cs="Times New Roman"/>
          <w:sz w:val="24"/>
          <w:szCs w:val="24"/>
        </w:rPr>
        <w:t xml:space="preserve"> </w:t>
      </w:r>
      <w:r w:rsidRPr="00792FE7">
        <w:rPr>
          <w:rFonts w:ascii="Times New Roman" w:hAnsi="Times New Roman" w:cs="Times New Roman"/>
          <w:sz w:val="24"/>
          <w:szCs w:val="24"/>
        </w:rPr>
        <w:t>Act 2014, (SSWBAW 2014), and when also needed The Mental health Act (1983) are important to individuals and advocates alike.</w:t>
      </w:r>
      <w:r>
        <w:rPr>
          <w:rFonts w:ascii="Times New Roman" w:hAnsi="Times New Roman" w:cs="Times New Roman"/>
          <w:sz w:val="24"/>
          <w:szCs w:val="24"/>
        </w:rPr>
        <w:t xml:space="preserve"> Advocates also have the </w:t>
      </w:r>
      <w:r>
        <w:rPr>
          <w:rFonts w:ascii="Times New Roman" w:hAnsi="Times New Roman" w:cs="Times New Roman"/>
          <w:sz w:val="24"/>
          <w:szCs w:val="24"/>
        </w:rPr>
        <w:lastRenderedPageBreak/>
        <w:t xml:space="preserve">advocacy Charter (2002) to adhere to. One of the main Pieces of Legislation is the (Care Act 2014)  </w:t>
      </w:r>
      <w:r w:rsidRPr="00823710">
        <w:rPr>
          <w:rFonts w:ascii="Times New Roman" w:hAnsi="Times New Roman" w:cs="Times New Roman"/>
          <w:sz w:val="24"/>
          <w:szCs w:val="24"/>
        </w:rPr>
        <w:t>The purpose of this Act is to establish and provide provisions for the reform of the laws pertaining to adult care and support as well as the laws pertaining to carer support. It also addresses issues such as protecting adults from abuse or neglect, care standards, Health Education England, the Health Research Authority, and the integration of care and support with health services, among other related matters</w:t>
      </w:r>
      <w:r>
        <w:rPr>
          <w:rFonts w:ascii="Times New Roman" w:hAnsi="Times New Roman" w:cs="Times New Roman"/>
          <w:sz w:val="24"/>
          <w:szCs w:val="24"/>
        </w:rPr>
        <w:t xml:space="preserve"> ( Care Act 2014).</w:t>
      </w:r>
    </w:p>
    <w:p w14:paraId="09673158" w14:textId="77777777" w:rsidR="00BA3AA6" w:rsidRPr="00792FE7" w:rsidRDefault="00BA3AA6" w:rsidP="00BA3AA6">
      <w:pPr>
        <w:spacing w:line="360" w:lineRule="auto"/>
        <w:jc w:val="both"/>
        <w:rPr>
          <w:rFonts w:ascii="Times New Roman" w:hAnsi="Times New Roman" w:cs="Times New Roman"/>
          <w:sz w:val="24"/>
          <w:szCs w:val="24"/>
        </w:rPr>
      </w:pPr>
    </w:p>
    <w:p w14:paraId="56DCBF47"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Barriers in advocacy</w:t>
      </w:r>
    </w:p>
    <w:p w14:paraId="6DA2FD7A" w14:textId="77777777" w:rsidR="00BA3AA6" w:rsidRPr="00792FE7" w:rsidRDefault="00BA3AA6" w:rsidP="00BA3AA6">
      <w:pPr>
        <w:pStyle w:val="NoSpacing"/>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The word "advocacy" often evokes images of marches and demonstrations, protracted media campaigns, meetings with lawmakers, and the possibility of negative reaction. Other typical obstacles include of It takes time and a lot of work to advocate for changes to laws, policies, or regulations (CEWH, 2022). Fear, stigma and lack of trust towards advocacy service providers will also have a massive impact on people coming forward to access any of advocacy services available (Equality and Human Rights Commission 2010). Barriers that can hinder people (Lopata, 2022) States that there 3 reasons that people will not ask for help. </w:t>
      </w:r>
      <w:r w:rsidRPr="00792FE7">
        <w:rPr>
          <w:rFonts w:ascii="Times New Roman" w:hAnsi="Times New Roman" w:cs="Times New Roman"/>
          <w:b/>
          <w:bCs/>
          <w:sz w:val="24"/>
          <w:szCs w:val="24"/>
        </w:rPr>
        <w:t>Number One</w:t>
      </w:r>
      <w:r w:rsidRPr="00792FE7">
        <w:rPr>
          <w:rFonts w:ascii="Times New Roman" w:hAnsi="Times New Roman" w:cs="Times New Roman"/>
          <w:sz w:val="24"/>
          <w:szCs w:val="24"/>
        </w:rPr>
        <w:t xml:space="preserve"> Burden: Asking for help is often fraught with embarrassment. Being conscious that they are requesting a favour and unsure of the other person's reaction to their request, the one making the request feels uncomfortable. Number Two Being Vulnerable Audience feedback indicates that one of the major obstacles to getting support is perceived vulnerability. However,</w:t>
      </w:r>
      <w:r>
        <w:rPr>
          <w:rFonts w:ascii="Times New Roman" w:hAnsi="Times New Roman" w:cs="Times New Roman"/>
          <w:sz w:val="24"/>
          <w:szCs w:val="24"/>
        </w:rPr>
        <w:t xml:space="preserve"> </w:t>
      </w:r>
      <w:r w:rsidRPr="00792FE7">
        <w:rPr>
          <w:rFonts w:ascii="Times New Roman" w:hAnsi="Times New Roman" w:cs="Times New Roman"/>
          <w:sz w:val="24"/>
          <w:szCs w:val="24"/>
        </w:rPr>
        <w:t xml:space="preserve">the fear of appearing weak stems from a straightforward misinterpretation. Vulnerability is viewed by some as a weakness. </w:t>
      </w:r>
      <w:r w:rsidRPr="00792FE7">
        <w:rPr>
          <w:rFonts w:ascii="Times New Roman" w:hAnsi="Times New Roman" w:cs="Times New Roman"/>
          <w:b/>
          <w:bCs/>
          <w:sz w:val="24"/>
          <w:szCs w:val="24"/>
        </w:rPr>
        <w:t>Number Three</w:t>
      </w:r>
      <w:r w:rsidRPr="00792FE7">
        <w:rPr>
          <w:rFonts w:ascii="Times New Roman" w:hAnsi="Times New Roman" w:cs="Times New Roman"/>
          <w:sz w:val="24"/>
          <w:szCs w:val="24"/>
        </w:rPr>
        <w:t xml:space="preserve"> Making Assumptions: However, there is a straightforward miscommunication at the root of the fear of appearing weak Individuals may be too busy to assist. You, unwilling to assist you, incapable of assisting you, or ignorant of how to assist you. That’s all up to the individual; let them make their own decisions. Not because we know we will receive a bad reaction, but rather because we assume we won't get it, we seek for aid too seldom (Lopata,2022). Other barriers can be legislation and wording of it services </w:t>
      </w:r>
      <w:proofErr w:type="spellStart"/>
      <w:r w:rsidRPr="00792FE7">
        <w:rPr>
          <w:rFonts w:ascii="Times New Roman" w:hAnsi="Times New Roman" w:cs="Times New Roman"/>
          <w:sz w:val="24"/>
          <w:szCs w:val="24"/>
        </w:rPr>
        <w:t>with in</w:t>
      </w:r>
      <w:proofErr w:type="spellEnd"/>
      <w:r w:rsidRPr="00792FE7">
        <w:rPr>
          <w:rFonts w:ascii="Times New Roman" w:hAnsi="Times New Roman" w:cs="Times New Roman"/>
          <w:sz w:val="24"/>
          <w:szCs w:val="24"/>
        </w:rPr>
        <w:t xml:space="preserve"> it as mentioned earlier by (Clemtes,2022). Participants emphasised ineffective lines of communication, hierarchical organisational structures, and conflicts between personal and corporate objectives and the needs of the community. Some cited the lack of trust the community had in the participation process, which was seen as essentially pointless (Santosh, 2008).</w:t>
      </w:r>
    </w:p>
    <w:p w14:paraId="20E326BC" w14:textId="77777777" w:rsidR="00BA3AA6" w:rsidRPr="00792FE7" w:rsidRDefault="00BA3AA6" w:rsidP="00BA3AA6">
      <w:pPr>
        <w:spacing w:line="360" w:lineRule="auto"/>
        <w:jc w:val="both"/>
        <w:rPr>
          <w:rFonts w:ascii="Times New Roman" w:hAnsi="Times New Roman" w:cs="Times New Roman"/>
          <w:sz w:val="24"/>
          <w:szCs w:val="24"/>
        </w:rPr>
      </w:pPr>
    </w:p>
    <w:p w14:paraId="4551C60D" w14:textId="77777777"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lastRenderedPageBreak/>
        <w:t xml:space="preserve">Poverty in </w:t>
      </w:r>
      <w:proofErr w:type="spellStart"/>
      <w:r w:rsidRPr="00792FE7">
        <w:rPr>
          <w:rFonts w:ascii="Times New Roman" w:hAnsi="Times New Roman" w:cs="Times New Roman"/>
          <w:sz w:val="24"/>
          <w:szCs w:val="24"/>
        </w:rPr>
        <w:t>uk</w:t>
      </w:r>
      <w:proofErr w:type="spellEnd"/>
    </w:p>
    <w:p w14:paraId="6D27ACB3" w14:textId="77777777" w:rsidR="00BA3AA6" w:rsidRPr="00D663D6" w:rsidRDefault="00BA3AA6" w:rsidP="00BA3AA6">
      <w:pPr>
        <w:spacing w:line="360" w:lineRule="auto"/>
        <w:jc w:val="both"/>
        <w:rPr>
          <w:rFonts w:ascii="Times New Roman" w:eastAsia="Times New Roman" w:hAnsi="Times New Roman" w:cs="Times New Roman"/>
          <w:b/>
          <w:bCs/>
          <w:caps/>
          <w:color w:val="231314"/>
          <w:spacing w:val="11"/>
          <w:kern w:val="0"/>
          <w:sz w:val="24"/>
          <w:szCs w:val="24"/>
          <w:lang w:eastAsia="en-GB"/>
          <w14:ligatures w14:val="none"/>
        </w:rPr>
      </w:pPr>
      <w:r w:rsidRPr="00792FE7">
        <w:rPr>
          <w:rFonts w:ascii="Times New Roman" w:hAnsi="Times New Roman" w:cs="Times New Roman"/>
          <w:sz w:val="24"/>
          <w:szCs w:val="24"/>
        </w:rPr>
        <w:t>The UK has a long history of poverty, with millions of people experiencing financial hardship as a result of nearly ten years of budget cuts. Low-income households are disproportionately affected by the cost-of-living problem, pushing many more people below the poverty line (</w:t>
      </w:r>
      <w:proofErr w:type="spellStart"/>
      <w:r w:rsidRPr="00792FE7">
        <w:rPr>
          <w:rFonts w:ascii="Times New Roman" w:hAnsi="Times New Roman" w:cs="Times New Roman"/>
          <w:sz w:val="24"/>
          <w:szCs w:val="24"/>
        </w:rPr>
        <w:t>Mcrae</w:t>
      </w:r>
      <w:proofErr w:type="spellEnd"/>
      <w:r w:rsidRPr="00792FE7">
        <w:rPr>
          <w:rFonts w:ascii="Times New Roman" w:hAnsi="Times New Roman" w:cs="Times New Roman"/>
          <w:sz w:val="24"/>
          <w:szCs w:val="24"/>
        </w:rPr>
        <w:t>, Westwater, &amp; Glover 2023).</w:t>
      </w:r>
      <w:r w:rsidRPr="00792FE7">
        <w:rPr>
          <w:rFonts w:ascii="Times New Roman" w:eastAsia="Times New Roman" w:hAnsi="Times New Roman" w:cs="Times New Roman"/>
          <w:b/>
          <w:bCs/>
          <w:caps/>
          <w:color w:val="231314"/>
          <w:spacing w:val="11"/>
          <w:kern w:val="0"/>
          <w:sz w:val="24"/>
          <w:szCs w:val="24"/>
          <w:lang w:eastAsia="en-GB"/>
          <w14:ligatures w14:val="none"/>
        </w:rPr>
        <w:t xml:space="preserve"> </w:t>
      </w:r>
      <w:r w:rsidRPr="00792FE7">
        <w:rPr>
          <w:rFonts w:ascii="Times New Roman" w:hAnsi="Times New Roman" w:cs="Times New Roman"/>
          <w:sz w:val="24"/>
          <w:szCs w:val="24"/>
        </w:rPr>
        <w:t>In 2021–2022, 14.4 million people in the UK were estimated to be living in poverty by official government data. That equates to about one in five persons. There were 4.2 million youngsters impacted in all (</w:t>
      </w:r>
      <w:proofErr w:type="spellStart"/>
      <w:r w:rsidRPr="00792FE7">
        <w:rPr>
          <w:rFonts w:ascii="Times New Roman" w:hAnsi="Times New Roman" w:cs="Times New Roman"/>
          <w:sz w:val="24"/>
          <w:szCs w:val="24"/>
        </w:rPr>
        <w:t>Mcrae</w:t>
      </w:r>
      <w:proofErr w:type="spellEnd"/>
      <w:r w:rsidRPr="00792FE7">
        <w:rPr>
          <w:rFonts w:ascii="Times New Roman" w:hAnsi="Times New Roman" w:cs="Times New Roman"/>
          <w:sz w:val="24"/>
          <w:szCs w:val="24"/>
        </w:rPr>
        <w:t>, Westwater, &amp; Glover, 2023).</w:t>
      </w:r>
      <w:r w:rsidRPr="00792FE7">
        <w:rPr>
          <w:rFonts w:ascii="Times New Roman" w:hAnsi="Times New Roman" w:cs="Times New Roman"/>
          <w:color w:val="333333"/>
          <w:sz w:val="24"/>
          <w:szCs w:val="24"/>
          <w:shd w:val="clear" w:color="auto" w:fill="FFFFFF"/>
        </w:rPr>
        <w:t xml:space="preserve"> Global poverty is one of the most urgent issues facing our world today, affecting 9.2% of the population (Peer, A 2023). </w:t>
      </w:r>
      <w:r w:rsidRPr="00792FE7">
        <w:rPr>
          <w:rFonts w:ascii="Times New Roman" w:hAnsi="Times New Roman" w:cs="Times New Roman"/>
          <w:sz w:val="24"/>
          <w:szCs w:val="24"/>
        </w:rPr>
        <w:t>In addition to the centre of the poverty wheel, Lister (2004) acknowledges the significance of "political struggles at the relational/symbolic rim." She points out that the "non-poor," whose behaviours, attitudes, and discourses can have a significant influence on how poverty is experienced, define a substantial portion of those who are impoverished. (Mind.org, 2021) States that Living in poverty is associated with a great deal of internalised shame and self-stigma. Numerous individuals hold themselves accountable for their financial circumstances and have accepted the notion that they have either "failed" or are less competent than others.</w:t>
      </w:r>
      <w:r w:rsidRPr="00792FE7">
        <w:rPr>
          <w:rFonts w:ascii="Times New Roman" w:eastAsia="Times New Roman" w:hAnsi="Times New Roman" w:cs="Times New Roman"/>
          <w:b/>
          <w:bCs/>
          <w:caps/>
          <w:color w:val="231314"/>
          <w:spacing w:val="11"/>
          <w:kern w:val="0"/>
          <w:sz w:val="24"/>
          <w:szCs w:val="24"/>
          <w:lang w:eastAsia="en-GB"/>
          <w14:ligatures w14:val="none"/>
        </w:rPr>
        <w:t xml:space="preserve"> </w:t>
      </w:r>
      <w:r w:rsidRPr="00792FE7">
        <w:rPr>
          <w:rFonts w:ascii="Times New Roman" w:hAnsi="Times New Roman" w:cs="Times New Roman"/>
          <w:sz w:val="24"/>
          <w:szCs w:val="24"/>
        </w:rPr>
        <w:t xml:space="preserve">Poverty can also have detrimental effects on the resource that a community represents. For instance, poverty may make it more difficult for a family to build social networks and assimilate into the neighbourhood. Furthermore, the shame attached to poverty can harm links within the community and perpetuate inequality. Those who reside in areas where outsiders conflate high levels of deprivation with high levels of anti-social behaviour and crime may find this stigma to be more severe (Hirsch, D 2008). Being low income limits one's housing alternatives, which makes some people more likely to live in subpar or unsafe housing. Over time, the percentage of residences that don't satisfy basic requirements for facilities, safety, upkeep, and heating has decreased, but the likelihood of living in one still favours individuals with lower incomes. For example, in the poorest fifth of the population in England, little more than one in five persons reside in "non-decent" dwellings (Bernard </w:t>
      </w:r>
      <w:r w:rsidRPr="00792FE7">
        <w:rPr>
          <w:rFonts w:ascii="Times New Roman" w:hAnsi="Times New Roman" w:cs="Times New Roman"/>
          <w:i/>
          <w:iCs/>
          <w:sz w:val="24"/>
          <w:szCs w:val="24"/>
        </w:rPr>
        <w:t xml:space="preserve">et al, </w:t>
      </w:r>
      <w:r w:rsidRPr="00792FE7">
        <w:rPr>
          <w:rFonts w:ascii="Times New Roman" w:hAnsi="Times New Roman" w:cs="Times New Roman"/>
          <w:sz w:val="24"/>
          <w:szCs w:val="24"/>
        </w:rPr>
        <w:t>2017). It is often known that there is a reciprocal association between mental health issues and poverty. The magnitude of this difficulty is rising quickly in a challenging economic climate. Local Minds serve some of the most impoverished communities in England and Wales, and a large number of the individuals they now support are low-income (Mind.org,2021). But more study was required to close information gaps, learn about people's experiences with current support, and find out what they would like to see from Mind going forward (Mind.org, 2021).</w:t>
      </w:r>
    </w:p>
    <w:p w14:paraId="26192FE9" w14:textId="77777777" w:rsidR="00BA3AA6" w:rsidRPr="00792FE7" w:rsidRDefault="00BA3AA6" w:rsidP="00BA3AA6">
      <w:pPr>
        <w:spacing w:line="360" w:lineRule="auto"/>
        <w:jc w:val="both"/>
        <w:rPr>
          <w:rFonts w:ascii="Times New Roman" w:hAnsi="Times New Roman" w:cs="Times New Roman"/>
          <w:b/>
          <w:bCs/>
          <w:sz w:val="24"/>
          <w:szCs w:val="24"/>
        </w:rPr>
      </w:pPr>
    </w:p>
    <w:p w14:paraId="2F4FD23D" w14:textId="77777777" w:rsidR="00BA3AA6" w:rsidRPr="00792FE7" w:rsidRDefault="00BA3AA6" w:rsidP="00BA3AA6">
      <w:pPr>
        <w:spacing w:line="360" w:lineRule="auto"/>
        <w:jc w:val="both"/>
        <w:rPr>
          <w:rFonts w:ascii="Times New Roman" w:hAnsi="Times New Roman" w:cs="Times New Roman"/>
          <w:b/>
          <w:bCs/>
          <w:sz w:val="24"/>
          <w:szCs w:val="24"/>
        </w:rPr>
      </w:pPr>
      <w:r w:rsidRPr="00792FE7">
        <w:rPr>
          <w:rFonts w:ascii="Times New Roman" w:hAnsi="Times New Roman" w:cs="Times New Roman"/>
          <w:b/>
          <w:bCs/>
          <w:sz w:val="24"/>
          <w:szCs w:val="24"/>
        </w:rPr>
        <w:t>Conclusion</w:t>
      </w:r>
    </w:p>
    <w:p w14:paraId="24414AC6" w14:textId="6B826EFA" w:rsidR="00BA3AA6" w:rsidRPr="00792FE7" w:rsidRDefault="00BA3AA6" w:rsidP="00BA3AA6">
      <w:pPr>
        <w:spacing w:line="360" w:lineRule="auto"/>
        <w:jc w:val="both"/>
        <w:rPr>
          <w:rFonts w:ascii="Times New Roman" w:hAnsi="Times New Roman" w:cs="Times New Roman"/>
          <w:sz w:val="24"/>
          <w:szCs w:val="24"/>
        </w:rPr>
      </w:pPr>
      <w:r w:rsidRPr="00792FE7">
        <w:rPr>
          <w:rFonts w:ascii="Times New Roman" w:hAnsi="Times New Roman" w:cs="Times New Roman"/>
          <w:sz w:val="24"/>
          <w:szCs w:val="24"/>
        </w:rPr>
        <w:t xml:space="preserve">Throughout this written assignment we have learned that the negative effects of poverty on relationships within families, as well as on one's physical and mental health, compound the difficulties experienced by persons with low incomes. Future poverty might be avoided by helping individuals living in poverty to increase their incomes and cut expenses and by addressing the detrimental effects of low incomes (Bernard </w:t>
      </w:r>
      <w:r w:rsidRPr="00792FE7">
        <w:rPr>
          <w:rFonts w:ascii="Times New Roman" w:hAnsi="Times New Roman" w:cs="Times New Roman"/>
          <w:i/>
          <w:iCs/>
          <w:sz w:val="24"/>
          <w:szCs w:val="24"/>
        </w:rPr>
        <w:t>et al</w:t>
      </w:r>
      <w:r w:rsidRPr="00792FE7">
        <w:rPr>
          <w:rFonts w:ascii="Times New Roman" w:hAnsi="Times New Roman" w:cs="Times New Roman"/>
          <w:sz w:val="24"/>
          <w:szCs w:val="24"/>
        </w:rPr>
        <w:t xml:space="preserve">,2017). The work done by the institutions like Oxfam, Joseph Rowntree foundation, and the reports and findings they produce are invaluable to help the cause they pursue. In conclusion, interacting with advocacy groups and legislators is a critical first step in the fight against poverty. Raising awareness of poverty and advocating for change can be accomplished through educating yourself on the problems surrounding it and the various ways to address it, joining advocacy groups and local organisations, using your voice to contact your representatives, and taking part in advocacy campaigns. Recall that it's critical to approach these endeavours with an open mind and a readiness to hear opposing viewpoints. We can improve the lives of those impacted by poverty and make progress in reducing it if we band together and create a powerful movement (Grey group international, 2023). Advocacy providing it is done correctly can be affective as it has </w:t>
      </w:r>
      <w:r w:rsidR="005864F8" w:rsidRPr="00792FE7">
        <w:rPr>
          <w:rFonts w:ascii="Times New Roman" w:hAnsi="Times New Roman" w:cs="Times New Roman"/>
          <w:sz w:val="24"/>
          <w:szCs w:val="24"/>
        </w:rPr>
        <w:t>been</w:t>
      </w:r>
      <w:r w:rsidRPr="00792FE7">
        <w:rPr>
          <w:rFonts w:ascii="Times New Roman" w:hAnsi="Times New Roman" w:cs="Times New Roman"/>
          <w:sz w:val="24"/>
          <w:szCs w:val="24"/>
        </w:rPr>
        <w:t xml:space="preserve"> integrated into more pieces of legislation over the years including the care act (2010), and the social services and wellbeing act Wales (2014).</w:t>
      </w:r>
      <w:r w:rsidR="00BA72DC">
        <w:rPr>
          <w:rFonts w:ascii="Times New Roman" w:hAnsi="Times New Roman" w:cs="Times New Roman"/>
          <w:sz w:val="24"/>
          <w:szCs w:val="24"/>
        </w:rPr>
        <w:t xml:space="preserve"> </w:t>
      </w:r>
      <w:r w:rsidRPr="00792FE7">
        <w:rPr>
          <w:rFonts w:ascii="Times New Roman" w:hAnsi="Times New Roman" w:cs="Times New Roman"/>
          <w:sz w:val="24"/>
          <w:szCs w:val="24"/>
        </w:rPr>
        <w:t>However as stated earlier Clements criticises the (SSWBAW , 2014) as he believes that the advocacy section only provides it with provision and does not make it stationary service and just merely speaks of it and fails to explain it (Clements, 2022). Advocates have more to do but they are up for the fight and will continue to do what they do to fix the short cummings.</w:t>
      </w:r>
    </w:p>
    <w:p w14:paraId="2DF27A49" w14:textId="77777777" w:rsidR="008D16AA" w:rsidRPr="00BA3AA6" w:rsidRDefault="008D16AA">
      <w:pPr>
        <w:rPr>
          <w:rFonts w:ascii="Times New Roman" w:hAnsi="Times New Roman" w:cs="Times New Roman"/>
          <w:sz w:val="24"/>
          <w:szCs w:val="24"/>
        </w:rPr>
      </w:pPr>
    </w:p>
    <w:sectPr w:rsidR="008D16AA" w:rsidRPr="00BA3A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AA6"/>
    <w:rsid w:val="005864F8"/>
    <w:rsid w:val="007A16D4"/>
    <w:rsid w:val="008D16AA"/>
    <w:rsid w:val="00BA3AA6"/>
    <w:rsid w:val="00BA7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7BDBB"/>
  <w15:chartTrackingRefBased/>
  <w15:docId w15:val="{623ADACD-C0DF-49D1-B468-9FF6BE283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AA6"/>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3AA6"/>
    <w:pPr>
      <w:spacing w:after="0" w:line="240" w:lineRule="auto"/>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2271</Words>
  <Characters>12949</Characters>
  <Application>Microsoft Office Word</Application>
  <DocSecurity>0</DocSecurity>
  <Lines>107</Lines>
  <Paragraphs>30</Paragraphs>
  <ScaleCrop>false</ScaleCrop>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3</cp:revision>
  <dcterms:created xsi:type="dcterms:W3CDTF">2023-11-16T12:42:00Z</dcterms:created>
  <dcterms:modified xsi:type="dcterms:W3CDTF">2023-11-16T12:44:00Z</dcterms:modified>
</cp:coreProperties>
</file>