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1AA4" w:rsidRDefault="00483F06" w:rsidP="00483F06">
      <w:pPr>
        <w:pStyle w:val="Title"/>
      </w:pPr>
      <w:r w:rsidRPr="00483F06">
        <w:t>Taking into consideration the political divisions evident in Germany during the 1920s, did reactions to civil disobedience and unrest within the Weimar state inevitably lead to autocratic and authoritarian rule?</w:t>
      </w:r>
    </w:p>
    <w:p w:rsidR="00483F06" w:rsidRDefault="00483F06" w:rsidP="00483F06"/>
    <w:p w:rsidR="00483F06" w:rsidRDefault="00483F06" w:rsidP="00483F06">
      <w:r>
        <w:t>The Weimar Republic was the unofficial name given to the German government in the 1920’s and early 30’s. This name was not official and was name given to it due to its first constitution being drafted in the city of Weimar.</w:t>
      </w:r>
      <w:r>
        <w:rPr>
          <w:rStyle w:val="FootnoteReference"/>
        </w:rPr>
        <w:footnoteReference w:id="1"/>
      </w:r>
      <w:r>
        <w:t xml:space="preserve"> The Weimar Government was created out of the turmoil Germany found itself in at the end of the war with her political elite being upheaved, being replaced by the Social Democratic Party, or at least those that would become this party.</w:t>
      </w:r>
      <w:r w:rsidR="00E13FE3">
        <w:rPr>
          <w:rStyle w:val="FootnoteReference"/>
        </w:rPr>
        <w:footnoteReference w:id="2"/>
      </w:r>
      <w:r w:rsidR="00E13FE3">
        <w:t xml:space="preserve"> This was Germany’s first attempt at any form of government that was not autocratic and introduced many social reforms which many people from different groups found cause to create civil unrest and disobedience. It can be argued that as a result of the Weimar Government’s own reactionary measures to these outbreaks are what lead to its inevitable decline after near 15 years of its inception.</w:t>
      </w:r>
      <w:r w:rsidR="009E72FC">
        <w:rPr>
          <w:rStyle w:val="FootnoteReference"/>
        </w:rPr>
        <w:footnoteReference w:id="3"/>
      </w:r>
      <w:r w:rsidR="00E13FE3">
        <w:t xml:space="preserve"> However to this it can be argued that it was a combination of other circumstances that brought Germany back into autocracy under the Third Reich, as otherwise how would one explain the relative peace experienced in the ‘Golden Years’ of the latter 20’s.</w:t>
      </w:r>
      <w:r w:rsidR="009E72FC">
        <w:rPr>
          <w:rStyle w:val="FootnoteReference"/>
        </w:rPr>
        <w:footnoteReference w:id="4"/>
      </w:r>
      <w:r w:rsidR="00E13FE3">
        <w:t xml:space="preserve"> It is still important to recognise the role the civil disobediences and unrests played in the downfall of the Weimar state alon</w:t>
      </w:r>
      <w:r w:rsidR="009E72FC">
        <w:t xml:space="preserve">g with several external factors. </w:t>
      </w:r>
    </w:p>
    <w:p w:rsidR="009E72FC" w:rsidRDefault="009E72FC" w:rsidP="00483F06">
      <w:r>
        <w:t>In January 1919 there was a power struggle in the left wing of German Politics at the time</w:t>
      </w:r>
      <w:r w:rsidR="00B712E9">
        <w:t>. After the Abdication of the Kaiser the German Elite attempted to form a new government to stabilise Germany and win the war.</w:t>
      </w:r>
      <w:r w:rsidR="00B712E9">
        <w:rPr>
          <w:rStyle w:val="FootnoteReference"/>
        </w:rPr>
        <w:footnoteReference w:id="5"/>
      </w:r>
      <w:r w:rsidR="00B712E9">
        <w:t xml:space="preserve"> This however was not to happen and this new government collapsed leaving the Left, who were the most able of any political grouping to take power. Lead by</w:t>
      </w:r>
      <w:r w:rsidR="00233993">
        <w:t xml:space="preserve"> </w:t>
      </w:r>
      <w:proofErr w:type="spellStart"/>
      <w:r w:rsidR="00233993">
        <w:t>Fredriech</w:t>
      </w:r>
      <w:proofErr w:type="spellEnd"/>
      <w:r w:rsidR="00233993">
        <w:t xml:space="preserve"> Ebert,</w:t>
      </w:r>
      <w:r w:rsidR="00B712E9">
        <w:t xml:space="preserve"> this government would enact large social reforms, however this was not enough for some members of the left who wanted a more soviet style of government.</w:t>
      </w:r>
      <w:r w:rsidR="00233993">
        <w:t xml:space="preserve"> T</w:t>
      </w:r>
      <w:r w:rsidR="00F94565">
        <w:t xml:space="preserve">hese were the </w:t>
      </w:r>
      <w:r w:rsidR="00233993" w:rsidRPr="00233993">
        <w:t>Communist Party of Germany (KPD), led by Karl Liebknecht and Rosa Luxemburg, who had previously founded and led the Spartacist League</w:t>
      </w:r>
      <w:r w:rsidR="00F94565">
        <w:t>.</w:t>
      </w:r>
      <w:r w:rsidR="005237ED">
        <w:rPr>
          <w:rStyle w:val="FootnoteReference"/>
        </w:rPr>
        <w:footnoteReference w:id="6"/>
      </w:r>
      <w:r w:rsidR="00F94565">
        <w:t xml:space="preserve"> In the Spartacist manifesto released on 26</w:t>
      </w:r>
      <w:r w:rsidR="00F94565" w:rsidRPr="00F94565">
        <w:rPr>
          <w:vertAlign w:val="superscript"/>
        </w:rPr>
        <w:t>th</w:t>
      </w:r>
      <w:r w:rsidR="00F94565">
        <w:t xml:space="preserve"> November 1918 </w:t>
      </w:r>
      <w:r w:rsidR="002602F7">
        <w:t xml:space="preserve">states their frustrations and accusations ‘we do not say that in Germany all power really has been lodged in </w:t>
      </w:r>
      <w:r w:rsidR="002602F7">
        <w:lastRenderedPageBreak/>
        <w:t xml:space="preserve">the hands of the people’ and accusing </w:t>
      </w:r>
      <w:r w:rsidR="0064280B">
        <w:t>the members of the SDP who left to form the new government of stabbing the people in the back, though not over the war like the army and the rest of the public but over them not forming a true communist state.</w:t>
      </w:r>
      <w:r w:rsidR="0064280B">
        <w:rPr>
          <w:rStyle w:val="FootnoteReference"/>
        </w:rPr>
        <w:footnoteReference w:id="7"/>
      </w:r>
      <w:r w:rsidR="0064280B">
        <w:t xml:space="preserve"> It again lashes out at the League of nations as was common place for the time but like the ‘stabbed in the back’ concept they did not do it for the same reasons, claiming that it was just another creation of the ‘lying elite’.</w:t>
      </w:r>
      <w:r w:rsidR="0064280B">
        <w:rPr>
          <w:rStyle w:val="FootnoteReference"/>
        </w:rPr>
        <w:footnoteReference w:id="8"/>
      </w:r>
      <w:r w:rsidR="005F68F3">
        <w:t xml:space="preserve"> This reached a crisis point on the 4</w:t>
      </w:r>
      <w:r w:rsidR="005F68F3" w:rsidRPr="005F68F3">
        <w:rPr>
          <w:vertAlign w:val="superscript"/>
        </w:rPr>
        <w:t>th</w:t>
      </w:r>
      <w:r w:rsidR="005F68F3">
        <w:t xml:space="preserve"> of January 1919 with the start of what w</w:t>
      </w:r>
      <w:r w:rsidR="00CF0E52">
        <w:t>ould be called January Uprising which would ultimately end on the 15</w:t>
      </w:r>
      <w:r w:rsidR="00CF0E52" w:rsidRPr="00CF0E52">
        <w:rPr>
          <w:vertAlign w:val="superscript"/>
        </w:rPr>
        <w:t>th</w:t>
      </w:r>
      <w:r w:rsidR="00CF0E52">
        <w:t xml:space="preserve"> of January for the most part</w:t>
      </w:r>
      <w:r w:rsidR="00213F8E">
        <w:t xml:space="preserve">, this would more popularly be called the Spartacist Uprising. </w:t>
      </w:r>
      <w:r w:rsidR="00B5567C">
        <w:t xml:space="preserve">Beginning as large strike movements </w:t>
      </w:r>
      <w:r w:rsidR="00617590">
        <w:t xml:space="preserve">by </w:t>
      </w:r>
      <w:r w:rsidR="00B5567C">
        <w:t>the self-proclaimed revolutionary committee</w:t>
      </w:r>
      <w:r w:rsidR="00617590">
        <w:t xml:space="preserve"> eventually the protests</w:t>
      </w:r>
      <w:r w:rsidR="00CB4119">
        <w:t xml:space="preserve"> in Berlin</w:t>
      </w:r>
      <w:r w:rsidR="00617590">
        <w:t xml:space="preserve"> turned into large actions of revolution by some of the 500,000 people who came out to protest on the 7</w:t>
      </w:r>
      <w:r w:rsidR="00617590" w:rsidRPr="00617590">
        <w:rPr>
          <w:vertAlign w:val="superscript"/>
        </w:rPr>
        <w:t>th</w:t>
      </w:r>
      <w:r w:rsidR="00617590">
        <w:t xml:space="preserve"> of January</w:t>
      </w:r>
      <w:r w:rsidR="00CB4119">
        <w:t>.</w:t>
      </w:r>
      <w:r w:rsidR="00CB4119">
        <w:rPr>
          <w:rStyle w:val="FootnoteReference"/>
        </w:rPr>
        <w:footnoteReference w:id="9"/>
      </w:r>
      <w:r w:rsidR="00CB4119">
        <w:t xml:space="preserve"> At the same time Members of the KPD who were encouraging this tried to get military units in the city of Berlin to join their cause, however most of these soldiers either declared neutrality or remained loyal to the government.</w:t>
      </w:r>
      <w:r w:rsidR="00CB4119">
        <w:rPr>
          <w:rStyle w:val="FootnoteReference"/>
        </w:rPr>
        <w:footnoteReference w:id="10"/>
      </w:r>
      <w:r w:rsidR="00CB4119">
        <w:t xml:space="preserve"> The context of this rebellion is important as it arguably creates the basis of more unrest as it calls into question the Weimar Governments legitimacy to rule before it was even created fully, as the first thing the government does is flee the city of Berlin to Weimar making them look weak as they would not face their opposition.</w:t>
      </w:r>
      <w:r w:rsidR="006A21E2">
        <w:t xml:space="preserve"> This crisis also is a massive hit to the legitimacy of the Weimar Republic because the Government used the Freikorps who are militias formed of German citizen or ex-soldiers from the front line of World War 1, rather than the army, mostly due to them still being deployed </w:t>
      </w:r>
      <w:r w:rsidR="00B37CDF">
        <w:t>whilst the armistice</w:t>
      </w:r>
      <w:r w:rsidR="00A23893">
        <w:t xml:space="preserve"> was still in place whilst the treaty of Versailles wa</w:t>
      </w:r>
      <w:r w:rsidR="009D7786">
        <w:t xml:space="preserve">s being constructed and debated. Asked to Intervene by </w:t>
      </w:r>
      <w:proofErr w:type="spellStart"/>
      <w:r w:rsidR="009D7786">
        <w:t>Fredriech</w:t>
      </w:r>
      <w:proofErr w:type="spellEnd"/>
      <w:r w:rsidR="009D7786">
        <w:t xml:space="preserve"> Ebert these Freikorps Militias ruthlessly put down the Spartacist movement with several executions taking place, including the leaders of the Spartacists, Rosa Luxembourg and Karl </w:t>
      </w:r>
      <w:proofErr w:type="spellStart"/>
      <w:r w:rsidR="009D7786">
        <w:t>Leibnecht</w:t>
      </w:r>
      <w:proofErr w:type="spellEnd"/>
      <w:r w:rsidR="009D7786">
        <w:t>.</w:t>
      </w:r>
      <w:r w:rsidR="002C63AE">
        <w:rPr>
          <w:rStyle w:val="FootnoteReference"/>
        </w:rPr>
        <w:footnoteReference w:id="11"/>
      </w:r>
      <w:r w:rsidR="009D7786">
        <w:t xml:space="preserve"> Ultimately this collection of rebellions that made the January rising were concentrated to urban areas like Berlin, and for the most part the German Public remained more on the side of the Government, this included the majority of the military stationed in these areas, the government also had in addition </w:t>
      </w:r>
      <w:r w:rsidR="00761190">
        <w:t xml:space="preserve">the backing of the state field army at the time, though they did concede a little of their authority over them. Due to these reasons I believe that the Weimar Republic was not inevitably going to fail back into an autocracy due to the attacks it suffered from the left, however because they retreated when threatened and called in a right wing militia group to put down a revolt </w:t>
      </w:r>
      <w:r w:rsidR="002C63AE">
        <w:t>against people who prior to and during the war they called allies.</w:t>
      </w:r>
    </w:p>
    <w:p w:rsidR="00CF0E52" w:rsidRDefault="00EA6C2C" w:rsidP="00483F06">
      <w:r>
        <w:t>The next group of rebels it is worth looking at are the Freikorps, having already been mentioned previously, as they formed the bulk of the right wing opposition to the Weimar Republic in the Early 1920’s. The Freikorps was not a unique</w:t>
      </w:r>
      <w:r w:rsidR="00ED37DE">
        <w:t xml:space="preserve"> occurrence of the early 1920’s as the groups have a history going back to the 18</w:t>
      </w:r>
      <w:r w:rsidR="00ED37DE" w:rsidRPr="00ED37DE">
        <w:rPr>
          <w:vertAlign w:val="superscript"/>
        </w:rPr>
        <w:t>th</w:t>
      </w:r>
      <w:r w:rsidR="00ED37DE">
        <w:t xml:space="preserve"> Century, with its services being continued to be used by the Weimar Republic against other left wing revolts and strike action, some of which was soviet backed or at least that was what was said about the rebellions.</w:t>
      </w:r>
      <w:r w:rsidR="00ED37DE">
        <w:rPr>
          <w:rStyle w:val="FootnoteReference"/>
        </w:rPr>
        <w:footnoteReference w:id="12"/>
      </w:r>
      <w:r>
        <w:t xml:space="preserve"> </w:t>
      </w:r>
      <w:r w:rsidR="00F4113F">
        <w:t xml:space="preserve">There was a problem with relying on these groups however as they were not loyal to the Republic as they did not agree politically with the new government being involved with several assassinations of supporters of the new government, in fact </w:t>
      </w:r>
      <w:r w:rsidR="00F4113F">
        <w:lastRenderedPageBreak/>
        <w:t>after the group is disbanded in 1920 officially many of its members would join the Nazi Party forming the SA who would later become the SS of World War 2, its due to this that many people view them as the precursors to the Nazis, which isn’t wholly true.</w:t>
      </w:r>
      <w:r w:rsidR="00F70F62">
        <w:rPr>
          <w:rStyle w:val="FootnoteReference"/>
        </w:rPr>
        <w:footnoteReference w:id="13"/>
      </w:r>
      <w:r w:rsidR="00F4113F">
        <w:rPr>
          <w:rStyle w:val="FootnoteReference"/>
        </w:rPr>
        <w:footnoteReference w:id="14"/>
      </w:r>
      <w:r w:rsidR="00F4113F">
        <w:t xml:space="preserve"> </w:t>
      </w:r>
      <w:r w:rsidR="00715CA0">
        <w:t xml:space="preserve">There was a large issue that came about after the treaty of Versailles was signed in the fact that Millions of soldiers were ordered home despite them feeling like they were winning the war since they were still occupying regions of foreign soil in Europe, in addition to this the state was failing to provide for its social welfare duties it had announced as the allies were only just letting off the blockade they had on German ports in the North Sea meaning there was very little food or trade for an already crippled economy. </w:t>
      </w:r>
      <w:r w:rsidR="00715CA0" w:rsidRPr="00715CA0">
        <w:t>Many Germa</w:t>
      </w:r>
      <w:r w:rsidR="00715CA0">
        <w:t xml:space="preserve">n veterans found the retransition from military to civilian life difficult </w:t>
      </w:r>
      <w:r w:rsidR="00715CA0" w:rsidRPr="00715CA0">
        <w:t xml:space="preserve">and </w:t>
      </w:r>
      <w:r w:rsidR="00715CA0">
        <w:t>chose to join</w:t>
      </w:r>
      <w:r w:rsidR="00715CA0" w:rsidRPr="00715CA0">
        <w:t xml:space="preserve"> a F</w:t>
      </w:r>
      <w:r w:rsidR="00715CA0">
        <w:t>reikorps in search of order within a</w:t>
      </w:r>
      <w:r w:rsidR="00715CA0" w:rsidRPr="00715CA0">
        <w:t xml:space="preserve"> structure</w:t>
      </w:r>
      <w:r w:rsidR="00715CA0">
        <w:t xml:space="preserve"> that had become a way of life for them, given the amount of time German soldiers spent in their trenches</w:t>
      </w:r>
      <w:r w:rsidR="00715CA0" w:rsidRPr="00715CA0">
        <w:t>. Others</w:t>
      </w:r>
      <w:r w:rsidR="00715CA0">
        <w:t xml:space="preserve"> who were angry and felt betrayed by their apparent defeat in the war, as mentioned some of the troops were still occupying foreign soils. Many of these men also</w:t>
      </w:r>
      <w:r w:rsidR="00715CA0" w:rsidRPr="00715CA0">
        <w:t xml:space="preserve"> joined up in an effort to put down communist uprisings, such as the Spartacist uprising, or exact some form of revenge on those they considered</w:t>
      </w:r>
      <w:r w:rsidR="00715CA0">
        <w:t xml:space="preserve"> responsible for the armistice.</w:t>
      </w:r>
      <w:r w:rsidR="00715CA0">
        <w:rPr>
          <w:rStyle w:val="FootnoteReference"/>
        </w:rPr>
        <w:footnoteReference w:id="15"/>
      </w:r>
      <w:r w:rsidR="004705AF">
        <w:t xml:space="preserve"> As previously mentioned they had a large amount of support from the Government, the Minister of Defence Gustav </w:t>
      </w:r>
      <w:proofErr w:type="spellStart"/>
      <w:r w:rsidR="004705AF">
        <w:t>Noske</w:t>
      </w:r>
      <w:proofErr w:type="spellEnd"/>
      <w:r w:rsidR="004705AF">
        <w:t>, a member of the SDP used them to defeat several insurrections in 1919-20 including the putting down of the Bavarian Soviet Republic in May 1919.</w:t>
      </w:r>
      <w:r w:rsidR="004705AF">
        <w:rPr>
          <w:rStyle w:val="FootnoteReference"/>
        </w:rPr>
        <w:footnoteReference w:id="16"/>
      </w:r>
      <w:r w:rsidR="004705AF">
        <w:t xml:space="preserve"> However come 1920 there were none if very few Left wing rebellions against the Government and Given their political stance in combination with the public feeling of being betrayed by the new government, they were becoming a large threat to the Weimar Republic, the Government would use the Disarmament Clause of the Treaty of Versailles to disband these groups, hoping that they would offer little resistance.</w:t>
      </w:r>
      <w:r w:rsidR="004705AF">
        <w:rPr>
          <w:rStyle w:val="FootnoteReference"/>
        </w:rPr>
        <w:footnoteReference w:id="17"/>
      </w:r>
      <w:r w:rsidR="00F70F62">
        <w:t xml:space="preserve"> However this made the Weimar Republic look even more weak than the previous bouts of unrest as the Generals of the Freikorps, mostly ex-army officers, realised the government could do very little to stop them should they attempt a Coup, given how unpopular it was with the 100,000 strong standing army, as limited by the Treaty of Versailles. The </w:t>
      </w:r>
      <w:proofErr w:type="spellStart"/>
      <w:r w:rsidR="00F70F62">
        <w:t>Kapp</w:t>
      </w:r>
      <w:proofErr w:type="spellEnd"/>
      <w:r w:rsidR="00F70F62">
        <w:t xml:space="preserve"> Putsch as this Coup became known happened on the 13</w:t>
      </w:r>
      <w:r w:rsidR="00F70F62" w:rsidRPr="00F70F62">
        <w:rPr>
          <w:vertAlign w:val="superscript"/>
        </w:rPr>
        <w:t>th</w:t>
      </w:r>
      <w:r w:rsidR="00F70F62">
        <w:t xml:space="preserve"> of March 1920, 2 months after the official disbanding of the Freikorps.</w:t>
      </w:r>
      <w:r w:rsidR="00F70F62">
        <w:rPr>
          <w:rStyle w:val="FootnoteReference"/>
        </w:rPr>
        <w:footnoteReference w:id="18"/>
      </w:r>
      <w:r w:rsidR="00F70F62">
        <w:t xml:space="preserve"> </w:t>
      </w:r>
      <w:r w:rsidR="00D07446">
        <w:t xml:space="preserve">The Coup occupied Berlin and had </w:t>
      </w:r>
      <w:proofErr w:type="spellStart"/>
      <w:r w:rsidR="00D07446">
        <w:t>Wolgang</w:t>
      </w:r>
      <w:proofErr w:type="spellEnd"/>
      <w:r w:rsidR="00D07446">
        <w:t xml:space="preserve"> </w:t>
      </w:r>
      <w:proofErr w:type="spellStart"/>
      <w:r w:rsidR="00D07446">
        <w:t>Kapp</w:t>
      </w:r>
      <w:proofErr w:type="spellEnd"/>
      <w:r w:rsidR="00D07446">
        <w:t>, its leader, placed as Chancellor of the Republic with little to no opposition, in fact the majority of the standing military units in Berlin at the time resisted, some officers claiming that their men wouldn’t understand why they were being ordered to fire.</w:t>
      </w:r>
      <w:r w:rsidR="00D07446">
        <w:rPr>
          <w:rStyle w:val="FootnoteReference"/>
        </w:rPr>
        <w:footnoteReference w:id="19"/>
      </w:r>
      <w:r w:rsidR="00D07446">
        <w:t xml:space="preserve"> The Weimar Government decided to move to Dresden in order to gain support but were thrown into protective custody by the officers in charge of the local garrison, with their last edict to launch a general strike in order to defeat the uprising.</w:t>
      </w:r>
      <w:r w:rsidR="00D07446">
        <w:rPr>
          <w:rStyle w:val="FootnoteReference"/>
        </w:rPr>
        <w:footnoteReference w:id="20"/>
      </w:r>
      <w:r w:rsidR="00D07446">
        <w:t xml:space="preserve"> This had Great Success and ultimately paralyzed the country which </w:t>
      </w:r>
      <w:r w:rsidR="008E2731">
        <w:t xml:space="preserve">ultimately lead the </w:t>
      </w:r>
      <w:proofErr w:type="spellStart"/>
      <w:r w:rsidR="008E2731">
        <w:t>Kapp</w:t>
      </w:r>
      <w:proofErr w:type="spellEnd"/>
      <w:r w:rsidR="008E2731">
        <w:t xml:space="preserve"> Putsch to collapse on March 17</w:t>
      </w:r>
      <w:r w:rsidR="008E2731" w:rsidRPr="008E2731">
        <w:rPr>
          <w:vertAlign w:val="superscript"/>
        </w:rPr>
        <w:t>th</w:t>
      </w:r>
      <w:r w:rsidR="008E2731">
        <w:t xml:space="preserve"> only 4 days after it had started.</w:t>
      </w:r>
      <w:r w:rsidR="008E2731">
        <w:rPr>
          <w:rStyle w:val="FootnoteReference"/>
        </w:rPr>
        <w:footnoteReference w:id="21"/>
      </w:r>
      <w:r w:rsidR="008E2731">
        <w:t xml:space="preserve"> </w:t>
      </w:r>
    </w:p>
    <w:p w:rsidR="008E2731" w:rsidRDefault="008E2731" w:rsidP="00483F06">
      <w:r>
        <w:t xml:space="preserve">Ultimately this shows that it was not Inevitable for the Weimar Republic to Collapse back into Authoritarian rule as it was the people that had defeated this Putsch at the request of the government, showing that the public, even under the death penalty was willing to side with Democracy rather than Autocracy. It must be said however that these men were being heavily used </w:t>
      </w:r>
      <w:r>
        <w:lastRenderedPageBreak/>
        <w:t>by the Weimar Republic to put down all rebellions it had encountered in the last two years, not only did they turn against the Government, but once again, like with the Spartacists, they retreated from an opposing force, which while not making it inevitable for the Weimar Governments collapse it did not make their position any better than it already was.</w:t>
      </w:r>
    </w:p>
    <w:p w:rsidR="008E2731" w:rsidRDefault="008E2731" w:rsidP="00483F06">
      <w:r>
        <w:t xml:space="preserve">By paralysing the country to defeat the </w:t>
      </w:r>
      <w:proofErr w:type="spellStart"/>
      <w:r>
        <w:t>Kapp</w:t>
      </w:r>
      <w:proofErr w:type="spellEnd"/>
      <w:r>
        <w:t xml:space="preserve"> Putsch the Weimar Government had inadvertently opened themselves to a much worse Crisis. Whilst not a direct cause this did have an impact on Germany’s industrial output causing it to fall short with its reparations in 1923 in addition with the hyperi</w:t>
      </w:r>
      <w:r w:rsidR="00565E4E">
        <w:t>nflation of the German Currency. This lead the French army to respond by invading the Ruhr industrial region and seize goods in value to the shortfall in reparations.</w:t>
      </w:r>
      <w:r w:rsidR="00565E4E">
        <w:rPr>
          <w:rStyle w:val="FootnoteReference"/>
        </w:rPr>
        <w:footnoteReference w:id="22"/>
      </w:r>
      <w:r>
        <w:t xml:space="preserve"> </w:t>
      </w:r>
      <w:r w:rsidR="00565E4E">
        <w:t>The occupation took a brutal turn as 120 Civilians were killed, leading to a massive campaign of passive resistance as the vast majority of workers refused to enter work, only returning under pressure from their own government towards the end of the same year.</w:t>
      </w:r>
      <w:r w:rsidR="00565E4E">
        <w:rPr>
          <w:rStyle w:val="FootnoteReference"/>
        </w:rPr>
        <w:footnoteReference w:id="23"/>
      </w:r>
      <w:r w:rsidR="00565E4E">
        <w:t xml:space="preserve"> The crisis ultimately ended in 1924 with the Dawes Plan reducing the amount Germany had to pay in reparations through a combination of loans from other countries predominantly the USA.</w:t>
      </w:r>
      <w:r w:rsidR="00565E4E">
        <w:rPr>
          <w:rStyle w:val="FootnoteReference"/>
        </w:rPr>
        <w:footnoteReference w:id="24"/>
      </w:r>
      <w:r w:rsidR="00565E4E">
        <w:t xml:space="preserve"> Again this did not make it inevitable for the return of Autocratic Rule in Germany as </w:t>
      </w:r>
      <w:r w:rsidR="004855D2">
        <w:t>this Crisis still showed that the public was onside with the Weimar Republic as they did agree to return to work, however this was begrudgingly and was a very unpopular move by the government as it made them seem willing to surrender itself at every stop of opposition, despite it being the smartest move to make for the Government at the time, as they had shown at other crisis points they were more likely to retreat than stand. Further to this point they then were at the mercy of the international community to help them, had the Dawes Plan not been enacted the Weimar Republic would still have been in as bad a position. The only event of civil unrest the Weimar Republic was confronted with was the Munich Putsch led by Adolf Hitler November 1923 which was put down by local police and resulted in the arrest of Hitler himself and several members of the Nazi Party.</w:t>
      </w:r>
      <w:r w:rsidR="004855D2">
        <w:rPr>
          <w:rStyle w:val="FootnoteReference"/>
        </w:rPr>
        <w:footnoteReference w:id="25"/>
      </w:r>
    </w:p>
    <w:p w:rsidR="00D46456" w:rsidRDefault="004855D2" w:rsidP="00100858">
      <w:r>
        <w:t>Rather looking at how the Weimar Governments reactions to civil disobedience and unrest being the factor that left</w:t>
      </w:r>
      <w:r w:rsidR="008C23F0">
        <w:t xml:space="preserve"> it</w:t>
      </w:r>
      <w:r>
        <w:t xml:space="preserve"> inevitable </w:t>
      </w:r>
      <w:r w:rsidR="008C23F0">
        <w:t>that it would collapse back into autocracy we should look more into the social and economic Factors that lead to its collapse and weather that made its failure inevitable.</w:t>
      </w:r>
      <w:r w:rsidR="008C23F0">
        <w:rPr>
          <w:rStyle w:val="FootnoteReference"/>
        </w:rPr>
        <w:footnoteReference w:id="26"/>
      </w:r>
      <w:r w:rsidR="008C23F0">
        <w:t xml:space="preserve"> Taking this snippet from Bessel’s essay we can argue from another point on this issue, ‘</w:t>
      </w:r>
      <w:r w:rsidR="008C23F0">
        <w:t xml:space="preserve">instead of seeing it as </w:t>
      </w:r>
      <w:proofErr w:type="gramStart"/>
      <w:r w:rsidR="008C23F0">
        <w:t>an</w:t>
      </w:r>
      <w:proofErr w:type="gramEnd"/>
      <w:r w:rsidR="008C23F0">
        <w:t xml:space="preserve"> experiment in democracy gone wrong it is more appropriate to view the Weimar Republic as a gamble with no chance of success</w:t>
      </w:r>
      <w:r w:rsidR="008C23F0">
        <w:t>’.</w:t>
      </w:r>
      <w:r w:rsidR="008C23F0">
        <w:rPr>
          <w:rStyle w:val="FootnoteReference"/>
        </w:rPr>
        <w:footnoteReference w:id="27"/>
      </w:r>
      <w:r w:rsidR="008C23F0">
        <w:t xml:space="preserve"> By this argument the reactions of the Weimar state had nothing if not very little chance of success in the first place regardless of how they Government had reacted to the civil unrest it had to face, </w:t>
      </w:r>
      <w:r w:rsidR="00D46456">
        <w:t>by this comment it would be more accurate to state it was inevitable to collapse from the moment of its inception. The Weimar Republic</w:t>
      </w:r>
      <w:r w:rsidR="00D46456" w:rsidRPr="00D46456">
        <w:t xml:space="preserve"> was bur</w:t>
      </w:r>
      <w:r w:rsidR="00D46456">
        <w:t xml:space="preserve">dened with enormous handicaps as </w:t>
      </w:r>
      <w:r w:rsidR="00D46456" w:rsidRPr="00D46456">
        <w:t>Germany was forced into the treaty of Versailles which severely weakened her</w:t>
      </w:r>
      <w:r w:rsidR="00D46456">
        <w:t xml:space="preserve">, </w:t>
      </w:r>
      <w:r w:rsidR="00D46456" w:rsidRPr="00D46456">
        <w:t>German industrial output was only 42% of its figures in 1913, Germ</w:t>
      </w:r>
      <w:r w:rsidR="00D46456">
        <w:t xml:space="preserve">an grain production was at 48%, only </w:t>
      </w:r>
      <w:r w:rsidR="00D46456" w:rsidRPr="00D46456">
        <w:t>by 1927 industry had caught back up but the grain production never recovered during the 1920’s</w:t>
      </w:r>
      <w:r w:rsidR="00D46456">
        <w:t>.</w:t>
      </w:r>
      <w:r w:rsidR="00D46456">
        <w:rPr>
          <w:rStyle w:val="FootnoteReference"/>
        </w:rPr>
        <w:footnoteReference w:id="28"/>
      </w:r>
      <w:r w:rsidR="00D46456">
        <w:t xml:space="preserve"> Furthermore t</w:t>
      </w:r>
      <w:r w:rsidR="00D46456">
        <w:t xml:space="preserve">he war and rapid readjustment to a </w:t>
      </w:r>
      <w:r w:rsidR="00D46456">
        <w:lastRenderedPageBreak/>
        <w:t>peace time economy left a long shadow</w:t>
      </w:r>
      <w:r w:rsidR="00D46456">
        <w:t xml:space="preserve"> over the whole Weimar period with </w:t>
      </w:r>
      <w:r w:rsidR="00D46456">
        <w:t>huge reparations and debt and millions of returning soldiers looking for work</w:t>
      </w:r>
      <w:r w:rsidR="00D46456">
        <w:t>, th</w:t>
      </w:r>
      <w:r w:rsidR="00D46456">
        <w:t xml:space="preserve">e government relied on fiscal measures rather than policies </w:t>
      </w:r>
      <w:r w:rsidR="00D46456">
        <w:t>to contract economic activity.</w:t>
      </w:r>
      <w:r w:rsidR="00D46456">
        <w:rPr>
          <w:rStyle w:val="FootnoteReference"/>
        </w:rPr>
        <w:footnoteReference w:id="29"/>
      </w:r>
      <w:r w:rsidR="00D46456">
        <w:t xml:space="preserve"> What needed to be created out of the chaos was a</w:t>
      </w:r>
      <w:r w:rsidR="00D46456" w:rsidRPr="00D46456">
        <w:t xml:space="preserve"> strong government that the </w:t>
      </w:r>
      <w:r w:rsidR="00D46456">
        <w:t>entire population was behind it, however the Weimar Government never truly achieved this due to the majority of the population viewing it as illegitimate.</w:t>
      </w:r>
      <w:r w:rsidR="00D46456">
        <w:rPr>
          <w:rStyle w:val="FootnoteReference"/>
        </w:rPr>
        <w:footnoteReference w:id="30"/>
      </w:r>
      <w:r w:rsidR="00100858">
        <w:t xml:space="preserve"> The Governments legitimacy was</w:t>
      </w:r>
      <w:r w:rsidR="00100858">
        <w:t xml:space="preserve"> further undermined by the fact the Weimar government had to push through harsh but necessary measures on the basis of democratic politics and the failures of these leading to hyperinflation of 1922-23 which then further undermined the legitimacy of the Weimar Government.</w:t>
      </w:r>
      <w:r w:rsidR="00100858">
        <w:t xml:space="preserve"> This was further worsened by S</w:t>
      </w:r>
      <w:r w:rsidR="00100858">
        <w:t xml:space="preserve">tresemann </w:t>
      </w:r>
      <w:r w:rsidR="00100858">
        <w:t xml:space="preserve">when he </w:t>
      </w:r>
      <w:r w:rsidR="00100858">
        <w:t xml:space="preserve">used article 48 to get the people of the Ruhr strike back to work in 1923 and to change the German currency, which also had a negative </w:t>
      </w:r>
      <w:r w:rsidR="00100858">
        <w:t>effect on legitimacy, whilst the crisis did show some popular support to the government the Use of Article 48 had serious negative effects on the legitimacy of the Weimar Government as Article 48 essentially made the President into an Autocrat which is something that the State was trying to remove in its creation.</w:t>
      </w:r>
      <w:r w:rsidR="00100858">
        <w:rPr>
          <w:rStyle w:val="FootnoteReference"/>
        </w:rPr>
        <w:footnoteReference w:id="31"/>
      </w:r>
      <w:r w:rsidR="00100858">
        <w:t>T</w:t>
      </w:r>
      <w:r w:rsidR="00100858">
        <w:t xml:space="preserve">he government in 1918 and 1919, led by Friedrich Ebert did all it could </w:t>
      </w:r>
      <w:r w:rsidR="00100858">
        <w:t>to suppress left wing revolts</w:t>
      </w:r>
      <w:r w:rsidR="00100858">
        <w:t xml:space="preserve">, and would </w:t>
      </w:r>
      <w:r w:rsidR="00100858">
        <w:t>rightly brunt</w:t>
      </w:r>
      <w:r w:rsidR="00100858">
        <w:t xml:space="preserve"> its fair share of the blame for the bitterness and divisions that dev</w:t>
      </w:r>
      <w:r w:rsidR="00100858">
        <w:t>eloped during the 20’s. I</w:t>
      </w:r>
      <w:r w:rsidR="00100858">
        <w:t xml:space="preserve">t would not be unfair to place the whole blame the failure of the Weimar democracy </w:t>
      </w:r>
      <w:r w:rsidR="00100858">
        <w:t xml:space="preserve">on the betrayal of the </w:t>
      </w:r>
      <w:r w:rsidR="00100858">
        <w:t>Social Democrats of their working class core voting base and their unwillingness to carry out fundamental social and economic reforms – given that they had a difficult if not impossible job prior t</w:t>
      </w:r>
      <w:r w:rsidR="00100858">
        <w:t>o the old government abdicating.</w:t>
      </w:r>
      <w:r w:rsidR="00100858">
        <w:rPr>
          <w:rStyle w:val="FootnoteReference"/>
        </w:rPr>
        <w:footnoteReference w:id="32"/>
      </w:r>
      <w:r w:rsidR="00100858">
        <w:t xml:space="preserve"> It would have been advisable to introduce social and political reforms given the following: millions of soldiers returning required to be reintegrated with civilian life,</w:t>
      </w:r>
      <w:r w:rsidR="00100858" w:rsidRPr="00100858">
        <w:t xml:space="preserve"> the extremely low industrial and agricultural output, </w:t>
      </w:r>
      <w:r w:rsidR="00100858">
        <w:t xml:space="preserve"> </w:t>
      </w:r>
      <w:r w:rsidR="00100858">
        <w:t xml:space="preserve"> the economy being in shambles, maintained allied blockade to force harsh peace terms</w:t>
      </w:r>
      <w:r w:rsidR="00100858">
        <w:t xml:space="preserve">, </w:t>
      </w:r>
      <w:r w:rsidR="00100858">
        <w:t>the majority of the population against social democracy and insurgents threatening the integrity of the Reich from the Rhineland to</w:t>
      </w:r>
      <w:r w:rsidR="00100858">
        <w:t xml:space="preserve"> West Prussia and Upper Silesia.</w:t>
      </w:r>
      <w:r w:rsidR="00100858">
        <w:rPr>
          <w:rStyle w:val="FootnoteReference"/>
        </w:rPr>
        <w:footnoteReference w:id="33"/>
      </w:r>
      <w:r w:rsidR="00100858">
        <w:t xml:space="preserve"> Given these Factors it is more apt to Argue that the Weimar States reactions to Civil unrest and disobedience was only a small symptom of a larger issue faced by the government in that the majority of its people did not find it to be a legitimate government </w:t>
      </w:r>
      <w:r w:rsidR="00DD5854">
        <w:t>due to its failings which were dumped on its lap at its conception.</w:t>
      </w:r>
    </w:p>
    <w:p w:rsidR="00DD5854" w:rsidRDefault="00DD5854" w:rsidP="00100858">
      <w:r>
        <w:t>T</w:t>
      </w:r>
      <w:r w:rsidRPr="00DD5854">
        <w:t>he collapse of the Weimar Republic was due to a peculiar combination of long and short term issues</w:t>
      </w:r>
      <w:r>
        <w:t xml:space="preserve"> rather than just its reactions and decisions made to deal with civil unrest</w:t>
      </w:r>
      <w:r w:rsidRPr="00DD5854">
        <w:t>. Other industrial societies</w:t>
      </w:r>
      <w:r>
        <w:t xml:space="preserve"> of Europe had the same if not similar issues</w:t>
      </w:r>
      <w:r w:rsidRPr="00DD5854">
        <w:t xml:space="preserve">; deep social and political Divisions, extreme conflict between employers and workers, mass unemployment, the burdens of a lost war, the need to create legitimacy for a new political system, the contradictions of inherent in an expansion of a modern social-welfare system, new and disturbing cultural challenges and a willingness on the part of some elites </w:t>
      </w:r>
      <w:r>
        <w:t>to jettison democratic politics</w:t>
      </w:r>
      <w:r w:rsidRPr="00DD5854">
        <w:t>.</w:t>
      </w:r>
      <w:r>
        <w:t xml:space="preserve"> The Actions and inactions of the Government when dealing with civil unrest was only a small issue in comparison to the multitude of issues it had to deal with.</w:t>
      </w:r>
      <w:r>
        <w:rPr>
          <w:rStyle w:val="FootnoteReference"/>
        </w:rPr>
        <w:footnoteReference w:id="34"/>
      </w:r>
      <w:r>
        <w:t xml:space="preserve"> While thinking about that it is important to also look at the fact that </w:t>
      </w:r>
      <w:r w:rsidRPr="00DD5854">
        <w:t xml:space="preserve">what set Germany apart </w:t>
      </w:r>
      <w:r w:rsidRPr="00DD5854">
        <w:lastRenderedPageBreak/>
        <w:t>from the rest of the failed democracies of Europe was how forceful these factors surfaced. They had the most democratic constitution; the most advanced social welfare system; the worst inflation; it had lost the most destructive war and had to pay for the privilege; due to its peculiar economic structure and its position in the world’s economy it was the worst affected by the depression</w:t>
      </w:r>
      <w:r>
        <w:t>.</w:t>
      </w:r>
      <w:r>
        <w:rPr>
          <w:rStyle w:val="FootnoteReference"/>
        </w:rPr>
        <w:footnoteReference w:id="35"/>
      </w:r>
      <w:r>
        <w:t xml:space="preserve"> Ultimately it is all of these factors happening almost simultaneously that made it inevitable for the Weimar Republic to fall back into Autocracy not the actions and inactions of the state in dealing with civil disobedience and unrest.</w:t>
      </w:r>
      <w:r>
        <w:rPr>
          <w:rStyle w:val="FootnoteReference"/>
        </w:rPr>
        <w:footnoteReference w:id="36"/>
      </w:r>
    </w:p>
    <w:p w:rsidR="00DD5854" w:rsidRDefault="00DD5854" w:rsidP="00DD5854">
      <w:pPr>
        <w:pStyle w:val="Heading1"/>
        <w:rPr>
          <w:b/>
          <w:color w:val="auto"/>
          <w:u w:val="single"/>
        </w:rPr>
      </w:pPr>
      <w:r w:rsidRPr="00CB7115">
        <w:rPr>
          <w:b/>
          <w:color w:val="auto"/>
          <w:u w:val="single"/>
        </w:rPr>
        <w:t>Bibliography</w:t>
      </w:r>
    </w:p>
    <w:p w:rsidR="00CB7115" w:rsidRDefault="00CB7115" w:rsidP="00CB7115">
      <w:pPr>
        <w:pStyle w:val="ListParagraph"/>
        <w:numPr>
          <w:ilvl w:val="0"/>
          <w:numId w:val="2"/>
        </w:numPr>
      </w:pPr>
      <w:r w:rsidRPr="00CB7115">
        <w:t xml:space="preserve">Adam T. Germany and the Americas: Culture, Politics, and History, </w:t>
      </w:r>
      <w:r>
        <w:t>(ABC-CLIO, Santa Barbara, 2005)</w:t>
      </w:r>
    </w:p>
    <w:p w:rsidR="00CB7115" w:rsidRDefault="00CB7115" w:rsidP="00CB7115">
      <w:pPr>
        <w:pStyle w:val="ListParagraph"/>
        <w:numPr>
          <w:ilvl w:val="0"/>
          <w:numId w:val="2"/>
        </w:numPr>
      </w:pPr>
      <w:r>
        <w:t>Delmer, S</w:t>
      </w:r>
      <w:r w:rsidRPr="00A24CBD">
        <w:t>. Weimar Germany: Democracy on Trial.</w:t>
      </w:r>
      <w:r>
        <w:t xml:space="preserve"> (Macdonald, London, 1972).</w:t>
      </w:r>
    </w:p>
    <w:p w:rsidR="00CB7115" w:rsidRDefault="00CB7115" w:rsidP="00CB7115">
      <w:pPr>
        <w:pStyle w:val="ListParagraph"/>
        <w:numPr>
          <w:ilvl w:val="0"/>
          <w:numId w:val="2"/>
        </w:numPr>
      </w:pPr>
      <w:proofErr w:type="spellStart"/>
      <w:r w:rsidRPr="00CB7115">
        <w:t>Dimendberg</w:t>
      </w:r>
      <w:proofErr w:type="spellEnd"/>
      <w:r w:rsidRPr="00CB7115">
        <w:t xml:space="preserve">, E. Jay, M. </w:t>
      </w:r>
      <w:proofErr w:type="spellStart"/>
      <w:r w:rsidRPr="00CB7115">
        <w:t>Kaes</w:t>
      </w:r>
      <w:proofErr w:type="spellEnd"/>
      <w:r w:rsidRPr="00CB7115">
        <w:t xml:space="preserve">, A. The Weimar Republic Source Book, (University of California Press, </w:t>
      </w:r>
      <w:proofErr w:type="spellStart"/>
      <w:r w:rsidRPr="00CB7115">
        <w:t>Berekley</w:t>
      </w:r>
      <w:proofErr w:type="spellEnd"/>
      <w:r w:rsidRPr="00CB7115">
        <w:t>, 1995)</w:t>
      </w:r>
    </w:p>
    <w:p w:rsidR="00CB7115" w:rsidRDefault="00CB7115" w:rsidP="00CB7115">
      <w:pPr>
        <w:pStyle w:val="ListParagraph"/>
        <w:numPr>
          <w:ilvl w:val="0"/>
          <w:numId w:val="2"/>
        </w:numPr>
      </w:pPr>
      <w:proofErr w:type="spellStart"/>
      <w:r w:rsidRPr="00CB7115">
        <w:t>Haffner</w:t>
      </w:r>
      <w:proofErr w:type="spellEnd"/>
      <w:r w:rsidRPr="00CB7115">
        <w:t>, S. Defying Hitler. (Picador, London 2000).</w:t>
      </w:r>
    </w:p>
    <w:p w:rsidR="00CB7115" w:rsidRDefault="00CB7115" w:rsidP="00CB7115">
      <w:pPr>
        <w:pStyle w:val="ListParagraph"/>
        <w:numPr>
          <w:ilvl w:val="0"/>
          <w:numId w:val="2"/>
        </w:numPr>
      </w:pPr>
      <w:proofErr w:type="spellStart"/>
      <w:r w:rsidRPr="00CB7115">
        <w:t>Heiden</w:t>
      </w:r>
      <w:proofErr w:type="spellEnd"/>
      <w:r w:rsidRPr="00CB7115">
        <w:t>, Konrad. Der Fuehrer: Hitler's Rise to Power. (MA: Houghton Mifflin Company, Boston, 1944)</w:t>
      </w:r>
    </w:p>
    <w:p w:rsidR="00CB7115" w:rsidRDefault="00CB7115" w:rsidP="00CB7115">
      <w:pPr>
        <w:pStyle w:val="ListParagraph"/>
        <w:numPr>
          <w:ilvl w:val="0"/>
          <w:numId w:val="2"/>
        </w:numPr>
      </w:pPr>
      <w:proofErr w:type="spellStart"/>
      <w:r w:rsidRPr="00CB7115">
        <w:t>Jurado</w:t>
      </w:r>
      <w:proofErr w:type="spellEnd"/>
      <w:r w:rsidRPr="00CB7115">
        <w:t xml:space="preserve"> C., </w:t>
      </w:r>
      <w:proofErr w:type="spellStart"/>
      <w:r w:rsidRPr="00CB7115">
        <w:t>Bujeiro</w:t>
      </w:r>
      <w:proofErr w:type="spellEnd"/>
      <w:r w:rsidRPr="00CB7115">
        <w:t xml:space="preserve"> R. The German Freikorps 1918–23: 1918–23. (Osprey Publishing, London, 2001)</w:t>
      </w:r>
    </w:p>
    <w:p w:rsidR="00CB7115" w:rsidRDefault="00CB7115" w:rsidP="00CB7115">
      <w:pPr>
        <w:pStyle w:val="ListParagraph"/>
        <w:numPr>
          <w:ilvl w:val="0"/>
          <w:numId w:val="2"/>
        </w:numPr>
      </w:pPr>
      <w:r w:rsidRPr="00CB7115">
        <w:t xml:space="preserve">Kershaw, I. Bessel, R. Geary, D. </w:t>
      </w:r>
      <w:proofErr w:type="spellStart"/>
      <w:r w:rsidRPr="00CB7115">
        <w:t>Holtrerich</w:t>
      </w:r>
      <w:proofErr w:type="spellEnd"/>
      <w:r w:rsidRPr="00CB7115">
        <w:t>, C. L. James, H. debates in modern history – (</w:t>
      </w:r>
      <w:proofErr w:type="spellStart"/>
      <w:r w:rsidRPr="00CB7115">
        <w:t>Weinfield</w:t>
      </w:r>
      <w:proofErr w:type="spellEnd"/>
      <w:r w:rsidRPr="00CB7115">
        <w:t xml:space="preserve"> a</w:t>
      </w:r>
      <w:r>
        <w:t xml:space="preserve">nd Nicolson, London, 1990) </w:t>
      </w:r>
    </w:p>
    <w:p w:rsidR="00CB7115" w:rsidRDefault="00CB7115" w:rsidP="00CB7115">
      <w:pPr>
        <w:pStyle w:val="ListParagraph"/>
        <w:numPr>
          <w:ilvl w:val="0"/>
          <w:numId w:val="2"/>
        </w:numPr>
      </w:pPr>
      <w:proofErr w:type="spellStart"/>
      <w:r w:rsidRPr="00CB7115">
        <w:t>Puekert</w:t>
      </w:r>
      <w:proofErr w:type="spellEnd"/>
      <w:r w:rsidRPr="00CB7115">
        <w:t xml:space="preserve">, D. J. K., Die </w:t>
      </w:r>
      <w:proofErr w:type="spellStart"/>
      <w:r w:rsidRPr="00CB7115">
        <w:t>Weimarer</w:t>
      </w:r>
      <w:proofErr w:type="spellEnd"/>
      <w:r w:rsidRPr="00CB7115">
        <w:t xml:space="preserve"> </w:t>
      </w:r>
      <w:proofErr w:type="spellStart"/>
      <w:r w:rsidRPr="00CB7115">
        <w:t>Republik</w:t>
      </w:r>
      <w:proofErr w:type="spellEnd"/>
      <w:r w:rsidRPr="00CB7115">
        <w:t xml:space="preserve">. </w:t>
      </w:r>
      <w:proofErr w:type="spellStart"/>
      <w:r w:rsidRPr="00CB7115">
        <w:t>Khrisenjahre</w:t>
      </w:r>
      <w:proofErr w:type="spellEnd"/>
      <w:r w:rsidRPr="00CB7115">
        <w:t xml:space="preserve"> der </w:t>
      </w:r>
      <w:proofErr w:type="spellStart"/>
      <w:r w:rsidRPr="00CB7115">
        <w:t>klassischen</w:t>
      </w:r>
      <w:proofErr w:type="spellEnd"/>
      <w:r w:rsidRPr="00CB7115">
        <w:t xml:space="preserve"> </w:t>
      </w:r>
      <w:proofErr w:type="spellStart"/>
      <w:r w:rsidRPr="00CB7115">
        <w:t>Moderne</w:t>
      </w:r>
      <w:proofErr w:type="spellEnd"/>
      <w:r w:rsidRPr="00CB7115">
        <w:t xml:space="preserve"> (Frankfurt/Main, 1987), </w:t>
      </w:r>
      <w:proofErr w:type="gramStart"/>
      <w:r w:rsidRPr="00CB7115">
        <w:t>esp</w:t>
      </w:r>
      <w:proofErr w:type="gramEnd"/>
      <w:r w:rsidRPr="00CB7115">
        <w:t>.</w:t>
      </w:r>
    </w:p>
    <w:p w:rsidR="00CB7115" w:rsidRDefault="00CB7115" w:rsidP="00CB7115">
      <w:pPr>
        <w:rPr>
          <w:u w:val="single"/>
        </w:rPr>
      </w:pPr>
      <w:r w:rsidRPr="00CB7115">
        <w:rPr>
          <w:u w:val="single"/>
        </w:rPr>
        <w:t>Websites</w:t>
      </w:r>
    </w:p>
    <w:p w:rsidR="00CB7115" w:rsidRDefault="00CB7115" w:rsidP="00CB7115">
      <w:pPr>
        <w:pStyle w:val="ListParagraph"/>
        <w:numPr>
          <w:ilvl w:val="0"/>
          <w:numId w:val="3"/>
        </w:numPr>
      </w:pPr>
      <w:r w:rsidRPr="00CB7115">
        <w:t xml:space="preserve">Llewellyn J. Southey J. and Thompson S. (2014). "The German Revolution". Alpha History.  </w:t>
      </w:r>
      <w:hyperlink r:id="rId8" w:history="1">
        <w:r w:rsidRPr="001A167E">
          <w:rPr>
            <w:rStyle w:val="Hyperlink"/>
          </w:rPr>
          <w:t>http://alphahistory.com/weimarrepublic/german-revolution/</w:t>
        </w:r>
      </w:hyperlink>
      <w:r>
        <w:t xml:space="preserve"> </w:t>
      </w:r>
      <w:r w:rsidRPr="00CB7115">
        <w:t>Accessed: 12/12/17</w:t>
      </w:r>
      <w:r>
        <w:t xml:space="preserve"> </w:t>
      </w:r>
    </w:p>
    <w:p w:rsidR="00CB7115" w:rsidRPr="00CB7115" w:rsidRDefault="00CB7115" w:rsidP="00CB7115">
      <w:pPr>
        <w:pStyle w:val="ListParagraph"/>
        <w:numPr>
          <w:ilvl w:val="0"/>
          <w:numId w:val="3"/>
        </w:numPr>
      </w:pPr>
      <w:r w:rsidRPr="00CB7115">
        <w:t>1919: The Spartacist Uprising". Weimar and Nazi Germany. 2013</w:t>
      </w:r>
      <w:r>
        <w:t xml:space="preserve"> </w:t>
      </w:r>
      <w:hyperlink r:id="rId9" w:history="1">
        <w:r w:rsidRPr="001A167E">
          <w:rPr>
            <w:rStyle w:val="Hyperlink"/>
          </w:rPr>
          <w:t>http://weimarandnazigermany.co.uk/1919-spartacist-uprising/#.WjRoSFVl_IU</w:t>
        </w:r>
      </w:hyperlink>
      <w:r>
        <w:t xml:space="preserve"> </w:t>
      </w:r>
      <w:r w:rsidRPr="00CB7115">
        <w:t>Accessed: 10/12/17</w:t>
      </w:r>
    </w:p>
    <w:p w:rsidR="00CB7115" w:rsidRPr="00CB7115" w:rsidRDefault="00CB7115" w:rsidP="00CB7115"/>
    <w:sectPr w:rsidR="00CB7115" w:rsidRPr="00CB711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DAF" w:rsidRDefault="00227DAF" w:rsidP="00483F06">
      <w:pPr>
        <w:spacing w:after="0" w:line="240" w:lineRule="auto"/>
      </w:pPr>
      <w:r>
        <w:separator/>
      </w:r>
    </w:p>
  </w:endnote>
  <w:endnote w:type="continuationSeparator" w:id="0">
    <w:p w:rsidR="00227DAF" w:rsidRDefault="00227DAF" w:rsidP="00483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DAF" w:rsidRDefault="00227DAF" w:rsidP="00483F06">
      <w:pPr>
        <w:spacing w:after="0" w:line="240" w:lineRule="auto"/>
      </w:pPr>
      <w:r>
        <w:separator/>
      </w:r>
    </w:p>
  </w:footnote>
  <w:footnote w:type="continuationSeparator" w:id="0">
    <w:p w:rsidR="00227DAF" w:rsidRDefault="00227DAF" w:rsidP="00483F06">
      <w:pPr>
        <w:spacing w:after="0" w:line="240" w:lineRule="auto"/>
      </w:pPr>
      <w:r>
        <w:continuationSeparator/>
      </w:r>
    </w:p>
  </w:footnote>
  <w:footnote w:id="1">
    <w:p w:rsidR="00B37CDF" w:rsidRDefault="00B37CDF">
      <w:pPr>
        <w:pStyle w:val="FootnoteText"/>
      </w:pPr>
      <w:r>
        <w:rPr>
          <w:rStyle w:val="FootnoteReference"/>
        </w:rPr>
        <w:footnoteRef/>
      </w:r>
      <w:r>
        <w:t xml:space="preserve"> </w:t>
      </w:r>
      <w:r w:rsidR="00CB7115" w:rsidRPr="00CB7115">
        <w:t>Adam T. Germany and the Americas: Culture, Politics, and History, (ABC-CLIO, Santa Barbara, 2005)</w:t>
      </w:r>
      <w:r w:rsidR="00A24CBD" w:rsidRPr="00A24CBD">
        <w:t>p. 185</w:t>
      </w:r>
    </w:p>
  </w:footnote>
  <w:footnote w:id="2">
    <w:p w:rsidR="00B37CDF" w:rsidRDefault="00B37CDF">
      <w:pPr>
        <w:pStyle w:val="FootnoteText"/>
      </w:pPr>
      <w:r>
        <w:rPr>
          <w:rStyle w:val="FootnoteReference"/>
        </w:rPr>
        <w:footnoteRef/>
      </w:r>
      <w:r>
        <w:t xml:space="preserve"> </w:t>
      </w:r>
      <w:r w:rsidR="00A24CBD">
        <w:t>Delmer, S</w:t>
      </w:r>
      <w:r w:rsidR="00A24CBD" w:rsidRPr="00A24CBD">
        <w:t>. Weimar Germany: Democracy on Trial.</w:t>
      </w:r>
      <w:r w:rsidR="00A24CBD">
        <w:t xml:space="preserve"> (Macdonald, London</w:t>
      </w:r>
      <w:r w:rsidR="00EA6C2C">
        <w:t>, 1972).</w:t>
      </w:r>
      <w:r w:rsidR="00A24CBD" w:rsidRPr="00A24CBD">
        <w:t>pp. 82–93.</w:t>
      </w:r>
    </w:p>
  </w:footnote>
  <w:footnote w:id="3">
    <w:p w:rsidR="00B37CDF" w:rsidRDefault="00B37CDF">
      <w:pPr>
        <w:pStyle w:val="FootnoteText"/>
      </w:pPr>
      <w:r>
        <w:rPr>
          <w:rStyle w:val="FootnoteReference"/>
        </w:rPr>
        <w:footnoteRef/>
      </w:r>
      <w:r>
        <w:t xml:space="preserve"> </w:t>
      </w:r>
      <w:r w:rsidR="00EA6C2C" w:rsidRPr="00EA6C2C">
        <w:t>Delmer, S. Weimar Germany: Democracy on Trial. (Mac</w:t>
      </w:r>
      <w:r w:rsidR="00EA6C2C">
        <w:t>donald, London, 1972).pp. 79</w:t>
      </w:r>
    </w:p>
  </w:footnote>
  <w:footnote w:id="4">
    <w:p w:rsidR="00B37CDF" w:rsidRDefault="00B37CDF">
      <w:pPr>
        <w:pStyle w:val="FootnoteText"/>
      </w:pPr>
      <w:r>
        <w:rPr>
          <w:rStyle w:val="FootnoteReference"/>
        </w:rPr>
        <w:footnoteRef/>
      </w:r>
      <w:r>
        <w:t xml:space="preserve"> </w:t>
      </w:r>
      <w:r w:rsidR="00EA6C2C" w:rsidRPr="00EA6C2C">
        <w:t>Delmer, S. Weimar Germany: Democracy on Trial. (Mac</w:t>
      </w:r>
      <w:r w:rsidR="00EA6C2C">
        <w:t>donald, London, 1972).pp. 80</w:t>
      </w:r>
    </w:p>
  </w:footnote>
  <w:footnote w:id="5">
    <w:p w:rsidR="00B37CDF" w:rsidRDefault="00B37CDF">
      <w:pPr>
        <w:pStyle w:val="FootnoteText"/>
      </w:pPr>
      <w:r>
        <w:rPr>
          <w:rStyle w:val="FootnoteReference"/>
        </w:rPr>
        <w:footnoteRef/>
      </w:r>
      <w:r>
        <w:t xml:space="preserve"> </w:t>
      </w:r>
      <w:r w:rsidR="00CD5853" w:rsidRPr="00CD5853">
        <w:t>Llewellyn</w:t>
      </w:r>
      <w:r w:rsidR="00CD5853">
        <w:t xml:space="preserve"> J. </w:t>
      </w:r>
      <w:r w:rsidR="00CD5853" w:rsidRPr="00CD5853">
        <w:t xml:space="preserve">Southey </w:t>
      </w:r>
      <w:r w:rsidR="00CD5853">
        <w:t xml:space="preserve">J. and </w:t>
      </w:r>
      <w:r w:rsidR="00CD5853" w:rsidRPr="00CD5853">
        <w:t>Thompson</w:t>
      </w:r>
      <w:r w:rsidR="00CD5853">
        <w:t xml:space="preserve"> S.</w:t>
      </w:r>
      <w:r w:rsidR="00CD5853" w:rsidRPr="00CD5853">
        <w:t xml:space="preserve"> (2014). "The German Revolution". Alpha History.</w:t>
      </w:r>
      <w:r w:rsidR="00CD5853">
        <w:t xml:space="preserve">  </w:t>
      </w:r>
      <w:hyperlink r:id="rId1" w:history="1">
        <w:r w:rsidR="00CD5853" w:rsidRPr="001A167E">
          <w:rPr>
            <w:rStyle w:val="Hyperlink"/>
          </w:rPr>
          <w:t>http://alphahistory.com/weimarrepublic/german-revolution/</w:t>
        </w:r>
      </w:hyperlink>
      <w:r w:rsidR="00CD5853">
        <w:t xml:space="preserve"> Accessed: 12/12/17</w:t>
      </w:r>
    </w:p>
  </w:footnote>
  <w:footnote w:id="6">
    <w:p w:rsidR="00B37CDF" w:rsidRDefault="00B37CDF">
      <w:pPr>
        <w:pStyle w:val="FootnoteText"/>
      </w:pPr>
      <w:r>
        <w:rPr>
          <w:rStyle w:val="FootnoteReference"/>
        </w:rPr>
        <w:footnoteRef/>
      </w:r>
      <w:r>
        <w:t xml:space="preserve"> </w:t>
      </w:r>
      <w:r w:rsidR="00EA6C2C" w:rsidRPr="00EA6C2C">
        <w:t xml:space="preserve">  Llewellyn J. Southey J. and Thompson S. (2014). "The German Revolution". Alpha History.  </w:t>
      </w:r>
      <w:hyperlink r:id="rId2" w:history="1">
        <w:r w:rsidR="00EA6C2C" w:rsidRPr="001A167E">
          <w:rPr>
            <w:rStyle w:val="Hyperlink"/>
          </w:rPr>
          <w:t>http://alphahistory.com/weimarrepublic/german-revolution/</w:t>
        </w:r>
      </w:hyperlink>
      <w:r w:rsidR="00EA6C2C">
        <w:t xml:space="preserve"> </w:t>
      </w:r>
      <w:r w:rsidR="00EA6C2C" w:rsidRPr="00EA6C2C">
        <w:t>Accessed: 12/12/17</w:t>
      </w:r>
      <w:r w:rsidR="00EA6C2C">
        <w:t xml:space="preserve"> </w:t>
      </w:r>
    </w:p>
  </w:footnote>
  <w:footnote w:id="7">
    <w:p w:rsidR="00B37CDF" w:rsidRDefault="00B37CDF">
      <w:pPr>
        <w:pStyle w:val="FootnoteText"/>
      </w:pPr>
      <w:r>
        <w:rPr>
          <w:rStyle w:val="FootnoteReference"/>
        </w:rPr>
        <w:footnoteRef/>
      </w:r>
      <w:r>
        <w:t xml:space="preserve"> </w:t>
      </w:r>
      <w:proofErr w:type="spellStart"/>
      <w:r w:rsidR="00A24CBD">
        <w:t>Dimendberg</w:t>
      </w:r>
      <w:proofErr w:type="spellEnd"/>
      <w:r w:rsidR="00A24CBD">
        <w:t xml:space="preserve">, E. Jay, M. </w:t>
      </w:r>
      <w:proofErr w:type="spellStart"/>
      <w:r w:rsidR="00A24CBD">
        <w:t>Kaes</w:t>
      </w:r>
      <w:proofErr w:type="spellEnd"/>
      <w:r w:rsidR="00A24CBD">
        <w:t xml:space="preserve">, A. The Weimar Republic Source Book, (University of California Press, </w:t>
      </w:r>
      <w:proofErr w:type="spellStart"/>
      <w:r w:rsidR="00A24CBD">
        <w:t>Berekley</w:t>
      </w:r>
      <w:proofErr w:type="spellEnd"/>
      <w:r w:rsidR="00A24CBD">
        <w:t>, 1995) P. 15-16</w:t>
      </w:r>
    </w:p>
  </w:footnote>
  <w:footnote w:id="8">
    <w:p w:rsidR="00B37CDF" w:rsidRDefault="00B37CDF">
      <w:pPr>
        <w:pStyle w:val="FootnoteText"/>
      </w:pPr>
      <w:r>
        <w:rPr>
          <w:rStyle w:val="FootnoteReference"/>
        </w:rPr>
        <w:footnoteRef/>
      </w:r>
      <w:r>
        <w:t xml:space="preserve"> </w:t>
      </w:r>
      <w:proofErr w:type="spellStart"/>
      <w:r w:rsidR="00A24CBD" w:rsidRPr="00A24CBD">
        <w:t>Dimendberg</w:t>
      </w:r>
      <w:proofErr w:type="spellEnd"/>
      <w:r w:rsidR="00A24CBD" w:rsidRPr="00A24CBD">
        <w:t xml:space="preserve">, E. Jay, M. </w:t>
      </w:r>
      <w:proofErr w:type="spellStart"/>
      <w:r w:rsidR="00A24CBD" w:rsidRPr="00A24CBD">
        <w:t>Kaes</w:t>
      </w:r>
      <w:proofErr w:type="spellEnd"/>
      <w:r w:rsidR="00A24CBD" w:rsidRPr="00A24CBD">
        <w:t xml:space="preserve">, A. The Weimar Republic Source Book, (University of California Press, </w:t>
      </w:r>
      <w:proofErr w:type="spellStart"/>
      <w:r w:rsidR="00A24CBD" w:rsidRPr="00A24CBD">
        <w:t>Berekley</w:t>
      </w:r>
      <w:proofErr w:type="spellEnd"/>
      <w:r w:rsidR="00A24CBD" w:rsidRPr="00A24CBD">
        <w:t>, 1995) P. 15-16</w:t>
      </w:r>
    </w:p>
  </w:footnote>
  <w:footnote w:id="9">
    <w:p w:rsidR="00B37CDF" w:rsidRDefault="00B37CDF">
      <w:pPr>
        <w:pStyle w:val="FootnoteText"/>
      </w:pPr>
      <w:r>
        <w:rPr>
          <w:rStyle w:val="FootnoteReference"/>
        </w:rPr>
        <w:footnoteRef/>
      </w:r>
      <w:r>
        <w:t xml:space="preserve"> </w:t>
      </w:r>
      <w:r w:rsidR="00CD5853" w:rsidRPr="00CD5853">
        <w:t xml:space="preserve">"1919: The Spartacist Uprising". Weimar </w:t>
      </w:r>
      <w:r w:rsidR="00CD5853">
        <w:t xml:space="preserve">and Nazi Germany. </w:t>
      </w:r>
      <w:r w:rsidR="00CD5853" w:rsidRPr="00CD5853">
        <w:t xml:space="preserve">2013 </w:t>
      </w:r>
      <w:hyperlink r:id="rId3" w:history="1">
        <w:r w:rsidR="00CB7115" w:rsidRPr="001A167E">
          <w:rPr>
            <w:rStyle w:val="Hyperlink"/>
          </w:rPr>
          <w:t>http://weimarandnazigermany.co.uk/1919-spartacist-uprising/#.WjRoSFVl_IU</w:t>
        </w:r>
      </w:hyperlink>
      <w:r w:rsidR="00CB7115">
        <w:t xml:space="preserve"> </w:t>
      </w:r>
      <w:bookmarkStart w:id="0" w:name="_GoBack"/>
      <w:bookmarkEnd w:id="0"/>
      <w:r w:rsidR="00CD5853">
        <w:t xml:space="preserve"> Accessed: 10/12/17</w:t>
      </w:r>
    </w:p>
  </w:footnote>
  <w:footnote w:id="10">
    <w:p w:rsidR="00B37CDF" w:rsidRDefault="00B37CDF">
      <w:pPr>
        <w:pStyle w:val="FootnoteText"/>
      </w:pPr>
      <w:r>
        <w:rPr>
          <w:rStyle w:val="FootnoteReference"/>
        </w:rPr>
        <w:footnoteRef/>
      </w:r>
      <w:r>
        <w:t xml:space="preserve"> </w:t>
      </w:r>
      <w:proofErr w:type="spellStart"/>
      <w:r w:rsidR="00A24CBD" w:rsidRPr="00A24CBD">
        <w:t>Dimendberg</w:t>
      </w:r>
      <w:proofErr w:type="spellEnd"/>
      <w:r w:rsidR="00A24CBD" w:rsidRPr="00A24CBD">
        <w:t xml:space="preserve">, E. Jay, M. </w:t>
      </w:r>
      <w:proofErr w:type="spellStart"/>
      <w:r w:rsidR="00A24CBD" w:rsidRPr="00A24CBD">
        <w:t>Kaes</w:t>
      </w:r>
      <w:proofErr w:type="spellEnd"/>
      <w:r w:rsidR="00A24CBD" w:rsidRPr="00A24CBD">
        <w:t>, A. The Weimar Republic Source Book, (University of California</w:t>
      </w:r>
      <w:r w:rsidR="00A24CBD">
        <w:t xml:space="preserve"> Press, </w:t>
      </w:r>
      <w:proofErr w:type="spellStart"/>
      <w:r w:rsidR="00A24CBD">
        <w:t>Berekley</w:t>
      </w:r>
      <w:proofErr w:type="spellEnd"/>
      <w:r w:rsidR="00A24CBD">
        <w:t>, 1995) P. 11</w:t>
      </w:r>
    </w:p>
  </w:footnote>
  <w:footnote w:id="11">
    <w:p w:rsidR="002C63AE" w:rsidRDefault="002C63AE">
      <w:pPr>
        <w:pStyle w:val="FootnoteText"/>
      </w:pPr>
      <w:r>
        <w:rPr>
          <w:rStyle w:val="FootnoteReference"/>
        </w:rPr>
        <w:footnoteRef/>
      </w:r>
      <w:r>
        <w:t xml:space="preserve"> </w:t>
      </w:r>
      <w:proofErr w:type="spellStart"/>
      <w:r w:rsidR="00A24CBD" w:rsidRPr="00A24CBD">
        <w:t>Dimendberg</w:t>
      </w:r>
      <w:proofErr w:type="spellEnd"/>
      <w:r w:rsidR="00A24CBD" w:rsidRPr="00A24CBD">
        <w:t xml:space="preserve">, E. Jay, M. </w:t>
      </w:r>
      <w:proofErr w:type="spellStart"/>
      <w:r w:rsidR="00A24CBD" w:rsidRPr="00A24CBD">
        <w:t>Kaes</w:t>
      </w:r>
      <w:proofErr w:type="spellEnd"/>
      <w:r w:rsidR="00A24CBD" w:rsidRPr="00A24CBD">
        <w:t>, A. The Weimar Republic Source Book, (University of California</w:t>
      </w:r>
      <w:r w:rsidR="00A24CBD">
        <w:t xml:space="preserve"> Press, </w:t>
      </w:r>
      <w:proofErr w:type="spellStart"/>
      <w:r w:rsidR="00A24CBD">
        <w:t>Berekley</w:t>
      </w:r>
      <w:proofErr w:type="spellEnd"/>
      <w:r w:rsidR="00A24CBD">
        <w:t>, 1995) P. 10</w:t>
      </w:r>
    </w:p>
  </w:footnote>
  <w:footnote w:id="12">
    <w:p w:rsidR="00ED37DE" w:rsidRDefault="00ED37DE">
      <w:pPr>
        <w:pStyle w:val="FootnoteText"/>
      </w:pPr>
      <w:r>
        <w:rPr>
          <w:rStyle w:val="FootnoteReference"/>
        </w:rPr>
        <w:footnoteRef/>
      </w:r>
      <w:r>
        <w:t xml:space="preserve"> </w:t>
      </w:r>
      <w:proofErr w:type="spellStart"/>
      <w:r>
        <w:t>Haffner</w:t>
      </w:r>
      <w:proofErr w:type="spellEnd"/>
      <w:r>
        <w:t>, S</w:t>
      </w:r>
      <w:r w:rsidRPr="00ED37DE">
        <w:t xml:space="preserve">. Defying Hitler. </w:t>
      </w:r>
      <w:r>
        <w:t>(</w:t>
      </w:r>
      <w:r w:rsidRPr="00ED37DE">
        <w:t>Picador</w:t>
      </w:r>
      <w:r>
        <w:t>, London 2000)</w:t>
      </w:r>
      <w:r w:rsidRPr="00ED37DE">
        <w:t>. pp. 30–31, 33</w:t>
      </w:r>
    </w:p>
  </w:footnote>
  <w:footnote w:id="13">
    <w:p w:rsidR="00F70F62" w:rsidRDefault="00F70F62">
      <w:pPr>
        <w:pStyle w:val="FootnoteText"/>
      </w:pPr>
      <w:r>
        <w:rPr>
          <w:rStyle w:val="FootnoteReference"/>
        </w:rPr>
        <w:footnoteRef/>
      </w:r>
      <w:r>
        <w:t xml:space="preserve"> </w:t>
      </w:r>
      <w:proofErr w:type="spellStart"/>
      <w:r w:rsidRPr="00F4113F">
        <w:t>Haffner</w:t>
      </w:r>
      <w:proofErr w:type="spellEnd"/>
      <w:r w:rsidRPr="00F4113F">
        <w:t>, S. Defying Hitler. (Pica</w:t>
      </w:r>
      <w:r>
        <w:t>dor, London 2000). pp. 34</w:t>
      </w:r>
    </w:p>
  </w:footnote>
  <w:footnote w:id="14">
    <w:p w:rsidR="00F4113F" w:rsidRDefault="00F4113F">
      <w:pPr>
        <w:pStyle w:val="FootnoteText"/>
      </w:pPr>
      <w:r>
        <w:rPr>
          <w:rStyle w:val="FootnoteReference"/>
        </w:rPr>
        <w:footnoteRef/>
      </w:r>
      <w:r>
        <w:t xml:space="preserve"> </w:t>
      </w:r>
      <w:proofErr w:type="spellStart"/>
      <w:r>
        <w:t>Heiden</w:t>
      </w:r>
      <w:proofErr w:type="spellEnd"/>
      <w:r>
        <w:t>, Konrad</w:t>
      </w:r>
      <w:r w:rsidRPr="00F4113F">
        <w:t xml:space="preserve">. Der Fuehrer: Hitler's Rise to Power. </w:t>
      </w:r>
      <w:r>
        <w:t>(</w:t>
      </w:r>
      <w:r w:rsidRPr="00F4113F">
        <w:t>MA: Houghton Mifflin Company</w:t>
      </w:r>
      <w:r>
        <w:t xml:space="preserve">, Boston, 1944) </w:t>
      </w:r>
      <w:r w:rsidRPr="00F4113F">
        <w:t>. pp. 23–24.</w:t>
      </w:r>
    </w:p>
  </w:footnote>
  <w:footnote w:id="15">
    <w:p w:rsidR="00715CA0" w:rsidRDefault="00715CA0">
      <w:pPr>
        <w:pStyle w:val="FootnoteText"/>
      </w:pPr>
      <w:r>
        <w:rPr>
          <w:rStyle w:val="FootnoteReference"/>
        </w:rPr>
        <w:footnoteRef/>
      </w:r>
      <w:r>
        <w:t xml:space="preserve"> </w:t>
      </w:r>
      <w:proofErr w:type="spellStart"/>
      <w:r w:rsidRPr="00715CA0">
        <w:t>Jurado</w:t>
      </w:r>
      <w:proofErr w:type="spellEnd"/>
      <w:r>
        <w:t xml:space="preserve"> C., </w:t>
      </w:r>
      <w:proofErr w:type="spellStart"/>
      <w:r w:rsidRPr="00715CA0">
        <w:t>Bujeiro</w:t>
      </w:r>
      <w:proofErr w:type="spellEnd"/>
      <w:r>
        <w:t xml:space="preserve"> R.</w:t>
      </w:r>
      <w:r w:rsidRPr="00715CA0">
        <w:t xml:space="preserve"> The German Freikorps 1918–23: 1918–23. </w:t>
      </w:r>
      <w:r>
        <w:t>(</w:t>
      </w:r>
      <w:r w:rsidRPr="00715CA0">
        <w:t>Osprey Publishing</w:t>
      </w:r>
      <w:r>
        <w:t>, London, 2001) P.17</w:t>
      </w:r>
    </w:p>
  </w:footnote>
  <w:footnote w:id="16">
    <w:p w:rsidR="004705AF" w:rsidRDefault="004705AF">
      <w:pPr>
        <w:pStyle w:val="FootnoteText"/>
      </w:pPr>
      <w:r>
        <w:rPr>
          <w:rStyle w:val="FootnoteReference"/>
        </w:rPr>
        <w:footnoteRef/>
      </w:r>
      <w:r>
        <w:t xml:space="preserve"> </w:t>
      </w:r>
      <w:proofErr w:type="spellStart"/>
      <w:r w:rsidRPr="00715CA0">
        <w:t>Jurado</w:t>
      </w:r>
      <w:proofErr w:type="spellEnd"/>
      <w:r>
        <w:t xml:space="preserve"> C., </w:t>
      </w:r>
      <w:proofErr w:type="spellStart"/>
      <w:r w:rsidRPr="00715CA0">
        <w:t>Bujeiro</w:t>
      </w:r>
      <w:proofErr w:type="spellEnd"/>
      <w:r>
        <w:t xml:space="preserve"> R.</w:t>
      </w:r>
      <w:r w:rsidRPr="00715CA0">
        <w:t xml:space="preserve"> The German Freikorps 1918–23: 1918–23. </w:t>
      </w:r>
      <w:r>
        <w:t>(</w:t>
      </w:r>
      <w:r w:rsidRPr="00715CA0">
        <w:t>Osprey Publishing</w:t>
      </w:r>
      <w:r>
        <w:t>, London, 2001) P.17</w:t>
      </w:r>
    </w:p>
  </w:footnote>
  <w:footnote w:id="17">
    <w:p w:rsidR="004705AF" w:rsidRDefault="004705AF">
      <w:pPr>
        <w:pStyle w:val="FootnoteText"/>
      </w:pPr>
      <w:r>
        <w:rPr>
          <w:rStyle w:val="FootnoteReference"/>
        </w:rPr>
        <w:footnoteRef/>
      </w:r>
      <w:r>
        <w:t xml:space="preserve"> </w:t>
      </w:r>
      <w:proofErr w:type="spellStart"/>
      <w:r w:rsidR="00F70F62" w:rsidRPr="00F70F62">
        <w:t>Haffner</w:t>
      </w:r>
      <w:proofErr w:type="spellEnd"/>
      <w:r w:rsidR="00F70F62" w:rsidRPr="00F70F62">
        <w:t>, S. Defying Hitler</w:t>
      </w:r>
      <w:r w:rsidR="00F70F62">
        <w:t>. (Picador, London 2000). pp. 40</w:t>
      </w:r>
    </w:p>
  </w:footnote>
  <w:footnote w:id="18">
    <w:p w:rsidR="00F70F62" w:rsidRDefault="00F70F62">
      <w:pPr>
        <w:pStyle w:val="FootnoteText"/>
      </w:pPr>
      <w:r>
        <w:rPr>
          <w:rStyle w:val="FootnoteReference"/>
        </w:rPr>
        <w:footnoteRef/>
      </w:r>
      <w:r>
        <w:t xml:space="preserve"> </w:t>
      </w:r>
      <w:proofErr w:type="spellStart"/>
      <w:r w:rsidRPr="00F70F62">
        <w:t>Haffner</w:t>
      </w:r>
      <w:proofErr w:type="spellEnd"/>
      <w:r w:rsidRPr="00F70F62">
        <w:t>, S. Defying Hitler</w:t>
      </w:r>
      <w:r>
        <w:t>. (Picador, London 2000). pp. 49</w:t>
      </w:r>
    </w:p>
  </w:footnote>
  <w:footnote w:id="19">
    <w:p w:rsidR="00D07446" w:rsidRDefault="00D07446">
      <w:pPr>
        <w:pStyle w:val="FootnoteText"/>
      </w:pPr>
      <w:r>
        <w:rPr>
          <w:rStyle w:val="FootnoteReference"/>
        </w:rPr>
        <w:footnoteRef/>
      </w:r>
      <w:r>
        <w:t xml:space="preserve"> </w:t>
      </w:r>
      <w:proofErr w:type="spellStart"/>
      <w:r w:rsidRPr="00D07446">
        <w:t>Haffner</w:t>
      </w:r>
      <w:proofErr w:type="spellEnd"/>
      <w:r w:rsidRPr="00D07446">
        <w:t xml:space="preserve">, S. Defying Hitler. (Picador, </w:t>
      </w:r>
      <w:r>
        <w:t>London 2000). pp. 221-222</w:t>
      </w:r>
    </w:p>
  </w:footnote>
  <w:footnote w:id="20">
    <w:p w:rsidR="00D07446" w:rsidRDefault="00D07446">
      <w:pPr>
        <w:pStyle w:val="FootnoteText"/>
      </w:pPr>
      <w:r>
        <w:rPr>
          <w:rStyle w:val="FootnoteReference"/>
        </w:rPr>
        <w:footnoteRef/>
      </w:r>
      <w:r>
        <w:t xml:space="preserve"> </w:t>
      </w:r>
      <w:proofErr w:type="spellStart"/>
      <w:r w:rsidRPr="00D07446">
        <w:t>Haffner</w:t>
      </w:r>
      <w:proofErr w:type="spellEnd"/>
      <w:r w:rsidRPr="00D07446">
        <w:t>, S. Defying Hitler. (Picador, London 2000). pp.</w:t>
      </w:r>
      <w:r>
        <w:t xml:space="preserve"> 225-226</w:t>
      </w:r>
    </w:p>
  </w:footnote>
  <w:footnote w:id="21">
    <w:p w:rsidR="008E2731" w:rsidRDefault="008E2731">
      <w:pPr>
        <w:pStyle w:val="FootnoteText"/>
      </w:pPr>
      <w:r>
        <w:rPr>
          <w:rStyle w:val="FootnoteReference"/>
        </w:rPr>
        <w:footnoteRef/>
      </w:r>
      <w:r>
        <w:t xml:space="preserve"> </w:t>
      </w:r>
      <w:proofErr w:type="spellStart"/>
      <w:r w:rsidRPr="00D07446">
        <w:t>Haffner</w:t>
      </w:r>
      <w:proofErr w:type="spellEnd"/>
      <w:r w:rsidRPr="00D07446">
        <w:t xml:space="preserve">, S. Defying Hitler. (Picador, </w:t>
      </w:r>
      <w:r>
        <w:t>London 2000). pp.</w:t>
      </w:r>
      <w:r>
        <w:t xml:space="preserve"> 226</w:t>
      </w:r>
    </w:p>
  </w:footnote>
  <w:footnote w:id="22">
    <w:p w:rsidR="00565E4E" w:rsidRDefault="00565E4E">
      <w:pPr>
        <w:pStyle w:val="FootnoteText"/>
      </w:pPr>
      <w:r>
        <w:rPr>
          <w:rStyle w:val="FootnoteReference"/>
        </w:rPr>
        <w:footnoteRef/>
      </w:r>
      <w:r>
        <w:t xml:space="preserve"> Fischer, C</w:t>
      </w:r>
      <w:r w:rsidRPr="00565E4E">
        <w:t>. The Ruhr Crisis, 1923–1924 (Oxford U.P., 2003)</w:t>
      </w:r>
      <w:r>
        <w:t xml:space="preserve"> P23</w:t>
      </w:r>
    </w:p>
  </w:footnote>
  <w:footnote w:id="23">
    <w:p w:rsidR="00565E4E" w:rsidRDefault="00565E4E">
      <w:pPr>
        <w:pStyle w:val="FootnoteText"/>
      </w:pPr>
      <w:r>
        <w:rPr>
          <w:rStyle w:val="FootnoteReference"/>
        </w:rPr>
        <w:footnoteRef/>
      </w:r>
      <w:r>
        <w:t xml:space="preserve"> </w:t>
      </w:r>
      <w:r w:rsidRPr="00565E4E">
        <w:t>Fischer, C. The Ruhr Crisis, 1</w:t>
      </w:r>
      <w:r>
        <w:t>923–1924 (Oxford U.P., 2003) P29</w:t>
      </w:r>
    </w:p>
  </w:footnote>
  <w:footnote w:id="24">
    <w:p w:rsidR="00565E4E" w:rsidRDefault="00565E4E">
      <w:pPr>
        <w:pStyle w:val="FootnoteText"/>
      </w:pPr>
      <w:r>
        <w:rPr>
          <w:rStyle w:val="FootnoteReference"/>
        </w:rPr>
        <w:footnoteRef/>
      </w:r>
      <w:r>
        <w:t xml:space="preserve"> </w:t>
      </w:r>
      <w:r w:rsidRPr="00565E4E">
        <w:t>Fischer, C. The Ruhr Crisis, 1</w:t>
      </w:r>
      <w:r>
        <w:t>923–1924 (Oxford U.P., 2003) P35</w:t>
      </w:r>
    </w:p>
  </w:footnote>
  <w:footnote w:id="25">
    <w:p w:rsidR="004855D2" w:rsidRDefault="004855D2">
      <w:pPr>
        <w:pStyle w:val="FootnoteText"/>
      </w:pPr>
      <w:r>
        <w:rPr>
          <w:rStyle w:val="FootnoteReference"/>
        </w:rPr>
        <w:footnoteRef/>
      </w:r>
      <w:r>
        <w:t xml:space="preserve"> </w:t>
      </w:r>
      <w:proofErr w:type="spellStart"/>
      <w:r>
        <w:t>Dornberg</w:t>
      </w:r>
      <w:proofErr w:type="spellEnd"/>
      <w:r>
        <w:t>, J</w:t>
      </w:r>
      <w:r w:rsidRPr="004855D2">
        <w:t>. Munich 1923: The Story of Hitler's First Grab fo</w:t>
      </w:r>
      <w:r>
        <w:t>r Power. (Harper &amp; Row, New York, 1982) P. 20</w:t>
      </w:r>
    </w:p>
  </w:footnote>
  <w:footnote w:id="26">
    <w:p w:rsidR="008C23F0" w:rsidRDefault="008C23F0">
      <w:pPr>
        <w:pStyle w:val="FootnoteText"/>
      </w:pPr>
      <w:r>
        <w:rPr>
          <w:rStyle w:val="FootnoteReference"/>
        </w:rPr>
        <w:footnoteRef/>
      </w:r>
      <w:r>
        <w:t xml:space="preserve"> </w:t>
      </w:r>
      <w:r w:rsidRPr="008C23F0">
        <w:t>Kershaw</w:t>
      </w:r>
      <w:r>
        <w:t xml:space="preserve">, I. </w:t>
      </w:r>
      <w:r w:rsidRPr="008C23F0">
        <w:t xml:space="preserve">Bessel, R. Geary, D. </w:t>
      </w:r>
      <w:proofErr w:type="spellStart"/>
      <w:r w:rsidRPr="008C23F0">
        <w:t>Holtrerich</w:t>
      </w:r>
      <w:proofErr w:type="spellEnd"/>
      <w:r w:rsidRPr="008C23F0">
        <w:t>, C. L. James, H.</w:t>
      </w:r>
      <w:r>
        <w:t xml:space="preserve"> </w:t>
      </w:r>
      <w:r w:rsidRPr="008C23F0">
        <w:t>debates in modern history – (</w:t>
      </w:r>
      <w:proofErr w:type="spellStart"/>
      <w:r w:rsidRPr="008C23F0">
        <w:t>Weinfield</w:t>
      </w:r>
      <w:proofErr w:type="spellEnd"/>
      <w:r w:rsidRPr="008C23F0">
        <w:t xml:space="preserve"> and Nicolson, London, 1990)</w:t>
      </w:r>
      <w:r>
        <w:t xml:space="preserve"> P.121</w:t>
      </w:r>
    </w:p>
  </w:footnote>
  <w:footnote w:id="27">
    <w:p w:rsidR="008C23F0" w:rsidRDefault="008C23F0">
      <w:pPr>
        <w:pStyle w:val="FootnoteText"/>
      </w:pPr>
      <w:r>
        <w:rPr>
          <w:rStyle w:val="FootnoteReference"/>
        </w:rPr>
        <w:footnoteRef/>
      </w:r>
      <w:r>
        <w:t xml:space="preserve"> </w:t>
      </w:r>
      <w:r w:rsidRPr="008C23F0">
        <w:t>Kershaw</w:t>
      </w:r>
      <w:r>
        <w:t xml:space="preserve">, I. </w:t>
      </w:r>
      <w:r w:rsidRPr="008C23F0">
        <w:t xml:space="preserve">Bessel, R. Geary, D. </w:t>
      </w:r>
      <w:proofErr w:type="spellStart"/>
      <w:r w:rsidRPr="008C23F0">
        <w:t>Holtrerich</w:t>
      </w:r>
      <w:proofErr w:type="spellEnd"/>
      <w:r w:rsidRPr="008C23F0">
        <w:t>, C. L. James, H.</w:t>
      </w:r>
      <w:r>
        <w:t xml:space="preserve"> </w:t>
      </w:r>
      <w:r w:rsidRPr="008C23F0">
        <w:t>debates in modern history – (</w:t>
      </w:r>
      <w:proofErr w:type="spellStart"/>
      <w:r w:rsidRPr="008C23F0">
        <w:t>Weinfield</w:t>
      </w:r>
      <w:proofErr w:type="spellEnd"/>
      <w:r w:rsidRPr="008C23F0">
        <w:t xml:space="preserve"> and Nicolson, London, 1990)</w:t>
      </w:r>
      <w:r>
        <w:t xml:space="preserve"> P.121</w:t>
      </w:r>
    </w:p>
  </w:footnote>
  <w:footnote w:id="28">
    <w:p w:rsidR="00D46456" w:rsidRDefault="00D46456">
      <w:pPr>
        <w:pStyle w:val="FootnoteText"/>
      </w:pPr>
      <w:r>
        <w:rPr>
          <w:rStyle w:val="FootnoteReference"/>
        </w:rPr>
        <w:footnoteRef/>
      </w:r>
      <w:r>
        <w:t xml:space="preserve"> </w:t>
      </w:r>
      <w:r w:rsidRPr="008C23F0">
        <w:t>Kershaw</w:t>
      </w:r>
      <w:r>
        <w:t xml:space="preserve">, I. </w:t>
      </w:r>
      <w:r w:rsidRPr="008C23F0">
        <w:t xml:space="preserve">Bessel, R. Geary, D. </w:t>
      </w:r>
      <w:proofErr w:type="spellStart"/>
      <w:r w:rsidRPr="008C23F0">
        <w:t>Holtrerich</w:t>
      </w:r>
      <w:proofErr w:type="spellEnd"/>
      <w:r w:rsidRPr="008C23F0">
        <w:t>, C. L. James, H.</w:t>
      </w:r>
      <w:r>
        <w:t xml:space="preserve"> </w:t>
      </w:r>
      <w:r w:rsidRPr="008C23F0">
        <w:t>debates in modern history – (</w:t>
      </w:r>
      <w:proofErr w:type="spellStart"/>
      <w:r w:rsidRPr="008C23F0">
        <w:t>Weinfield</w:t>
      </w:r>
      <w:proofErr w:type="spellEnd"/>
      <w:r w:rsidRPr="008C23F0">
        <w:t xml:space="preserve"> and Nicolson, London, 1990)</w:t>
      </w:r>
      <w:r>
        <w:t xml:space="preserve"> P.123</w:t>
      </w:r>
    </w:p>
  </w:footnote>
  <w:footnote w:id="29">
    <w:p w:rsidR="00D46456" w:rsidRDefault="00D46456">
      <w:pPr>
        <w:pStyle w:val="FootnoteText"/>
      </w:pPr>
      <w:r>
        <w:rPr>
          <w:rStyle w:val="FootnoteReference"/>
        </w:rPr>
        <w:footnoteRef/>
      </w:r>
      <w:r>
        <w:t xml:space="preserve"> </w:t>
      </w:r>
      <w:r w:rsidRPr="00D46456">
        <w:t xml:space="preserve">Kershaw, I. Bessel, R. Geary, D. </w:t>
      </w:r>
      <w:proofErr w:type="spellStart"/>
      <w:r w:rsidRPr="00D46456">
        <w:t>Holtrerich</w:t>
      </w:r>
      <w:proofErr w:type="spellEnd"/>
      <w:r w:rsidRPr="00D46456">
        <w:t>, C. L. James, H. debates in modern history – (</w:t>
      </w:r>
      <w:proofErr w:type="spellStart"/>
      <w:r w:rsidRPr="00D46456">
        <w:t>Weinfield</w:t>
      </w:r>
      <w:proofErr w:type="spellEnd"/>
      <w:r w:rsidRPr="00D46456">
        <w:t xml:space="preserve"> and Nicolson, London, 1990) P.123</w:t>
      </w:r>
      <w:r>
        <w:t>-124</w:t>
      </w:r>
    </w:p>
  </w:footnote>
  <w:footnote w:id="30">
    <w:p w:rsidR="00D46456" w:rsidRDefault="00D46456">
      <w:pPr>
        <w:pStyle w:val="FootnoteText"/>
      </w:pPr>
      <w:r>
        <w:rPr>
          <w:rStyle w:val="FootnoteReference"/>
        </w:rPr>
        <w:footnoteRef/>
      </w:r>
      <w:r>
        <w:t xml:space="preserve"> </w:t>
      </w:r>
      <w:r w:rsidRPr="00D46456">
        <w:t xml:space="preserve">Kershaw, I. Bessel, R. Geary, D. </w:t>
      </w:r>
      <w:proofErr w:type="spellStart"/>
      <w:r w:rsidRPr="00D46456">
        <w:t>Holtrerich</w:t>
      </w:r>
      <w:proofErr w:type="spellEnd"/>
      <w:r w:rsidRPr="00D46456">
        <w:t>, C. L. James, H. debates in modern history – (</w:t>
      </w:r>
      <w:proofErr w:type="spellStart"/>
      <w:r w:rsidRPr="00D46456">
        <w:t>Weinfield</w:t>
      </w:r>
      <w:proofErr w:type="spellEnd"/>
      <w:r w:rsidRPr="00D46456">
        <w:t xml:space="preserve"> a</w:t>
      </w:r>
      <w:r>
        <w:t>nd Nicolson, London, 1990) P.</w:t>
      </w:r>
      <w:r>
        <w:t>124</w:t>
      </w:r>
    </w:p>
  </w:footnote>
  <w:footnote w:id="31">
    <w:p w:rsidR="00100858" w:rsidRDefault="00100858">
      <w:pPr>
        <w:pStyle w:val="FootnoteText"/>
      </w:pPr>
      <w:r>
        <w:rPr>
          <w:rStyle w:val="FootnoteReference"/>
        </w:rPr>
        <w:footnoteRef/>
      </w:r>
      <w:r>
        <w:t xml:space="preserve"> </w:t>
      </w:r>
      <w:r w:rsidRPr="00100858">
        <w:t xml:space="preserve">Kershaw, I. Bessel, R. Geary, D. </w:t>
      </w:r>
      <w:proofErr w:type="spellStart"/>
      <w:r w:rsidRPr="00100858">
        <w:t>Holtrerich</w:t>
      </w:r>
      <w:proofErr w:type="spellEnd"/>
      <w:r w:rsidRPr="00100858">
        <w:t>, C. L. James, H. debates in modern history – (</w:t>
      </w:r>
      <w:proofErr w:type="spellStart"/>
      <w:r w:rsidRPr="00100858">
        <w:t>Weinfield</w:t>
      </w:r>
      <w:proofErr w:type="spellEnd"/>
      <w:r w:rsidRPr="00100858">
        <w:t xml:space="preserve"> and Nicolson, London, 1990) P.124</w:t>
      </w:r>
    </w:p>
  </w:footnote>
  <w:footnote w:id="32">
    <w:p w:rsidR="00100858" w:rsidRDefault="00100858">
      <w:pPr>
        <w:pStyle w:val="FootnoteText"/>
      </w:pPr>
      <w:r>
        <w:rPr>
          <w:rStyle w:val="FootnoteReference"/>
        </w:rPr>
        <w:footnoteRef/>
      </w:r>
      <w:r>
        <w:t xml:space="preserve"> </w:t>
      </w:r>
      <w:r w:rsidRPr="00100858">
        <w:t xml:space="preserve">Kershaw, I. Bessel, R. Geary, D. </w:t>
      </w:r>
      <w:proofErr w:type="spellStart"/>
      <w:r w:rsidRPr="00100858">
        <w:t>Holtrerich</w:t>
      </w:r>
      <w:proofErr w:type="spellEnd"/>
      <w:r w:rsidRPr="00100858">
        <w:t>, C. L. James, H. debates in modern history – (</w:t>
      </w:r>
      <w:proofErr w:type="spellStart"/>
      <w:r w:rsidRPr="00100858">
        <w:t>Weinfield</w:t>
      </w:r>
      <w:proofErr w:type="spellEnd"/>
      <w:r w:rsidRPr="00100858">
        <w:t xml:space="preserve"> a</w:t>
      </w:r>
      <w:r>
        <w:t>nd Nicolson, London, 1990) P.128</w:t>
      </w:r>
    </w:p>
  </w:footnote>
  <w:footnote w:id="33">
    <w:p w:rsidR="00100858" w:rsidRDefault="00100858">
      <w:pPr>
        <w:pStyle w:val="FootnoteText"/>
      </w:pPr>
      <w:r>
        <w:rPr>
          <w:rStyle w:val="FootnoteReference"/>
        </w:rPr>
        <w:footnoteRef/>
      </w:r>
      <w:r>
        <w:t xml:space="preserve"> </w:t>
      </w:r>
      <w:r w:rsidRPr="00100858">
        <w:t xml:space="preserve">Kershaw, I. Bessel, R. Geary, D. </w:t>
      </w:r>
      <w:proofErr w:type="spellStart"/>
      <w:r w:rsidRPr="00100858">
        <w:t>Holtrerich</w:t>
      </w:r>
      <w:proofErr w:type="spellEnd"/>
      <w:r w:rsidRPr="00100858">
        <w:t>, C. L. James, H. debates in modern history – (</w:t>
      </w:r>
      <w:proofErr w:type="spellStart"/>
      <w:r w:rsidRPr="00100858">
        <w:t>Weinfield</w:t>
      </w:r>
      <w:proofErr w:type="spellEnd"/>
      <w:r w:rsidRPr="00100858">
        <w:t xml:space="preserve"> a</w:t>
      </w:r>
      <w:r>
        <w:t>nd Nicolson, London, 1990) P</w:t>
      </w:r>
      <w:r>
        <w:t>.129</w:t>
      </w:r>
    </w:p>
  </w:footnote>
  <w:footnote w:id="34">
    <w:p w:rsidR="00DD5854" w:rsidRDefault="00DD5854">
      <w:pPr>
        <w:pStyle w:val="FootnoteText"/>
      </w:pPr>
      <w:r>
        <w:rPr>
          <w:rStyle w:val="FootnoteReference"/>
        </w:rPr>
        <w:footnoteRef/>
      </w:r>
      <w:r>
        <w:t xml:space="preserve"> </w:t>
      </w:r>
      <w:r w:rsidRPr="00DD5854">
        <w:t xml:space="preserve">Kershaw, I. Bessel, R. Geary, D. </w:t>
      </w:r>
      <w:proofErr w:type="spellStart"/>
      <w:r w:rsidRPr="00DD5854">
        <w:t>Holtrerich</w:t>
      </w:r>
      <w:proofErr w:type="spellEnd"/>
      <w:r w:rsidRPr="00DD5854">
        <w:t>, C. L. James, H. debates in modern history – (</w:t>
      </w:r>
      <w:proofErr w:type="spellStart"/>
      <w:r w:rsidRPr="00DD5854">
        <w:t>Weinfield</w:t>
      </w:r>
      <w:proofErr w:type="spellEnd"/>
      <w:r w:rsidRPr="00DD5854">
        <w:t xml:space="preserve"> a</w:t>
      </w:r>
      <w:r>
        <w:t>nd Nicolson, London, 1990) P.148</w:t>
      </w:r>
    </w:p>
  </w:footnote>
  <w:footnote w:id="35">
    <w:p w:rsidR="00DD5854" w:rsidRDefault="00DD5854">
      <w:pPr>
        <w:pStyle w:val="FootnoteText"/>
      </w:pPr>
      <w:r>
        <w:rPr>
          <w:rStyle w:val="FootnoteReference"/>
        </w:rPr>
        <w:footnoteRef/>
      </w:r>
      <w:r>
        <w:t xml:space="preserve"> </w:t>
      </w:r>
      <w:r w:rsidRPr="00DD5854">
        <w:t xml:space="preserve">Kershaw, I. Bessel, R. Geary, D. </w:t>
      </w:r>
      <w:proofErr w:type="spellStart"/>
      <w:r w:rsidRPr="00DD5854">
        <w:t>Holtrerich</w:t>
      </w:r>
      <w:proofErr w:type="spellEnd"/>
      <w:r w:rsidRPr="00DD5854">
        <w:t>, C. L. James, H. debates in modern history – (</w:t>
      </w:r>
      <w:proofErr w:type="spellStart"/>
      <w:r w:rsidRPr="00DD5854">
        <w:t>Weinfield</w:t>
      </w:r>
      <w:proofErr w:type="spellEnd"/>
      <w:r w:rsidRPr="00DD5854">
        <w:t xml:space="preserve"> and Nicolson, London, 1990) P.148</w:t>
      </w:r>
    </w:p>
  </w:footnote>
  <w:footnote w:id="36">
    <w:p w:rsidR="00DD5854" w:rsidRDefault="00DD5854">
      <w:pPr>
        <w:pStyle w:val="FootnoteText"/>
      </w:pPr>
      <w:r>
        <w:rPr>
          <w:rStyle w:val="FootnoteReference"/>
        </w:rPr>
        <w:footnoteRef/>
      </w:r>
      <w:r>
        <w:t xml:space="preserve"> </w:t>
      </w:r>
      <w:proofErr w:type="spellStart"/>
      <w:r w:rsidRPr="00DD5854">
        <w:t>Puekert</w:t>
      </w:r>
      <w:proofErr w:type="spellEnd"/>
      <w:r w:rsidRPr="00DD5854">
        <w:t xml:space="preserve">, D. J. K., Die </w:t>
      </w:r>
      <w:proofErr w:type="spellStart"/>
      <w:r w:rsidRPr="00DD5854">
        <w:t>Weimarer</w:t>
      </w:r>
      <w:proofErr w:type="spellEnd"/>
      <w:r w:rsidRPr="00DD5854">
        <w:t xml:space="preserve"> </w:t>
      </w:r>
      <w:proofErr w:type="spellStart"/>
      <w:r w:rsidRPr="00DD5854">
        <w:t>Republik</w:t>
      </w:r>
      <w:proofErr w:type="spellEnd"/>
      <w:r w:rsidRPr="00DD5854">
        <w:t xml:space="preserve">. </w:t>
      </w:r>
      <w:proofErr w:type="spellStart"/>
      <w:r w:rsidRPr="00DD5854">
        <w:t>Khrisenjahre</w:t>
      </w:r>
      <w:proofErr w:type="spellEnd"/>
      <w:r w:rsidRPr="00DD5854">
        <w:t xml:space="preserve"> der </w:t>
      </w:r>
      <w:proofErr w:type="spellStart"/>
      <w:r w:rsidRPr="00DD5854">
        <w:t>klassischen</w:t>
      </w:r>
      <w:proofErr w:type="spellEnd"/>
      <w:r w:rsidRPr="00DD5854">
        <w:t xml:space="preserve"> </w:t>
      </w:r>
      <w:proofErr w:type="spellStart"/>
      <w:r w:rsidRPr="00DD5854">
        <w:t>Moderne</w:t>
      </w:r>
      <w:proofErr w:type="spellEnd"/>
      <w:r w:rsidRPr="00DD5854">
        <w:t xml:space="preserve"> (Frankfurt/Main, 1987), esp. p. 266-71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CDF" w:rsidRDefault="00B37CDF">
    <w:pPr>
      <w:pStyle w:val="Header"/>
    </w:pPr>
    <w:r>
      <w:t>Alex Elliott</w:t>
    </w:r>
  </w:p>
  <w:p w:rsidR="00B37CDF" w:rsidRDefault="00B37CDF">
    <w:pPr>
      <w:pStyle w:val="Header"/>
    </w:pPr>
    <w:r>
      <w:t>1500087</w:t>
    </w:r>
  </w:p>
  <w:p w:rsidR="00B37CDF" w:rsidRDefault="00B37CDF">
    <w:pPr>
      <w:pStyle w:val="Header"/>
    </w:pPr>
    <w:r>
      <w:t>AHHI6013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126F99"/>
    <w:multiLevelType w:val="hybridMultilevel"/>
    <w:tmpl w:val="03A2A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7170CF"/>
    <w:multiLevelType w:val="hybridMultilevel"/>
    <w:tmpl w:val="4BB0283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64F08E8"/>
    <w:multiLevelType w:val="hybridMultilevel"/>
    <w:tmpl w:val="C736E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F06"/>
    <w:rsid w:val="00100858"/>
    <w:rsid w:val="00213F8E"/>
    <w:rsid w:val="00227DAF"/>
    <w:rsid w:val="00233993"/>
    <w:rsid w:val="002602F7"/>
    <w:rsid w:val="002C63AE"/>
    <w:rsid w:val="004705AF"/>
    <w:rsid w:val="00483F06"/>
    <w:rsid w:val="004855D2"/>
    <w:rsid w:val="005237ED"/>
    <w:rsid w:val="00565E4E"/>
    <w:rsid w:val="005F68F3"/>
    <w:rsid w:val="00617590"/>
    <w:rsid w:val="0064280B"/>
    <w:rsid w:val="006A21E2"/>
    <w:rsid w:val="00711AA4"/>
    <w:rsid w:val="00715CA0"/>
    <w:rsid w:val="00761190"/>
    <w:rsid w:val="008C23F0"/>
    <w:rsid w:val="008E2731"/>
    <w:rsid w:val="009D7786"/>
    <w:rsid w:val="009E72FC"/>
    <w:rsid w:val="00A23893"/>
    <w:rsid w:val="00A24CBD"/>
    <w:rsid w:val="00B37CDF"/>
    <w:rsid w:val="00B5567C"/>
    <w:rsid w:val="00B712E9"/>
    <w:rsid w:val="00CA670F"/>
    <w:rsid w:val="00CB4119"/>
    <w:rsid w:val="00CB7115"/>
    <w:rsid w:val="00CD5853"/>
    <w:rsid w:val="00CF0E52"/>
    <w:rsid w:val="00D07446"/>
    <w:rsid w:val="00D46456"/>
    <w:rsid w:val="00DD5854"/>
    <w:rsid w:val="00E13FE3"/>
    <w:rsid w:val="00EA6C2C"/>
    <w:rsid w:val="00ED37DE"/>
    <w:rsid w:val="00F4113F"/>
    <w:rsid w:val="00F70F62"/>
    <w:rsid w:val="00F94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D78D1C-8053-425C-A8F3-3C47F61D2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D58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83F0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3F0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83F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F06"/>
  </w:style>
  <w:style w:type="paragraph" w:styleId="Footer">
    <w:name w:val="footer"/>
    <w:basedOn w:val="Normal"/>
    <w:link w:val="FooterChar"/>
    <w:uiPriority w:val="99"/>
    <w:unhideWhenUsed/>
    <w:rsid w:val="00483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F06"/>
  </w:style>
  <w:style w:type="paragraph" w:styleId="FootnoteText">
    <w:name w:val="footnote text"/>
    <w:basedOn w:val="Normal"/>
    <w:link w:val="FootnoteTextChar"/>
    <w:uiPriority w:val="99"/>
    <w:semiHidden/>
    <w:unhideWhenUsed/>
    <w:rsid w:val="00483F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3F06"/>
    <w:rPr>
      <w:sz w:val="20"/>
      <w:szCs w:val="20"/>
    </w:rPr>
  </w:style>
  <w:style w:type="character" w:styleId="FootnoteReference">
    <w:name w:val="footnote reference"/>
    <w:basedOn w:val="DefaultParagraphFont"/>
    <w:uiPriority w:val="99"/>
    <w:semiHidden/>
    <w:unhideWhenUsed/>
    <w:rsid w:val="00483F06"/>
    <w:rPr>
      <w:vertAlign w:val="superscript"/>
    </w:rPr>
  </w:style>
  <w:style w:type="character" w:styleId="Hyperlink">
    <w:name w:val="Hyperlink"/>
    <w:basedOn w:val="DefaultParagraphFont"/>
    <w:uiPriority w:val="99"/>
    <w:unhideWhenUsed/>
    <w:rsid w:val="00CD5853"/>
    <w:rPr>
      <w:color w:val="0563C1" w:themeColor="hyperlink"/>
      <w:u w:val="single"/>
    </w:rPr>
  </w:style>
  <w:style w:type="paragraph" w:styleId="ListParagraph">
    <w:name w:val="List Paragraph"/>
    <w:basedOn w:val="Normal"/>
    <w:uiPriority w:val="34"/>
    <w:qFormat/>
    <w:rsid w:val="00100858"/>
    <w:pPr>
      <w:ind w:left="720"/>
      <w:contextualSpacing/>
    </w:pPr>
  </w:style>
  <w:style w:type="character" w:customStyle="1" w:styleId="Heading1Char">
    <w:name w:val="Heading 1 Char"/>
    <w:basedOn w:val="DefaultParagraphFont"/>
    <w:link w:val="Heading1"/>
    <w:uiPriority w:val="9"/>
    <w:rsid w:val="00DD5854"/>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CB71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lphahistory.com/weimarrepublic/german-revolu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eimarandnazigermany.co.uk/1919-spartacist-uprising/#.WjRoSFVl_I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eimarandnazigermany.co.uk/1919-spartacist-uprising/#.WjRoSFVl_IU" TargetMode="External"/><Relationship Id="rId2" Type="http://schemas.openxmlformats.org/officeDocument/2006/relationships/hyperlink" Target="http://alphahistory.com/weimarrepublic/german-revolution/" TargetMode="External"/><Relationship Id="rId1" Type="http://schemas.openxmlformats.org/officeDocument/2006/relationships/hyperlink" Target="http://alphahistory.com/weimarrepublic/german-revol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63F7F-4979-4DAF-ABBE-FEC24EAE1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2767</Words>
  <Characters>15773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Elliott</dc:creator>
  <cp:keywords/>
  <dc:description/>
  <cp:lastModifiedBy>Simon Elliott</cp:lastModifiedBy>
  <cp:revision>2</cp:revision>
  <dcterms:created xsi:type="dcterms:W3CDTF">2017-12-16T00:28:00Z</dcterms:created>
  <dcterms:modified xsi:type="dcterms:W3CDTF">2017-12-16T00:28:00Z</dcterms:modified>
</cp:coreProperties>
</file>