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EAE52">
      <w:pPr>
        <w:bidi w:val="0"/>
        <w:rPr>
          <w:rFonts w:hint="eastAsia"/>
          <w:sz w:val="24"/>
          <w:szCs w:val="24"/>
          <w:lang w:val="en-US" w:eastAsia="zh-CN"/>
        </w:rPr>
      </w:pPr>
      <w:r>
        <w:rPr>
          <w:rFonts w:hint="eastAsia"/>
          <w:sz w:val="24"/>
          <w:szCs w:val="24"/>
          <w:lang w:val="en-US" w:eastAsia="zh-CN"/>
        </w:rPr>
        <w:drawing>
          <wp:inline distT="0" distB="0" distL="114300" distR="114300">
            <wp:extent cx="1809750" cy="723900"/>
            <wp:effectExtent l="0" t="0" r="3810" b="0"/>
            <wp:docPr id="4" name="图片 4" descr="176374568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63745688761"/>
                    <pic:cNvPicPr>
                      <a:picLocks noChangeAspect="1"/>
                    </pic:cNvPicPr>
                  </pic:nvPicPr>
                  <pic:blipFill>
                    <a:blip r:embed="rId5"/>
                    <a:stretch>
                      <a:fillRect/>
                    </a:stretch>
                  </pic:blipFill>
                  <pic:spPr>
                    <a:xfrm>
                      <a:off x="0" y="0"/>
                      <a:ext cx="1809750" cy="723900"/>
                    </a:xfrm>
                    <a:prstGeom prst="rect">
                      <a:avLst/>
                    </a:prstGeom>
                  </pic:spPr>
                </pic:pic>
              </a:graphicData>
            </a:graphic>
          </wp:inline>
        </w:drawing>
      </w:r>
    </w:p>
    <w:p w14:paraId="3B10337F">
      <w:pPr>
        <w:bidi w:val="0"/>
        <w:rPr>
          <w:rFonts w:hint="eastAsia"/>
          <w:sz w:val="24"/>
          <w:szCs w:val="24"/>
          <w:lang w:val="en-US" w:eastAsia="zh-CN"/>
        </w:rPr>
      </w:pPr>
    </w:p>
    <w:p w14:paraId="1DD220EF">
      <w:pPr>
        <w:bidi w:val="0"/>
        <w:spacing w:line="480" w:lineRule="auto"/>
        <w:rPr>
          <w:rFonts w:hint="default" w:ascii="Times New Roman" w:hAnsi="Times New Roman" w:cs="Times New Roman"/>
          <w:b/>
          <w:bCs/>
          <w:sz w:val="24"/>
          <w:szCs w:val="24"/>
          <w:lang w:val="en-US" w:eastAsia="zh-CN"/>
        </w:rPr>
      </w:pPr>
      <w:r>
        <w:rPr>
          <w:rFonts w:hint="default" w:ascii="Times New Roman" w:hAnsi="Times New Roman" w:cs="Times New Roman"/>
          <w:sz w:val="24"/>
          <w:szCs w:val="24"/>
          <w:lang w:val="en-US" w:eastAsia="zh-CN"/>
        </w:rPr>
        <w:t>Tittle ：</w:t>
      </w:r>
      <w:r>
        <w:rPr>
          <w:rFonts w:hint="default" w:ascii="Times New Roman" w:hAnsi="Times New Roman" w:cs="Times New Roman"/>
          <w:b/>
          <w:bCs/>
          <w:sz w:val="24"/>
          <w:szCs w:val="24"/>
          <w:lang w:val="en-US" w:eastAsia="zh-CN"/>
        </w:rPr>
        <w:t>An Essay on Exploration of Cultural Differences in Business Ethics</w:t>
      </w:r>
    </w:p>
    <w:p w14:paraId="0CDE36B7">
      <w:pPr>
        <w:bidi w:val="0"/>
        <w:spacing w:line="480" w:lineRule="auto"/>
        <w:rPr>
          <w:rFonts w:hint="default" w:ascii="Times New Roman" w:hAnsi="Times New Roman" w:cs="Times New Roman"/>
          <w:sz w:val="24"/>
          <w:szCs w:val="24"/>
          <w:lang w:val="en-US" w:eastAsia="zh-CN"/>
        </w:rPr>
      </w:pPr>
    </w:p>
    <w:p w14:paraId="3D780230">
      <w:pPr>
        <w:bidi w:val="0"/>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Student name ：Haoyang Zhang</w:t>
      </w:r>
    </w:p>
    <w:p w14:paraId="06097558">
      <w:pPr>
        <w:bidi w:val="0"/>
        <w:spacing w:line="480" w:lineRule="auto"/>
        <w:rPr>
          <w:rFonts w:hint="default" w:ascii="Times New Roman" w:hAnsi="Times New Roman" w:cs="Times New Roman"/>
          <w:sz w:val="24"/>
          <w:szCs w:val="24"/>
          <w:lang w:val="en-US" w:eastAsia="zh-CN"/>
        </w:rPr>
      </w:pPr>
    </w:p>
    <w:p w14:paraId="7FAE428A">
      <w:pPr>
        <w:bidi w:val="0"/>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Student ID : 2404507</w:t>
      </w:r>
    </w:p>
    <w:p w14:paraId="63E13632">
      <w:pPr>
        <w:bidi w:val="0"/>
        <w:spacing w:line="480" w:lineRule="auto"/>
        <w:rPr>
          <w:rFonts w:hint="default" w:ascii="Times New Roman" w:hAnsi="Times New Roman" w:cs="Times New Roman"/>
          <w:sz w:val="24"/>
          <w:szCs w:val="24"/>
          <w:lang w:val="en-US" w:eastAsia="zh-CN"/>
        </w:rPr>
      </w:pPr>
    </w:p>
    <w:p w14:paraId="712662BD">
      <w:pPr>
        <w:bidi w:val="0"/>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Module : Global ethics</w:t>
      </w:r>
    </w:p>
    <w:p w14:paraId="07E5E8F8">
      <w:pPr>
        <w:bidi w:val="0"/>
        <w:spacing w:line="480" w:lineRule="auto"/>
        <w:rPr>
          <w:rFonts w:hint="default" w:ascii="Times New Roman" w:hAnsi="Times New Roman" w:cs="Times New Roman"/>
          <w:sz w:val="24"/>
          <w:szCs w:val="24"/>
          <w:lang w:val="en-US" w:eastAsia="zh-CN"/>
        </w:rPr>
      </w:pPr>
    </w:p>
    <w:p w14:paraId="17B1DC6D">
      <w:pPr>
        <w:bidi w:val="0"/>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Module code ：BMBM6008</w:t>
      </w:r>
    </w:p>
    <w:p w14:paraId="6F1199E6">
      <w:pPr>
        <w:bidi w:val="0"/>
        <w:spacing w:line="480" w:lineRule="auto"/>
        <w:rPr>
          <w:rFonts w:hint="default" w:ascii="Times New Roman" w:hAnsi="Times New Roman" w:cs="Times New Roman"/>
          <w:sz w:val="24"/>
          <w:szCs w:val="24"/>
          <w:lang w:val="en-US" w:eastAsia="zh-CN"/>
        </w:rPr>
      </w:pPr>
    </w:p>
    <w:p w14:paraId="7DBE5FB5">
      <w:pPr>
        <w:bidi w:val="0"/>
        <w:spacing w:line="48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Lecturer ：Arpu Kumar</w:t>
      </w:r>
    </w:p>
    <w:p w14:paraId="0617D974">
      <w:pPr>
        <w:bidi w:val="0"/>
        <w:spacing w:line="480" w:lineRule="auto"/>
        <w:rPr>
          <w:rFonts w:hint="eastAsia" w:ascii="Times New Roman" w:hAnsi="Times New Roman" w:cs="Times New Roman"/>
          <w:sz w:val="24"/>
          <w:szCs w:val="24"/>
          <w:lang w:val="en-US" w:eastAsia="zh-CN"/>
        </w:rPr>
      </w:pPr>
    </w:p>
    <w:p w14:paraId="25AA853D">
      <w:pPr>
        <w:bidi w:val="0"/>
        <w:spacing w:line="480" w:lineRule="auto"/>
        <w:rPr>
          <w:rFonts w:hint="default" w:ascii="Times New Roman" w:hAnsi="Times New Roman" w:cs="Times New Roman" w:eastAsiaTheme="minorEastAsia"/>
          <w:color w:val="000000"/>
          <w:sz w:val="24"/>
          <w:szCs w:val="24"/>
          <w:lang w:val="en-US" w:eastAsia="zh-CN"/>
        </w:rPr>
        <w:sectPr>
          <w:pgSz w:w="11900" w:h="16840"/>
          <w:pgMar w:top="1440" w:right="1800" w:bottom="1440" w:left="1800" w:header="851" w:footer="992" w:gutter="0"/>
          <w:cols w:space="425" w:num="1"/>
          <w:docGrid w:type="lines" w:linePitch="312" w:charSpace="0"/>
        </w:sectPr>
      </w:pPr>
      <w:r>
        <w:rPr>
          <w:rFonts w:hint="eastAsia" w:ascii="Times New Roman" w:hAnsi="Times New Roman" w:cs="Times New Roman"/>
          <w:sz w:val="24"/>
          <w:szCs w:val="24"/>
          <w:lang w:val="en-US" w:eastAsia="zh-CN"/>
        </w:rPr>
        <w:t xml:space="preserve">Submission date : 14 </w:t>
      </w:r>
      <w:r>
        <w:rPr>
          <w:rFonts w:hint="eastAsia" w:ascii="Times New Roman" w:hAnsi="Times New Roman" w:cs="Times New Roman"/>
          <w:sz w:val="24"/>
          <w:szCs w:val="24"/>
          <w:lang w:val="en-US" w:eastAsia="zh-CN"/>
        </w:rPr>
        <w:tab/>
        <w:t>August 2026</w:t>
      </w:r>
    </w:p>
    <w:p w14:paraId="283CA6C6">
      <w:pPr>
        <w:pStyle w:val="2"/>
        <w:bidi w:val="0"/>
        <w:rPr>
          <w:rFonts w:hint="eastAsia" w:eastAsia="宋体"/>
          <w:lang w:val="en-US" w:eastAsia="zh-CN"/>
        </w:rPr>
      </w:pPr>
      <w:bookmarkStart w:id="0" w:name="_Toc30918"/>
      <w:bookmarkStart w:id="1" w:name="_Toc3642"/>
      <w:r>
        <w:rPr>
          <w:rFonts w:hint="eastAsia" w:eastAsia="宋体"/>
          <w:lang w:val="en-US" w:eastAsia="zh-CN"/>
        </w:rPr>
        <w:t>Content</w:t>
      </w:r>
      <w:bookmarkEnd w:id="0"/>
      <w:bookmarkEnd w:id="1"/>
    </w:p>
    <w:p w14:paraId="1DC5F3AF">
      <w:pPr>
        <w:bidi w:val="0"/>
        <w:rPr>
          <w:rFonts w:hint="eastAsia"/>
          <w:lang w:val="en-US" w:eastAsia="zh-CN"/>
        </w:rPr>
      </w:pPr>
    </w:p>
    <w:p w14:paraId="259D422B">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TOC \o "1-2" \h \u </w:instrText>
      </w:r>
      <w:r>
        <w:rPr>
          <w:rFonts w:hint="default" w:eastAsia="宋体"/>
          <w:lang w:val="en-US" w:eastAsia="zh-CN"/>
        </w:rPr>
        <w:fldChar w:fldCharType="separate"/>
      </w:r>
      <w:r>
        <w:rPr>
          <w:rFonts w:hint="default" w:eastAsia="宋体"/>
          <w:lang w:val="en-US" w:eastAsia="zh-CN"/>
        </w:rPr>
        <w:fldChar w:fldCharType="begin"/>
      </w:r>
      <w:r>
        <w:rPr>
          <w:rFonts w:hint="default" w:eastAsia="宋体"/>
          <w:lang w:val="en-US" w:eastAsia="zh-CN"/>
        </w:rPr>
        <w:instrText xml:space="preserve"> HYPERLINK \l _Toc3642 </w:instrText>
      </w:r>
      <w:r>
        <w:rPr>
          <w:rFonts w:hint="default" w:eastAsia="宋体"/>
          <w:lang w:val="en-US" w:eastAsia="zh-CN"/>
        </w:rPr>
        <w:fldChar w:fldCharType="separate"/>
      </w:r>
      <w:r>
        <w:rPr>
          <w:rFonts w:hint="eastAsia" w:eastAsia="宋体"/>
          <w:lang w:val="en-US" w:eastAsia="zh-CN"/>
        </w:rPr>
        <w:t>Content</w:t>
      </w:r>
      <w:r>
        <w:tab/>
      </w:r>
      <w:r>
        <w:fldChar w:fldCharType="begin"/>
      </w:r>
      <w:r>
        <w:instrText xml:space="preserve"> PAGEREF _Toc3642 \h </w:instrText>
      </w:r>
      <w:r>
        <w:fldChar w:fldCharType="separate"/>
      </w:r>
      <w:r>
        <w:t>1</w:t>
      </w:r>
      <w:r>
        <w:fldChar w:fldCharType="end"/>
      </w:r>
      <w:r>
        <w:rPr>
          <w:rFonts w:hint="default" w:eastAsia="宋体"/>
          <w:lang w:val="en-US" w:eastAsia="zh-CN"/>
        </w:rPr>
        <w:fldChar w:fldCharType="end"/>
      </w:r>
    </w:p>
    <w:p w14:paraId="2CA27831">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_Toc30160 </w:instrText>
      </w:r>
      <w:r>
        <w:rPr>
          <w:rFonts w:hint="default" w:eastAsia="宋体"/>
          <w:lang w:val="en-US" w:eastAsia="zh-CN"/>
        </w:rPr>
        <w:fldChar w:fldCharType="separate"/>
      </w:r>
      <w:r>
        <w:rPr>
          <w:rFonts w:hint="default"/>
        </w:rPr>
        <w:t>Abstract</w:t>
      </w:r>
      <w:r>
        <w:tab/>
      </w:r>
      <w:r>
        <w:fldChar w:fldCharType="begin"/>
      </w:r>
      <w:r>
        <w:instrText xml:space="preserve"> PAGEREF _Toc30160 \h </w:instrText>
      </w:r>
      <w:r>
        <w:fldChar w:fldCharType="separate"/>
      </w:r>
      <w:r>
        <w:t>2</w:t>
      </w:r>
      <w:r>
        <w:fldChar w:fldCharType="end"/>
      </w:r>
      <w:r>
        <w:rPr>
          <w:rFonts w:hint="default" w:eastAsia="宋体"/>
          <w:lang w:val="en-US" w:eastAsia="zh-CN"/>
        </w:rPr>
        <w:fldChar w:fldCharType="end"/>
      </w:r>
    </w:p>
    <w:p w14:paraId="5C720946">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_Toc6704 </w:instrText>
      </w:r>
      <w:r>
        <w:rPr>
          <w:rFonts w:hint="default" w:eastAsia="宋体"/>
          <w:lang w:val="en-US" w:eastAsia="zh-CN"/>
        </w:rPr>
        <w:fldChar w:fldCharType="separate"/>
      </w:r>
      <w:r>
        <w:rPr>
          <w:rFonts w:hint="default"/>
        </w:rPr>
        <w:t>1.0 Introduction</w:t>
      </w:r>
      <w:r>
        <w:tab/>
      </w:r>
      <w:r>
        <w:fldChar w:fldCharType="begin"/>
      </w:r>
      <w:r>
        <w:instrText xml:space="preserve"> PAGEREF _Toc6704 \h </w:instrText>
      </w:r>
      <w:r>
        <w:fldChar w:fldCharType="separate"/>
      </w:r>
      <w:r>
        <w:t>3</w:t>
      </w:r>
      <w:r>
        <w:fldChar w:fldCharType="end"/>
      </w:r>
      <w:r>
        <w:rPr>
          <w:rFonts w:hint="default" w:eastAsia="宋体"/>
          <w:lang w:val="en-US" w:eastAsia="zh-CN"/>
        </w:rPr>
        <w:fldChar w:fldCharType="end"/>
      </w:r>
    </w:p>
    <w:p w14:paraId="6785F628">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_Toc19861 </w:instrText>
      </w:r>
      <w:r>
        <w:rPr>
          <w:rFonts w:hint="default" w:eastAsia="宋体"/>
          <w:lang w:val="en-US" w:eastAsia="zh-CN"/>
        </w:rPr>
        <w:fldChar w:fldCharType="separate"/>
      </w:r>
      <w:r>
        <w:rPr>
          <w:rFonts w:hint="default"/>
        </w:rPr>
        <w:t>1.1 Research Background and Research Questions</w:t>
      </w:r>
      <w:r>
        <w:tab/>
      </w:r>
      <w:r>
        <w:fldChar w:fldCharType="begin"/>
      </w:r>
      <w:r>
        <w:instrText xml:space="preserve"> PAGEREF _Toc19861 \h </w:instrText>
      </w:r>
      <w:r>
        <w:fldChar w:fldCharType="separate"/>
      </w:r>
      <w:r>
        <w:t>3</w:t>
      </w:r>
      <w:r>
        <w:fldChar w:fldCharType="end"/>
      </w:r>
      <w:r>
        <w:rPr>
          <w:rFonts w:hint="default" w:eastAsia="宋体"/>
          <w:lang w:val="en-US" w:eastAsia="zh-CN"/>
        </w:rPr>
        <w:fldChar w:fldCharType="end"/>
      </w:r>
    </w:p>
    <w:p w14:paraId="13267417">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_Toc31751 </w:instrText>
      </w:r>
      <w:r>
        <w:rPr>
          <w:rFonts w:hint="default" w:eastAsia="宋体"/>
          <w:lang w:val="en-US" w:eastAsia="zh-CN"/>
        </w:rPr>
        <w:fldChar w:fldCharType="separate"/>
      </w:r>
      <w:r>
        <w:rPr>
          <w:rFonts w:hint="default"/>
        </w:rPr>
        <w:t>1.2 Research Significance and Essay Structure</w:t>
      </w:r>
      <w:r>
        <w:tab/>
      </w:r>
      <w:r>
        <w:fldChar w:fldCharType="begin"/>
      </w:r>
      <w:r>
        <w:instrText xml:space="preserve"> PAGEREF _Toc31751 \h </w:instrText>
      </w:r>
      <w:r>
        <w:fldChar w:fldCharType="separate"/>
      </w:r>
      <w:r>
        <w:t>4</w:t>
      </w:r>
      <w:r>
        <w:fldChar w:fldCharType="end"/>
      </w:r>
      <w:r>
        <w:rPr>
          <w:rFonts w:hint="default" w:eastAsia="宋体"/>
          <w:lang w:val="en-US" w:eastAsia="zh-CN"/>
        </w:rPr>
        <w:fldChar w:fldCharType="end"/>
      </w:r>
    </w:p>
    <w:p w14:paraId="10CB3F61">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_Toc22588 </w:instrText>
      </w:r>
      <w:r>
        <w:rPr>
          <w:rFonts w:hint="default" w:eastAsia="宋体"/>
          <w:lang w:val="en-US" w:eastAsia="zh-CN"/>
        </w:rPr>
        <w:fldChar w:fldCharType="separate"/>
      </w:r>
      <w:r>
        <w:rPr>
          <w:rFonts w:hint="default"/>
        </w:rPr>
        <w:t>2.0 Theoretical Foundations of Business Ethics and Cultural Influences</w:t>
      </w:r>
      <w:r>
        <w:tab/>
      </w:r>
      <w:r>
        <w:fldChar w:fldCharType="begin"/>
      </w:r>
      <w:r>
        <w:instrText xml:space="preserve"> PAGEREF _Toc22588 \h </w:instrText>
      </w:r>
      <w:r>
        <w:fldChar w:fldCharType="separate"/>
      </w:r>
      <w:r>
        <w:t>4</w:t>
      </w:r>
      <w:r>
        <w:fldChar w:fldCharType="end"/>
      </w:r>
      <w:r>
        <w:rPr>
          <w:rFonts w:hint="default" w:eastAsia="宋体"/>
          <w:lang w:val="en-US" w:eastAsia="zh-CN"/>
        </w:rPr>
        <w:fldChar w:fldCharType="end"/>
      </w:r>
    </w:p>
    <w:p w14:paraId="65077DFA">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_Toc2221 </w:instrText>
      </w:r>
      <w:r>
        <w:rPr>
          <w:rFonts w:hint="default" w:eastAsia="宋体"/>
          <w:lang w:val="en-US" w:eastAsia="zh-CN"/>
        </w:rPr>
        <w:fldChar w:fldCharType="separate"/>
      </w:r>
      <w:r>
        <w:rPr>
          <w:rFonts w:hint="default"/>
        </w:rPr>
        <w:t>2.1 Core Connotation of Business Ethics</w:t>
      </w:r>
      <w:r>
        <w:tab/>
      </w:r>
      <w:r>
        <w:fldChar w:fldCharType="begin"/>
      </w:r>
      <w:r>
        <w:instrText xml:space="preserve"> PAGEREF _Toc2221 \h </w:instrText>
      </w:r>
      <w:r>
        <w:fldChar w:fldCharType="separate"/>
      </w:r>
      <w:r>
        <w:t>4</w:t>
      </w:r>
      <w:r>
        <w:fldChar w:fldCharType="end"/>
      </w:r>
      <w:r>
        <w:rPr>
          <w:rFonts w:hint="default" w:eastAsia="宋体"/>
          <w:lang w:val="en-US" w:eastAsia="zh-CN"/>
        </w:rPr>
        <w:fldChar w:fldCharType="end"/>
      </w:r>
    </w:p>
    <w:p w14:paraId="2F64E551">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_Toc29983 </w:instrText>
      </w:r>
      <w:r>
        <w:rPr>
          <w:rFonts w:hint="default" w:eastAsia="宋体"/>
          <w:lang w:val="en-US" w:eastAsia="zh-CN"/>
        </w:rPr>
        <w:fldChar w:fldCharType="separate"/>
      </w:r>
      <w:r>
        <w:rPr>
          <w:rFonts w:hint="default"/>
        </w:rPr>
        <w:t>2.2 Constraining Mechanism of Cultural Environment on Ethical Decision-making</w:t>
      </w:r>
      <w:r>
        <w:tab/>
      </w:r>
      <w:r>
        <w:fldChar w:fldCharType="begin"/>
      </w:r>
      <w:r>
        <w:instrText xml:space="preserve"> PAGEREF _Toc29983 \h </w:instrText>
      </w:r>
      <w:r>
        <w:fldChar w:fldCharType="separate"/>
      </w:r>
      <w:r>
        <w:t>5</w:t>
      </w:r>
      <w:r>
        <w:fldChar w:fldCharType="end"/>
      </w:r>
      <w:r>
        <w:rPr>
          <w:rFonts w:hint="default" w:eastAsia="宋体"/>
          <w:lang w:val="en-US" w:eastAsia="zh-CN"/>
        </w:rPr>
        <w:fldChar w:fldCharType="end"/>
      </w:r>
    </w:p>
    <w:p w14:paraId="35A85139">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_Toc4010 </w:instrText>
      </w:r>
      <w:r>
        <w:rPr>
          <w:rFonts w:hint="default" w:eastAsia="宋体"/>
          <w:lang w:val="en-US" w:eastAsia="zh-CN"/>
        </w:rPr>
        <w:fldChar w:fldCharType="separate"/>
      </w:r>
      <w:r>
        <w:rPr>
          <w:rFonts w:hint="default"/>
        </w:rPr>
        <w:t>3.0 Comparison of Business Ethics Characteristics and Cultural Roots Across Regions</w:t>
      </w:r>
      <w:r>
        <w:tab/>
      </w:r>
      <w:r>
        <w:fldChar w:fldCharType="begin"/>
      </w:r>
      <w:r>
        <w:instrText xml:space="preserve"> PAGEREF _Toc4010 \h </w:instrText>
      </w:r>
      <w:r>
        <w:fldChar w:fldCharType="separate"/>
      </w:r>
      <w:r>
        <w:t>6</w:t>
      </w:r>
      <w:r>
        <w:fldChar w:fldCharType="end"/>
      </w:r>
      <w:r>
        <w:rPr>
          <w:rFonts w:hint="default" w:eastAsia="宋体"/>
          <w:lang w:val="en-US" w:eastAsia="zh-CN"/>
        </w:rPr>
        <w:fldChar w:fldCharType="end"/>
      </w:r>
    </w:p>
    <w:p w14:paraId="45141BB1">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_Toc21714 </w:instrText>
      </w:r>
      <w:r>
        <w:rPr>
          <w:rFonts w:hint="default" w:eastAsia="宋体"/>
          <w:lang w:val="en-US" w:eastAsia="zh-CN"/>
        </w:rPr>
        <w:fldChar w:fldCharType="separate"/>
      </w:r>
      <w:r>
        <w:rPr>
          <w:rFonts w:hint="default"/>
        </w:rPr>
        <w:t>3.1 European Business Ethics: Rule Orientation and Individualist Tradition</w:t>
      </w:r>
      <w:r>
        <w:tab/>
      </w:r>
      <w:r>
        <w:fldChar w:fldCharType="begin"/>
      </w:r>
      <w:r>
        <w:instrText xml:space="preserve"> PAGEREF _Toc21714 \h </w:instrText>
      </w:r>
      <w:r>
        <w:fldChar w:fldCharType="separate"/>
      </w:r>
      <w:r>
        <w:t>7</w:t>
      </w:r>
      <w:r>
        <w:fldChar w:fldCharType="end"/>
      </w:r>
      <w:r>
        <w:rPr>
          <w:rFonts w:hint="default" w:eastAsia="宋体"/>
          <w:lang w:val="en-US" w:eastAsia="zh-CN"/>
        </w:rPr>
        <w:fldChar w:fldCharType="end"/>
      </w:r>
    </w:p>
    <w:p w14:paraId="6DDA2669">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_Toc27055 </w:instrText>
      </w:r>
      <w:r>
        <w:rPr>
          <w:rFonts w:hint="default" w:eastAsia="宋体"/>
          <w:lang w:val="en-US" w:eastAsia="zh-CN"/>
        </w:rPr>
        <w:fldChar w:fldCharType="separate"/>
      </w:r>
      <w:r>
        <w:rPr>
          <w:rFonts w:hint="default"/>
        </w:rPr>
        <w:t>3.2 Chinese Business Ethics: Relationship Orientation and Confucian Cultural Influence</w:t>
      </w:r>
      <w:r>
        <w:tab/>
      </w:r>
      <w:r>
        <w:fldChar w:fldCharType="begin"/>
      </w:r>
      <w:r>
        <w:instrText xml:space="preserve"> PAGEREF _Toc27055 \h </w:instrText>
      </w:r>
      <w:r>
        <w:fldChar w:fldCharType="separate"/>
      </w:r>
      <w:r>
        <w:t>7</w:t>
      </w:r>
      <w:r>
        <w:fldChar w:fldCharType="end"/>
      </w:r>
      <w:r>
        <w:rPr>
          <w:rFonts w:hint="default" w:eastAsia="宋体"/>
          <w:lang w:val="en-US" w:eastAsia="zh-CN"/>
        </w:rPr>
        <w:fldChar w:fldCharType="end"/>
      </w:r>
    </w:p>
    <w:p w14:paraId="1800FC17">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_Toc22026 </w:instrText>
      </w:r>
      <w:r>
        <w:rPr>
          <w:rFonts w:hint="default" w:eastAsia="宋体"/>
          <w:lang w:val="en-US" w:eastAsia="zh-CN"/>
        </w:rPr>
        <w:fldChar w:fldCharType="separate"/>
      </w:r>
      <w:r>
        <w:rPr>
          <w:rFonts w:hint="default"/>
        </w:rPr>
        <w:t>3.3 Japanese Business Ethics: Collectivism and Corporate Community Consciousness</w:t>
      </w:r>
      <w:r>
        <w:tab/>
      </w:r>
      <w:r>
        <w:fldChar w:fldCharType="begin"/>
      </w:r>
      <w:r>
        <w:instrText xml:space="preserve"> PAGEREF _Toc22026 \h </w:instrText>
      </w:r>
      <w:r>
        <w:fldChar w:fldCharType="separate"/>
      </w:r>
      <w:r>
        <w:t>8</w:t>
      </w:r>
      <w:r>
        <w:fldChar w:fldCharType="end"/>
      </w:r>
      <w:r>
        <w:rPr>
          <w:rFonts w:hint="default" w:eastAsia="宋体"/>
          <w:lang w:val="en-US" w:eastAsia="zh-CN"/>
        </w:rPr>
        <w:fldChar w:fldCharType="end"/>
      </w:r>
    </w:p>
    <w:p w14:paraId="31F2AC57">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_Toc18521 </w:instrText>
      </w:r>
      <w:r>
        <w:rPr>
          <w:rFonts w:hint="default" w:eastAsia="宋体"/>
          <w:lang w:val="en-US" w:eastAsia="zh-CN"/>
        </w:rPr>
        <w:fldChar w:fldCharType="separate"/>
      </w:r>
      <w:r>
        <w:rPr>
          <w:rFonts w:hint="default"/>
        </w:rPr>
        <w:t>4.0 Typical Business Ethics Conflicts Caused by Cultural Differences</w:t>
      </w:r>
      <w:r>
        <w:tab/>
      </w:r>
      <w:r>
        <w:fldChar w:fldCharType="begin"/>
      </w:r>
      <w:r>
        <w:instrText xml:space="preserve"> PAGEREF _Toc18521 \h </w:instrText>
      </w:r>
      <w:r>
        <w:fldChar w:fldCharType="separate"/>
      </w:r>
      <w:r>
        <w:t>9</w:t>
      </w:r>
      <w:r>
        <w:fldChar w:fldCharType="end"/>
      </w:r>
      <w:r>
        <w:rPr>
          <w:rFonts w:hint="default" w:eastAsia="宋体"/>
          <w:lang w:val="en-US" w:eastAsia="zh-CN"/>
        </w:rPr>
        <w:fldChar w:fldCharType="end"/>
      </w:r>
    </w:p>
    <w:p w14:paraId="1FDAFE08">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_Toc25278 </w:instrText>
      </w:r>
      <w:r>
        <w:rPr>
          <w:rFonts w:hint="default" w:eastAsia="宋体"/>
          <w:lang w:val="en-US" w:eastAsia="zh-CN"/>
        </w:rPr>
        <w:fldChar w:fldCharType="separate"/>
      </w:r>
      <w:r>
        <w:rPr>
          <w:rFonts w:hint="default"/>
        </w:rPr>
        <w:t>4.1 Divergence in the Boundary Between Social Interaction and Commercial Corruption</w:t>
      </w:r>
      <w:r>
        <w:tab/>
      </w:r>
      <w:r>
        <w:fldChar w:fldCharType="begin"/>
      </w:r>
      <w:r>
        <w:instrText xml:space="preserve"> PAGEREF _Toc25278 \h </w:instrText>
      </w:r>
      <w:r>
        <w:fldChar w:fldCharType="separate"/>
      </w:r>
      <w:r>
        <w:t>9</w:t>
      </w:r>
      <w:r>
        <w:fldChar w:fldCharType="end"/>
      </w:r>
      <w:r>
        <w:rPr>
          <w:rFonts w:hint="default" w:eastAsia="宋体"/>
          <w:lang w:val="en-US" w:eastAsia="zh-CN"/>
        </w:rPr>
        <w:fldChar w:fldCharType="end"/>
      </w:r>
    </w:p>
    <w:p w14:paraId="216E6B70">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_Toc14661 </w:instrText>
      </w:r>
      <w:r>
        <w:rPr>
          <w:rFonts w:hint="default" w:eastAsia="宋体"/>
          <w:lang w:val="en-US" w:eastAsia="zh-CN"/>
        </w:rPr>
        <w:fldChar w:fldCharType="separate"/>
      </w:r>
      <w:r>
        <w:rPr>
          <w:rFonts w:hint="default"/>
        </w:rPr>
        <w:t>4.2 Cognitive Differences in Employee Rights Protection</w:t>
      </w:r>
      <w:r>
        <w:tab/>
      </w:r>
      <w:r>
        <w:fldChar w:fldCharType="begin"/>
      </w:r>
      <w:r>
        <w:instrText xml:space="preserve"> PAGEREF _Toc14661 \h </w:instrText>
      </w:r>
      <w:r>
        <w:fldChar w:fldCharType="separate"/>
      </w:r>
      <w:r>
        <w:t>10</w:t>
      </w:r>
      <w:r>
        <w:fldChar w:fldCharType="end"/>
      </w:r>
      <w:r>
        <w:rPr>
          <w:rFonts w:hint="default" w:eastAsia="宋体"/>
          <w:lang w:val="en-US" w:eastAsia="zh-CN"/>
        </w:rPr>
        <w:fldChar w:fldCharType="end"/>
      </w:r>
    </w:p>
    <w:p w14:paraId="237F9227">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_Toc6009 </w:instrText>
      </w:r>
      <w:r>
        <w:rPr>
          <w:rFonts w:hint="default" w:eastAsia="宋体"/>
          <w:lang w:val="en-US" w:eastAsia="zh-CN"/>
        </w:rPr>
        <w:fldChar w:fldCharType="separate"/>
      </w:r>
      <w:r>
        <w:rPr>
          <w:rFonts w:hint="default"/>
        </w:rPr>
        <w:t>4.3 Priority Differences in Environmental and Social Responsibility</w:t>
      </w:r>
      <w:r>
        <w:tab/>
      </w:r>
      <w:r>
        <w:fldChar w:fldCharType="begin"/>
      </w:r>
      <w:r>
        <w:instrText xml:space="preserve"> PAGEREF _Toc6009 \h </w:instrText>
      </w:r>
      <w:r>
        <w:fldChar w:fldCharType="separate"/>
      </w:r>
      <w:r>
        <w:t>11</w:t>
      </w:r>
      <w:r>
        <w:fldChar w:fldCharType="end"/>
      </w:r>
      <w:r>
        <w:rPr>
          <w:rFonts w:hint="default" w:eastAsia="宋体"/>
          <w:lang w:val="en-US" w:eastAsia="zh-CN"/>
        </w:rPr>
        <w:fldChar w:fldCharType="end"/>
      </w:r>
    </w:p>
    <w:p w14:paraId="35DAAC94">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_Toc7862 </w:instrText>
      </w:r>
      <w:r>
        <w:rPr>
          <w:rFonts w:hint="default" w:eastAsia="宋体"/>
          <w:lang w:val="en-US" w:eastAsia="zh-CN"/>
        </w:rPr>
        <w:fldChar w:fldCharType="separate"/>
      </w:r>
      <w:r>
        <w:rPr>
          <w:rFonts w:hint="default"/>
        </w:rPr>
        <w:t>5.0 Solutions to Cross-Cultural Business Ethics Conflicts</w:t>
      </w:r>
      <w:r>
        <w:tab/>
      </w:r>
      <w:r>
        <w:fldChar w:fldCharType="begin"/>
      </w:r>
      <w:r>
        <w:instrText xml:space="preserve"> PAGEREF _Toc7862 \h </w:instrText>
      </w:r>
      <w:r>
        <w:fldChar w:fldCharType="separate"/>
      </w:r>
      <w:r>
        <w:t>12</w:t>
      </w:r>
      <w:r>
        <w:fldChar w:fldCharType="end"/>
      </w:r>
      <w:r>
        <w:rPr>
          <w:rFonts w:hint="default" w:eastAsia="宋体"/>
          <w:lang w:val="en-US" w:eastAsia="zh-CN"/>
        </w:rPr>
        <w:fldChar w:fldCharType="end"/>
      </w:r>
    </w:p>
    <w:p w14:paraId="02EEF736">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_Toc3558 </w:instrText>
      </w:r>
      <w:r>
        <w:rPr>
          <w:rFonts w:hint="default" w:eastAsia="宋体"/>
          <w:lang w:val="en-US" w:eastAsia="zh-CN"/>
        </w:rPr>
        <w:fldChar w:fldCharType="separate"/>
      </w:r>
      <w:r>
        <w:rPr>
          <w:rFonts w:hint="default"/>
        </w:rPr>
        <w:t>5.1 Compatibilism: Reconciliation of Relativism and Universalism</w:t>
      </w:r>
      <w:r>
        <w:tab/>
      </w:r>
      <w:r>
        <w:fldChar w:fldCharType="begin"/>
      </w:r>
      <w:r>
        <w:instrText xml:space="preserve"> PAGEREF _Toc3558 \h </w:instrText>
      </w:r>
      <w:r>
        <w:fldChar w:fldCharType="separate"/>
      </w:r>
      <w:r>
        <w:t>12</w:t>
      </w:r>
      <w:r>
        <w:fldChar w:fldCharType="end"/>
      </w:r>
      <w:r>
        <w:rPr>
          <w:rFonts w:hint="default" w:eastAsia="宋体"/>
          <w:lang w:val="en-US" w:eastAsia="zh-CN"/>
        </w:rPr>
        <w:fldChar w:fldCharType="end"/>
      </w:r>
    </w:p>
    <w:p w14:paraId="66E572ED">
      <w:pPr>
        <w:pStyle w:val="7"/>
        <w:tabs>
          <w:tab w:val="right" w:leader="dot" w:pos="8300"/>
        </w:tabs>
        <w:ind w:left="0" w:leftChars="0" w:firstLine="0" w:firstLineChars="0"/>
      </w:pPr>
      <w:r>
        <w:rPr>
          <w:rFonts w:hint="default" w:eastAsia="宋体"/>
          <w:lang w:val="en-US" w:eastAsia="zh-CN"/>
        </w:rPr>
        <w:fldChar w:fldCharType="begin"/>
      </w:r>
      <w:r>
        <w:rPr>
          <w:rFonts w:hint="default" w:eastAsia="宋体"/>
          <w:lang w:val="en-US" w:eastAsia="zh-CN"/>
        </w:rPr>
        <w:instrText xml:space="preserve"> HYPERLINK \l _Toc12876 </w:instrText>
      </w:r>
      <w:r>
        <w:rPr>
          <w:rFonts w:hint="default" w:eastAsia="宋体"/>
          <w:lang w:val="en-US" w:eastAsia="zh-CN"/>
        </w:rPr>
        <w:fldChar w:fldCharType="separate"/>
      </w:r>
      <w:r>
        <w:rPr>
          <w:rFonts w:hint="default"/>
        </w:rPr>
        <w:t>5.2 Enterprise-Level Cross-Cultural Ethical Management Strategies</w:t>
      </w:r>
      <w:r>
        <w:tab/>
      </w:r>
      <w:r>
        <w:fldChar w:fldCharType="begin"/>
      </w:r>
      <w:r>
        <w:instrText xml:space="preserve"> PAGEREF _Toc12876 \h </w:instrText>
      </w:r>
      <w:r>
        <w:fldChar w:fldCharType="separate"/>
      </w:r>
      <w:r>
        <w:t>13</w:t>
      </w:r>
      <w:r>
        <w:fldChar w:fldCharType="end"/>
      </w:r>
      <w:r>
        <w:rPr>
          <w:rFonts w:hint="default" w:eastAsia="宋体"/>
          <w:lang w:val="en-US" w:eastAsia="zh-CN"/>
        </w:rPr>
        <w:fldChar w:fldCharType="end"/>
      </w:r>
    </w:p>
    <w:p w14:paraId="40445D27">
      <w:pPr>
        <w:pStyle w:val="7"/>
        <w:tabs>
          <w:tab w:val="right" w:leader="dot" w:pos="8300"/>
        </w:tabs>
        <w:ind w:left="0" w:leftChars="0" w:firstLine="0" w:firstLineChars="0"/>
      </w:pPr>
      <w:bookmarkStart w:id="42" w:name="_GoBack"/>
      <w:bookmarkEnd w:id="42"/>
      <w:r>
        <w:rPr>
          <w:rFonts w:hint="default" w:eastAsia="宋体"/>
          <w:lang w:val="en-US" w:eastAsia="zh-CN"/>
        </w:rPr>
        <w:fldChar w:fldCharType="begin"/>
      </w:r>
      <w:r>
        <w:rPr>
          <w:rFonts w:hint="default" w:eastAsia="宋体"/>
          <w:lang w:val="en-US" w:eastAsia="zh-CN"/>
        </w:rPr>
        <w:instrText xml:space="preserve"> HYPERLINK \l _Toc11558 </w:instrText>
      </w:r>
      <w:r>
        <w:rPr>
          <w:rFonts w:hint="default" w:eastAsia="宋体"/>
          <w:lang w:val="en-US" w:eastAsia="zh-CN"/>
        </w:rPr>
        <w:fldChar w:fldCharType="separate"/>
      </w:r>
      <w:r>
        <w:rPr>
          <w:rFonts w:hint="default"/>
        </w:rPr>
        <w:t>5.3 Construction of a Global Common Ethical Bottom Line</w:t>
      </w:r>
      <w:r>
        <w:tab/>
      </w:r>
      <w:r>
        <w:fldChar w:fldCharType="begin"/>
      </w:r>
      <w:r>
        <w:instrText xml:space="preserve"> PAGEREF _Toc11558 \h </w:instrText>
      </w:r>
      <w:r>
        <w:fldChar w:fldCharType="separate"/>
      </w:r>
      <w:r>
        <w:t>14</w:t>
      </w:r>
      <w:r>
        <w:fldChar w:fldCharType="end"/>
      </w:r>
      <w:r>
        <w:rPr>
          <w:rFonts w:hint="default" w:eastAsia="宋体"/>
          <w:lang w:val="en-US" w:eastAsia="zh-CN"/>
        </w:rPr>
        <w:fldChar w:fldCharType="end"/>
      </w:r>
    </w:p>
    <w:p w14:paraId="7C182EC0">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_Toc2726 </w:instrText>
      </w:r>
      <w:r>
        <w:rPr>
          <w:rFonts w:hint="default" w:eastAsia="宋体"/>
          <w:lang w:val="en-US" w:eastAsia="zh-CN"/>
        </w:rPr>
        <w:fldChar w:fldCharType="separate"/>
      </w:r>
      <w:r>
        <w:rPr>
          <w:rFonts w:hint="default"/>
        </w:rPr>
        <w:t>6.0 Conclusion</w:t>
      </w:r>
      <w:r>
        <w:tab/>
      </w:r>
      <w:r>
        <w:fldChar w:fldCharType="begin"/>
      </w:r>
      <w:r>
        <w:instrText xml:space="preserve"> PAGEREF _Toc2726 \h </w:instrText>
      </w:r>
      <w:r>
        <w:fldChar w:fldCharType="separate"/>
      </w:r>
      <w:r>
        <w:t>14</w:t>
      </w:r>
      <w:r>
        <w:fldChar w:fldCharType="end"/>
      </w:r>
      <w:r>
        <w:rPr>
          <w:rFonts w:hint="default" w:eastAsia="宋体"/>
          <w:lang w:val="en-US" w:eastAsia="zh-CN"/>
        </w:rPr>
        <w:fldChar w:fldCharType="end"/>
      </w:r>
    </w:p>
    <w:p w14:paraId="4C2E49B2">
      <w:pPr>
        <w:pStyle w:val="6"/>
        <w:tabs>
          <w:tab w:val="right" w:leader="dot" w:pos="8300"/>
        </w:tabs>
      </w:pPr>
      <w:r>
        <w:rPr>
          <w:rFonts w:hint="default" w:eastAsia="宋体"/>
          <w:lang w:val="en-US" w:eastAsia="zh-CN"/>
        </w:rPr>
        <w:fldChar w:fldCharType="begin"/>
      </w:r>
      <w:r>
        <w:rPr>
          <w:rFonts w:hint="default" w:eastAsia="宋体"/>
          <w:lang w:val="en-US" w:eastAsia="zh-CN"/>
        </w:rPr>
        <w:instrText xml:space="preserve"> HYPERLINK \l _Toc13680 </w:instrText>
      </w:r>
      <w:r>
        <w:rPr>
          <w:rFonts w:hint="default" w:eastAsia="宋体"/>
          <w:lang w:val="en-US" w:eastAsia="zh-CN"/>
        </w:rPr>
        <w:fldChar w:fldCharType="separate"/>
      </w:r>
      <w:r>
        <w:rPr>
          <w:rFonts w:hint="default"/>
        </w:rPr>
        <w:t>References</w:t>
      </w:r>
      <w:r>
        <w:tab/>
      </w:r>
      <w:r>
        <w:fldChar w:fldCharType="begin"/>
      </w:r>
      <w:r>
        <w:instrText xml:space="preserve"> PAGEREF _Toc13680 \h </w:instrText>
      </w:r>
      <w:r>
        <w:fldChar w:fldCharType="separate"/>
      </w:r>
      <w:r>
        <w:t>16</w:t>
      </w:r>
      <w:r>
        <w:fldChar w:fldCharType="end"/>
      </w:r>
      <w:r>
        <w:rPr>
          <w:rFonts w:hint="default" w:eastAsia="宋体"/>
          <w:lang w:val="en-US" w:eastAsia="zh-CN"/>
        </w:rPr>
        <w:fldChar w:fldCharType="end"/>
      </w:r>
    </w:p>
    <w:p w14:paraId="780DDB6E">
      <w:pPr>
        <w:rPr>
          <w:rFonts w:hint="default" w:eastAsia="宋体"/>
          <w:lang w:val="en-US" w:eastAsia="zh-CN"/>
        </w:rPr>
        <w:sectPr>
          <w:footerReference r:id="rId3" w:type="default"/>
          <w:pgSz w:w="11900" w:h="16840"/>
          <w:pgMar w:top="1440" w:right="1800" w:bottom="1440" w:left="1800" w:header="851" w:footer="992" w:gutter="0"/>
          <w:pgNumType w:fmt="decimal" w:start="1"/>
          <w:cols w:space="425" w:num="1"/>
          <w:docGrid w:type="lines" w:linePitch="312" w:charSpace="0"/>
        </w:sectPr>
      </w:pPr>
      <w:r>
        <w:rPr>
          <w:rFonts w:hint="default" w:eastAsia="宋体"/>
          <w:lang w:val="en-US" w:eastAsia="zh-CN"/>
        </w:rPr>
        <w:fldChar w:fldCharType="end"/>
      </w:r>
    </w:p>
    <w:p w14:paraId="54536085">
      <w:pPr>
        <w:spacing w:line="480" w:lineRule="auto"/>
        <w:rPr>
          <w:rFonts w:hint="default" w:ascii="Times New Roman" w:hAnsi="Times New Roman" w:cs="Times New Roman"/>
          <w:color w:val="000000"/>
          <w:sz w:val="24"/>
          <w:szCs w:val="24"/>
        </w:rPr>
      </w:pPr>
      <w:bookmarkStart w:id="2" w:name="_Toc12799"/>
      <w:bookmarkStart w:id="3" w:name="_Toc30160"/>
      <w:r>
        <w:rPr>
          <w:rStyle w:val="10"/>
          <w:rFonts w:hint="default"/>
        </w:rPr>
        <w:t>Abstract</w:t>
      </w:r>
      <w:bookmarkEnd w:id="2"/>
      <w:bookmarkEnd w:id="3"/>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 xml:space="preserve"> </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Against the backdrop of deepening economic globalisation, multinational enterprises frequently encounter business ethics conflicts caused by cultural differences when operating across countries and regions. Focusing on cultural differences in business ethics, this essay compares the characteristics and cultural roots of business ethics in Europe, China and Japan, discusses typical ethical conflicts such as gift-giving boundaries, employee rights and environmental responsibility, and further proposes solutions to cross-cultural ethical conflicts. The study finds that cultural, political and social environments are core factors constraining corporate ethical decision-making, and there is no absolute right or wrong in ethical standards across cultures. Enterprises can balance operational needs and ethical requirements through a compatibilist approach, adapt to local cultures while adhering to core ethical bottom lines, and achieve compliant operation in the global market. This essay provides a reference for multinational enterprises to understand cross-cultural ethical differences and formulate appropriate ethical management strategies.</w:t>
      </w:r>
      <w:r>
        <w:rPr>
          <w:rFonts w:hint="default" w:ascii="Times New Roman" w:hAnsi="Times New Roman" w:cs="Times New Roman"/>
          <w:color w:val="000000"/>
          <w:sz w:val="24"/>
          <w:szCs w:val="24"/>
        </w:rPr>
        <w:br w:type="textWrapping"/>
      </w:r>
    </w:p>
    <w:p w14:paraId="053E07C5">
      <w:pPr>
        <w:spacing w:line="480" w:lineRule="auto"/>
        <w:rPr>
          <w:rFonts w:hint="default" w:ascii="Times New Roman" w:hAnsi="Times New Roman" w:cs="Times New Roman"/>
          <w:sz w:val="24"/>
          <w:szCs w:val="24"/>
        </w:rPr>
      </w:pP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Keywords: business ethics; cultural differences; transnational operation; compatibilism</w:t>
      </w:r>
      <w:r>
        <w:rPr>
          <w:rFonts w:hint="default" w:ascii="Times New Roman" w:hAnsi="Times New Roman" w:cs="Times New Roman"/>
          <w:sz w:val="24"/>
          <w:szCs w:val="24"/>
        </w:rPr>
        <w:br w:type="page"/>
      </w:r>
    </w:p>
    <w:p w14:paraId="40C22F0A">
      <w:pPr>
        <w:pStyle w:val="2"/>
        <w:bidi w:val="0"/>
        <w:rPr>
          <w:rFonts w:hint="default" w:ascii="Times New Roman" w:hAnsi="Times New Roman" w:cs="Times New Roman"/>
          <w:sz w:val="24"/>
          <w:szCs w:val="24"/>
        </w:rPr>
      </w:pPr>
      <w:bookmarkStart w:id="4" w:name="_Toc6704"/>
      <w:bookmarkStart w:id="5" w:name="_Toc13593"/>
      <w:r>
        <w:rPr>
          <w:rFonts w:hint="default"/>
        </w:rPr>
        <w:t>1.0 Introduction</w:t>
      </w:r>
      <w:bookmarkEnd w:id="4"/>
    </w:p>
    <w:p w14:paraId="5C1BD80B">
      <w:pPr>
        <w:pStyle w:val="3"/>
        <w:bidi w:val="0"/>
        <w:rPr>
          <w:rFonts w:hint="default" w:ascii="Times New Roman" w:hAnsi="Times New Roman" w:cs="Times New Roman"/>
          <w:szCs w:val="24"/>
        </w:rPr>
      </w:pPr>
      <w:bookmarkStart w:id="6" w:name="_Toc19861"/>
      <w:r>
        <w:rPr>
          <w:rFonts w:hint="default" w:ascii="Times New Roman" w:hAnsi="Times New Roman" w:cs="Times New Roman"/>
          <w:szCs w:val="24"/>
        </w:rPr>
        <w:br w:type="textWrapping"/>
      </w:r>
      <w:r>
        <w:rPr>
          <w:rFonts w:hint="default"/>
        </w:rPr>
        <w:t>1.1 Research Background and Research Questions</w:t>
      </w:r>
      <w:bookmarkEnd w:id="5"/>
      <w:bookmarkEnd w:id="6"/>
    </w:p>
    <w:p w14:paraId="5C6C4179">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Against the background of economic globalisation, an increasing number of enterprises expand beyond national borders to carry out production, sales and cooperation worldwide. Different countries and regions have distinct historical traditions, cultural customs and social systems, which lead to obvious divergences in local judgements of “ethical business conduct” (Crane &amp; Matten, 2010). The same business practice may be seen as normal social interaction in one country but defined as commercial bribery in another; the same employment system may be regarded as responsible practice in one culture but a violation of employee rights in another.</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Globalisation promotes business integration, but it also amplifies ethical collisions across cultures (Steger, 2013). Scholar Kishore Mahbubani argues that differences between Western and Asian business practices are essentially divergences in underlying values. For multinational enterprises, a core operational challenge is how to comply with local rules while upholding their own core ethical principles in different cultural environments. This essay addresses two core questions: first, how do cultural, political and social environments constrain corporate ethical behaviour? Second, can enterprises conduct global business without compromising core ethical principles, and how can they balance operational needs and diverse ethical requirements?</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p>
    <w:p w14:paraId="F7891FCC">
      <w:pPr>
        <w:pStyle w:val="3"/>
        <w:bidi w:val="0"/>
        <w:rPr>
          <w:rFonts w:hint="default"/>
        </w:rPr>
      </w:pPr>
      <w:bookmarkStart w:id="7" w:name="_Toc1454"/>
      <w:bookmarkStart w:id="8" w:name="_Toc31751"/>
      <w:r>
        <w:rPr>
          <w:rFonts w:hint="default"/>
        </w:rPr>
        <w:t>1.2 Research Significance and Essay Structure</w:t>
      </w:r>
      <w:bookmarkEnd w:id="7"/>
      <w:bookmarkEnd w:id="8"/>
    </w:p>
    <w:p w14:paraId="B78BFA9D">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At the theoretical level, the analysis aligns with the multicultural perspective trend in global business ethics research and enriches discussions on cross-cultural ethical differences (Jamali et al., 2020). At the practical level, the countermeasures summarised can provide reference for multinational enterprises to formulate ethical management systems and reduce risks from cultural misunderstanding.</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This essay is divided into six parts. The first part is the introduction, covering research background, questions and significance. The second part sorts out core concepts and the constraining mechanism of culture. The third part compares business ethics characteristics in three regions. The fourth part analyses typical ethical conflicts. The fifth part proposes response paths. The sixth part is the conclusion.</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p>
    <w:p w14:paraId="FFBFFD37">
      <w:pPr>
        <w:snapToGrid w:val="0"/>
        <w:spacing w:line="480" w:lineRule="auto"/>
        <w:rPr>
          <w:rFonts w:hint="default" w:ascii="Times New Roman" w:hAnsi="Times New Roman" w:cs="Times New Roman"/>
          <w:sz w:val="24"/>
          <w:szCs w:val="24"/>
        </w:rPr>
      </w:pPr>
      <w:bookmarkStart w:id="9" w:name="_Toc5042"/>
      <w:bookmarkStart w:id="10" w:name="_Toc22588"/>
      <w:r>
        <w:rPr>
          <w:rStyle w:val="10"/>
          <w:rFonts w:hint="default"/>
        </w:rPr>
        <w:t>2.0 Theoretical Foundations of Business Ethics and Cultural Influences</w:t>
      </w:r>
      <w:bookmarkEnd w:id="9"/>
      <w:bookmarkEnd w:id="10"/>
      <w:r>
        <w:rPr>
          <w:rFonts w:hint="default" w:ascii="Times New Roman" w:hAnsi="Times New Roman" w:cs="Times New Roman"/>
          <w:sz w:val="24"/>
          <w:szCs w:val="24"/>
        </w:rPr>
        <w:br w:type="textWrapping"/>
      </w:r>
    </w:p>
    <w:p w14:paraId="08D8F958">
      <w:pPr>
        <w:pStyle w:val="3"/>
        <w:bidi w:val="0"/>
        <w:rPr>
          <w:rFonts w:hint="default"/>
        </w:rPr>
      </w:pPr>
      <w:bookmarkStart w:id="11" w:name="_Toc528"/>
      <w:bookmarkStart w:id="12" w:name="_Toc2221"/>
      <w:r>
        <w:rPr>
          <w:rFonts w:hint="default"/>
        </w:rPr>
        <w:t>2.1 Core Connotation of Business Ethics</w:t>
      </w:r>
      <w:bookmarkEnd w:id="11"/>
      <w:bookmarkEnd w:id="12"/>
    </w:p>
    <w:p w14:paraId="991D3846">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Business ethics refers to moral principles and standards for judging right and wrong in commercial activities. It regulates the relationship between enterprises and multiple stakeholders including employees, consumers, partners, society and the environment (Carroll &amp; Buchholtz, 2014).</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Early business views held that the sole responsibility of enterprises is to generate profits and returns for shareholders. However, with social development, a growing number of scholars propose that enterprises should not only focus on profits but also undertake responsibilities to other stakeholders. Stakeholder theory states that business operations affect multiple subjects such as employees, consumers, communities and the environment. Therefore, when making decisions, enterprises should not only consider shareholder interests but also take into account reasonable demands of other relevant parties (Carroll &amp; Buchholtz, 2014). Carroll (2015) further improved this framework by dividing corporate social responsibility into four levels: economic, legal, ethical and philanthropic, providing a clear reference for business ethics practice.</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Business ethics is not a fixed set of rules. Hutchings (2010) points out that moral standards are affected by multiple factors such as culture, history and religion, and there is no completely unified ethical code worldwide, which is the fundamental reason for frequent cross-cultural ethical conflicts. De George (2020) also argues that business ethics standards must be judged in specific social contexts, and ethical discussions divorced from cultural background have no practical significance.</w:t>
      </w:r>
      <w:r>
        <w:rPr>
          <w:rFonts w:hint="default" w:ascii="Times New Roman" w:hAnsi="Times New Roman" w:cs="Times New Roman"/>
          <w:sz w:val="24"/>
          <w:szCs w:val="24"/>
        </w:rPr>
        <w:br w:type="textWrapping"/>
      </w:r>
    </w:p>
    <w:p w14:paraId="83AF365F">
      <w:pPr>
        <w:pStyle w:val="3"/>
        <w:bidi w:val="0"/>
        <w:rPr>
          <w:rFonts w:hint="default"/>
        </w:rPr>
      </w:pPr>
      <w:bookmarkStart w:id="13" w:name="_Toc26280"/>
      <w:bookmarkStart w:id="14" w:name="_Toc29983"/>
      <w:r>
        <w:rPr>
          <w:rFonts w:hint="default"/>
        </w:rPr>
        <w:t>2.2 Constraining Mechanism of Cultural Environment on Ethical Decision-making</w:t>
      </w:r>
      <w:bookmarkEnd w:id="13"/>
      <w:bookmarkEnd w:id="14"/>
    </w:p>
    <w:p w14:paraId="924B6A48">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Enterprises are not independent of society. All their business activities are embedded in specific cultural, political and social environments, and these factors constrain corporate ethical decision-making at three levels (Blowfield &amp; Murray, 2014).</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The first is the value level. Different cultures have different core values, which directly affect managers’ ethical judgements. Hofstede’s cultural dimensions theory confirms that dimensions such as individualism/collectivism and power distance significantly influence ethical decision-making tendencies (Hofstede, 2001), and this conclusion has been verified by recent cross-cultural studies (Smith et al., 2023).</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The second is the institutional and normative level. Laws, industry norms and social customs vary across countries, imposing different constraints on enterprises. Differences in regulations on environmental protection and labour directly affect corporate ethical choices, and public opinion also puts pressure on enterprises that do not conform to local customs.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The third is the religious and traditional level. Religious beliefs profoundly shape moral judgements. Some religions have clear taboos on business practices, and enterprises operating in relevant regions must abide by corresponding traditions, otherwise they will be regarded as unethical (Eade &amp; O’Byrne, 2017). Edwards and Willmott (2015) also emphasise that corporate ethical decision-making is always shaped by the political and social context.</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p>
    <w:p w14:paraId="FA4EB40C">
      <w:pPr>
        <w:pStyle w:val="2"/>
        <w:bidi w:val="0"/>
        <w:rPr>
          <w:rFonts w:hint="default"/>
        </w:rPr>
      </w:pPr>
      <w:bookmarkStart w:id="15" w:name="_Toc32501"/>
      <w:bookmarkStart w:id="16" w:name="_Toc4010"/>
      <w:r>
        <w:rPr>
          <w:rFonts w:hint="default"/>
        </w:rPr>
        <w:t>3.0 Comparison of Business Ethics Characteristics and Cultural Roots Across Regions</w:t>
      </w:r>
      <w:bookmarkEnd w:id="15"/>
      <w:bookmarkEnd w:id="16"/>
    </w:p>
    <w:p w14:paraId="F351D8A6">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bookmarkStart w:id="17" w:name="_Toc9280"/>
      <w:bookmarkStart w:id="18" w:name="_Toc21714"/>
      <w:r>
        <w:rPr>
          <w:rStyle w:val="11"/>
          <w:rFonts w:hint="default"/>
        </w:rPr>
        <w:t>3.1 European Business Ethics: Rule Orientation and Individualist Tradition</w:t>
      </w:r>
      <w:bookmarkEnd w:id="17"/>
      <w:bookmarkEnd w:id="18"/>
    </w:p>
    <w:p w14:paraId="6669BADB">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Represented by Europe, Western business ethics centres on rule orientation, emphasising the regulation of business behaviour through systems, contracts and laws. This originates from Western individualist culture and the rule of law tradition (Crane &amp; Matten, 2010).</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Influenced by individualist values, European business culture attaches great importance to individual rights and responsibilities. Cooperative relationships are centred on written contracts, and the core criterion for judging ethical conduct is compliance with rules and laws. European enterprises generally value environmental protection and employee rights, with a sound legal system in related fields. Moellendorf and Widdows (2015) note that Europe has relatively strict requirements for corporate human rights and environmental responsibilities globally. The EU’s Corporate Sustainability Due Diligence Directive issued in 2022 further strengthened relevant requirements (European Commission, 2022).</w:t>
      </w:r>
    </w:p>
    <w:p w14:paraId="0CD5D3C9">
      <w:pPr>
        <w:snapToGrid w:val="0"/>
        <w:spacing w:line="480" w:lineRule="auto"/>
        <w:rPr>
          <w:rFonts w:hint="default" w:ascii="Times New Roman" w:hAnsi="Times New Roman" w:cs="Times New Roman"/>
          <w:sz w:val="24"/>
          <w:szCs w:val="24"/>
        </w:rPr>
      </w:pPr>
    </w:p>
    <w:p w14:paraId="322AC579">
      <w:pPr>
        <w:pStyle w:val="3"/>
        <w:bidi w:val="0"/>
        <w:rPr>
          <w:rFonts w:hint="default"/>
        </w:rPr>
      </w:pPr>
      <w:bookmarkStart w:id="19" w:name="_Toc26749"/>
      <w:bookmarkStart w:id="20" w:name="_Toc27055"/>
      <w:r>
        <w:rPr>
          <w:rFonts w:hint="default"/>
        </w:rPr>
        <w:t>3.2 Chinese Business Ethics: Relationship Orientation and Confucian Cultural Influence</w:t>
      </w:r>
      <w:bookmarkEnd w:id="19"/>
      <w:bookmarkEnd w:id="20"/>
    </w:p>
    <w:p w14:paraId="FD7D3F92">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Chinese business ethics has distinct relationship-oriented characteristics, and business activities rely heavily on interpersonal trust. This feature is deeply influenced by Confucian culture.</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Confucian culture values harmonious interpersonal relationships. In business activities, people often establish personal relationships before cooperation. Whether a behaviour is appropriate is often judged by whether it fits the logic of human feelings and relationships, rather than simply by rules (Lloyd, 2010). For example, small gifts and hospitality in business dealings are a normal way to maintain relationships in Chinese culture, but they are easily defined as commercial bribery in Western culture. Meanwhile, Chinese business culture also values integrity and morality, and merchant reputation is often more binding than written contracts.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With the internationalisation of enterprises, China’s business ethics system is constantly integrating with international standards, and traditional relationship culture and modern rule awareness are gradually merging (Wang &amp; Juslin, 2021). Bingley’s (2012) research on emerging markets also points out that the evolution of business ethics in China is a two-way adaptation process between local traditions and global rules.</w:t>
      </w:r>
      <w:r>
        <w:rPr>
          <w:rFonts w:hint="default" w:ascii="Times New Roman" w:hAnsi="Times New Roman" w:cs="Times New Roman"/>
          <w:sz w:val="24"/>
          <w:szCs w:val="24"/>
        </w:rPr>
        <w:br w:type="textWrapping"/>
      </w:r>
    </w:p>
    <w:p w14:paraId="AFB07BD6">
      <w:pPr>
        <w:pStyle w:val="3"/>
        <w:bidi w:val="0"/>
        <w:rPr>
          <w:rFonts w:hint="default"/>
        </w:rPr>
      </w:pPr>
      <w:bookmarkStart w:id="21" w:name="_Toc17237"/>
      <w:bookmarkStart w:id="22" w:name="_Toc22026"/>
      <w:r>
        <w:rPr>
          <w:rFonts w:hint="default"/>
        </w:rPr>
        <w:t>3.3 Japanese Business Ethics: Collectivism and Corporate Community Consciousness</w:t>
      </w:r>
      <w:bookmarkEnd w:id="21"/>
      <w:bookmarkEnd w:id="22"/>
    </w:p>
    <w:p w14:paraId="56A09203">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The core of Japanese business ethics is collectivism and corporate community consciousness. Enterprises are regarded as a community of shared destiny, with strong employee belonging, and enterprises also undertake long-term responsibilities to employees, which is closely related to Japanese cultural traditions.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In Japanese enterprises, collective interests come before individual interests, and employees value teamwork. The traditional lifetime employment system is a typical reflection of this ethics: enterprises do not easily dismiss employees, and employees are willing to dedicate themselves to the enterprise long-term (Blowfield &amp; Murray, 2014). In business cooperation, Japanese enterprises value long-term stable partnerships and have extremely high requirements for product quality and corporate reputation.</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Different from China’s relationship culture, Japanese collectivism is more reflected in internal corporate community awareness, with clearer norms for personal social interaction in business. In recent years, although the lifetime employment system has loosened, the ethical concept of corporate community still deeply affects business practice (Endo, 2022). Tang and Brammer (2022) confirm that both China and Japan belong to high-collectivist cultures, but there are obvious differences in specific ethical preferences, caused by different cultural traditions.</w:t>
      </w:r>
    </w:p>
    <w:p w14:paraId="85A72EE9">
      <w:pPr>
        <w:snapToGrid w:val="0"/>
        <w:spacing w:line="480" w:lineRule="auto"/>
        <w:rPr>
          <w:rFonts w:hint="default" w:ascii="Times New Roman" w:hAnsi="Times New Roman" w:cs="Times New Roman"/>
          <w:sz w:val="24"/>
          <w:szCs w:val="24"/>
        </w:rPr>
      </w:pPr>
    </w:p>
    <w:p w14:paraId="2C10DCCB">
      <w:pPr>
        <w:pStyle w:val="2"/>
        <w:bidi w:val="0"/>
        <w:rPr>
          <w:rFonts w:hint="default"/>
        </w:rPr>
      </w:pPr>
      <w:bookmarkStart w:id="23" w:name="_Toc18521"/>
      <w:bookmarkStart w:id="24" w:name="_Toc12368"/>
      <w:r>
        <w:rPr>
          <w:rFonts w:hint="default" w:ascii="Times New Roman" w:hAnsi="Times New Roman" w:cs="Times New Roman"/>
          <w:szCs w:val="24"/>
        </w:rPr>
        <w:br w:type="textWrapping"/>
      </w:r>
      <w:r>
        <w:rPr>
          <w:rFonts w:hint="default"/>
        </w:rPr>
        <w:t>4.0 Typical Business Ethics Conflicts Caused by Cultural Differences</w:t>
      </w:r>
      <w:bookmarkEnd w:id="23"/>
    </w:p>
    <w:p w14:paraId="C901BFBE">
      <w:pPr>
        <w:pStyle w:val="3"/>
        <w:bidi w:val="0"/>
        <w:rPr>
          <w:rStyle w:val="11"/>
          <w:rFonts w:hint="default"/>
        </w:rPr>
      </w:pPr>
      <w:bookmarkStart w:id="25" w:name="_Toc25278"/>
      <w:r>
        <w:rPr>
          <w:rFonts w:hint="default" w:ascii="Times New Roman" w:hAnsi="Times New Roman" w:cs="Times New Roman"/>
          <w:szCs w:val="24"/>
        </w:rPr>
        <w:br w:type="textWrapping"/>
      </w:r>
      <w:r>
        <w:rPr>
          <w:rFonts w:hint="default"/>
        </w:rPr>
        <w:t>4.1 Divergence in the Boundary Between Social Interaction and Commercial Corruption</w:t>
      </w:r>
      <w:bookmarkEnd w:id="24"/>
      <w:bookmarkEnd w:id="25"/>
    </w:p>
    <w:p w14:paraId="F340D806">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Different cultures draw different boundaries between “normal social interaction” and “commercial corruption”, which is the most common ethical conflict in transnational operation.</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In many Eastern countries, small gifts and hospitality in business activities are a necessary part of maintaining relationships and belong to normal social etiquette. However, in European and American countries, there are strict restrictions on business gifts and hospitality. Exceeding a certain amount will be identified as bribery, which is a serious ethical and legal violation (Crane &amp; Matten, 2010). The root of this conflict lies in different underlying logics: Eastern culture holds that relationship comes first, and reasonable human interaction is the basis of cooperation; Western culture holds that rules come first, and any interaction that may affect fair transactions must be prohibited. Transparency International’s Corruption Perceptions Index also reflects regional differences in tolerance for commercial corruption, which is closely related to cultural traditions (Transparency International, 2024).</w:t>
      </w:r>
      <w:r>
        <w:rPr>
          <w:rFonts w:hint="default" w:ascii="Times New Roman" w:hAnsi="Times New Roman" w:cs="Times New Roman"/>
          <w:sz w:val="24"/>
          <w:szCs w:val="24"/>
        </w:rPr>
        <w:br w:type="textWrapping"/>
      </w:r>
    </w:p>
    <w:p w14:paraId="626928E0">
      <w:pPr>
        <w:pStyle w:val="3"/>
        <w:bidi w:val="0"/>
        <w:rPr>
          <w:rFonts w:hint="default"/>
        </w:rPr>
      </w:pPr>
      <w:bookmarkStart w:id="26" w:name="_Toc21578"/>
      <w:bookmarkStart w:id="27" w:name="_Toc14661"/>
      <w:r>
        <w:rPr>
          <w:rFonts w:hint="default"/>
        </w:rPr>
        <w:t>4.2 Cognitive Differences in Employee Rights Protection</w:t>
      </w:r>
      <w:bookmarkEnd w:id="26"/>
      <w:bookmarkEnd w:id="27"/>
    </w:p>
    <w:p w14:paraId="2A6D72E5">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Different cultures have different understandings of employee rights, which easily trigger employment ethical conflicts.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European individualist culture attaches great importance to employees’ right to rest and privacy. Enterprises cannot contact employees at will outside working hours, and dismissal procedures are strict. In collectivist cultures such as Japan, working overtime and sacrificing some personal time for the enterprise is regarded as dedication, and similar culture also exists in some Chinese enterprises. For Western managers, excessive overtime violates employee rights, but in the Eastern context, it is often seen as a sense of responsibility (Carroll &amp; Buchholtz, 2014).</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Lu et al. (2023) point out that differences in work values are the core cause of employment ethical conflicts, and there are obvious divergences in the definition of “dedication” between the East and the West. Differences also exist in recruitment and promotion: the West emphasises fair competition, and preferential treatment based on personal connections is regarded as unfair; in some Eastern cultures, providing opportunities to acquaintances is seen as normal interpersonal care.</w:t>
      </w:r>
      <w:r>
        <w:rPr>
          <w:rFonts w:hint="default" w:ascii="Times New Roman" w:hAnsi="Times New Roman" w:cs="Times New Roman"/>
          <w:sz w:val="24"/>
          <w:szCs w:val="24"/>
        </w:rPr>
        <w:br w:type="textWrapping"/>
      </w:r>
    </w:p>
    <w:p w14:paraId="3586EF49">
      <w:pPr>
        <w:pStyle w:val="3"/>
        <w:bidi w:val="0"/>
        <w:rPr>
          <w:rFonts w:hint="default"/>
        </w:rPr>
      </w:pPr>
      <w:bookmarkStart w:id="28" w:name="_Toc15694"/>
      <w:bookmarkStart w:id="29" w:name="_Toc6009"/>
      <w:r>
        <w:rPr>
          <w:rFonts w:hint="default"/>
        </w:rPr>
        <w:t>4.3 Priority Differences in Environmental and Social Responsibility</w:t>
      </w:r>
      <w:bookmarkEnd w:id="28"/>
      <w:bookmarkEnd w:id="29"/>
    </w:p>
    <w:p w14:paraId="69D897EF">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The priority ranking of environmental and social responsibilities also generates ethical divergences due to differences in development levels and cultures.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In developed European countries with high economic levels, society generally believes that enterprises should put environmental responsibility in an important position and protect the environment even at the expense of some profits (Moellendorf &amp; Widdows, 2015), with very strict relevant laws and regulations. However, developing countries attach more importance to economic development and employment, and have relatively higher tolerance for environmental issues.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If enterprises require suppliers in developing countries to meet the environmental standards of developed countries, it may be regarded as “moral coercion”; but lowering environmental standards may be criticised by home-country consumers for adopting double standards. This conflict is essentially a difference in responsibility priority at different development stages. There is no absolute right or wrong, but it brings decision-making troubles to multinational enterprises (Stern, 2022). A United Nations Environment Programme report also notes that ethical divergences in global climate action are directly related to national development stages and cultural perceptions (United Nations Environment Programme, 2022).</w:t>
      </w:r>
    </w:p>
    <w:p w14:paraId="4EC233B3">
      <w:pPr>
        <w:snapToGrid w:val="0"/>
        <w:spacing w:line="480" w:lineRule="auto"/>
        <w:rPr>
          <w:rFonts w:hint="default" w:ascii="Times New Roman" w:hAnsi="Times New Roman" w:cs="Times New Roman"/>
          <w:sz w:val="24"/>
          <w:szCs w:val="24"/>
        </w:rPr>
      </w:pPr>
    </w:p>
    <w:p w14:paraId="85F34BBC">
      <w:pPr>
        <w:snapToGrid w:val="0"/>
        <w:spacing w:line="480" w:lineRule="auto"/>
        <w:rPr>
          <w:rFonts w:hint="default" w:ascii="Times New Roman" w:hAnsi="Times New Roman" w:cs="Times New Roman"/>
          <w:sz w:val="24"/>
          <w:szCs w:val="24"/>
        </w:rPr>
      </w:pPr>
    </w:p>
    <w:p w14:paraId="23A64BF6">
      <w:pPr>
        <w:snapToGrid w:val="0"/>
        <w:spacing w:line="480" w:lineRule="auto"/>
        <w:rPr>
          <w:rFonts w:hint="default" w:ascii="Times New Roman" w:hAnsi="Times New Roman" w:cs="Times New Roman"/>
          <w:sz w:val="24"/>
          <w:szCs w:val="24"/>
        </w:rPr>
      </w:pPr>
      <w:bookmarkStart w:id="30" w:name="_Toc601"/>
      <w:bookmarkStart w:id="31" w:name="_Toc7862"/>
      <w:r>
        <w:rPr>
          <w:rStyle w:val="10"/>
          <w:rFonts w:hint="default"/>
        </w:rPr>
        <w:t>5.0 Solutions to Cross-Cultural Business Ethics Conflicts</w:t>
      </w:r>
      <w:bookmarkEnd w:id="30"/>
      <w:bookmarkEnd w:id="31"/>
      <w:r>
        <w:rPr>
          <w:rFonts w:hint="default" w:ascii="Times New Roman" w:hAnsi="Times New Roman" w:cs="Times New Roman"/>
          <w:sz w:val="24"/>
          <w:szCs w:val="24"/>
        </w:rPr>
        <w:br w:type="textWrapping"/>
      </w:r>
    </w:p>
    <w:p w14:paraId="82AAD876">
      <w:pPr>
        <w:snapToGrid w:val="0"/>
        <w:spacing w:line="480" w:lineRule="auto"/>
        <w:rPr>
          <w:rFonts w:hint="default" w:ascii="Times New Roman" w:hAnsi="Times New Roman" w:cs="Times New Roman"/>
          <w:sz w:val="24"/>
          <w:szCs w:val="24"/>
        </w:rPr>
      </w:pPr>
      <w:bookmarkStart w:id="32" w:name="_Toc30244"/>
      <w:bookmarkStart w:id="33" w:name="_Toc3558"/>
      <w:r>
        <w:rPr>
          <w:rStyle w:val="11"/>
          <w:rFonts w:hint="default"/>
        </w:rPr>
        <w:t>5.1 Compatibilism: Reconciliation of Relativism and Universalism</w:t>
      </w:r>
      <w:bookmarkEnd w:id="32"/>
      <w:bookmarkEnd w:id="33"/>
      <w:r>
        <w:rPr>
          <w:rFonts w:hint="default" w:ascii="Times New Roman" w:hAnsi="Times New Roman" w:cs="Times New Roman"/>
          <w:sz w:val="24"/>
          <w:szCs w:val="24"/>
        </w:rPr>
        <w:br w:type="textWrapping"/>
      </w:r>
    </w:p>
    <w:p w14:paraId="2D13449E">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t>Facing cross-cultural ethical differences, there are two extreme views: ethical relativism holds that enterprises should follow local customs; ethical universalism holds that there are universal moral standards that enterprises must uniformly abide by. Both have defects in practice: complete relativism will make enterprises lose their ethical bottom line, while complete universalism will make enterprises unable to adapt to local cultures (Hutchings, 2010).</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A more reasonable path is compatibilism: on the premise of adhering to the core ethical bottom line, respect local cultural differences and make flexible adjustments to non-core requirements. Enterprises can divide ethical standards into two levels: the non-negotiable core bottom line, such as prohibiting serious corruption, prohibiting forced labour and protecting basic human rights; and the flexibly adaptable cultural and customary level, such as normal social etiquette and work modes.</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r>
        <w:rPr>
          <w:rFonts w:hint="default" w:ascii="Times New Roman" w:hAnsi="Times New Roman" w:cs="Times New Roman"/>
          <w:sz w:val="24"/>
          <w:szCs w:val="24"/>
        </w:rPr>
        <w:br w:type="textWrapping"/>
      </w:r>
      <w:r>
        <w:rPr>
          <w:rFonts w:hint="default" w:ascii="Times New Roman" w:hAnsi="Times New Roman" w:cs="Times New Roman"/>
          <w:sz w:val="24"/>
          <w:szCs w:val="24"/>
        </w:rPr>
        <w:t>Donaldson and Dunfee’s (1999) integrative social contracts theory provides theoretical support for this path: there is a common macro-contract bottom line in global business, while allowing different cultures to form local micro-contracts. Most studies support this intermediate path, holding that universalism and relativism are not mutually exclusive (De George, 2020).</w:t>
      </w:r>
      <w:r>
        <w:rPr>
          <w:rFonts w:hint="default" w:ascii="Times New Roman" w:hAnsi="Times New Roman" w:cs="Times New Roman"/>
          <w:sz w:val="24"/>
          <w:szCs w:val="24"/>
        </w:rPr>
        <w:br w:type="textWrapping"/>
      </w:r>
    </w:p>
    <w:p w14:paraId="396AB542">
      <w:pPr>
        <w:pStyle w:val="3"/>
        <w:bidi w:val="0"/>
        <w:rPr>
          <w:rFonts w:hint="default"/>
        </w:rPr>
      </w:pPr>
      <w:bookmarkStart w:id="34" w:name="_Toc18546"/>
      <w:bookmarkStart w:id="35" w:name="_Toc12876"/>
      <w:r>
        <w:rPr>
          <w:rFonts w:hint="default"/>
        </w:rPr>
        <w:t>5.2 Enterprise-Level Cross-Cultural Ethical Management Strategies</w:t>
      </w:r>
      <w:bookmarkEnd w:id="34"/>
      <w:bookmarkEnd w:id="35"/>
    </w:p>
    <w:p w14:paraId="C43660F6">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Multinational enterprises can adopt three strategies to cope with cross-cultural ethical conflicts. First, formulate a globally unified ethical code and localised implementation rules. For example, set a unified upper limit on gift value, while allowing local adjustment of gift types according to local customs, balancing both bottom line and flexibility (Blowfield &amp; Murray, 2014). Brenkert (2021) confirms that the implementation effect of this model is far better than a one-size-fits-all system. Second, carry out cross-cultural ethics training to help employees in different regions understand cultural differences and compliance requirements. Third, establish an ethical issue feedback channel, so that employees can consult the compliance department in time when in doubt to avoid decision-making errors. The OECD Guidelines for Multinational Enterprises also recommend this management model of “global bottom line + local adaptation” (Organisation for Economic Co-operation and Development, 2023).</w:t>
      </w:r>
      <w:r>
        <w:rPr>
          <w:rFonts w:hint="default" w:ascii="Times New Roman" w:hAnsi="Times New Roman" w:cs="Times New Roman"/>
          <w:sz w:val="24"/>
          <w:szCs w:val="24"/>
        </w:rPr>
        <w:br w:type="textWrapping"/>
      </w:r>
    </w:p>
    <w:p w14:paraId="6952E43E">
      <w:pPr>
        <w:pStyle w:val="3"/>
        <w:bidi w:val="0"/>
        <w:rPr>
          <w:rFonts w:hint="default" w:ascii="Times New Roman" w:hAnsi="Times New Roman" w:cs="Times New Roman"/>
          <w:szCs w:val="24"/>
        </w:rPr>
      </w:pPr>
      <w:bookmarkStart w:id="36" w:name="_Toc9512"/>
      <w:bookmarkStart w:id="37" w:name="_Toc11558"/>
      <w:r>
        <w:rPr>
          <w:rFonts w:hint="default"/>
        </w:rPr>
        <w:t>5.3 Construction of a Global Common Ethical Bottom Line</w:t>
      </w:r>
      <w:bookmarkEnd w:id="36"/>
      <w:bookmarkEnd w:id="37"/>
    </w:p>
    <w:p w14:paraId="0588A14D">
      <w:pPr>
        <w:bidi w:val="0"/>
        <w:spacing w:line="480" w:lineRule="auto"/>
        <w:rPr>
          <w:rFonts w:hint="default" w:ascii="Times New Roman" w:hAnsi="Times New Roman" w:cs="Times New Roman"/>
          <w:szCs w:val="24"/>
        </w:rPr>
      </w:pPr>
      <w:r>
        <w:rPr>
          <w:rFonts w:hint="default" w:ascii="Times New Roman" w:hAnsi="Times New Roman" w:cs="Times New Roman"/>
          <w:szCs w:val="24"/>
        </w:rPr>
        <w:br w:type="textWrapping"/>
      </w:r>
      <w:r>
        <w:rPr>
          <w:rFonts w:hint="default"/>
        </w:rPr>
        <w:t>The international community is also promoting the construction of a global bottom line for business ethics. The United Nations Global Compact and International Labour Organization standards have put forward basic ethical principles covering human rights, labour, environment and anti-corruption (Eade &amp; O’Byrne, 2017). At present, tens of thousands of enterprises have participated in the United Nations Global Compact, and the global consensus on business ethics is constantly expanding (United Nations Global Compact, 2024). An International Labour Organization report also points out that basic labour rights standards are being accepted by more and more countries (International Labour Organization, 2023).</w:t>
      </w:r>
      <w:r>
        <w:rPr>
          <w:rFonts w:hint="default"/>
        </w:rPr>
        <w:br w:type="textWrapping"/>
      </w:r>
    </w:p>
    <w:p w14:paraId="DDE609C4">
      <w:pPr>
        <w:snapToGrid w:val="0"/>
        <w:spacing w:line="480" w:lineRule="auto"/>
        <w:rPr>
          <w:rFonts w:hint="default" w:ascii="Times New Roman" w:hAnsi="Times New Roman" w:cs="Times New Roman"/>
          <w:sz w:val="24"/>
          <w:szCs w:val="24"/>
        </w:rPr>
      </w:pPr>
    </w:p>
    <w:p w14:paraId="31CFE354">
      <w:pPr>
        <w:pStyle w:val="2"/>
        <w:bidi w:val="0"/>
        <w:rPr>
          <w:rFonts w:hint="default"/>
        </w:rPr>
      </w:pPr>
      <w:bookmarkStart w:id="38" w:name="_Toc15890"/>
      <w:bookmarkStart w:id="39" w:name="_Toc2726"/>
      <w:r>
        <w:rPr>
          <w:rFonts w:hint="default"/>
        </w:rPr>
        <w:t>6.0 Conclusion</w:t>
      </w:r>
      <w:bookmarkEnd w:id="38"/>
      <w:bookmarkEnd w:id="39"/>
    </w:p>
    <w:p w14:paraId="8C844148">
      <w:pPr>
        <w:snapToGrid w:val="0"/>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By comparing the characteristics of business ethics in Europe, China and Japan, this essay analyses the influence of cultural differences on business ethics, as well as typical conflicts and response paths. The study finds that cultural, political and social environments are important factors constraining corporate ethical decision-making. Ethical differences across regions have profound historical and cultural roots, and there is no absolute distinction between advantages and disadvantages.</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r>
        <w:rPr>
          <w:rFonts w:hint="default" w:ascii="Times New Roman" w:hAnsi="Times New Roman" w:cs="Times New Roman"/>
          <w:sz w:val="24"/>
          <w:szCs w:val="24"/>
        </w:rPr>
        <w:t>For multinational enterprises, both extreme universalism and relativism are undesirable. Adopting a compatibilist approach, sticking to the core ethical bottom line and respecting non-core cultural differences is a more realistic and reasonable choice. This also proves that enterprises can fully carry out global operations without compromising core ethical principles. In the future, with the deepening of global business integration, business ethics of different cultures will form more consensus, helping enterprises better cope with global ethical challenges.</w:t>
      </w:r>
    </w:p>
    <w:p w14:paraId="41A1BFB6">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14:paraId="4BB75898">
      <w:pPr>
        <w:spacing w:line="480" w:lineRule="auto"/>
        <w:rPr>
          <w:rFonts w:hint="default" w:ascii="Times New Roman" w:hAnsi="Times New Roman" w:cs="Times New Roman"/>
          <w:sz w:val="24"/>
          <w:szCs w:val="24"/>
        </w:rPr>
      </w:pPr>
      <w:bookmarkStart w:id="40" w:name="_Toc10341"/>
      <w:bookmarkStart w:id="41" w:name="_Toc13680"/>
      <w:r>
        <w:rPr>
          <w:rStyle w:val="10"/>
          <w:rFonts w:hint="default"/>
        </w:rPr>
        <w:t>References</w:t>
      </w:r>
      <w:bookmarkEnd w:id="40"/>
      <w:bookmarkEnd w:id="41"/>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 xml:space="preserve"> </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Blowfield, M. and Murray, A. (2014) Corporate responsibility: a critical introduction. 3rd edn. Oxford: Oxford University Press.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Brenkert, G. G. (2021) ‘Ethical challenges of cross-cultural business management’, Business Ethics Quarterly, 31(4), pp. 567-590.</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Carroll, A. B. and Buchholtz, A. K. (2014) Business and society: ethics &amp; stakeholder management. Cincinnati, OH: South-Western College Publishing.</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Carroll, A. B. (2015) Business and society. Stamford, CT: Cengage Learning.</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Crane, A. and Matten, D. (2010) Business ethics: managing corporate citizenship and sustainability in the age of globalisation. Oxford: Oxford University Press.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Bingley, M. (2012) Business, society and politics: multinationals in emerging markets. Bingley: Emerald Group Publishing.</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De George, R. T. (2020) Business Ethics. 8th edn. Harlow: Pearson Education.</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Donaldson, T. and Dunfee, T. W. (1999) Ties that bind: A social contracts approach to business ethics. Boston, MA: Harvard Business School Press.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Eade, J. and O’Byrne, D. (2017) Global ethics and civil society. Abingdon: Routledge.</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Edwards, P. and Willmott, H. (2015) ‘Decision-making: between reason and the ethico-political moment’, in Linstead, A. (ed.) The Routledge companion to ethics, politics and organizations. Abingdon: Routledge, pp. 45–62.</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Endo, T. (2022) ‘Changing employment practices and ethical values in Japanese corporations’, Journal of Business Ethics, 179(2), pp. 489-503.</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European Commission (2022) Proposal for a Directive on Corporate Sustainability Due Diligence. Brussels: European Commission.</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Hofstede, G. (2001) Culture's consequences: comparing values, behaviors, institutions and organizations across nations. 2nd edn. Thousand Oaks, CA: Sage Publications.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Hutchings, K. (2010) Global ethics: an introduction. Cambridge: Polity Press.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International Labour Organization (2023) World Employment and Social Outlook: Trends 2023. Geneva: ILO.</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Jamali, D., Karam, C. and Yin, Z. (2020) ‘Business ethics in emerging economies: A review and research agenda’, Journal of Business Ethics, 167(3), pp. 399-421.</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Lloyd, M. (2010) Business at a crossroads. Basingstoke: Palgrave Macmillan.</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Lu, Y., Wang, H. and Kao, G. (2023) ‘Work values and ethical perceptions of overtime: A cross-cultural comparison’, International Journal of Human Resource Management, 34(12), pp. 1987-2008.</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Moellendorf, D. and Widdows, H. (eds) (2015) The Routledge handbook of global ethics. Abingdon: Routledge.</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Organisation for Economic Co-operation and Development (2023) OECD Guidelines for Multinational Enterprises. 2023 edn. Paris: OECD Publishing.</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Smith, J. A., Lee, S. and Jones, M. (2023) ‘Cultural dimensions and ethical decision-making: A meta-analysis’, Journal of Organizational Behavior, 44(5), pp. 892-915.</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Steger, M. B. (2013) Globalization: A Very Short Introduction. 3rd edn. Oxford: Oxford University Press.</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Stern, N. (2022) ‘Climate ethics and global business responsibility’, Journal of Industrial Ecology, 26(6), pp. 1897-1908.</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Tang, L. and Brammer, S. (2022) ‘Cultural values and business ethics: A cross-national comparison’, Journal of Business Ethics, 180(3), pp. 789-806.</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Transparency International (2024) Corruption Perceptions Index 2023. Berlin: Transparency International.</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United Nations Environment Programme (2022) Emissions Gap Report 2022. Nairobi: UNEP.</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United Nations Global Compact (2024) Global Compact Annual Report 2023. New York: United Nations Global Compact Office.</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rPr>
        <w:br w:type="textWrapping"/>
      </w:r>
      <w:r>
        <w:rPr>
          <w:rFonts w:hint="default" w:ascii="Times New Roman" w:hAnsi="Times New Roman" w:cs="Times New Roman"/>
          <w:color w:val="000000"/>
          <w:sz w:val="24"/>
          <w:szCs w:val="24"/>
        </w:rPr>
        <w:t>Wang, Y. and Juslin, H. (2021) ‘The evolution of business ethics in China: Tradition and modernization’, Journal of Business Ethics, 172(4), pp. 721-736.</w:t>
      </w:r>
    </w:p>
    <w:sectPr>
      <w:pgSz w:w="11900" w:h="16840"/>
      <w:pgMar w:top="1440" w:right="144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Ti">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078E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606F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AF606F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569"/>
    <w:rsid w:val="000E1712"/>
    <w:rsid w:val="0028768E"/>
    <w:rsid w:val="005533ED"/>
    <w:rsid w:val="00702569"/>
    <w:rsid w:val="0089293C"/>
    <w:rsid w:val="00B176CB"/>
    <w:rsid w:val="00F54202"/>
    <w:rsid w:val="0A4B26ED"/>
    <w:rsid w:val="17622681"/>
    <w:rsid w:val="1BF81E0F"/>
    <w:rsid w:val="1D7E7C3A"/>
    <w:rsid w:val="2B326508"/>
    <w:rsid w:val="6AF41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semiHidden="0"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4"/>
      <w:szCs w:val="24"/>
      <w:lang w:val="en-US" w:eastAsia="zh-CN" w:bidi="ar-SA"/>
    </w:rPr>
  </w:style>
  <w:style w:type="paragraph" w:styleId="2">
    <w:name w:val="heading 1"/>
    <w:basedOn w:val="1"/>
    <w:next w:val="1"/>
    <w:link w:val="10"/>
    <w:uiPriority w:val="99"/>
    <w:pPr>
      <w:keepNext/>
      <w:keepLines/>
      <w:spacing w:before="340" w:beforeLines="0" w:beforeAutospacing="0" w:after="330" w:afterLines="0" w:afterAutospacing="0" w:line="576" w:lineRule="auto"/>
      <w:outlineLvl w:val="0"/>
    </w:pPr>
    <w:rPr>
      <w:rFonts w:ascii="Times New Roman" w:hAnsi="Times New Roman" w:eastAsia="Times New Roman"/>
      <w:b/>
      <w:kern w:val="44"/>
      <w:sz w:val="28"/>
    </w:rPr>
  </w:style>
  <w:style w:type="paragraph" w:styleId="3">
    <w:name w:val="heading 2"/>
    <w:basedOn w:val="1"/>
    <w:next w:val="1"/>
    <w:link w:val="11"/>
    <w:unhideWhenUsed/>
    <w:uiPriority w:val="99"/>
    <w:pPr>
      <w:keepNext/>
      <w:keepLines/>
      <w:spacing w:before="260" w:beforeLines="0" w:beforeAutospacing="0" w:after="260" w:afterLines="0" w:afterAutospacing="0" w:line="413" w:lineRule="auto"/>
      <w:outlineLvl w:val="1"/>
    </w:pPr>
    <w:rPr>
      <w:rFonts w:ascii="Times New Roman" w:hAnsi="Times New Roman" w:eastAsia="Times New Roman"/>
      <w:b/>
      <w:sz w:val="24"/>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semiHidden/>
    <w:unhideWhenUsed/>
    <w:uiPriority w:val="99"/>
    <w:pPr>
      <w:tabs>
        <w:tab w:val="center" w:pos="4153"/>
        <w:tab w:val="right" w:pos="8306"/>
      </w:tabs>
      <w:snapToGrid w:val="0"/>
      <w:jc w:val="left"/>
    </w:pPr>
    <w:rPr>
      <w:sz w:val="18"/>
    </w:rPr>
  </w:style>
  <w:style w:type="paragraph" w:styleId="5">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semiHidden/>
    <w:unhideWhenUsed/>
    <w:uiPriority w:val="99"/>
    <w:rPr>
      <w:rFonts w:ascii="Times New Roman" w:hAnsi="Times New Roman" w:eastAsia="Times New Roman"/>
    </w:rPr>
  </w:style>
  <w:style w:type="paragraph" w:styleId="7">
    <w:name w:val="toc 2"/>
    <w:basedOn w:val="1"/>
    <w:next w:val="1"/>
    <w:semiHidden/>
    <w:unhideWhenUsed/>
    <w:uiPriority w:val="99"/>
    <w:pPr>
      <w:ind w:left="420" w:leftChars="200"/>
    </w:pPr>
  </w:style>
  <w:style w:type="character" w:customStyle="1" w:styleId="10">
    <w:name w:val="标题 1 Char"/>
    <w:link w:val="2"/>
    <w:uiPriority w:val="0"/>
    <w:rPr>
      <w:rFonts w:ascii="Times New Roman" w:hAnsi="Times New Roman" w:eastAsia="Times New Roman"/>
      <w:b/>
      <w:kern w:val="44"/>
      <w:sz w:val="28"/>
    </w:rPr>
  </w:style>
  <w:style w:type="character" w:customStyle="1" w:styleId="11">
    <w:name w:val="标题 2 Char"/>
    <w:link w:val="3"/>
    <w:uiPriority w:val="0"/>
    <w:rPr>
      <w:rFonts w:ascii="Times New Roman" w:hAnsi="Times New Roman" w:eastAsia="Times New Roman"/>
      <w:b/>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3167</Words>
  <Characters>19759</Characters>
  <Lines>0</Lines>
  <Paragraphs>0</Paragraphs>
  <TotalTime>5</TotalTime>
  <ScaleCrop>false</ScaleCrop>
  <LinksUpToDate>false</LinksUpToDate>
  <CharactersWithSpaces>22802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2020-07-21T13:27:00Z</dcterms:created>
  <dc:creator>T148778</dc:creator>
  <cp:lastModifiedBy>Haoyang</cp:lastModifiedBy>
  <dcterms:modified xsi:type="dcterms:W3CDTF">2026-08-13T08:05:55Z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eyJoZGlkIjoiMDdhNjhiYmI2YzIxZDFiNzk4ZjE2ZjJiNmM4NGM2MDAiLCJ1c2VySWQiOiIxNDk4MTk5NTc0In0=</vt:lpwstr>
  </property>
  <property fmtid="{D5CDD505-2E9C-101B-9397-08002B2CF9AE}" pid="3" name="KSOProductBuildVer">
    <vt:lpwstr>2052-12.1.0.25865</vt:lpwstr>
  </property>
  <property fmtid="{D5CDD505-2E9C-101B-9397-08002B2CF9AE}" pid="4" name="ICV">
    <vt:lpwstr>A0C5581139994C79B1D3B6CC4684B730_12</vt:lpwstr>
  </property>
</Properties>
</file>