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74813" w14:textId="654DAF57" w:rsidR="000F5A3E" w:rsidRPr="00F52033" w:rsidRDefault="0091268E" w:rsidP="00F52033">
      <w:pPr>
        <w:spacing w:line="480" w:lineRule="auto"/>
        <w:jc w:val="center"/>
        <w:rPr>
          <w:rFonts w:ascii="Times New Roman" w:hAnsi="Times New Roman" w:cs="Times New Roman"/>
          <w:sz w:val="24"/>
          <w:szCs w:val="24"/>
          <w:lang w:val="en-US"/>
        </w:rPr>
      </w:pPr>
      <w:r w:rsidRPr="00F52033">
        <w:rPr>
          <w:rFonts w:ascii="Times New Roman" w:hAnsi="Times New Roman" w:cs="Times New Roman"/>
          <w:sz w:val="24"/>
          <w:szCs w:val="24"/>
          <w:lang w:val="en-US"/>
        </w:rPr>
        <w:t>INTERNAL MEMORANDUM</w:t>
      </w:r>
    </w:p>
    <w:p w14:paraId="704C7E89" w14:textId="139EC59F" w:rsidR="0091268E" w:rsidRPr="00F52033" w:rsidRDefault="0091268E" w:rsidP="00F52033">
      <w:pPr>
        <w:spacing w:line="480" w:lineRule="auto"/>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TO: Oliver Jones</w:t>
      </w:r>
    </w:p>
    <w:p w14:paraId="4D102EDE" w14:textId="73B54803" w:rsidR="0091268E" w:rsidRPr="00F52033" w:rsidRDefault="0091268E" w:rsidP="00F52033">
      <w:pPr>
        <w:spacing w:line="480" w:lineRule="auto"/>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FROM: </w:t>
      </w:r>
      <w:r w:rsidR="00C12CE2">
        <w:rPr>
          <w:rFonts w:ascii="Times New Roman" w:hAnsi="Times New Roman" w:cs="Times New Roman"/>
          <w:sz w:val="24"/>
          <w:szCs w:val="24"/>
          <w:lang w:val="en-US"/>
        </w:rPr>
        <w:t>Adnan Faisal Shamsdin</w:t>
      </w:r>
    </w:p>
    <w:p w14:paraId="0BA18287" w14:textId="153AD5A0" w:rsidR="0091268E" w:rsidRPr="00F52033" w:rsidRDefault="0091268E" w:rsidP="00F52033">
      <w:pPr>
        <w:spacing w:line="480" w:lineRule="auto"/>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MATTER: Case of William Brown</w:t>
      </w:r>
    </w:p>
    <w:p w14:paraId="0D2206F6" w14:textId="191828C6" w:rsidR="0091268E" w:rsidRPr="00F52033" w:rsidRDefault="0091268E" w:rsidP="00F52033">
      <w:pPr>
        <w:spacing w:line="480" w:lineRule="auto"/>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DATE: May 2021</w:t>
      </w:r>
    </w:p>
    <w:p w14:paraId="60F79A8B" w14:textId="64144502" w:rsidR="00BA5C2C" w:rsidRPr="00F52033" w:rsidRDefault="0091268E"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Theft is defined as an act where a person appropriates property that belongs to another in a dishonest manner and has the intention of depriving th</w:t>
      </w:r>
      <w:r w:rsidR="000C79EA">
        <w:rPr>
          <w:rFonts w:ascii="Times New Roman" w:hAnsi="Times New Roman" w:cs="Times New Roman"/>
          <w:sz w:val="24"/>
          <w:szCs w:val="24"/>
          <w:lang w:val="en-US"/>
        </w:rPr>
        <w:t xml:space="preserve">e other party permanently of it. </w:t>
      </w:r>
      <w:sdt>
        <w:sdtPr>
          <w:rPr>
            <w:rFonts w:ascii="Times New Roman" w:hAnsi="Times New Roman" w:cs="Times New Roman"/>
            <w:sz w:val="24"/>
            <w:szCs w:val="24"/>
            <w:lang w:val="en-US"/>
          </w:rPr>
          <w:id w:val="-41835248"/>
          <w:citation/>
        </w:sdtPr>
        <w:sdtEndPr/>
        <w:sdtContent>
          <w:r w:rsidR="000C79EA">
            <w:rPr>
              <w:rFonts w:ascii="Times New Roman" w:hAnsi="Times New Roman" w:cs="Times New Roman"/>
              <w:sz w:val="24"/>
              <w:szCs w:val="24"/>
              <w:lang w:val="en-US"/>
            </w:rPr>
            <w:fldChar w:fldCharType="begin"/>
          </w:r>
          <w:r w:rsidR="000C79EA">
            <w:rPr>
              <w:rFonts w:ascii="Times New Roman" w:hAnsi="Times New Roman" w:cs="Times New Roman"/>
              <w:sz w:val="24"/>
              <w:szCs w:val="24"/>
            </w:rPr>
            <w:instrText xml:space="preserve"> CITATION Ale191 \l 2057 </w:instrText>
          </w:r>
          <w:r w:rsidR="000C79EA">
            <w:rPr>
              <w:rFonts w:ascii="Times New Roman" w:hAnsi="Times New Roman" w:cs="Times New Roman"/>
              <w:sz w:val="24"/>
              <w:szCs w:val="24"/>
              <w:lang w:val="en-US"/>
            </w:rPr>
            <w:fldChar w:fldCharType="separate"/>
          </w:r>
          <w:r w:rsidR="000C79EA" w:rsidRPr="000C79EA">
            <w:rPr>
              <w:rFonts w:ascii="Times New Roman" w:hAnsi="Times New Roman" w:cs="Times New Roman"/>
              <w:noProof/>
              <w:sz w:val="24"/>
              <w:szCs w:val="24"/>
            </w:rPr>
            <w:t>(Steel, 2019)</w:t>
          </w:r>
          <w:r w:rsidR="000C79EA">
            <w:rPr>
              <w:rFonts w:ascii="Times New Roman" w:hAnsi="Times New Roman" w:cs="Times New Roman"/>
              <w:sz w:val="24"/>
              <w:szCs w:val="24"/>
              <w:lang w:val="en-US"/>
            </w:rPr>
            <w:fldChar w:fldCharType="end"/>
          </w:r>
        </w:sdtContent>
      </w:sdt>
      <w:r w:rsidR="000C79EA">
        <w:rPr>
          <w:rFonts w:ascii="Times New Roman" w:hAnsi="Times New Roman" w:cs="Times New Roman"/>
          <w:sz w:val="24"/>
          <w:szCs w:val="24"/>
          <w:lang w:val="en-US"/>
        </w:rPr>
        <w:t>.</w:t>
      </w:r>
      <w:r w:rsidR="000C79EA" w:rsidRPr="00F52033">
        <w:rPr>
          <w:rFonts w:ascii="Times New Roman" w:hAnsi="Times New Roman" w:cs="Times New Roman"/>
          <w:sz w:val="24"/>
          <w:szCs w:val="24"/>
          <w:lang w:val="en-US"/>
        </w:rPr>
        <w:t xml:space="preserve"> </w:t>
      </w:r>
      <w:r w:rsidRPr="00F52033">
        <w:rPr>
          <w:rFonts w:ascii="Times New Roman" w:hAnsi="Times New Roman" w:cs="Times New Roman"/>
          <w:sz w:val="24"/>
          <w:szCs w:val="24"/>
          <w:lang w:val="en-US"/>
        </w:rPr>
        <w:t>In order</w:t>
      </w:r>
      <w:r w:rsidR="002F41BF" w:rsidRPr="00F52033">
        <w:rPr>
          <w:rFonts w:ascii="Times New Roman" w:hAnsi="Times New Roman" w:cs="Times New Roman"/>
          <w:sz w:val="24"/>
          <w:szCs w:val="24"/>
          <w:lang w:val="en-US"/>
        </w:rPr>
        <w:t xml:space="preserve"> to establish that the accused is guilty of theft, the actus reus and the </w:t>
      </w:r>
      <w:proofErr w:type="spellStart"/>
      <w:r w:rsidR="002F41BF" w:rsidRPr="00F52033">
        <w:rPr>
          <w:rFonts w:ascii="Times New Roman" w:hAnsi="Times New Roman" w:cs="Times New Roman"/>
          <w:sz w:val="24"/>
          <w:szCs w:val="24"/>
          <w:lang w:val="en-US"/>
        </w:rPr>
        <w:t>mens</w:t>
      </w:r>
      <w:proofErr w:type="spellEnd"/>
      <w:r w:rsidR="002F41BF" w:rsidRPr="00F52033">
        <w:rPr>
          <w:rFonts w:ascii="Times New Roman" w:hAnsi="Times New Roman" w:cs="Times New Roman"/>
          <w:sz w:val="24"/>
          <w:szCs w:val="24"/>
          <w:lang w:val="en-US"/>
        </w:rPr>
        <w:t xml:space="preserve"> rea of the accused </w:t>
      </w:r>
      <w:proofErr w:type="gramStart"/>
      <w:r w:rsidR="002F41BF" w:rsidRPr="00F52033">
        <w:rPr>
          <w:rFonts w:ascii="Times New Roman" w:hAnsi="Times New Roman" w:cs="Times New Roman"/>
          <w:sz w:val="24"/>
          <w:szCs w:val="24"/>
          <w:lang w:val="en-US"/>
        </w:rPr>
        <w:t>have to</w:t>
      </w:r>
      <w:proofErr w:type="gramEnd"/>
      <w:r w:rsidR="002F41BF" w:rsidRPr="00F52033">
        <w:rPr>
          <w:rFonts w:ascii="Times New Roman" w:hAnsi="Times New Roman" w:cs="Times New Roman"/>
          <w:sz w:val="24"/>
          <w:szCs w:val="24"/>
          <w:lang w:val="en-US"/>
        </w:rPr>
        <w:t xml:space="preserve"> be proven.</w:t>
      </w:r>
      <w:r w:rsidR="00BA5C2C" w:rsidRPr="00F52033">
        <w:rPr>
          <w:rFonts w:ascii="Times New Roman" w:hAnsi="Times New Roman" w:cs="Times New Roman"/>
          <w:sz w:val="24"/>
          <w:szCs w:val="24"/>
          <w:lang w:val="en-US"/>
        </w:rPr>
        <w:t xml:space="preserve"> In this case, previously William Brown was a bar secretary of the rugby club where his duties were checking and ordering stock levels, banking and checking the takings and payment of suppliers. It was alleged that he stole cash and cases of gin and wine worth </w:t>
      </w:r>
      <w:r w:rsidR="004A3FE4">
        <w:rPr>
          <w:rFonts w:ascii="Times New Roman" w:hAnsi="Times New Roman" w:cs="Times New Roman"/>
          <w:sz w:val="24"/>
          <w:szCs w:val="24"/>
          <w:lang w:val="en-US"/>
        </w:rPr>
        <w:t>£</w:t>
      </w:r>
      <w:r w:rsidR="00BA5C2C" w:rsidRPr="00F52033">
        <w:rPr>
          <w:rFonts w:ascii="Times New Roman" w:hAnsi="Times New Roman" w:cs="Times New Roman"/>
          <w:sz w:val="24"/>
          <w:szCs w:val="24"/>
          <w:lang w:val="en-US"/>
        </w:rPr>
        <w:t>3,000 from the takings during the beer festival that had taken place in the club. The stock that was stolen comprised of two cases of gin and ten cases of wine. It is alleged that they had been covered up by stock records that were false.</w:t>
      </w:r>
    </w:p>
    <w:p w14:paraId="73BE64DA" w14:textId="66F345D3" w:rsidR="0007087D" w:rsidRPr="00F52033" w:rsidRDefault="0007087D" w:rsidP="00F52033">
      <w:pPr>
        <w:spacing w:line="480" w:lineRule="auto"/>
        <w:jc w:val="both"/>
        <w:rPr>
          <w:rFonts w:ascii="Times New Roman" w:hAnsi="Times New Roman" w:cs="Times New Roman"/>
          <w:i/>
          <w:iCs/>
          <w:sz w:val="24"/>
          <w:szCs w:val="24"/>
          <w:lang w:val="en-US"/>
        </w:rPr>
      </w:pPr>
      <w:r w:rsidRPr="00F52033">
        <w:rPr>
          <w:rFonts w:ascii="Times New Roman" w:hAnsi="Times New Roman" w:cs="Times New Roman"/>
          <w:i/>
          <w:iCs/>
          <w:sz w:val="24"/>
          <w:szCs w:val="24"/>
          <w:lang w:val="en-US"/>
        </w:rPr>
        <w:t>Actus Reus</w:t>
      </w:r>
    </w:p>
    <w:p w14:paraId="4EE0FCFC" w14:textId="26E4F72A" w:rsidR="0091268E" w:rsidRPr="00F52033" w:rsidRDefault="002F41BF"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 In this case, actus reus refers to the appropriation of property that belongs to another individual. Under Theft Act 1968 section 3 (1), appropriation refers to when a person assumes an owner’s rights. This includes instances where an individual comes across a property either innocently or not innocently and later assumes ownership rights through dealing </w:t>
      </w:r>
      <w:r w:rsidR="00241F44" w:rsidRPr="00F52033">
        <w:rPr>
          <w:rFonts w:ascii="Times New Roman" w:hAnsi="Times New Roman" w:cs="Times New Roman"/>
          <w:sz w:val="24"/>
          <w:szCs w:val="24"/>
          <w:lang w:val="en-US"/>
        </w:rPr>
        <w:t xml:space="preserve">with it </w:t>
      </w:r>
      <w:r w:rsidRPr="00F52033">
        <w:rPr>
          <w:rFonts w:ascii="Times New Roman" w:hAnsi="Times New Roman" w:cs="Times New Roman"/>
          <w:sz w:val="24"/>
          <w:szCs w:val="24"/>
          <w:lang w:val="en-US"/>
        </w:rPr>
        <w:t>or keeping it as an owner. It also applies in instances where there is transfer of interests or rights in a property for a certain value to an individual who acts in good faith and ownership right</w:t>
      </w:r>
      <w:r w:rsidR="000C79EA">
        <w:rPr>
          <w:rFonts w:ascii="Times New Roman" w:hAnsi="Times New Roman" w:cs="Times New Roman"/>
          <w:sz w:val="24"/>
          <w:szCs w:val="24"/>
          <w:lang w:val="en-US"/>
        </w:rPr>
        <w:t>s are assumed by the person who</w:t>
      </w:r>
      <w:r w:rsidRPr="00F52033">
        <w:rPr>
          <w:rFonts w:ascii="Times New Roman" w:hAnsi="Times New Roman" w:cs="Times New Roman"/>
          <w:sz w:val="24"/>
          <w:szCs w:val="24"/>
          <w:lang w:val="en-US"/>
        </w:rPr>
        <w:t xml:space="preserve"> believed that acquisition of the property will defect the title of the transferor. In the case of </w:t>
      </w:r>
      <w:r w:rsidR="0070247B">
        <w:rPr>
          <w:rFonts w:ascii="Times New Roman" w:hAnsi="Times New Roman" w:cs="Times New Roman"/>
          <w:i/>
          <w:iCs/>
          <w:sz w:val="24"/>
          <w:szCs w:val="24"/>
          <w:lang w:val="en-US"/>
        </w:rPr>
        <w:t>R vs Morris (1983)</w:t>
      </w:r>
      <w:r w:rsidR="006106D3" w:rsidRPr="00F52033">
        <w:rPr>
          <w:rFonts w:ascii="Times New Roman" w:hAnsi="Times New Roman" w:cs="Times New Roman"/>
          <w:sz w:val="24"/>
          <w:szCs w:val="24"/>
          <w:lang w:val="en-US"/>
        </w:rPr>
        <w:t xml:space="preserve">, the court held that appropriation did not need </w:t>
      </w:r>
      <w:r w:rsidR="006106D3" w:rsidRPr="00F52033">
        <w:rPr>
          <w:rFonts w:ascii="Times New Roman" w:hAnsi="Times New Roman" w:cs="Times New Roman"/>
          <w:sz w:val="24"/>
          <w:szCs w:val="24"/>
          <w:lang w:val="en-US"/>
        </w:rPr>
        <w:lastRenderedPageBreak/>
        <w:t>one to assume ownership rights, the defendant interfering adversely with the rights through switching of labels which is an act that is only meant for the owner of the property.</w:t>
      </w:r>
    </w:p>
    <w:p w14:paraId="52D20D41" w14:textId="220EFA03" w:rsidR="006106D3" w:rsidRPr="00F52033" w:rsidRDefault="006106D3" w:rsidP="00F52033">
      <w:pPr>
        <w:spacing w:line="480" w:lineRule="auto"/>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According to section 4 of the Theft Act 1968, property is defined as moneys and all other types of property, person or real, which includes property that is not tangible and objects that are in action. Section 5 of the Theft Act 1968 stipulates that an</w:t>
      </w:r>
      <w:r w:rsidR="00241F44" w:rsidRPr="00F52033">
        <w:rPr>
          <w:rFonts w:ascii="Times New Roman" w:hAnsi="Times New Roman" w:cs="Times New Roman"/>
          <w:sz w:val="24"/>
          <w:szCs w:val="24"/>
          <w:lang w:val="en-US"/>
        </w:rPr>
        <w:t xml:space="preserve"> </w:t>
      </w:r>
      <w:r w:rsidRPr="00F52033">
        <w:rPr>
          <w:rFonts w:ascii="Times New Roman" w:hAnsi="Times New Roman" w:cs="Times New Roman"/>
          <w:sz w:val="24"/>
          <w:szCs w:val="24"/>
          <w:lang w:val="en-US"/>
        </w:rPr>
        <w:t xml:space="preserve">individual should be in possession or have control over the property that belongs to another person. </w:t>
      </w:r>
      <w:proofErr w:type="gramStart"/>
      <w:r w:rsidRPr="00F52033">
        <w:rPr>
          <w:rFonts w:ascii="Times New Roman" w:hAnsi="Times New Roman" w:cs="Times New Roman"/>
          <w:sz w:val="24"/>
          <w:szCs w:val="24"/>
          <w:lang w:val="en-US"/>
        </w:rPr>
        <w:t>Also</w:t>
      </w:r>
      <w:proofErr w:type="gramEnd"/>
      <w:r w:rsidRPr="00F52033">
        <w:rPr>
          <w:rFonts w:ascii="Times New Roman" w:hAnsi="Times New Roman" w:cs="Times New Roman"/>
          <w:sz w:val="24"/>
          <w:szCs w:val="24"/>
          <w:lang w:val="en-US"/>
        </w:rPr>
        <w:t xml:space="preserve"> section 5 (3) of the Act states that in instances where the ownership of the property is given to another person and he or she is instructed to deal with it in a particular manner, there is an assumption that the property </w:t>
      </w:r>
      <w:r w:rsidR="00624389" w:rsidRPr="00F52033">
        <w:rPr>
          <w:rFonts w:ascii="Times New Roman" w:hAnsi="Times New Roman" w:cs="Times New Roman"/>
          <w:sz w:val="24"/>
          <w:szCs w:val="24"/>
          <w:lang w:val="en-US"/>
        </w:rPr>
        <w:t xml:space="preserve">rights still remain with the giver. In the event where the person receiving the property acts in a manner that is contrary with the instructions given by the giver, such an act will be assumed to be theft. This was demonstrated in the case of </w:t>
      </w:r>
      <w:proofErr w:type="spellStart"/>
      <w:r w:rsidR="00624389" w:rsidRPr="00F52033">
        <w:rPr>
          <w:rFonts w:ascii="Times New Roman" w:hAnsi="Times New Roman" w:cs="Times New Roman"/>
          <w:i/>
          <w:iCs/>
          <w:sz w:val="24"/>
          <w:szCs w:val="24"/>
          <w:lang w:val="en-US"/>
        </w:rPr>
        <w:t>Davidge</w:t>
      </w:r>
      <w:proofErr w:type="spellEnd"/>
      <w:r w:rsidR="00624389" w:rsidRPr="00F52033">
        <w:rPr>
          <w:rFonts w:ascii="Times New Roman" w:hAnsi="Times New Roman" w:cs="Times New Roman"/>
          <w:i/>
          <w:iCs/>
          <w:sz w:val="24"/>
          <w:szCs w:val="24"/>
          <w:lang w:val="en-US"/>
        </w:rPr>
        <w:t xml:space="preserve"> vs Bennett (</w:t>
      </w:r>
      <w:r w:rsidR="0070247B">
        <w:rPr>
          <w:rFonts w:ascii="Times New Roman" w:hAnsi="Times New Roman" w:cs="Times New Roman"/>
          <w:i/>
          <w:iCs/>
          <w:sz w:val="24"/>
          <w:szCs w:val="24"/>
          <w:lang w:val="en-US"/>
        </w:rPr>
        <w:t>1984),</w:t>
      </w:r>
      <w:r w:rsidR="00624389" w:rsidRPr="00F52033">
        <w:rPr>
          <w:rFonts w:ascii="Times New Roman" w:hAnsi="Times New Roman" w:cs="Times New Roman"/>
          <w:sz w:val="24"/>
          <w:szCs w:val="24"/>
          <w:lang w:val="en-US"/>
        </w:rPr>
        <w:t xml:space="preserve"> where the accused was given money by her flat mates to make payment of the gas bill that they shared. Instead, the accused did not pay the gas bill, she used the money for shopping and vacated the premise. The court held that she was guilty of theft because she acted contrary to the instructions given to her on the use of the money hence did not perform her obligations of paying the gas bill.  </w:t>
      </w:r>
    </w:p>
    <w:p w14:paraId="017ED09E" w14:textId="42868938" w:rsidR="0007087D" w:rsidRPr="00F52033" w:rsidRDefault="0007087D" w:rsidP="00F52033">
      <w:pPr>
        <w:spacing w:line="480" w:lineRule="auto"/>
        <w:jc w:val="both"/>
        <w:rPr>
          <w:rFonts w:ascii="Times New Roman" w:hAnsi="Times New Roman" w:cs="Times New Roman"/>
          <w:i/>
          <w:iCs/>
          <w:sz w:val="24"/>
          <w:szCs w:val="24"/>
          <w:lang w:val="en-US"/>
        </w:rPr>
      </w:pPr>
      <w:proofErr w:type="spellStart"/>
      <w:r w:rsidRPr="00F52033">
        <w:rPr>
          <w:rFonts w:ascii="Times New Roman" w:hAnsi="Times New Roman" w:cs="Times New Roman"/>
          <w:i/>
          <w:iCs/>
          <w:sz w:val="24"/>
          <w:szCs w:val="24"/>
          <w:lang w:val="en-US"/>
        </w:rPr>
        <w:t>Mens</w:t>
      </w:r>
      <w:proofErr w:type="spellEnd"/>
      <w:r w:rsidRPr="00F52033">
        <w:rPr>
          <w:rFonts w:ascii="Times New Roman" w:hAnsi="Times New Roman" w:cs="Times New Roman"/>
          <w:i/>
          <w:iCs/>
          <w:sz w:val="24"/>
          <w:szCs w:val="24"/>
          <w:lang w:val="en-US"/>
        </w:rPr>
        <w:t xml:space="preserve"> Rea</w:t>
      </w:r>
    </w:p>
    <w:p w14:paraId="73E62A21" w14:textId="365A3368" w:rsidR="003C546F" w:rsidRPr="00F52033" w:rsidRDefault="00265999"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In order to establish </w:t>
      </w:r>
      <w:proofErr w:type="spellStart"/>
      <w:r w:rsidRPr="00F52033">
        <w:rPr>
          <w:rFonts w:ascii="Times New Roman" w:hAnsi="Times New Roman" w:cs="Times New Roman"/>
          <w:sz w:val="24"/>
          <w:szCs w:val="24"/>
          <w:lang w:val="en-US"/>
        </w:rPr>
        <w:t>mens</w:t>
      </w:r>
      <w:proofErr w:type="spellEnd"/>
      <w:r w:rsidRPr="00F52033">
        <w:rPr>
          <w:rFonts w:ascii="Times New Roman" w:hAnsi="Times New Roman" w:cs="Times New Roman"/>
          <w:sz w:val="24"/>
          <w:szCs w:val="24"/>
          <w:lang w:val="en-US"/>
        </w:rPr>
        <w:t xml:space="preserve"> rea in a crime of theft, the following elements need to be proven d</w:t>
      </w:r>
      <w:r w:rsidR="00624389" w:rsidRPr="00F52033">
        <w:rPr>
          <w:rFonts w:ascii="Times New Roman" w:hAnsi="Times New Roman" w:cs="Times New Roman"/>
          <w:sz w:val="24"/>
          <w:szCs w:val="24"/>
          <w:lang w:val="en-US"/>
        </w:rPr>
        <w:t xml:space="preserve">ishonesty and the intention to deprive another individual of their property permanently. On the element of dishonesty, section 2 of the Theft Act 1968 provides situations when one is considered to have acted in a dishonest manner. This includes where a person appropriates property with the intention of depriving the right of another person of it. It also involves a situation where a </w:t>
      </w:r>
      <w:r w:rsidR="004C1053" w:rsidRPr="00F52033">
        <w:rPr>
          <w:rFonts w:ascii="Times New Roman" w:hAnsi="Times New Roman" w:cs="Times New Roman"/>
          <w:sz w:val="24"/>
          <w:szCs w:val="24"/>
          <w:lang w:val="en-US"/>
        </w:rPr>
        <w:t xml:space="preserve">person appropriates property with the assumption that he or she would have been given consent to the ownership and use of the property if the owner </w:t>
      </w:r>
      <w:proofErr w:type="gramStart"/>
      <w:r w:rsidR="004C1053" w:rsidRPr="00F52033">
        <w:rPr>
          <w:rFonts w:ascii="Times New Roman" w:hAnsi="Times New Roman" w:cs="Times New Roman"/>
          <w:sz w:val="24"/>
          <w:szCs w:val="24"/>
          <w:lang w:val="en-US"/>
        </w:rPr>
        <w:t>was</w:t>
      </w:r>
      <w:proofErr w:type="gramEnd"/>
      <w:r w:rsidR="004C1053" w:rsidRPr="00F52033">
        <w:rPr>
          <w:rFonts w:ascii="Times New Roman" w:hAnsi="Times New Roman" w:cs="Times New Roman"/>
          <w:sz w:val="24"/>
          <w:szCs w:val="24"/>
          <w:lang w:val="en-US"/>
        </w:rPr>
        <w:t xml:space="preserve"> aware of the appropriation.</w:t>
      </w:r>
      <w:r w:rsidR="003C546F" w:rsidRPr="00F52033">
        <w:rPr>
          <w:rFonts w:ascii="Times New Roman" w:hAnsi="Times New Roman" w:cs="Times New Roman"/>
          <w:sz w:val="24"/>
          <w:szCs w:val="24"/>
          <w:lang w:val="en-US"/>
        </w:rPr>
        <w:t xml:space="preserve"> In this case, William Brown is accused of falsifying the stock records </w:t>
      </w:r>
      <w:r w:rsidR="003C546F" w:rsidRPr="00F52033">
        <w:rPr>
          <w:rFonts w:ascii="Times New Roman" w:hAnsi="Times New Roman" w:cs="Times New Roman"/>
          <w:sz w:val="24"/>
          <w:szCs w:val="24"/>
          <w:lang w:val="en-US"/>
        </w:rPr>
        <w:lastRenderedPageBreak/>
        <w:t xml:space="preserve">which is deemed to be a dishonest act. </w:t>
      </w:r>
      <w:r w:rsidR="004C1053" w:rsidRPr="00F52033">
        <w:rPr>
          <w:rFonts w:ascii="Times New Roman" w:hAnsi="Times New Roman" w:cs="Times New Roman"/>
          <w:sz w:val="24"/>
          <w:szCs w:val="24"/>
          <w:lang w:val="en-US"/>
        </w:rPr>
        <w:t xml:space="preserve">In addition, it refers to a situation where a person appropriates property with the belief that the owner of the property will not be found through taking steps that are reasonable. In the case of </w:t>
      </w:r>
      <w:r w:rsidR="0070247B">
        <w:rPr>
          <w:rFonts w:ascii="Times New Roman" w:hAnsi="Times New Roman" w:cs="Times New Roman"/>
          <w:i/>
          <w:iCs/>
          <w:sz w:val="24"/>
          <w:szCs w:val="24"/>
          <w:lang w:val="en-US"/>
        </w:rPr>
        <w:t>R vs Ghosh (1982)</w:t>
      </w:r>
      <w:r w:rsidR="004C1053" w:rsidRPr="00F52033">
        <w:rPr>
          <w:rFonts w:ascii="Times New Roman" w:hAnsi="Times New Roman" w:cs="Times New Roman"/>
          <w:sz w:val="24"/>
          <w:szCs w:val="24"/>
          <w:lang w:val="en-US"/>
        </w:rPr>
        <w:t>, the court provided a two-stage test that can be used in determining if the accused acted in a dishonest manner. The two-stage test includes: did the defendant act in a dishonest manner based on the ordinary standards of people who are reasonable and honest and was the defendant aware that he or she was dishonest based on those standards?</w:t>
      </w:r>
      <w:r w:rsidR="002A162C" w:rsidRPr="00F52033">
        <w:rPr>
          <w:rFonts w:ascii="Times New Roman" w:hAnsi="Times New Roman" w:cs="Times New Roman"/>
          <w:sz w:val="24"/>
          <w:szCs w:val="24"/>
          <w:lang w:val="en-US"/>
        </w:rPr>
        <w:t xml:space="preserve"> </w:t>
      </w:r>
      <w:r w:rsidR="004C1053" w:rsidRPr="00F52033">
        <w:rPr>
          <w:rFonts w:ascii="Times New Roman" w:hAnsi="Times New Roman" w:cs="Times New Roman"/>
          <w:sz w:val="24"/>
          <w:szCs w:val="24"/>
          <w:lang w:val="en-US"/>
        </w:rPr>
        <w:t xml:space="preserve">On the element of </w:t>
      </w:r>
      <w:r w:rsidR="002A162C" w:rsidRPr="00F52033">
        <w:rPr>
          <w:rFonts w:ascii="Times New Roman" w:hAnsi="Times New Roman" w:cs="Times New Roman"/>
          <w:sz w:val="24"/>
          <w:szCs w:val="24"/>
          <w:lang w:val="en-US"/>
        </w:rPr>
        <w:t xml:space="preserve">the accused having the intention to permanently deprive one use or ownership of their property, the victim does not have to be permanently deprived of his or her property. The defendant should have the intention of depriving the victim ownership of the property. </w:t>
      </w:r>
    </w:p>
    <w:p w14:paraId="6DD3004C" w14:textId="5E8BE712" w:rsidR="005F7E23" w:rsidRPr="00F52033" w:rsidRDefault="005F7E23" w:rsidP="00F52033">
      <w:pPr>
        <w:spacing w:line="480" w:lineRule="auto"/>
        <w:jc w:val="both"/>
        <w:rPr>
          <w:rFonts w:ascii="Times New Roman" w:hAnsi="Times New Roman" w:cs="Times New Roman"/>
          <w:i/>
          <w:iCs/>
          <w:sz w:val="24"/>
          <w:szCs w:val="24"/>
          <w:lang w:val="en-US"/>
        </w:rPr>
      </w:pPr>
      <w:r w:rsidRPr="00F52033">
        <w:rPr>
          <w:rFonts w:ascii="Times New Roman" w:hAnsi="Times New Roman" w:cs="Times New Roman"/>
          <w:i/>
          <w:iCs/>
          <w:sz w:val="24"/>
          <w:szCs w:val="24"/>
          <w:lang w:val="en-US"/>
        </w:rPr>
        <w:t>Procedure of Magistrate Court and Crown Court</w:t>
      </w:r>
    </w:p>
    <w:p w14:paraId="03E9287C" w14:textId="77777777" w:rsidR="00BA5C2C" w:rsidRPr="00F52033" w:rsidRDefault="00FD73EF"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The Magistrates Courts Act 1980, section 19, provides the procedure that are to be followed by a magistrates’ </w:t>
      </w:r>
      <w:proofErr w:type="gramStart"/>
      <w:r w:rsidRPr="00F52033">
        <w:rPr>
          <w:rFonts w:ascii="Times New Roman" w:hAnsi="Times New Roman" w:cs="Times New Roman"/>
          <w:sz w:val="24"/>
          <w:szCs w:val="24"/>
          <w:lang w:val="en-US"/>
        </w:rPr>
        <w:t>court  when</w:t>
      </w:r>
      <w:proofErr w:type="gramEnd"/>
      <w:r w:rsidRPr="00F52033">
        <w:rPr>
          <w:rFonts w:ascii="Times New Roman" w:hAnsi="Times New Roman" w:cs="Times New Roman"/>
          <w:sz w:val="24"/>
          <w:szCs w:val="24"/>
          <w:lang w:val="en-US"/>
        </w:rPr>
        <w:t xml:space="preserve"> making a decision whether a case pertaining to a particular case is triable or not triable </w:t>
      </w:r>
      <w:r w:rsidR="00241F44" w:rsidRPr="00F52033">
        <w:rPr>
          <w:rFonts w:ascii="Times New Roman" w:hAnsi="Times New Roman" w:cs="Times New Roman"/>
          <w:sz w:val="24"/>
          <w:szCs w:val="24"/>
          <w:lang w:val="en-US"/>
        </w:rPr>
        <w:t>and</w:t>
      </w:r>
      <w:r w:rsidRPr="00F52033">
        <w:rPr>
          <w:rFonts w:ascii="Times New Roman" w:hAnsi="Times New Roman" w:cs="Times New Roman"/>
          <w:sz w:val="24"/>
          <w:szCs w:val="24"/>
          <w:lang w:val="en-US"/>
        </w:rPr>
        <w:t xml:space="preserve"> the accused has not </w:t>
      </w:r>
      <w:r w:rsidR="004B4460" w:rsidRPr="00F52033">
        <w:rPr>
          <w:rFonts w:ascii="Times New Roman" w:hAnsi="Times New Roman" w:cs="Times New Roman"/>
          <w:sz w:val="24"/>
          <w:szCs w:val="24"/>
          <w:lang w:val="en-US"/>
        </w:rPr>
        <w:t>plead</w:t>
      </w:r>
      <w:r w:rsidRPr="00F52033">
        <w:rPr>
          <w:rFonts w:ascii="Times New Roman" w:hAnsi="Times New Roman" w:cs="Times New Roman"/>
          <w:sz w:val="24"/>
          <w:szCs w:val="24"/>
          <w:lang w:val="en-US"/>
        </w:rPr>
        <w:t xml:space="preserve"> guilty hence should be tried summarily or on indictment. Therefore, it is a requirement for the court to be informed concerning or put into consideration any of the defendant’s convictions previously</w:t>
      </w:r>
      <w:r w:rsidR="00241F44" w:rsidRPr="00F52033">
        <w:rPr>
          <w:rFonts w:ascii="Times New Roman" w:hAnsi="Times New Roman" w:cs="Times New Roman"/>
          <w:sz w:val="24"/>
          <w:szCs w:val="24"/>
          <w:lang w:val="en-US"/>
        </w:rPr>
        <w:t xml:space="preserve"> when </w:t>
      </w:r>
      <w:r w:rsidRPr="00F52033">
        <w:rPr>
          <w:rFonts w:ascii="Times New Roman" w:hAnsi="Times New Roman" w:cs="Times New Roman"/>
          <w:sz w:val="24"/>
          <w:szCs w:val="24"/>
          <w:lang w:val="en-US"/>
        </w:rPr>
        <w:t>determining if the sentencing powers that are available to it are sufficient.</w:t>
      </w:r>
      <w:r w:rsidR="00BA5C2C" w:rsidRPr="00F52033">
        <w:rPr>
          <w:rFonts w:ascii="Times New Roman" w:hAnsi="Times New Roman" w:cs="Times New Roman"/>
          <w:sz w:val="24"/>
          <w:szCs w:val="24"/>
          <w:lang w:val="en-US"/>
        </w:rPr>
        <w:t xml:space="preserve"> William Brown has not been convicted previously. He is known to be of good character and serves in the Territorial Army. </w:t>
      </w:r>
    </w:p>
    <w:p w14:paraId="47FD32AD" w14:textId="2EEC049F" w:rsidR="00FD73EF" w:rsidRPr="00F52033" w:rsidRDefault="00FD73EF"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The court is to consider </w:t>
      </w:r>
      <w:r w:rsidR="00F35BBB" w:rsidRPr="00F52033">
        <w:rPr>
          <w:rFonts w:ascii="Times New Roman" w:hAnsi="Times New Roman" w:cs="Times New Roman"/>
          <w:sz w:val="24"/>
          <w:szCs w:val="24"/>
          <w:lang w:val="en-US"/>
        </w:rPr>
        <w:t xml:space="preserve">the representations that are adduced by the </w:t>
      </w:r>
      <w:proofErr w:type="spellStart"/>
      <w:r w:rsidR="00F35BBB" w:rsidRPr="00F52033">
        <w:rPr>
          <w:rFonts w:ascii="Times New Roman" w:hAnsi="Times New Roman" w:cs="Times New Roman"/>
          <w:sz w:val="24"/>
          <w:szCs w:val="24"/>
          <w:lang w:val="en-US"/>
        </w:rPr>
        <w:t>defence</w:t>
      </w:r>
      <w:proofErr w:type="spellEnd"/>
      <w:r w:rsidR="00F35BBB" w:rsidRPr="00F52033">
        <w:rPr>
          <w:rFonts w:ascii="Times New Roman" w:hAnsi="Times New Roman" w:cs="Times New Roman"/>
          <w:sz w:val="24"/>
          <w:szCs w:val="24"/>
          <w:lang w:val="en-US"/>
        </w:rPr>
        <w:t xml:space="preserve"> or prosecution together with the allocating guidelines that are embedded in the Sentencing Guideline</w:t>
      </w:r>
      <w:r w:rsidR="00BA5C2C" w:rsidRPr="00F52033">
        <w:rPr>
          <w:rFonts w:ascii="Times New Roman" w:hAnsi="Times New Roman" w:cs="Times New Roman"/>
          <w:sz w:val="24"/>
          <w:szCs w:val="24"/>
          <w:lang w:val="en-US"/>
        </w:rPr>
        <w:t>s.</w:t>
      </w:r>
      <w:r w:rsidR="00F35BBB" w:rsidRPr="00F52033">
        <w:rPr>
          <w:rFonts w:ascii="Times New Roman" w:hAnsi="Times New Roman" w:cs="Times New Roman"/>
          <w:sz w:val="24"/>
          <w:szCs w:val="24"/>
          <w:lang w:val="en-US"/>
        </w:rPr>
        <w:t xml:space="preserve"> In addition, under section 20 (3) of the Magistrates’ Court Act 1980 allows defendants who are adults that have indicated a plea of not guilty or have not provided an </w:t>
      </w:r>
      <w:r w:rsidR="00F35BBB" w:rsidRPr="00F52033">
        <w:rPr>
          <w:rFonts w:ascii="Times New Roman" w:hAnsi="Times New Roman" w:cs="Times New Roman"/>
          <w:sz w:val="24"/>
          <w:szCs w:val="24"/>
          <w:lang w:val="en-US"/>
        </w:rPr>
        <w:lastRenderedPageBreak/>
        <w:t xml:space="preserve">indication as to plea to seek indication from the Magistrates court the likelihood of a custodial or non-custodial sentence after guilty plea within the magistrates’ court. </w:t>
      </w:r>
    </w:p>
    <w:p w14:paraId="5ABE1BAF" w14:textId="2D6F67CD" w:rsidR="0007087D" w:rsidRPr="00F52033" w:rsidRDefault="00672687"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Section 50A, 51, 51A and 52 of the Crime and Disorder Act 1988 governs the procedure of sending indictable cases to the Crown Court. In instances where the accused is sent to the Crown Court for trial, the court will ask if the accused has the intention of making a guilty plea in the Crown Court. In the event where the defendant will plead </w:t>
      </w:r>
      <w:r w:rsidR="006C55CF" w:rsidRPr="00F52033">
        <w:rPr>
          <w:rFonts w:ascii="Times New Roman" w:hAnsi="Times New Roman" w:cs="Times New Roman"/>
          <w:sz w:val="24"/>
          <w:szCs w:val="24"/>
          <w:lang w:val="en-US"/>
        </w:rPr>
        <w:t>guilty</w:t>
      </w:r>
      <w:r w:rsidRPr="00F52033">
        <w:rPr>
          <w:rFonts w:ascii="Times New Roman" w:hAnsi="Times New Roman" w:cs="Times New Roman"/>
          <w:sz w:val="24"/>
          <w:szCs w:val="24"/>
          <w:lang w:val="en-US"/>
        </w:rPr>
        <w:t>, the Magistrates court will put in place arrangements that will enable the Crown Court to take the plea of the defendant soon and in instances where the defendant is likely to not plead guilty or does not have an answer, the court will put in place arrangements for case management hearing wit</w:t>
      </w:r>
      <w:r w:rsidR="00941F91" w:rsidRPr="00F52033">
        <w:rPr>
          <w:rFonts w:ascii="Times New Roman" w:hAnsi="Times New Roman" w:cs="Times New Roman"/>
          <w:sz w:val="24"/>
          <w:szCs w:val="24"/>
          <w:lang w:val="en-US"/>
        </w:rPr>
        <w:t xml:space="preserve">hin the Crown Court. This is perceived to be an imperative stage as it has implications on the type of preparation that will be undertaken by the team of the prosecution and case-listing early. In addition, it is an indicator for the </w:t>
      </w:r>
      <w:proofErr w:type="spellStart"/>
      <w:r w:rsidR="006C55CF" w:rsidRPr="00F52033">
        <w:rPr>
          <w:rFonts w:ascii="Times New Roman" w:hAnsi="Times New Roman" w:cs="Times New Roman"/>
          <w:sz w:val="24"/>
          <w:szCs w:val="24"/>
          <w:lang w:val="en-US"/>
        </w:rPr>
        <w:t>defence</w:t>
      </w:r>
      <w:proofErr w:type="spellEnd"/>
      <w:r w:rsidR="00941F91" w:rsidRPr="00F52033">
        <w:rPr>
          <w:rFonts w:ascii="Times New Roman" w:hAnsi="Times New Roman" w:cs="Times New Roman"/>
          <w:sz w:val="24"/>
          <w:szCs w:val="24"/>
          <w:lang w:val="en-US"/>
        </w:rPr>
        <w:t xml:space="preserve"> to plead guilty at an early stage.</w:t>
      </w:r>
    </w:p>
    <w:p w14:paraId="25EDF78B" w14:textId="0373FB4A" w:rsidR="004A73D4" w:rsidRPr="00F52033" w:rsidRDefault="004A73D4"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In the event where William is found guilty, the plea in mitigation will include character evidence which </w:t>
      </w:r>
      <w:r w:rsidR="00132EAC">
        <w:rPr>
          <w:rFonts w:ascii="Times New Roman" w:hAnsi="Times New Roman" w:cs="Times New Roman"/>
          <w:sz w:val="24"/>
          <w:szCs w:val="24"/>
          <w:lang w:val="en-US"/>
        </w:rPr>
        <w:t>aims to prove his</w:t>
      </w:r>
      <w:r w:rsidRPr="00F52033">
        <w:rPr>
          <w:rFonts w:ascii="Times New Roman" w:hAnsi="Times New Roman" w:cs="Times New Roman"/>
          <w:sz w:val="24"/>
          <w:szCs w:val="24"/>
          <w:lang w:val="en-US"/>
        </w:rPr>
        <w:t xml:space="preserve"> good character</w:t>
      </w:r>
      <w:r w:rsidR="00132EAC">
        <w:rPr>
          <w:rFonts w:ascii="Times New Roman" w:hAnsi="Times New Roman" w:cs="Times New Roman"/>
          <w:sz w:val="24"/>
          <w:szCs w:val="24"/>
          <w:lang w:val="en-US"/>
        </w:rPr>
        <w:t>. This includes being known by people as a man of good character and his</w:t>
      </w:r>
      <w:r w:rsidRPr="00F52033">
        <w:rPr>
          <w:rFonts w:ascii="Times New Roman" w:hAnsi="Times New Roman" w:cs="Times New Roman"/>
          <w:sz w:val="24"/>
          <w:szCs w:val="24"/>
          <w:lang w:val="en-US"/>
        </w:rPr>
        <w:t xml:space="preserve"> occupation in the Territorial Army</w:t>
      </w:r>
      <w:r w:rsidR="00132EAC">
        <w:rPr>
          <w:rFonts w:ascii="Times New Roman" w:hAnsi="Times New Roman" w:cs="Times New Roman"/>
          <w:sz w:val="24"/>
          <w:szCs w:val="24"/>
          <w:lang w:val="en-US"/>
        </w:rPr>
        <w:t xml:space="preserve"> that requires one to have high integrity</w:t>
      </w:r>
      <w:r w:rsidRPr="00F52033">
        <w:rPr>
          <w:rFonts w:ascii="Times New Roman" w:hAnsi="Times New Roman" w:cs="Times New Roman"/>
          <w:sz w:val="24"/>
          <w:szCs w:val="24"/>
          <w:lang w:val="en-US"/>
        </w:rPr>
        <w:t>. In addition, h</w:t>
      </w:r>
      <w:r w:rsidR="00132EAC">
        <w:rPr>
          <w:rFonts w:ascii="Times New Roman" w:hAnsi="Times New Roman" w:cs="Times New Roman"/>
          <w:sz w:val="24"/>
          <w:szCs w:val="24"/>
          <w:lang w:val="en-US"/>
        </w:rPr>
        <w:t xml:space="preserve">is undertaking of </w:t>
      </w:r>
      <w:r w:rsidRPr="00F52033">
        <w:rPr>
          <w:rFonts w:ascii="Times New Roman" w:hAnsi="Times New Roman" w:cs="Times New Roman"/>
          <w:sz w:val="24"/>
          <w:szCs w:val="24"/>
          <w:lang w:val="en-US"/>
        </w:rPr>
        <w:t>postgraduate</w:t>
      </w:r>
      <w:r w:rsidR="00132EAC">
        <w:rPr>
          <w:rFonts w:ascii="Times New Roman" w:hAnsi="Times New Roman" w:cs="Times New Roman"/>
          <w:sz w:val="24"/>
          <w:szCs w:val="24"/>
          <w:lang w:val="en-US"/>
        </w:rPr>
        <w:t>, a</w:t>
      </w:r>
      <w:r w:rsidRPr="00F52033">
        <w:rPr>
          <w:rFonts w:ascii="Times New Roman" w:hAnsi="Times New Roman" w:cs="Times New Roman"/>
          <w:sz w:val="24"/>
          <w:szCs w:val="24"/>
          <w:lang w:val="en-US"/>
        </w:rPr>
        <w:t xml:space="preserve"> net income of 12,000 euros per annum and inherited 50,000 euros from his grandmother.</w:t>
      </w:r>
    </w:p>
    <w:p w14:paraId="4DC2F442" w14:textId="7FDC7A1A" w:rsidR="0007087D" w:rsidRPr="00F52033" w:rsidRDefault="0007087D" w:rsidP="00F52033">
      <w:pPr>
        <w:spacing w:line="480" w:lineRule="auto"/>
        <w:jc w:val="both"/>
        <w:rPr>
          <w:rFonts w:ascii="Times New Roman" w:hAnsi="Times New Roman" w:cs="Times New Roman"/>
          <w:i/>
          <w:iCs/>
          <w:sz w:val="24"/>
          <w:szCs w:val="24"/>
          <w:lang w:val="en-US"/>
        </w:rPr>
      </w:pPr>
      <w:r w:rsidRPr="00F52033">
        <w:rPr>
          <w:rFonts w:ascii="Times New Roman" w:hAnsi="Times New Roman" w:cs="Times New Roman"/>
          <w:i/>
          <w:iCs/>
          <w:sz w:val="24"/>
          <w:szCs w:val="24"/>
          <w:lang w:val="en-US"/>
        </w:rPr>
        <w:t xml:space="preserve">Advantages and Disadvantages of Magistrate Court </w:t>
      </w:r>
    </w:p>
    <w:p w14:paraId="167EF445" w14:textId="22F60729" w:rsidR="0007087D" w:rsidRPr="00F52033" w:rsidRDefault="0007087D"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There are both advantages and disadvantages of having William Brown’s case before the Magistrate’s court. If William Brown has the intention of pleading guilty, having their case in the Magistrate’s court is preferable as they are likely to receive a lower penalty. Also, there is a higher likelihood of the case to be heard by the court soon. The magistrates’ courts procedures are simpler. In the event he is convicted, the cost of the court and sentence will be lower than that of the Crown Court. Some of the disadvantages of Magistrates court include: </w:t>
      </w:r>
      <w:r w:rsidRPr="00F52033">
        <w:rPr>
          <w:rFonts w:ascii="Times New Roman" w:hAnsi="Times New Roman" w:cs="Times New Roman"/>
          <w:sz w:val="24"/>
          <w:szCs w:val="24"/>
          <w:lang w:val="en-US"/>
        </w:rPr>
        <w:lastRenderedPageBreak/>
        <w:t xml:space="preserve">the rate of one being acquitted is lower as compared to the Crown Court. In addition, there is less likelihood of the magistrates to accept </w:t>
      </w:r>
      <w:proofErr w:type="spellStart"/>
      <w:r w:rsidRPr="00F52033">
        <w:rPr>
          <w:rFonts w:ascii="Times New Roman" w:hAnsi="Times New Roman" w:cs="Times New Roman"/>
          <w:sz w:val="24"/>
          <w:szCs w:val="24"/>
          <w:lang w:val="en-US"/>
        </w:rPr>
        <w:t>defences</w:t>
      </w:r>
      <w:proofErr w:type="spellEnd"/>
      <w:r w:rsidRPr="00F52033">
        <w:rPr>
          <w:rFonts w:ascii="Times New Roman" w:hAnsi="Times New Roman" w:cs="Times New Roman"/>
          <w:sz w:val="24"/>
          <w:szCs w:val="24"/>
          <w:lang w:val="en-US"/>
        </w:rPr>
        <w:t xml:space="preserve"> that are political. Also, magistrates can have prejudice against community activist associated with certain campaigns which are disruptive within the community. In most instances, magistrates have not undertaken legal training hence may have limited knowledge concerning the law. Also, matters may attract larger penalties as they are likely to be exaggerated. When William Brown is acquitted in the magistrates’ court, the prosecution can appeal on the grounds of a point of law. When the appeal made by the prosecution is successful, William Brown will be convicted and sentenced. In addition, the magistrate’s court does not absolute power in ensuring full disclose of evidence being adduced by the prosecution.</w:t>
      </w:r>
    </w:p>
    <w:p w14:paraId="537D694A" w14:textId="45FB2C0F" w:rsidR="005F7E23" w:rsidRPr="00F52033" w:rsidRDefault="005F7E23" w:rsidP="00F52033">
      <w:pPr>
        <w:spacing w:line="480" w:lineRule="auto"/>
        <w:jc w:val="both"/>
        <w:rPr>
          <w:rFonts w:ascii="Times New Roman" w:hAnsi="Times New Roman" w:cs="Times New Roman"/>
          <w:i/>
          <w:iCs/>
          <w:sz w:val="24"/>
          <w:szCs w:val="24"/>
          <w:lang w:val="en-US"/>
        </w:rPr>
      </w:pPr>
      <w:r w:rsidRPr="00F52033">
        <w:rPr>
          <w:rFonts w:ascii="Times New Roman" w:hAnsi="Times New Roman" w:cs="Times New Roman"/>
          <w:i/>
          <w:iCs/>
          <w:sz w:val="24"/>
          <w:szCs w:val="24"/>
          <w:lang w:val="en-US"/>
        </w:rPr>
        <w:t>Advantages and Disadvantages of Crown Court</w:t>
      </w:r>
    </w:p>
    <w:p w14:paraId="793D61E7" w14:textId="0078BE1F" w:rsidR="00132EAC" w:rsidRDefault="0007087D"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The following are some of the advantages of the Crown Court, the rate of the William Brown being acquitted is higher</w:t>
      </w:r>
      <w:r w:rsidR="000C79E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49963128"/>
          <w:citation/>
        </w:sdtPr>
        <w:sdtEndPr/>
        <w:sdtContent>
          <w:r w:rsidR="000C79EA">
            <w:rPr>
              <w:rFonts w:ascii="Times New Roman" w:hAnsi="Times New Roman" w:cs="Times New Roman"/>
              <w:sz w:val="24"/>
              <w:szCs w:val="24"/>
              <w:lang w:val="en-US"/>
            </w:rPr>
            <w:fldChar w:fldCharType="begin"/>
          </w:r>
          <w:r w:rsidR="000C79EA">
            <w:rPr>
              <w:rFonts w:ascii="Times New Roman" w:hAnsi="Times New Roman" w:cs="Times New Roman"/>
              <w:sz w:val="24"/>
              <w:szCs w:val="24"/>
            </w:rPr>
            <w:instrText xml:space="preserve"> CITATION Jay20 \l 2057 </w:instrText>
          </w:r>
          <w:r w:rsidR="000C79EA">
            <w:rPr>
              <w:rFonts w:ascii="Times New Roman" w:hAnsi="Times New Roman" w:cs="Times New Roman"/>
              <w:sz w:val="24"/>
              <w:szCs w:val="24"/>
              <w:lang w:val="en-US"/>
            </w:rPr>
            <w:fldChar w:fldCharType="separate"/>
          </w:r>
          <w:r w:rsidR="000C79EA" w:rsidRPr="000C79EA">
            <w:rPr>
              <w:rFonts w:ascii="Times New Roman" w:hAnsi="Times New Roman" w:cs="Times New Roman"/>
              <w:noProof/>
              <w:sz w:val="24"/>
              <w:szCs w:val="24"/>
            </w:rPr>
            <w:t>(Matthews, 2020)</w:t>
          </w:r>
          <w:r w:rsidR="000C79EA">
            <w:rPr>
              <w:rFonts w:ascii="Times New Roman" w:hAnsi="Times New Roman" w:cs="Times New Roman"/>
              <w:sz w:val="24"/>
              <w:szCs w:val="24"/>
              <w:lang w:val="en-US"/>
            </w:rPr>
            <w:fldChar w:fldCharType="end"/>
          </w:r>
        </w:sdtContent>
      </w:sdt>
      <w:r w:rsidR="000C79EA">
        <w:rPr>
          <w:rFonts w:ascii="Times New Roman" w:hAnsi="Times New Roman" w:cs="Times New Roman"/>
          <w:sz w:val="24"/>
          <w:szCs w:val="24"/>
          <w:lang w:val="en-US"/>
        </w:rPr>
        <w:t>.</w:t>
      </w:r>
      <w:r w:rsidR="004A73D4" w:rsidRPr="00F52033">
        <w:rPr>
          <w:rFonts w:ascii="Times New Roman" w:hAnsi="Times New Roman" w:cs="Times New Roman"/>
          <w:sz w:val="24"/>
          <w:szCs w:val="24"/>
          <w:lang w:val="en-US"/>
        </w:rPr>
        <w:t xml:space="preserve"> </w:t>
      </w:r>
      <w:r w:rsidRPr="00F52033">
        <w:rPr>
          <w:rFonts w:ascii="Times New Roman" w:hAnsi="Times New Roman" w:cs="Times New Roman"/>
          <w:sz w:val="24"/>
          <w:szCs w:val="24"/>
          <w:lang w:val="en-US"/>
        </w:rPr>
        <w:t xml:space="preserve">There is a high likelihood for juries within the court to accept </w:t>
      </w:r>
      <w:r w:rsidR="000C79EA" w:rsidRPr="00F52033">
        <w:rPr>
          <w:rFonts w:ascii="Times New Roman" w:hAnsi="Times New Roman" w:cs="Times New Roman"/>
          <w:sz w:val="24"/>
          <w:szCs w:val="24"/>
          <w:lang w:val="en-US"/>
        </w:rPr>
        <w:t>defense</w:t>
      </w:r>
      <w:r w:rsidRPr="00F52033">
        <w:rPr>
          <w:rFonts w:ascii="Times New Roman" w:hAnsi="Times New Roman" w:cs="Times New Roman"/>
          <w:sz w:val="24"/>
          <w:szCs w:val="24"/>
          <w:lang w:val="en-US"/>
        </w:rPr>
        <w:t xml:space="preserve"> that is political compared to believing the police. When one is acquitted and the prosecution lodges an appeal and it is successful based on a point of law, the acquittal of the accused will not be overturned. The disadvantages of the Crown court include a lot of hearings and William Brown may incur a lot of expenses such as travel. The duration of the court proceedings is longer compared to magistrates’ court. If William Brown is convicted, there is a high likelihood of sentencing and court cost that are higher as opposed to the Magistrates’ court.</w:t>
      </w:r>
    </w:p>
    <w:p w14:paraId="68FC5AF2" w14:textId="798B8A16" w:rsidR="005F7E23" w:rsidRPr="00F52033" w:rsidRDefault="005F7E23" w:rsidP="00132EAC">
      <w:pPr>
        <w:spacing w:line="480" w:lineRule="auto"/>
        <w:jc w:val="both"/>
        <w:rPr>
          <w:rFonts w:ascii="Times New Roman" w:hAnsi="Times New Roman" w:cs="Times New Roman"/>
          <w:sz w:val="24"/>
          <w:szCs w:val="24"/>
          <w:lang w:val="en-US"/>
        </w:rPr>
      </w:pPr>
      <w:r w:rsidRPr="00F52033">
        <w:rPr>
          <w:rFonts w:ascii="Times New Roman" w:hAnsi="Times New Roman" w:cs="Times New Roman"/>
          <w:i/>
          <w:iCs/>
          <w:sz w:val="24"/>
          <w:szCs w:val="24"/>
          <w:lang w:val="en-US"/>
        </w:rPr>
        <w:t>Sentencing of Theft</w:t>
      </w:r>
    </w:p>
    <w:p w14:paraId="69B316CF" w14:textId="3DD98D25" w:rsidR="0007087D" w:rsidRPr="00F52033" w:rsidRDefault="005F7E23"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Theft is a crime that is triable in the Crown Court that attracts a maximum penalty of imprisonment for seven years and/or a fine that is not limited. While in the court of the </w:t>
      </w:r>
      <w:r w:rsidRPr="00F52033">
        <w:rPr>
          <w:rFonts w:ascii="Times New Roman" w:hAnsi="Times New Roman" w:cs="Times New Roman"/>
          <w:sz w:val="24"/>
          <w:szCs w:val="24"/>
          <w:lang w:val="en-US"/>
        </w:rPr>
        <w:lastRenderedPageBreak/>
        <w:t>magistrate it attracts a penalty of imprisonment for six months a</w:t>
      </w:r>
      <w:r w:rsidR="000E5AE8">
        <w:rPr>
          <w:rFonts w:ascii="Times New Roman" w:hAnsi="Times New Roman" w:cs="Times New Roman"/>
          <w:sz w:val="24"/>
          <w:szCs w:val="24"/>
          <w:lang w:val="en-US"/>
        </w:rPr>
        <w:t xml:space="preserve">nd/or fine that is not limited. </w:t>
      </w:r>
      <w:sdt>
        <w:sdtPr>
          <w:rPr>
            <w:rFonts w:ascii="Times New Roman" w:hAnsi="Times New Roman" w:cs="Times New Roman"/>
            <w:sz w:val="24"/>
            <w:szCs w:val="24"/>
            <w:lang w:val="en-US"/>
          </w:rPr>
          <w:id w:val="2010628318"/>
          <w:citation/>
        </w:sdtPr>
        <w:sdtEndPr/>
        <w:sdtContent>
          <w:r w:rsidR="000E5AE8">
            <w:rPr>
              <w:rFonts w:ascii="Times New Roman" w:hAnsi="Times New Roman" w:cs="Times New Roman"/>
              <w:sz w:val="24"/>
              <w:szCs w:val="24"/>
              <w:lang w:val="en-US"/>
            </w:rPr>
            <w:fldChar w:fldCharType="begin"/>
          </w:r>
          <w:r w:rsidR="000E5AE8">
            <w:rPr>
              <w:rFonts w:ascii="Times New Roman" w:hAnsi="Times New Roman" w:cs="Times New Roman"/>
              <w:sz w:val="24"/>
              <w:szCs w:val="24"/>
            </w:rPr>
            <w:instrText xml:space="preserve"> CITATION CPS19 \l 2057 </w:instrText>
          </w:r>
          <w:r w:rsidR="000E5AE8">
            <w:rPr>
              <w:rFonts w:ascii="Times New Roman" w:hAnsi="Times New Roman" w:cs="Times New Roman"/>
              <w:sz w:val="24"/>
              <w:szCs w:val="24"/>
              <w:lang w:val="en-US"/>
            </w:rPr>
            <w:fldChar w:fldCharType="separate"/>
          </w:r>
          <w:r w:rsidR="000E5AE8" w:rsidRPr="000E5AE8">
            <w:rPr>
              <w:rFonts w:ascii="Times New Roman" w:hAnsi="Times New Roman" w:cs="Times New Roman"/>
              <w:noProof/>
              <w:sz w:val="24"/>
              <w:szCs w:val="24"/>
            </w:rPr>
            <w:t>(CPS, 2019)</w:t>
          </w:r>
          <w:r w:rsidR="000E5AE8">
            <w:rPr>
              <w:rFonts w:ascii="Times New Roman" w:hAnsi="Times New Roman" w:cs="Times New Roman"/>
              <w:sz w:val="24"/>
              <w:szCs w:val="24"/>
              <w:lang w:val="en-US"/>
            </w:rPr>
            <w:fldChar w:fldCharType="end"/>
          </w:r>
        </w:sdtContent>
      </w:sdt>
      <w:r w:rsidR="000E5AE8">
        <w:rPr>
          <w:rFonts w:ascii="Times New Roman" w:hAnsi="Times New Roman" w:cs="Times New Roman"/>
          <w:sz w:val="24"/>
          <w:szCs w:val="24"/>
          <w:lang w:val="en-US"/>
        </w:rPr>
        <w:t xml:space="preserve">.  </w:t>
      </w:r>
      <w:r w:rsidRPr="00F52033">
        <w:rPr>
          <w:rFonts w:ascii="Times New Roman" w:hAnsi="Times New Roman" w:cs="Times New Roman"/>
          <w:sz w:val="24"/>
          <w:szCs w:val="24"/>
          <w:lang w:val="en-US"/>
        </w:rPr>
        <w:t xml:space="preserve">William Brown is being accused of theft. </w:t>
      </w:r>
    </w:p>
    <w:p w14:paraId="42F56533" w14:textId="42E1DB1F" w:rsidR="00F52033" w:rsidRPr="00F52033" w:rsidRDefault="00941F91" w:rsidP="00132EAC">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An offence that is indictab</w:t>
      </w:r>
      <w:r w:rsidR="00E50B03" w:rsidRPr="00F52033">
        <w:rPr>
          <w:rFonts w:ascii="Times New Roman" w:hAnsi="Times New Roman" w:cs="Times New Roman"/>
          <w:sz w:val="24"/>
          <w:szCs w:val="24"/>
          <w:lang w:val="en-US"/>
        </w:rPr>
        <w:t>le</w:t>
      </w:r>
      <w:r w:rsidRPr="00F52033">
        <w:rPr>
          <w:rFonts w:ascii="Times New Roman" w:hAnsi="Times New Roman" w:cs="Times New Roman"/>
          <w:sz w:val="24"/>
          <w:szCs w:val="24"/>
          <w:lang w:val="en-US"/>
        </w:rPr>
        <w:t>, attracts the punishment of imprisonment, summary only offence, entailing driving disqualification that is discretionary or obligation or is an indictable only offence should be forwarded to the Crown Court.</w:t>
      </w:r>
      <w:r w:rsidR="00171DCB" w:rsidRPr="00F52033">
        <w:rPr>
          <w:rFonts w:ascii="Times New Roman" w:hAnsi="Times New Roman" w:cs="Times New Roman"/>
          <w:sz w:val="24"/>
          <w:szCs w:val="24"/>
          <w:lang w:val="en-US"/>
        </w:rPr>
        <w:t xml:space="preserve"> According to section 51 (4) Crime and Disorder Act 1988,</w:t>
      </w:r>
      <w:r w:rsidRPr="00F52033">
        <w:rPr>
          <w:rFonts w:ascii="Times New Roman" w:hAnsi="Times New Roman" w:cs="Times New Roman"/>
          <w:sz w:val="24"/>
          <w:szCs w:val="24"/>
          <w:lang w:val="en-US"/>
        </w:rPr>
        <w:t xml:space="preserve"> </w:t>
      </w:r>
      <w:r w:rsidR="00171DCB" w:rsidRPr="00F52033">
        <w:rPr>
          <w:rFonts w:ascii="Times New Roman" w:hAnsi="Times New Roman" w:cs="Times New Roman"/>
          <w:sz w:val="24"/>
          <w:szCs w:val="24"/>
          <w:lang w:val="en-US"/>
        </w:rPr>
        <w:t>i</w:t>
      </w:r>
      <w:r w:rsidRPr="00F52033">
        <w:rPr>
          <w:rFonts w:ascii="Times New Roman" w:hAnsi="Times New Roman" w:cs="Times New Roman"/>
          <w:sz w:val="24"/>
          <w:szCs w:val="24"/>
          <w:lang w:val="en-US"/>
        </w:rPr>
        <w:t>n the event where an adult who has been charged with a summary only offense</w:t>
      </w:r>
      <w:r w:rsidR="00171DCB" w:rsidRPr="00F52033">
        <w:rPr>
          <w:rFonts w:ascii="Times New Roman" w:hAnsi="Times New Roman" w:cs="Times New Roman"/>
          <w:sz w:val="24"/>
          <w:szCs w:val="24"/>
          <w:lang w:val="en-US"/>
        </w:rPr>
        <w:t>, discretionary or obligatory driving disqualification or an offence that is punishable with imprisonment</w:t>
      </w:r>
      <w:r w:rsidRPr="00F52033">
        <w:rPr>
          <w:rFonts w:ascii="Times New Roman" w:hAnsi="Times New Roman" w:cs="Times New Roman"/>
          <w:sz w:val="24"/>
          <w:szCs w:val="24"/>
          <w:lang w:val="en-US"/>
        </w:rPr>
        <w:t xml:space="preserve"> is sent for trial goes before the Magistrate’s cou</w:t>
      </w:r>
      <w:r w:rsidR="00171DCB" w:rsidRPr="00F52033">
        <w:rPr>
          <w:rFonts w:ascii="Times New Roman" w:hAnsi="Times New Roman" w:cs="Times New Roman"/>
          <w:sz w:val="24"/>
          <w:szCs w:val="24"/>
          <w:lang w:val="en-US"/>
        </w:rPr>
        <w:t>rt, the court can send the accused to the Crown Court for trial purposes in instances where the offence is an indictable offence. An either-way offence is related in instances where the charge pertaining to the either-way offence can combined with the similar indictment as the charge of an indictable-only offence. In the event where a summary offence is related when it emerges from situation that are similar or in connection with those lead to indictable-only offence. A summary only offence that is transferred to the Crown Court are deemed to have been adjourned under section 10 of the Magistrate’s Court Act 1980 an</w:t>
      </w:r>
      <w:r w:rsidR="006C55CF" w:rsidRPr="00F52033">
        <w:rPr>
          <w:rFonts w:ascii="Times New Roman" w:hAnsi="Times New Roman" w:cs="Times New Roman"/>
          <w:sz w:val="24"/>
          <w:szCs w:val="24"/>
          <w:lang w:val="en-US"/>
        </w:rPr>
        <w:t>d the resumption place and time had not been fixed.</w:t>
      </w:r>
      <w:r w:rsidR="00BA5C2C" w:rsidRPr="00F52033">
        <w:rPr>
          <w:rFonts w:ascii="Times New Roman" w:hAnsi="Times New Roman" w:cs="Times New Roman"/>
          <w:sz w:val="24"/>
          <w:szCs w:val="24"/>
          <w:lang w:val="en-US"/>
        </w:rPr>
        <w:t xml:space="preserve"> </w:t>
      </w:r>
      <w:r w:rsidR="004B4460" w:rsidRPr="00F52033">
        <w:rPr>
          <w:rFonts w:ascii="Times New Roman" w:hAnsi="Times New Roman" w:cs="Times New Roman"/>
          <w:sz w:val="24"/>
          <w:szCs w:val="24"/>
          <w:lang w:val="en-US"/>
        </w:rPr>
        <w:t>The crime that William Brown is being accused of is the theft which fal</w:t>
      </w:r>
      <w:r w:rsidR="00BA5C2C" w:rsidRPr="00F52033">
        <w:rPr>
          <w:rFonts w:ascii="Times New Roman" w:hAnsi="Times New Roman" w:cs="Times New Roman"/>
          <w:sz w:val="24"/>
          <w:szCs w:val="24"/>
          <w:lang w:val="en-US"/>
        </w:rPr>
        <w:t>ls</w:t>
      </w:r>
      <w:r w:rsidR="004B4460" w:rsidRPr="00F52033">
        <w:rPr>
          <w:rFonts w:ascii="Times New Roman" w:hAnsi="Times New Roman" w:cs="Times New Roman"/>
          <w:sz w:val="24"/>
          <w:szCs w:val="24"/>
          <w:lang w:val="en-US"/>
        </w:rPr>
        <w:t xml:space="preserve"> under the category of summary offence. The case will be sent to the Magistrates’ court. </w:t>
      </w:r>
    </w:p>
    <w:p w14:paraId="1EE10EE8" w14:textId="26C00047" w:rsidR="005F7E23" w:rsidRPr="00F52033" w:rsidRDefault="005F7E23" w:rsidP="00F52033">
      <w:pPr>
        <w:spacing w:line="480" w:lineRule="auto"/>
        <w:jc w:val="both"/>
        <w:rPr>
          <w:rFonts w:ascii="Times New Roman" w:hAnsi="Times New Roman" w:cs="Times New Roman"/>
          <w:i/>
          <w:iCs/>
          <w:sz w:val="24"/>
          <w:szCs w:val="24"/>
          <w:lang w:val="en-US"/>
        </w:rPr>
      </w:pPr>
      <w:r w:rsidRPr="00F52033">
        <w:rPr>
          <w:rFonts w:ascii="Times New Roman" w:hAnsi="Times New Roman" w:cs="Times New Roman"/>
          <w:i/>
          <w:iCs/>
          <w:sz w:val="24"/>
          <w:szCs w:val="24"/>
          <w:lang w:val="en-US"/>
        </w:rPr>
        <w:t>Legal Aid</w:t>
      </w:r>
    </w:p>
    <w:p w14:paraId="2D293C6E" w14:textId="5CE244A4" w:rsidR="003E55D9" w:rsidRPr="00F52033" w:rsidRDefault="00125DF2" w:rsidP="00F52033">
      <w:pPr>
        <w:spacing w:line="480" w:lineRule="auto"/>
        <w:ind w:firstLine="720"/>
        <w:jc w:val="both"/>
        <w:rPr>
          <w:rFonts w:ascii="Times New Roman" w:hAnsi="Times New Roman" w:cs="Times New Roman"/>
          <w:sz w:val="24"/>
          <w:szCs w:val="24"/>
          <w:lang w:val="en-US"/>
        </w:rPr>
      </w:pPr>
      <w:r w:rsidRPr="00F52033">
        <w:rPr>
          <w:rFonts w:ascii="Times New Roman" w:hAnsi="Times New Roman" w:cs="Times New Roman"/>
          <w:sz w:val="24"/>
          <w:szCs w:val="24"/>
          <w:lang w:val="en-US"/>
        </w:rPr>
        <w:t xml:space="preserve">According to section 11 of the Legal Aid, Sentencing and Punishment of Offenders Act, 2012 the following factors will determine William Brown qualifies for legal aid. Some of the factors include: the cost implications of providing the services and the benefits to be obtained, resource availability, appropriateness of providing those services, magnitude and nature of the circumstance, act or omission, the prospects of the success of the accused in the case, accused’s conduct in connection with the services, individual’s conduct during legal </w:t>
      </w:r>
      <w:r w:rsidRPr="00F52033">
        <w:rPr>
          <w:rFonts w:ascii="Times New Roman" w:hAnsi="Times New Roman" w:cs="Times New Roman"/>
          <w:sz w:val="24"/>
          <w:szCs w:val="24"/>
          <w:lang w:val="en-US"/>
        </w:rPr>
        <w:lastRenderedPageBreak/>
        <w:t xml:space="preserve">proceeding or any other proceeding that aims to resolve disputes pertaining to legal duties or rights and public interest. In the event where William Brown is found guilty at trial, an appeal can be lodged on the following grounds: the judge made an </w:t>
      </w:r>
      <w:r w:rsidR="00241F44" w:rsidRPr="00F52033">
        <w:rPr>
          <w:rFonts w:ascii="Times New Roman" w:hAnsi="Times New Roman" w:cs="Times New Roman"/>
          <w:sz w:val="24"/>
          <w:szCs w:val="24"/>
          <w:lang w:val="en-US"/>
        </w:rPr>
        <w:t>error of the law, the evidence or the facts of the case adduced in the court did not inform the judgement of the case or the judge</w:t>
      </w:r>
      <w:r w:rsidR="00E50B03" w:rsidRPr="00F52033">
        <w:rPr>
          <w:rFonts w:ascii="Times New Roman" w:hAnsi="Times New Roman" w:cs="Times New Roman"/>
          <w:sz w:val="24"/>
          <w:szCs w:val="24"/>
          <w:lang w:val="en-US"/>
        </w:rPr>
        <w:t xml:space="preserve"> is deemed to have</w:t>
      </w:r>
      <w:r w:rsidR="00241F44" w:rsidRPr="00F52033">
        <w:rPr>
          <w:rFonts w:ascii="Times New Roman" w:hAnsi="Times New Roman" w:cs="Times New Roman"/>
          <w:sz w:val="24"/>
          <w:szCs w:val="24"/>
          <w:lang w:val="en-US"/>
        </w:rPr>
        <w:t xml:space="preserve"> abused his or her discretion. </w:t>
      </w:r>
    </w:p>
    <w:p w14:paraId="194272AD" w14:textId="77777777" w:rsidR="000E5AE8" w:rsidRDefault="000E5AE8" w:rsidP="000E5AE8">
      <w:pPr>
        <w:spacing w:line="480" w:lineRule="auto"/>
        <w:jc w:val="center"/>
        <w:rPr>
          <w:rFonts w:ascii="Times New Roman" w:hAnsi="Times New Roman" w:cs="Times New Roman"/>
          <w:b/>
          <w:bCs/>
          <w:sz w:val="24"/>
          <w:szCs w:val="24"/>
          <w:lang w:val="en-US"/>
        </w:rPr>
      </w:pPr>
    </w:p>
    <w:sdt>
      <w:sdtPr>
        <w:rPr>
          <w:rFonts w:asciiTheme="minorHAnsi" w:eastAsiaTheme="minorHAnsi" w:hAnsiTheme="minorHAnsi" w:cstheme="minorBidi"/>
          <w:color w:val="auto"/>
          <w:sz w:val="22"/>
          <w:szCs w:val="22"/>
          <w:lang w:val="en-GB"/>
        </w:rPr>
        <w:id w:val="1544475534"/>
        <w:docPartObj>
          <w:docPartGallery w:val="Bibliographies"/>
          <w:docPartUnique/>
        </w:docPartObj>
      </w:sdtPr>
      <w:sdtEndPr/>
      <w:sdtContent>
        <w:p w14:paraId="28A82D88" w14:textId="31E4B52D" w:rsidR="0070247B" w:rsidRDefault="0070247B">
          <w:pPr>
            <w:pStyle w:val="Heading1"/>
          </w:pPr>
          <w:r>
            <w:t>References</w:t>
          </w:r>
        </w:p>
        <w:sdt>
          <w:sdtPr>
            <w:id w:val="-573587230"/>
            <w:bibliography/>
          </w:sdtPr>
          <w:sdtEndPr/>
          <w:sdtContent>
            <w:p w14:paraId="24B89B28" w14:textId="77777777" w:rsidR="0070247B" w:rsidRDefault="0070247B" w:rsidP="0070247B">
              <w:pPr>
                <w:pStyle w:val="Bibliography"/>
                <w:rPr>
                  <w:noProof/>
                  <w:sz w:val="24"/>
                  <w:szCs w:val="24"/>
                  <w:lang w:val="en-US"/>
                </w:rPr>
              </w:pPr>
              <w:r>
                <w:fldChar w:fldCharType="begin"/>
              </w:r>
              <w:r>
                <w:instrText xml:space="preserve"> BIBLIOGRAPHY </w:instrText>
              </w:r>
              <w:r>
                <w:fldChar w:fldCharType="separate"/>
              </w:r>
              <w:r>
                <w:rPr>
                  <w:noProof/>
                  <w:lang w:val="en-US"/>
                </w:rPr>
                <w:t xml:space="preserve">CPS, 2019. </w:t>
              </w:r>
              <w:r>
                <w:rPr>
                  <w:i/>
                  <w:iCs/>
                  <w:noProof/>
                  <w:lang w:val="en-US"/>
                </w:rPr>
                <w:t xml:space="preserve">Theft Act Offenses. </w:t>
              </w:r>
              <w:r>
                <w:rPr>
                  <w:noProof/>
                  <w:lang w:val="en-US"/>
                </w:rPr>
                <w:t xml:space="preserve">[Online] </w:t>
              </w:r>
              <w:r>
                <w:rPr>
                  <w:noProof/>
                  <w:lang w:val="en-US"/>
                </w:rPr>
                <w:br/>
                <w:t xml:space="preserve">Available at: </w:t>
              </w:r>
              <w:r>
                <w:rPr>
                  <w:noProof/>
                  <w:u w:val="single"/>
                  <w:lang w:val="en-US"/>
                </w:rPr>
                <w:t>&lt; https://www.cps.gov.uk/legal-guidance/theft-act-offences</w:t>
              </w:r>
              <w:r>
                <w:rPr>
                  <w:noProof/>
                  <w:lang w:val="en-US"/>
                </w:rPr>
                <w:br/>
                <w:t>[Accessed 02 April 2021].</w:t>
              </w:r>
            </w:p>
            <w:p w14:paraId="592502A7" w14:textId="77777777" w:rsidR="0070247B" w:rsidRDefault="0070247B" w:rsidP="0070247B">
              <w:pPr>
                <w:pStyle w:val="Bibliography"/>
                <w:rPr>
                  <w:noProof/>
                  <w:lang w:val="en-US"/>
                </w:rPr>
              </w:pPr>
              <w:r>
                <w:rPr>
                  <w:noProof/>
                  <w:lang w:val="en-US"/>
                </w:rPr>
                <w:t xml:space="preserve">Matthews, J., 2020. </w:t>
              </w:r>
              <w:r>
                <w:rPr>
                  <w:i/>
                  <w:iCs/>
                  <w:noProof/>
                  <w:lang w:val="en-US"/>
                </w:rPr>
                <w:t xml:space="preserve">Advantages and Disadvantages of Crown Court. </w:t>
              </w:r>
              <w:r>
                <w:rPr>
                  <w:noProof/>
                  <w:lang w:val="en-US"/>
                </w:rPr>
                <w:t xml:space="preserve">[Online] </w:t>
              </w:r>
              <w:r>
                <w:rPr>
                  <w:noProof/>
                  <w:lang w:val="en-US"/>
                </w:rPr>
                <w:br/>
                <w:t xml:space="preserve">Available at: </w:t>
              </w:r>
              <w:r>
                <w:rPr>
                  <w:noProof/>
                  <w:u w:val="single"/>
                  <w:lang w:val="en-US"/>
                </w:rPr>
                <w:t>https://www.ehow.co.uk/info_8356808_advantages-disadvantages-crown-courts.html</w:t>
              </w:r>
              <w:r>
                <w:rPr>
                  <w:noProof/>
                  <w:lang w:val="en-US"/>
                </w:rPr>
                <w:br/>
                <w:t>[Accessed 02 April 2021].</w:t>
              </w:r>
            </w:p>
            <w:p w14:paraId="7BE3B88D" w14:textId="77777777" w:rsidR="0070247B" w:rsidRDefault="0070247B" w:rsidP="0070247B">
              <w:pPr>
                <w:pStyle w:val="Bibliography"/>
                <w:rPr>
                  <w:noProof/>
                  <w:lang w:val="en-US"/>
                </w:rPr>
              </w:pPr>
              <w:r>
                <w:rPr>
                  <w:noProof/>
                  <w:lang w:val="en-US"/>
                </w:rPr>
                <w:t>Steel, A., 2019. Taking Posession: The element of Theft. Issue 32.</w:t>
              </w:r>
            </w:p>
            <w:p w14:paraId="56E771A1" w14:textId="6A2BEB09" w:rsidR="0070247B" w:rsidRDefault="0070247B" w:rsidP="0070247B">
              <w:r>
                <w:rPr>
                  <w:b/>
                  <w:bCs/>
                  <w:noProof/>
                </w:rPr>
                <w:fldChar w:fldCharType="end"/>
              </w:r>
            </w:p>
          </w:sdtContent>
        </w:sdt>
      </w:sdtContent>
    </w:sdt>
    <w:p w14:paraId="1D8D5225" w14:textId="4543D9B3" w:rsidR="003E55D9" w:rsidRPr="00F52033" w:rsidRDefault="003E55D9" w:rsidP="00F52033">
      <w:pPr>
        <w:pStyle w:val="legclearfix"/>
        <w:shd w:val="clear" w:color="auto" w:fill="FFFFFF"/>
        <w:spacing w:before="0" w:beforeAutospacing="0" w:after="120" w:afterAutospacing="0" w:line="480" w:lineRule="auto"/>
        <w:jc w:val="both"/>
        <w:rPr>
          <w:color w:val="000000"/>
        </w:rPr>
      </w:pPr>
    </w:p>
    <w:p w14:paraId="12DA4868" w14:textId="5FDCD01A" w:rsidR="006106D3" w:rsidRPr="00F52033" w:rsidRDefault="006106D3" w:rsidP="00F52033">
      <w:pPr>
        <w:spacing w:line="480" w:lineRule="auto"/>
        <w:jc w:val="both"/>
        <w:rPr>
          <w:rFonts w:ascii="Times New Roman" w:hAnsi="Times New Roman" w:cs="Times New Roman"/>
          <w:sz w:val="24"/>
          <w:szCs w:val="24"/>
          <w:lang w:val="en-US"/>
        </w:rPr>
      </w:pPr>
    </w:p>
    <w:sectPr w:rsidR="006106D3" w:rsidRPr="00F520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9BD4C" w14:textId="77777777" w:rsidR="006E63A1" w:rsidRDefault="006E63A1" w:rsidP="00373B28">
      <w:pPr>
        <w:spacing w:after="0" w:line="240" w:lineRule="auto"/>
      </w:pPr>
      <w:r>
        <w:separator/>
      </w:r>
    </w:p>
  </w:endnote>
  <w:endnote w:type="continuationSeparator" w:id="0">
    <w:p w14:paraId="226336FB" w14:textId="77777777" w:rsidR="006E63A1" w:rsidRDefault="006E63A1" w:rsidP="00373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01AD6" w14:textId="77777777" w:rsidR="006E63A1" w:rsidRDefault="006E63A1" w:rsidP="00373B28">
      <w:pPr>
        <w:spacing w:after="0" w:line="240" w:lineRule="auto"/>
      </w:pPr>
      <w:r>
        <w:separator/>
      </w:r>
    </w:p>
  </w:footnote>
  <w:footnote w:type="continuationSeparator" w:id="0">
    <w:p w14:paraId="67BFEDE1" w14:textId="77777777" w:rsidR="006E63A1" w:rsidRDefault="006E63A1" w:rsidP="00373B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68E"/>
    <w:rsid w:val="0007087D"/>
    <w:rsid w:val="000C79EA"/>
    <w:rsid w:val="000E5AE8"/>
    <w:rsid w:val="000F5A3E"/>
    <w:rsid w:val="00110448"/>
    <w:rsid w:val="00125DF2"/>
    <w:rsid w:val="00132EAC"/>
    <w:rsid w:val="00171DCB"/>
    <w:rsid w:val="001E1829"/>
    <w:rsid w:val="00241F44"/>
    <w:rsid w:val="00265999"/>
    <w:rsid w:val="002A162C"/>
    <w:rsid w:val="002F41BF"/>
    <w:rsid w:val="00373B28"/>
    <w:rsid w:val="003C546F"/>
    <w:rsid w:val="003E55D9"/>
    <w:rsid w:val="004135A8"/>
    <w:rsid w:val="004A3FE4"/>
    <w:rsid w:val="004A73D4"/>
    <w:rsid w:val="004B4460"/>
    <w:rsid w:val="004C1053"/>
    <w:rsid w:val="004E59C8"/>
    <w:rsid w:val="004F704B"/>
    <w:rsid w:val="005F7E23"/>
    <w:rsid w:val="006106D3"/>
    <w:rsid w:val="00624389"/>
    <w:rsid w:val="00672687"/>
    <w:rsid w:val="006C55CF"/>
    <w:rsid w:val="006E63A1"/>
    <w:rsid w:val="0070247B"/>
    <w:rsid w:val="0091268E"/>
    <w:rsid w:val="00922F10"/>
    <w:rsid w:val="00941F91"/>
    <w:rsid w:val="009E64E5"/>
    <w:rsid w:val="00BA5C2C"/>
    <w:rsid w:val="00C12CE2"/>
    <w:rsid w:val="00C83D15"/>
    <w:rsid w:val="00D00745"/>
    <w:rsid w:val="00E50B03"/>
    <w:rsid w:val="00F35BBB"/>
    <w:rsid w:val="00F42B48"/>
    <w:rsid w:val="00F52033"/>
    <w:rsid w:val="00FD73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ED94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4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73E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gclearfix">
    <w:name w:val="legclearfix"/>
    <w:basedOn w:val="Normal"/>
    <w:rsid w:val="003E55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egds">
    <w:name w:val="legds"/>
    <w:basedOn w:val="DefaultParagraphFont"/>
    <w:rsid w:val="003E55D9"/>
  </w:style>
  <w:style w:type="paragraph" w:styleId="Header">
    <w:name w:val="header"/>
    <w:basedOn w:val="Normal"/>
    <w:link w:val="HeaderChar"/>
    <w:uiPriority w:val="99"/>
    <w:unhideWhenUsed/>
    <w:rsid w:val="00373B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3B28"/>
  </w:style>
  <w:style w:type="paragraph" w:styleId="Footer">
    <w:name w:val="footer"/>
    <w:basedOn w:val="Normal"/>
    <w:link w:val="FooterChar"/>
    <w:uiPriority w:val="99"/>
    <w:unhideWhenUsed/>
    <w:rsid w:val="00373B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B28"/>
  </w:style>
  <w:style w:type="character" w:styleId="CommentReference">
    <w:name w:val="annotation reference"/>
    <w:basedOn w:val="DefaultParagraphFont"/>
    <w:uiPriority w:val="99"/>
    <w:semiHidden/>
    <w:unhideWhenUsed/>
    <w:rsid w:val="00F42B48"/>
    <w:rPr>
      <w:sz w:val="16"/>
      <w:szCs w:val="16"/>
    </w:rPr>
  </w:style>
  <w:style w:type="paragraph" w:styleId="CommentText">
    <w:name w:val="annotation text"/>
    <w:basedOn w:val="Normal"/>
    <w:link w:val="CommentTextChar"/>
    <w:uiPriority w:val="99"/>
    <w:unhideWhenUsed/>
    <w:rsid w:val="00F42B48"/>
    <w:pPr>
      <w:spacing w:line="240" w:lineRule="auto"/>
    </w:pPr>
    <w:rPr>
      <w:sz w:val="20"/>
      <w:szCs w:val="20"/>
    </w:rPr>
  </w:style>
  <w:style w:type="character" w:customStyle="1" w:styleId="CommentTextChar">
    <w:name w:val="Comment Text Char"/>
    <w:basedOn w:val="DefaultParagraphFont"/>
    <w:link w:val="CommentText"/>
    <w:uiPriority w:val="99"/>
    <w:rsid w:val="00F42B48"/>
    <w:rPr>
      <w:sz w:val="20"/>
      <w:szCs w:val="20"/>
    </w:rPr>
  </w:style>
  <w:style w:type="paragraph" w:styleId="CommentSubject">
    <w:name w:val="annotation subject"/>
    <w:basedOn w:val="CommentText"/>
    <w:next w:val="CommentText"/>
    <w:link w:val="CommentSubjectChar"/>
    <w:uiPriority w:val="99"/>
    <w:semiHidden/>
    <w:unhideWhenUsed/>
    <w:rsid w:val="00F42B48"/>
    <w:rPr>
      <w:b/>
      <w:bCs/>
    </w:rPr>
  </w:style>
  <w:style w:type="character" w:customStyle="1" w:styleId="CommentSubjectChar">
    <w:name w:val="Comment Subject Char"/>
    <w:basedOn w:val="CommentTextChar"/>
    <w:link w:val="CommentSubject"/>
    <w:uiPriority w:val="99"/>
    <w:semiHidden/>
    <w:rsid w:val="00F42B48"/>
    <w:rPr>
      <w:b/>
      <w:bCs/>
      <w:sz w:val="20"/>
      <w:szCs w:val="20"/>
    </w:rPr>
  </w:style>
  <w:style w:type="paragraph" w:styleId="BalloonText">
    <w:name w:val="Balloon Text"/>
    <w:basedOn w:val="Normal"/>
    <w:link w:val="BalloonTextChar"/>
    <w:uiPriority w:val="99"/>
    <w:semiHidden/>
    <w:unhideWhenUsed/>
    <w:rsid w:val="002659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5999"/>
    <w:rPr>
      <w:rFonts w:ascii="Segoe UI" w:hAnsi="Segoe UI" w:cs="Segoe UI"/>
      <w:sz w:val="18"/>
      <w:szCs w:val="18"/>
    </w:rPr>
  </w:style>
  <w:style w:type="paragraph" w:styleId="FootnoteText">
    <w:name w:val="footnote text"/>
    <w:basedOn w:val="Normal"/>
    <w:link w:val="FootnoteTextChar"/>
    <w:uiPriority w:val="99"/>
    <w:semiHidden/>
    <w:unhideWhenUsed/>
    <w:rsid w:val="002659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5999"/>
    <w:rPr>
      <w:sz w:val="20"/>
      <w:szCs w:val="20"/>
    </w:rPr>
  </w:style>
  <w:style w:type="character" w:styleId="FootnoteReference">
    <w:name w:val="footnote reference"/>
    <w:basedOn w:val="DefaultParagraphFont"/>
    <w:uiPriority w:val="99"/>
    <w:semiHidden/>
    <w:unhideWhenUsed/>
    <w:rsid w:val="00265999"/>
    <w:rPr>
      <w:vertAlign w:val="superscript"/>
    </w:rPr>
  </w:style>
  <w:style w:type="character" w:styleId="Hyperlink">
    <w:name w:val="Hyperlink"/>
    <w:basedOn w:val="DefaultParagraphFont"/>
    <w:uiPriority w:val="99"/>
    <w:unhideWhenUsed/>
    <w:rsid w:val="003C546F"/>
    <w:rPr>
      <w:color w:val="0563C1" w:themeColor="hyperlink"/>
      <w:u w:val="single"/>
    </w:rPr>
  </w:style>
  <w:style w:type="character" w:customStyle="1" w:styleId="UnresolvedMention1">
    <w:name w:val="Unresolved Mention1"/>
    <w:basedOn w:val="DefaultParagraphFont"/>
    <w:uiPriority w:val="99"/>
    <w:semiHidden/>
    <w:unhideWhenUsed/>
    <w:rsid w:val="003C546F"/>
    <w:rPr>
      <w:color w:val="605E5C"/>
      <w:shd w:val="clear" w:color="auto" w:fill="E1DFDD"/>
    </w:rPr>
  </w:style>
  <w:style w:type="character" w:customStyle="1" w:styleId="Heading1Char">
    <w:name w:val="Heading 1 Char"/>
    <w:basedOn w:val="DefaultParagraphFont"/>
    <w:link w:val="Heading1"/>
    <w:uiPriority w:val="9"/>
    <w:rsid w:val="007024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024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8133">
      <w:bodyDiv w:val="1"/>
      <w:marLeft w:val="0"/>
      <w:marRight w:val="0"/>
      <w:marTop w:val="0"/>
      <w:marBottom w:val="0"/>
      <w:divBdr>
        <w:top w:val="none" w:sz="0" w:space="0" w:color="auto"/>
        <w:left w:val="none" w:sz="0" w:space="0" w:color="auto"/>
        <w:bottom w:val="none" w:sz="0" w:space="0" w:color="auto"/>
        <w:right w:val="none" w:sz="0" w:space="0" w:color="auto"/>
      </w:divBdr>
    </w:div>
    <w:div w:id="134110472">
      <w:bodyDiv w:val="1"/>
      <w:marLeft w:val="0"/>
      <w:marRight w:val="0"/>
      <w:marTop w:val="0"/>
      <w:marBottom w:val="0"/>
      <w:divBdr>
        <w:top w:val="none" w:sz="0" w:space="0" w:color="auto"/>
        <w:left w:val="none" w:sz="0" w:space="0" w:color="auto"/>
        <w:bottom w:val="none" w:sz="0" w:space="0" w:color="auto"/>
        <w:right w:val="none" w:sz="0" w:space="0" w:color="auto"/>
      </w:divBdr>
    </w:div>
    <w:div w:id="348990170">
      <w:bodyDiv w:val="1"/>
      <w:marLeft w:val="0"/>
      <w:marRight w:val="0"/>
      <w:marTop w:val="0"/>
      <w:marBottom w:val="0"/>
      <w:divBdr>
        <w:top w:val="none" w:sz="0" w:space="0" w:color="auto"/>
        <w:left w:val="none" w:sz="0" w:space="0" w:color="auto"/>
        <w:bottom w:val="none" w:sz="0" w:space="0" w:color="auto"/>
        <w:right w:val="none" w:sz="0" w:space="0" w:color="auto"/>
      </w:divBdr>
    </w:div>
    <w:div w:id="465707379">
      <w:bodyDiv w:val="1"/>
      <w:marLeft w:val="0"/>
      <w:marRight w:val="0"/>
      <w:marTop w:val="0"/>
      <w:marBottom w:val="0"/>
      <w:divBdr>
        <w:top w:val="none" w:sz="0" w:space="0" w:color="auto"/>
        <w:left w:val="none" w:sz="0" w:space="0" w:color="auto"/>
        <w:bottom w:val="none" w:sz="0" w:space="0" w:color="auto"/>
        <w:right w:val="none" w:sz="0" w:space="0" w:color="auto"/>
      </w:divBdr>
    </w:div>
    <w:div w:id="562914693">
      <w:bodyDiv w:val="1"/>
      <w:marLeft w:val="0"/>
      <w:marRight w:val="0"/>
      <w:marTop w:val="0"/>
      <w:marBottom w:val="0"/>
      <w:divBdr>
        <w:top w:val="none" w:sz="0" w:space="0" w:color="auto"/>
        <w:left w:val="none" w:sz="0" w:space="0" w:color="auto"/>
        <w:bottom w:val="none" w:sz="0" w:space="0" w:color="auto"/>
        <w:right w:val="none" w:sz="0" w:space="0" w:color="auto"/>
      </w:divBdr>
    </w:div>
    <w:div w:id="699815045">
      <w:bodyDiv w:val="1"/>
      <w:marLeft w:val="0"/>
      <w:marRight w:val="0"/>
      <w:marTop w:val="0"/>
      <w:marBottom w:val="0"/>
      <w:divBdr>
        <w:top w:val="none" w:sz="0" w:space="0" w:color="auto"/>
        <w:left w:val="none" w:sz="0" w:space="0" w:color="auto"/>
        <w:bottom w:val="none" w:sz="0" w:space="0" w:color="auto"/>
        <w:right w:val="none" w:sz="0" w:space="0" w:color="auto"/>
      </w:divBdr>
    </w:div>
    <w:div w:id="1827477348">
      <w:bodyDiv w:val="1"/>
      <w:marLeft w:val="0"/>
      <w:marRight w:val="0"/>
      <w:marTop w:val="0"/>
      <w:marBottom w:val="0"/>
      <w:divBdr>
        <w:top w:val="none" w:sz="0" w:space="0" w:color="auto"/>
        <w:left w:val="none" w:sz="0" w:space="0" w:color="auto"/>
        <w:bottom w:val="none" w:sz="0" w:space="0" w:color="auto"/>
        <w:right w:val="none" w:sz="0" w:space="0" w:color="auto"/>
      </w:divBdr>
    </w:div>
    <w:div w:id="186332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CPS19</b:Tag>
    <b:SourceType>InternetSite</b:SourceType>
    <b:Guid>{F39ECAFD-B5FB-4C77-8257-3AF17BCD5105}</b:Guid>
    <b:Title>Theft Act Offenses</b:Title>
    <b:Year>2019</b:Year>
    <b:Author>
      <b:Author>
        <b:NameList>
          <b:Person>
            <b:Last>CPS</b:Last>
          </b:Person>
        </b:NameList>
      </b:Author>
    </b:Author>
    <b:YearAccessed>2021</b:YearAccessed>
    <b:MonthAccessed>April</b:MonthAccessed>
    <b:DayAccessed>02</b:DayAccessed>
    <b:URL>&lt; https://www.cps.gov.uk/legal-guidance/theft-act-offences</b:URL>
    <b:RefOrder>3</b:RefOrder>
  </b:Source>
  <b:Source>
    <b:Tag>Jay20</b:Tag>
    <b:SourceType>InternetSite</b:SourceType>
    <b:Guid>{40E64A17-2423-4023-9E17-3FB2258B0124}</b:Guid>
    <b:Author>
      <b:Author>
        <b:NameList>
          <b:Person>
            <b:Last>Matthews</b:Last>
            <b:First>Jayden</b:First>
          </b:Person>
        </b:NameList>
      </b:Author>
    </b:Author>
    <b:Title>Advantages and Disadvantages of Crown Court</b:Title>
    <b:Year>2020</b:Year>
    <b:YearAccessed>2021</b:YearAccessed>
    <b:MonthAccessed>April</b:MonthAccessed>
    <b:DayAccessed>02</b:DayAccessed>
    <b:URL>https://www.ehow.co.uk/info_8356808_advantages-disadvantages-crown-courts.html</b:URL>
    <b:RefOrder>2</b:RefOrder>
  </b:Source>
  <b:Source>
    <b:Tag>Ale191</b:Tag>
    <b:SourceType>JournalArticle</b:SourceType>
    <b:Guid>{0884E786-FB40-48CF-941B-99ADB59159DD}</b:Guid>
    <b:Title>Taking Posession: The element of Theft</b:Title>
    <b:Year>2019</b:Year>
    <b:Author>
      <b:Author>
        <b:NameList>
          <b:Person>
            <b:Last>Steel</b:Last>
            <b:First>Alex</b:First>
          </b:Person>
        </b:NameList>
      </b:Author>
    </b:Author>
    <b:Issue>32</b:Issue>
    <b:RefOrder>1</b:RefOrder>
  </b:Source>
</b:Sources>
</file>

<file path=customXml/itemProps1.xml><?xml version="1.0" encoding="utf-8"?>
<ds:datastoreItem xmlns:ds="http://schemas.openxmlformats.org/officeDocument/2006/customXml" ds:itemID="{F1724ED8-74E0-4DAB-8F9A-E3C68EEB4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1911</Words>
  <Characters>10894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2021-05-05T17:45:00Z</dcterms:created>
  <dcterms:modified xsi:type="dcterms:W3CDTF">2021-05-05T17:46:00Z</dcterms:modified>
</cp:coreProperties>
</file>