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469906586"/>
        <w:docPartObj>
          <w:docPartGallery w:val="Cover Pages"/>
          <w:docPartUnique/>
        </w:docPartObj>
      </w:sdtPr>
      <w:sdtEndPr/>
      <w:sdtContent>
        <w:p w14:paraId="4786880E" w14:textId="28FBB347" w:rsidR="00CC1D98" w:rsidRDefault="006C1B57">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5B197D83" wp14:editId="492E08D2">
                    <wp:simplePos x="0" y="0"/>
                    <wp:positionH relativeFrom="column">
                      <wp:posOffset>2381250</wp:posOffset>
                    </wp:positionH>
                    <wp:positionV relativeFrom="paragraph">
                      <wp:posOffset>7188200</wp:posOffset>
                    </wp:positionV>
                    <wp:extent cx="1460500" cy="406400"/>
                    <wp:effectExtent l="0" t="0" r="6350" b="0"/>
                    <wp:wrapNone/>
                    <wp:docPr id="38531858" name="Text Box 2"/>
                    <wp:cNvGraphicFramePr/>
                    <a:graphic xmlns:a="http://schemas.openxmlformats.org/drawingml/2006/main">
                      <a:graphicData uri="http://schemas.microsoft.com/office/word/2010/wordprocessingShape">
                        <wps:wsp>
                          <wps:cNvSpPr txBox="1"/>
                          <wps:spPr>
                            <a:xfrm>
                              <a:off x="0" y="0"/>
                              <a:ext cx="1460500" cy="406400"/>
                            </a:xfrm>
                            <a:prstGeom prst="rect">
                              <a:avLst/>
                            </a:prstGeom>
                            <a:solidFill>
                              <a:schemeClr val="lt1"/>
                            </a:solidFill>
                            <a:ln w="6350">
                              <a:noFill/>
                            </a:ln>
                          </wps:spPr>
                          <wps:txbx>
                            <w:txbxContent>
                              <w:p w14:paraId="3D7F9FA7" w14:textId="0A6B3535" w:rsidR="006C1B57" w:rsidRDefault="006C1B57">
                                <w:r>
                                  <w:t>Word count:</w:t>
                                </w:r>
                                <w:r w:rsidR="00ED77D4">
                                  <w:t xml:space="preserve"> 2639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197D83" id="_x0000_t202" coordsize="21600,21600" o:spt="202" path="m,l,21600r21600,l21600,xe">
                    <v:stroke joinstyle="miter"/>
                    <v:path gradientshapeok="t" o:connecttype="rect"/>
                  </v:shapetype>
                  <v:shape id="Text Box 2" o:spid="_x0000_s1026" type="#_x0000_t202" style="position:absolute;margin-left:187.5pt;margin-top:566pt;width:115pt;height: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" fillcolor="white [3201]" stroked="f" strokeweight=".5pt">
                    <v:textbox>
                      <w:txbxContent>
                        <w:p w14:paraId="3D7F9FA7" w14:textId="0A6B3535" w:rsidR="006C1B57" w:rsidRDefault="006C1B57">
                          <w:r>
                            <w:t>Word count:</w:t>
                          </w:r>
                          <w:r w:rsidR="00ED77D4">
                            <w:t xml:space="preserve"> 2639</w:t>
                          </w:r>
                        </w:p>
                      </w:txbxContent>
                    </v:textbox>
                  </v:shape>
                </w:pict>
              </mc:Fallback>
            </mc:AlternateContent>
          </w:r>
          <w:r w:rsidR="00DB71C9">
            <w:rPr>
              <w:rFonts w:ascii="Arial" w:hAnsi="Arial" w:cs="Arial"/>
              <w:noProof/>
            </w:rPr>
            <mc:AlternateContent>
              <mc:Choice Requires="wps">
                <w:drawing>
                  <wp:anchor distT="0" distB="0" distL="114300" distR="114300" simplePos="0" relativeHeight="251660288" behindDoc="0" locked="0" layoutInCell="1" allowOverlap="1" wp14:anchorId="0B5C5DC9" wp14:editId="641C98A4">
                    <wp:simplePos x="0" y="0"/>
                    <wp:positionH relativeFrom="column">
                      <wp:posOffset>3238500</wp:posOffset>
                    </wp:positionH>
                    <wp:positionV relativeFrom="paragraph">
                      <wp:posOffset>5175250</wp:posOffset>
                    </wp:positionV>
                    <wp:extent cx="2330450" cy="444500"/>
                    <wp:effectExtent l="0" t="0" r="0" b="0"/>
                    <wp:wrapNone/>
                    <wp:docPr id="1568937437" name="Text Box 1"/>
                    <wp:cNvGraphicFramePr/>
                    <a:graphic xmlns:a="http://schemas.openxmlformats.org/drawingml/2006/main">
                      <a:graphicData uri="http://schemas.microsoft.com/office/word/2010/wordprocessingShape">
                        <wps:wsp>
                          <wps:cNvSpPr txBox="1"/>
                          <wps:spPr>
                            <a:xfrm>
                              <a:off x="0" y="0"/>
                              <a:ext cx="2330450" cy="444500"/>
                            </a:xfrm>
                            <a:prstGeom prst="rect">
                              <a:avLst/>
                            </a:prstGeom>
                            <a:solidFill>
                              <a:schemeClr val="lt1"/>
                            </a:solidFill>
                            <a:ln w="6350">
                              <a:noFill/>
                            </a:ln>
                          </wps:spPr>
                          <wps:txbx>
                            <w:txbxContent>
                              <w:p w14:paraId="6D387491" w14:textId="5C5C1596" w:rsidR="00DB71C9" w:rsidRDefault="00DB71C9">
                                <w:r>
                                  <w:t>Lecturer: Katryn Flynn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C5DC9" id="Text Box 1" o:spid="_x0000_s1027" type="#_x0000_t202" style="position:absolute;margin-left:255pt;margin-top:407.5pt;width:183.5pt;height: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" fillcolor="white [3201]" stroked="f" strokeweight=".5pt">
                    <v:textbox>
                      <w:txbxContent>
                        <w:p w14:paraId="6D387491" w14:textId="5C5C1596" w:rsidR="00DB71C9" w:rsidRDefault="00DB71C9">
                          <w:r>
                            <w:t>Lecturer: Katryn Flynn</w:t>
                          </w:r>
                        </w:p>
                      </w:txbxContent>
                    </v:textbox>
                  </v:shape>
                </w:pict>
              </mc:Fallback>
            </mc:AlternateContent>
          </w:r>
          <w:r w:rsidR="00CC1D98" w:rsidRPr="00CC1D98">
            <w:rPr>
              <w:rFonts w:ascii="Arial" w:hAnsi="Arial" w:cs="Arial"/>
              <w:noProof/>
            </w:rPr>
            <mc:AlternateContent>
              <mc:Choice Requires="wps">
                <w:drawing>
                  <wp:anchor distT="0" distB="0" distL="114300" distR="114300" simplePos="0" relativeHeight="251659264" behindDoc="0" locked="0" layoutInCell="1" allowOverlap="1" wp14:anchorId="3D5122C7" wp14:editId="216083D5">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122"/>
                                </w:tblGrid>
                                <w:tr w:rsidR="00CC1D98" w14:paraId="781B9C5A" w14:textId="77777777">
                                  <w:trPr>
                                    <w:jc w:val="center"/>
                                  </w:trPr>
                                  <w:tc>
                                    <w:tcPr>
                                      <w:tcW w:w="2568" w:type="pct"/>
                                      <w:vAlign w:val="center"/>
                                    </w:tcPr>
                                    <w:p w14:paraId="7580006D" w14:textId="77777777" w:rsidR="00CC1D98" w:rsidRDefault="00CC1D98">
                                      <w:pPr>
                                        <w:jc w:val="right"/>
                                      </w:pPr>
                                      <w:r>
                                        <w:rPr>
                                          <w:noProof/>
                                        </w:rPr>
                                        <w:drawing>
                                          <wp:inline distT="0" distB="0" distL="0" distR="0" wp14:anchorId="73F32D81" wp14:editId="3B5BD484">
                                            <wp:extent cx="3065006" cy="2604996"/>
                                            <wp:effectExtent l="0" t="0" r="2540" b="5080"/>
                                            <wp:docPr id="139" name="Picture 137" descr="Close-up of person holding holiday gift, wrapped in plain brown paper, with pinecone tied with st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Close-up of person holding holiday gift, wrapped in plain brown paper, with pinecone tied with string"/>
                                                    <pic:cNvPicPr/>
                                                  </pic:nvPicPr>
                                                  <pic:blipFill>
                                                    <a:blip r:embed="rId8">
                                                      <a:extLst>
                                                        <a:ext uri="{28A0092B-C50C-407E-A947-70E740481C1C}">
                                                          <a14:useLocalDpi xmlns:a14="http://schemas.microsoft.com/office/drawing/2010/main" val="0"/>
                                                        </a:ext>
                                                      </a:extLst>
                                                    </a:blip>
                                                    <a:stretch>
                                                      <a:fillRect/>
                                                    </a:stretch>
                                                  </pic:blipFill>
                                                  <pic:spPr>
                                                    <a:xfrm>
                                                      <a:off x="0" y="0"/>
                                                      <a:ext cx="3065006" cy="2604996"/>
                                                    </a:xfrm>
                                                    <a:prstGeom prst="rect">
                                                      <a:avLst/>
                                                    </a:prstGeom>
                                                  </pic:spPr>
                                                </pic:pic>
                                              </a:graphicData>
                                            </a:graphic>
                                          </wp:inline>
                                        </w:drawing>
                                      </w:r>
                                    </w:p>
                                    <w:sdt>
                                      <w:sdtPr>
                                        <w:rPr>
                                          <w:rFonts w:ascii="Arial" w:hAnsi="Arial" w:cs="Arial"/>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A9D465D" w14:textId="1CACFF29" w:rsidR="00CC1D98" w:rsidRPr="00960136" w:rsidRDefault="00DB71C9">
                                          <w:pPr>
                                            <w:pStyle w:val="NoSpacing"/>
                                            <w:spacing w:line="312" w:lineRule="auto"/>
                                            <w:jc w:val="right"/>
                                            <w:rPr>
                                              <w:caps/>
                                              <w:color w:val="191919" w:themeColor="text1" w:themeTint="E6"/>
                                              <w:sz w:val="36"/>
                                              <w:szCs w:val="36"/>
                                            </w:rPr>
                                          </w:pPr>
                                          <w:r w:rsidRPr="00960136">
                                            <w:rPr>
                                              <w:rFonts w:ascii="Arial" w:hAnsi="Arial" w:cs="Arial"/>
                                              <w:sz w:val="36"/>
                                              <w:szCs w:val="36"/>
                                            </w:rPr>
                                            <w:t>Planning and Delivering an International Event</w:t>
                                          </w:r>
                                        </w:p>
                                      </w:sdtContent>
                                    </w:sdt>
                                    <w:sdt>
                                      <w:sdtPr>
                                        <w:rPr>
                                          <w:rFonts w:ascii="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A145DD" w14:textId="6EB2125C" w:rsidR="00CC1D98" w:rsidRDefault="006C1B57">
                                          <w:pPr>
                                            <w:jc w:val="right"/>
                                            <w:rPr>
                                              <w:sz w:val="24"/>
                                              <w:szCs w:val="24"/>
                                            </w:rPr>
                                          </w:pPr>
                                          <w:r w:rsidRPr="006C1B57">
                                            <w:rPr>
                                              <w:rFonts w:ascii="Arial" w:hAnsi="Arial" w:cs="Arial"/>
                                            </w:rPr>
                                            <w:t>Whitbread employee rewards Christmas dinner</w:t>
                                          </w:r>
                                        </w:p>
                                      </w:sdtContent>
                                    </w:sdt>
                                  </w:tc>
                                  <w:tc>
                                    <w:tcPr>
                                      <w:tcW w:w="2432" w:type="pct"/>
                                      <w:vAlign w:val="center"/>
                                    </w:tcPr>
                                    <w:p w14:paraId="096760F4" w14:textId="77777777" w:rsidR="003F4CAE" w:rsidRPr="003F4CAE" w:rsidRDefault="003F4CAE" w:rsidP="003F4CAE">
                                      <w:pPr>
                                        <w:spacing w:line="360" w:lineRule="auto"/>
                                        <w:jc w:val="both"/>
                                        <w:rPr>
                                          <w:rFonts w:ascii="Arial" w:hAnsi="Arial" w:cs="Arial"/>
                                          <w:b/>
                                          <w:bCs/>
                                          <w:color w:val="C00000"/>
                                          <w:sz w:val="36"/>
                                          <w:szCs w:val="36"/>
                                        </w:rPr>
                                      </w:pPr>
                                      <w:r w:rsidRPr="003F4CAE">
                                        <w:rPr>
                                          <w:rFonts w:ascii="Arial" w:hAnsi="Arial" w:cs="Arial"/>
                                          <w:b/>
                                          <w:bCs/>
                                          <w:color w:val="C00000"/>
                                          <w:sz w:val="36"/>
                                          <w:szCs w:val="36"/>
                                        </w:rPr>
                                        <w:t>Melania Kolozsi 2206485</w:t>
                                      </w:r>
                                    </w:p>
                                    <w:p w14:paraId="511CF0B9" w14:textId="7B177465" w:rsidR="00CC1D98" w:rsidRDefault="00CC1D98">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4BD840" w14:textId="02C4A040" w:rsidR="00CC1D98" w:rsidRDefault="00CC1D98">
                                          <w:pPr>
                                            <w:pStyle w:val="NoSpacing"/>
                                            <w:rPr>
                                              <w:color w:val="E97132" w:themeColor="accent2"/>
                                              <w:sz w:val="26"/>
                                              <w:szCs w:val="26"/>
                                            </w:rPr>
                                          </w:pPr>
                                          <w:r>
                                            <w:rPr>
                                              <w:color w:val="E97132" w:themeColor="accent2"/>
                                              <w:sz w:val="26"/>
                                              <w:szCs w:val="26"/>
                                            </w:rPr>
                                            <w:t xml:space="preserve">   </w:t>
                                          </w:r>
                                        </w:p>
                                      </w:sdtContent>
                                    </w:sdt>
                                    <w:p w14:paraId="1EB3F06F" w14:textId="558449CE" w:rsidR="00CC1D98" w:rsidRDefault="0096472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F4CAE">
                                            <w:rPr>
                                              <w:color w:val="0E2841" w:themeColor="text2"/>
                                            </w:rPr>
                                            <w:t xml:space="preserve">International meeting </w:t>
                                          </w:r>
                                          <w:r w:rsidR="00DB71C9">
                                            <w:rPr>
                                              <w:color w:val="0E2841" w:themeColor="text2"/>
                                            </w:rPr>
                                            <w:t>management BMIH6007</w:t>
                                          </w:r>
                                        </w:sdtContent>
                                      </w:sdt>
                                    </w:p>
                                  </w:tc>
                                </w:tr>
                              </w:tbl>
                              <w:p w14:paraId="564A1437" w14:textId="77777777" w:rsidR="00CC1D98" w:rsidRDefault="00CC1D9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D5122C7" id="Text Box 139"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122"/>
                          </w:tblGrid>
                          <w:tr w:rsidR="00CC1D98" w14:paraId="781B9C5A" w14:textId="77777777">
                            <w:trPr>
                              <w:jc w:val="center"/>
                            </w:trPr>
                            <w:tc>
                              <w:tcPr>
                                <w:tcW w:w="2568" w:type="pct"/>
                                <w:vAlign w:val="center"/>
                              </w:tcPr>
                              <w:p w14:paraId="7580006D" w14:textId="77777777" w:rsidR="00CC1D98" w:rsidRDefault="00CC1D98">
                                <w:pPr>
                                  <w:jc w:val="right"/>
                                </w:pPr>
                                <w:r>
                                  <w:rPr>
                                    <w:noProof/>
                                  </w:rPr>
                                  <w:drawing>
                                    <wp:inline distT="0" distB="0" distL="0" distR="0" wp14:anchorId="73F32D81" wp14:editId="3B5BD484">
                                      <wp:extent cx="3065006" cy="2604996"/>
                                      <wp:effectExtent l="0" t="0" r="2540" b="5080"/>
                                      <wp:docPr id="139" name="Picture 137" descr="Close-up of person holding holiday gift, wrapped in plain brown paper, with pinecone tied with st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Close-up of person holding holiday gift, wrapped in plain brown paper, with pinecone tied with string"/>
                                              <pic:cNvPicPr/>
                                            </pic:nvPicPr>
                                            <pic:blipFill>
                                              <a:blip r:embed="rId8">
                                                <a:extLst>
                                                  <a:ext uri="{28A0092B-C50C-407E-A947-70E740481C1C}">
                                                    <a14:useLocalDpi xmlns:a14="http://schemas.microsoft.com/office/drawing/2010/main" val="0"/>
                                                  </a:ext>
                                                </a:extLst>
                                              </a:blip>
                                              <a:stretch>
                                                <a:fillRect/>
                                              </a:stretch>
                                            </pic:blipFill>
                                            <pic:spPr>
                                              <a:xfrm>
                                                <a:off x="0" y="0"/>
                                                <a:ext cx="3065006" cy="2604996"/>
                                              </a:xfrm>
                                              <a:prstGeom prst="rect">
                                                <a:avLst/>
                                              </a:prstGeom>
                                            </pic:spPr>
                                          </pic:pic>
                                        </a:graphicData>
                                      </a:graphic>
                                    </wp:inline>
                                  </w:drawing>
                                </w:r>
                              </w:p>
                              <w:sdt>
                                <w:sdtPr>
                                  <w:rPr>
                                    <w:rFonts w:ascii="Arial" w:hAnsi="Arial" w:cs="Arial"/>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A9D465D" w14:textId="1CACFF29" w:rsidR="00CC1D98" w:rsidRPr="00960136" w:rsidRDefault="00DB71C9">
                                    <w:pPr>
                                      <w:pStyle w:val="NoSpacing"/>
                                      <w:spacing w:line="312" w:lineRule="auto"/>
                                      <w:jc w:val="right"/>
                                      <w:rPr>
                                        <w:caps/>
                                        <w:color w:val="191919" w:themeColor="text1" w:themeTint="E6"/>
                                        <w:sz w:val="36"/>
                                        <w:szCs w:val="36"/>
                                      </w:rPr>
                                    </w:pPr>
                                    <w:r w:rsidRPr="00960136">
                                      <w:rPr>
                                        <w:rFonts w:ascii="Arial" w:hAnsi="Arial" w:cs="Arial"/>
                                        <w:sz w:val="36"/>
                                        <w:szCs w:val="36"/>
                                      </w:rPr>
                                      <w:t>Planning and Delivering an International Event</w:t>
                                    </w:r>
                                  </w:p>
                                </w:sdtContent>
                              </w:sdt>
                              <w:sdt>
                                <w:sdtPr>
                                  <w:rPr>
                                    <w:rFonts w:ascii="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A145DD" w14:textId="6EB2125C" w:rsidR="00CC1D98" w:rsidRDefault="006C1B57">
                                    <w:pPr>
                                      <w:jc w:val="right"/>
                                      <w:rPr>
                                        <w:sz w:val="24"/>
                                        <w:szCs w:val="24"/>
                                      </w:rPr>
                                    </w:pPr>
                                    <w:r w:rsidRPr="006C1B57">
                                      <w:rPr>
                                        <w:rFonts w:ascii="Arial" w:hAnsi="Arial" w:cs="Arial"/>
                                      </w:rPr>
                                      <w:t>Whitbread employee rewards Christmas dinner</w:t>
                                    </w:r>
                                  </w:p>
                                </w:sdtContent>
                              </w:sdt>
                            </w:tc>
                            <w:tc>
                              <w:tcPr>
                                <w:tcW w:w="2432" w:type="pct"/>
                                <w:vAlign w:val="center"/>
                              </w:tcPr>
                              <w:p w14:paraId="096760F4" w14:textId="77777777" w:rsidR="003F4CAE" w:rsidRPr="003F4CAE" w:rsidRDefault="003F4CAE" w:rsidP="003F4CAE">
                                <w:pPr>
                                  <w:spacing w:line="360" w:lineRule="auto"/>
                                  <w:jc w:val="both"/>
                                  <w:rPr>
                                    <w:rFonts w:ascii="Arial" w:hAnsi="Arial" w:cs="Arial"/>
                                    <w:b/>
                                    <w:bCs/>
                                    <w:color w:val="C00000"/>
                                    <w:sz w:val="36"/>
                                    <w:szCs w:val="36"/>
                                  </w:rPr>
                                </w:pPr>
                                <w:r w:rsidRPr="003F4CAE">
                                  <w:rPr>
                                    <w:rFonts w:ascii="Arial" w:hAnsi="Arial" w:cs="Arial"/>
                                    <w:b/>
                                    <w:bCs/>
                                    <w:color w:val="C00000"/>
                                    <w:sz w:val="36"/>
                                    <w:szCs w:val="36"/>
                                  </w:rPr>
                                  <w:t>Melania Kolozsi 2206485</w:t>
                                </w:r>
                              </w:p>
                              <w:p w14:paraId="511CF0B9" w14:textId="7B177465" w:rsidR="00CC1D98" w:rsidRDefault="00CC1D98">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4BD840" w14:textId="02C4A040" w:rsidR="00CC1D98" w:rsidRDefault="00CC1D98">
                                    <w:pPr>
                                      <w:pStyle w:val="NoSpacing"/>
                                      <w:rPr>
                                        <w:color w:val="E97132" w:themeColor="accent2"/>
                                        <w:sz w:val="26"/>
                                        <w:szCs w:val="26"/>
                                      </w:rPr>
                                    </w:pPr>
                                    <w:r>
                                      <w:rPr>
                                        <w:color w:val="E97132" w:themeColor="accent2"/>
                                        <w:sz w:val="26"/>
                                        <w:szCs w:val="26"/>
                                      </w:rPr>
                                      <w:t xml:space="preserve">   </w:t>
                                    </w:r>
                                  </w:p>
                                </w:sdtContent>
                              </w:sdt>
                              <w:p w14:paraId="1EB3F06F" w14:textId="558449CE" w:rsidR="00CC1D98" w:rsidRDefault="0096472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F4CAE">
                                      <w:rPr>
                                        <w:color w:val="0E2841" w:themeColor="text2"/>
                                      </w:rPr>
                                      <w:t xml:space="preserve">International meeting </w:t>
                                    </w:r>
                                    <w:r w:rsidR="00DB71C9">
                                      <w:rPr>
                                        <w:color w:val="0E2841" w:themeColor="text2"/>
                                      </w:rPr>
                                      <w:t>management BMIH6007</w:t>
                                    </w:r>
                                  </w:sdtContent>
                                </w:sdt>
                              </w:p>
                            </w:tc>
                          </w:tr>
                        </w:tbl>
                        <w:p w14:paraId="564A1437" w14:textId="77777777" w:rsidR="00CC1D98" w:rsidRDefault="00CC1D98"/>
                      </w:txbxContent>
                    </v:textbox>
                    <w10:wrap anchorx="page" anchory="page"/>
                  </v:shape>
                </w:pict>
              </mc:Fallback>
            </mc:AlternateContent>
          </w:r>
          <w:r w:rsidR="00CC1D98">
            <w:rPr>
              <w:rFonts w:ascii="Arial" w:hAnsi="Arial" w:cs="Arial"/>
            </w:rPr>
            <w:br w:type="page"/>
          </w:r>
        </w:p>
      </w:sdtContent>
    </w:sdt>
    <w:p w14:paraId="49275790" w14:textId="77777777" w:rsidR="00647F14" w:rsidRPr="00BD21A9" w:rsidRDefault="00647F14" w:rsidP="00BD21A9">
      <w:pPr>
        <w:spacing w:line="360" w:lineRule="auto"/>
        <w:jc w:val="both"/>
        <w:rPr>
          <w:rFonts w:ascii="Arial" w:hAnsi="Arial" w:cs="Arial"/>
        </w:rPr>
      </w:pPr>
    </w:p>
    <w:p w14:paraId="51D3934D" w14:textId="77777777" w:rsidR="008F7B4D" w:rsidRDefault="008F7B4D">
      <w:pPr>
        <w:rPr>
          <w:rFonts w:ascii="Arial" w:hAnsi="Arial" w:cs="Arial"/>
        </w:rPr>
      </w:pPr>
    </w:p>
    <w:p w14:paraId="3F9614D4" w14:textId="77777777" w:rsidR="008F7B4D" w:rsidRDefault="008F7B4D" w:rsidP="007D1132">
      <w:pPr>
        <w:pStyle w:val="Heading1"/>
      </w:pPr>
      <w:bookmarkStart w:id="0" w:name="_Toc181998431"/>
      <w:r>
        <w:t>AI Statement:</w:t>
      </w:r>
      <w:bookmarkEnd w:id="0"/>
    </w:p>
    <w:p w14:paraId="40FA8B83" w14:textId="77777777" w:rsidR="008F7B4D" w:rsidRDefault="008F7B4D">
      <w:pPr>
        <w:rPr>
          <w:rFonts w:ascii="Arial" w:hAnsi="Arial" w:cs="Arial"/>
        </w:rPr>
      </w:pPr>
    </w:p>
    <w:p w14:paraId="7259948E" w14:textId="2170ED86" w:rsidR="007D1132" w:rsidRPr="0011488E" w:rsidRDefault="00C46EC1" w:rsidP="0011488E">
      <w:pPr>
        <w:spacing w:line="360" w:lineRule="auto"/>
        <w:jc w:val="both"/>
        <w:rPr>
          <w:rFonts w:ascii="Arial" w:hAnsi="Arial" w:cs="Arial"/>
          <w:sz w:val="24"/>
          <w:szCs w:val="24"/>
        </w:rPr>
      </w:pPr>
      <w:r w:rsidRPr="0011488E">
        <w:rPr>
          <w:rFonts w:ascii="Arial" w:hAnsi="Arial" w:cs="Arial"/>
          <w:sz w:val="24"/>
          <w:szCs w:val="24"/>
        </w:rPr>
        <w:t xml:space="preserve">This Assignment been completed using Word </w:t>
      </w:r>
      <w:r w:rsidR="00F93B67" w:rsidRPr="0011488E">
        <w:rPr>
          <w:rFonts w:ascii="Arial" w:hAnsi="Arial" w:cs="Arial"/>
          <w:sz w:val="24"/>
          <w:szCs w:val="24"/>
        </w:rPr>
        <w:t xml:space="preserve">editor and Grammarly </w:t>
      </w:r>
      <w:r w:rsidR="008F7B4D" w:rsidRPr="0011488E">
        <w:rPr>
          <w:rFonts w:ascii="Arial" w:hAnsi="Arial" w:cs="Arial"/>
          <w:sz w:val="24"/>
          <w:szCs w:val="24"/>
        </w:rPr>
        <w:t>spelling and grammatical suggestions.</w:t>
      </w:r>
      <w:r w:rsidR="00F33418" w:rsidRPr="0011488E">
        <w:rPr>
          <w:rFonts w:ascii="Arial" w:hAnsi="Arial" w:cs="Arial"/>
          <w:sz w:val="24"/>
          <w:szCs w:val="24"/>
        </w:rPr>
        <w:t xml:space="preserve"> No AI or AI tool used, I can confirm I have </w:t>
      </w:r>
      <w:r w:rsidR="0011488E" w:rsidRPr="0011488E">
        <w:rPr>
          <w:rFonts w:ascii="Arial" w:hAnsi="Arial" w:cs="Arial"/>
          <w:sz w:val="24"/>
          <w:szCs w:val="24"/>
        </w:rPr>
        <w:t>my d</w:t>
      </w:r>
      <w:r w:rsidR="00F33418" w:rsidRPr="0011488E">
        <w:rPr>
          <w:rFonts w:ascii="Arial" w:hAnsi="Arial" w:cs="Arial"/>
          <w:sz w:val="24"/>
          <w:szCs w:val="24"/>
        </w:rPr>
        <w:t xml:space="preserve">rafts </w:t>
      </w:r>
      <w:r w:rsidR="0011488E" w:rsidRPr="0011488E">
        <w:rPr>
          <w:rFonts w:ascii="Arial" w:hAnsi="Arial" w:cs="Arial"/>
          <w:sz w:val="24"/>
          <w:szCs w:val="24"/>
        </w:rPr>
        <w:t>and sources are correctly referenced.</w:t>
      </w:r>
    </w:p>
    <w:p w14:paraId="186760D5" w14:textId="07A164F7" w:rsidR="007D1132" w:rsidRPr="0011488E" w:rsidRDefault="0011488E" w:rsidP="0011488E">
      <w:pPr>
        <w:rPr>
          <w:rFonts w:ascii="Arial" w:hAnsi="Arial" w:cs="Arial"/>
          <w:sz w:val="24"/>
          <w:szCs w:val="24"/>
        </w:rPr>
      </w:pPr>
      <w:r>
        <w:rPr>
          <w:rFonts w:ascii="Arial" w:hAnsi="Arial" w:cs="Arial"/>
          <w:sz w:val="24"/>
          <w:szCs w:val="24"/>
        </w:rPr>
        <w:br w:type="page"/>
      </w:r>
    </w:p>
    <w:p w14:paraId="788AF9C4" w14:textId="77777777" w:rsidR="00786B36" w:rsidRDefault="007D1132" w:rsidP="007D1132">
      <w:pPr>
        <w:pStyle w:val="Heading1"/>
      </w:pPr>
      <w:bookmarkStart w:id="1" w:name="_Toc181998432"/>
      <w:r>
        <w:lastRenderedPageBreak/>
        <w:t>Executive Summary</w:t>
      </w:r>
      <w:bookmarkEnd w:id="1"/>
    </w:p>
    <w:p w14:paraId="592525A9" w14:textId="77777777" w:rsidR="00444878" w:rsidRDefault="00444878" w:rsidP="00933BE7">
      <w:pPr>
        <w:spacing w:line="360" w:lineRule="auto"/>
        <w:jc w:val="both"/>
        <w:rPr>
          <w:rFonts w:ascii="Arial" w:hAnsi="Arial" w:cs="Arial"/>
          <w:sz w:val="24"/>
          <w:szCs w:val="24"/>
        </w:rPr>
      </w:pPr>
      <w:r>
        <w:rPr>
          <w:rFonts w:ascii="Arial" w:hAnsi="Arial" w:cs="Arial"/>
          <w:sz w:val="24"/>
          <w:szCs w:val="24"/>
        </w:rPr>
        <w:t>The Whitbread Employee Reward Christmas Dinner is a meticulously prepared event in the Meetings, Incentives, Conventions, and Exhibitions (MICE) sector, intended to honour and acknowledge the commitment of Whitbread’s salaried staff. The MICE industry is essential for cultivating business relationships and enhancing economic development via professional events (Anas et al., 2020). This annual Christmas celebration meshes with Whitbread’s principles of appreciation and staff recognition while offering a practical learning opportunity for apprenticeship students engaged in its development and execution (Whitbread PLC, 2024).</w:t>
      </w:r>
    </w:p>
    <w:p w14:paraId="1ED57D80" w14:textId="77777777" w:rsidR="00444878" w:rsidRDefault="00444878" w:rsidP="00933BE7">
      <w:pPr>
        <w:spacing w:line="360" w:lineRule="auto"/>
        <w:jc w:val="both"/>
        <w:rPr>
          <w:rFonts w:ascii="Arial" w:hAnsi="Arial" w:cs="Arial"/>
          <w:sz w:val="24"/>
          <w:szCs w:val="24"/>
        </w:rPr>
      </w:pPr>
      <w:r>
        <w:rPr>
          <w:rFonts w:ascii="Arial" w:hAnsi="Arial" w:cs="Arial"/>
          <w:sz w:val="24"/>
          <w:szCs w:val="24"/>
        </w:rPr>
        <w:t xml:space="preserve">The dinner, hosted at Premier Inn Paddington Basin’s </w:t>
      </w:r>
      <w:proofErr w:type="spellStart"/>
      <w:r>
        <w:rPr>
          <w:rFonts w:ascii="Arial" w:hAnsi="Arial" w:cs="Arial"/>
          <w:sz w:val="24"/>
          <w:szCs w:val="24"/>
        </w:rPr>
        <w:t>Bar+Brick</w:t>
      </w:r>
      <w:proofErr w:type="spellEnd"/>
      <w:r>
        <w:rPr>
          <w:rFonts w:ascii="Arial" w:hAnsi="Arial" w:cs="Arial"/>
          <w:sz w:val="24"/>
          <w:szCs w:val="24"/>
        </w:rPr>
        <w:t xml:space="preserve">, embodies essential MICE objectives through a structured agenda featuring recognition ceremonies, motivational speeches and a stand-up comedy performance, designed to elevate employee morale and foster team cohesion (Rajkamal et al., 2023). According to Hougaard, Carter, and </w:t>
      </w:r>
      <w:proofErr w:type="spellStart"/>
      <w:r>
        <w:rPr>
          <w:rFonts w:ascii="Arial" w:hAnsi="Arial" w:cs="Arial"/>
          <w:sz w:val="24"/>
          <w:szCs w:val="24"/>
        </w:rPr>
        <w:t>Sorenso</w:t>
      </w:r>
      <w:proofErr w:type="spellEnd"/>
      <w:r>
        <w:rPr>
          <w:rFonts w:ascii="Arial" w:hAnsi="Arial" w:cs="Arial"/>
          <w:sz w:val="24"/>
          <w:szCs w:val="24"/>
        </w:rPr>
        <w:t xml:space="preserve"> (2018), emphasising intangible benefits like public acknowledgement fosters enduring employee motivation and psychological fulfilment, which concrete rewards alone cannot do.</w:t>
      </w:r>
    </w:p>
    <w:p w14:paraId="04162B2A" w14:textId="2F428AA2" w:rsidR="00444878" w:rsidRDefault="00444878" w:rsidP="00933BE7">
      <w:pPr>
        <w:spacing w:line="360" w:lineRule="auto"/>
        <w:jc w:val="both"/>
        <w:rPr>
          <w:rFonts w:ascii="Arial" w:hAnsi="Arial" w:cs="Arial"/>
          <w:sz w:val="24"/>
          <w:szCs w:val="24"/>
        </w:rPr>
      </w:pPr>
      <w:r>
        <w:rPr>
          <w:rFonts w:ascii="Arial" w:hAnsi="Arial" w:cs="Arial"/>
          <w:sz w:val="24"/>
          <w:szCs w:val="24"/>
        </w:rPr>
        <w:t xml:space="preserve">The event's preparation and execution adhere to the EMBOK (Event Management Body of Knowledge) model, which includes administration, design, marketing, operations, and risk management, so assuring a professional and systematic approach (Yeung &amp; Thomas, 2021). This methodology facilitates the organised preparation of essential components, including budgeting, thematic décor, and accessibility features (House et al., 2024). Inclusive elements such as different food selections and hearing assistance technology augment the event's attractiveness to a broad workforce, underscoring Whitbread's dedication to social responsibility and an inclusive workplace culture (Shenoy &amp; </w:t>
      </w:r>
      <w:proofErr w:type="spellStart"/>
      <w:r>
        <w:rPr>
          <w:rFonts w:ascii="Arial" w:hAnsi="Arial" w:cs="Arial"/>
          <w:sz w:val="24"/>
          <w:szCs w:val="24"/>
        </w:rPr>
        <w:t>Uchil</w:t>
      </w:r>
      <w:proofErr w:type="spellEnd"/>
      <w:r>
        <w:rPr>
          <w:rFonts w:ascii="Arial" w:hAnsi="Arial" w:cs="Arial"/>
          <w:sz w:val="24"/>
          <w:szCs w:val="24"/>
        </w:rPr>
        <w:t>, 2018).</w:t>
      </w:r>
    </w:p>
    <w:p w14:paraId="518EDB64" w14:textId="77777777" w:rsidR="00444878" w:rsidRDefault="00444878" w:rsidP="00933BE7">
      <w:pPr>
        <w:spacing w:line="360" w:lineRule="auto"/>
        <w:jc w:val="both"/>
        <w:rPr>
          <w:rFonts w:ascii="Arial" w:hAnsi="Arial" w:cs="Arial"/>
          <w:sz w:val="24"/>
          <w:szCs w:val="24"/>
        </w:rPr>
      </w:pPr>
      <w:r>
        <w:rPr>
          <w:rFonts w:ascii="Arial" w:hAnsi="Arial" w:cs="Arial"/>
          <w:sz w:val="24"/>
          <w:szCs w:val="24"/>
        </w:rPr>
        <w:t xml:space="preserve">Post-event, feedback and performance indicators will be gathered and examined to provide insights for enhancing future events and sustaining elevated engagement levels (Quick, 2020). The assessment phase is crucial for adjusting to the changing expectations of participants and conforming to best practices in the MICE sector (Canva app, 2024). The Whitbread Employee Reward Christmas Dinner illustrates how meticulously planned events may enhance organisational loyalty, elevate </w:t>
      </w:r>
      <w:r>
        <w:rPr>
          <w:rFonts w:ascii="Arial" w:hAnsi="Arial" w:cs="Arial"/>
          <w:sz w:val="24"/>
          <w:szCs w:val="24"/>
        </w:rPr>
        <w:lastRenderedPageBreak/>
        <w:t>employee happiness, and cultivate a good corporate culture, so reinforcing Whitbread’s dedication to staff engagement and appreciation (Cook, 2021).</w:t>
      </w:r>
    </w:p>
    <w:p w14:paraId="7A968242" w14:textId="77777777" w:rsidR="00444878" w:rsidRDefault="00444878" w:rsidP="00933BE7">
      <w:pPr>
        <w:spacing w:line="360" w:lineRule="auto"/>
        <w:jc w:val="both"/>
        <w:rPr>
          <w:rFonts w:ascii="Arial" w:hAnsi="Arial" w:cs="Arial"/>
          <w:sz w:val="24"/>
          <w:szCs w:val="24"/>
        </w:rPr>
      </w:pPr>
    </w:p>
    <w:p w14:paraId="320CB75C" w14:textId="77777777" w:rsidR="00444878" w:rsidRDefault="00444878" w:rsidP="00933BE7">
      <w:pPr>
        <w:spacing w:line="360" w:lineRule="auto"/>
        <w:jc w:val="both"/>
        <w:rPr>
          <w:rFonts w:ascii="Arial" w:hAnsi="Arial" w:cs="Arial"/>
          <w:sz w:val="24"/>
          <w:szCs w:val="24"/>
        </w:rPr>
      </w:pPr>
    </w:p>
    <w:p w14:paraId="1D43E216" w14:textId="77777777" w:rsidR="00444878" w:rsidRDefault="00444878" w:rsidP="00933BE7">
      <w:pPr>
        <w:spacing w:line="360" w:lineRule="auto"/>
        <w:jc w:val="both"/>
        <w:rPr>
          <w:rFonts w:ascii="Arial" w:hAnsi="Arial" w:cs="Arial"/>
          <w:sz w:val="24"/>
          <w:szCs w:val="24"/>
        </w:rPr>
      </w:pPr>
    </w:p>
    <w:p w14:paraId="1865F823" w14:textId="2CE30BAE" w:rsidR="00A05ADD" w:rsidRDefault="00A05ADD" w:rsidP="00933BE7">
      <w:pPr>
        <w:spacing w:line="360" w:lineRule="auto"/>
        <w:jc w:val="both"/>
      </w:pPr>
      <w:r>
        <w:br w:type="page"/>
      </w:r>
    </w:p>
    <w:sdt>
      <w:sdtPr>
        <w:rPr>
          <w:rFonts w:asciiTheme="minorHAnsi" w:eastAsiaTheme="minorHAnsi" w:hAnsiTheme="minorHAnsi" w:cstheme="minorBidi"/>
          <w:color w:val="auto"/>
          <w:sz w:val="22"/>
          <w:szCs w:val="22"/>
          <w:lang w:eastAsia="en-US"/>
        </w:rPr>
        <w:id w:val="-705645493"/>
        <w:docPartObj>
          <w:docPartGallery w:val="Table of Contents"/>
          <w:docPartUnique/>
        </w:docPartObj>
      </w:sdtPr>
      <w:sdtEndPr>
        <w:rPr>
          <w:b/>
          <w:bCs/>
        </w:rPr>
      </w:sdtEndPr>
      <w:sdtContent>
        <w:p w14:paraId="6B796982" w14:textId="0B8AE825" w:rsidR="00A05ADD" w:rsidRDefault="00A05ADD">
          <w:pPr>
            <w:pStyle w:val="TOCHeading"/>
          </w:pPr>
          <w:r>
            <w:t>Contents</w:t>
          </w:r>
        </w:p>
        <w:p w14:paraId="50DF2586" w14:textId="3E610347" w:rsidR="00845995" w:rsidRDefault="00A05AD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1998431" w:history="1">
            <w:r w:rsidR="00845995" w:rsidRPr="008C30B5">
              <w:rPr>
                <w:rStyle w:val="Hyperlink"/>
                <w:noProof/>
              </w:rPr>
              <w:t>AI Statement:</w:t>
            </w:r>
            <w:r w:rsidR="00845995">
              <w:rPr>
                <w:noProof/>
                <w:webHidden/>
              </w:rPr>
              <w:tab/>
            </w:r>
            <w:r w:rsidR="00845995">
              <w:rPr>
                <w:noProof/>
                <w:webHidden/>
              </w:rPr>
              <w:fldChar w:fldCharType="begin"/>
            </w:r>
            <w:r w:rsidR="00845995">
              <w:rPr>
                <w:noProof/>
                <w:webHidden/>
              </w:rPr>
              <w:instrText xml:space="preserve"> PAGEREF _Toc181998431 \h </w:instrText>
            </w:r>
            <w:r w:rsidR="00845995">
              <w:rPr>
                <w:noProof/>
                <w:webHidden/>
              </w:rPr>
            </w:r>
            <w:r w:rsidR="00845995">
              <w:rPr>
                <w:noProof/>
                <w:webHidden/>
              </w:rPr>
              <w:fldChar w:fldCharType="separate"/>
            </w:r>
            <w:r w:rsidR="00845995">
              <w:rPr>
                <w:noProof/>
                <w:webHidden/>
              </w:rPr>
              <w:t>1</w:t>
            </w:r>
            <w:r w:rsidR="00845995">
              <w:rPr>
                <w:noProof/>
                <w:webHidden/>
              </w:rPr>
              <w:fldChar w:fldCharType="end"/>
            </w:r>
          </w:hyperlink>
        </w:p>
        <w:p w14:paraId="1BAF6045" w14:textId="0767B856"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32" w:history="1">
            <w:r w:rsidRPr="008C30B5">
              <w:rPr>
                <w:rStyle w:val="Hyperlink"/>
                <w:noProof/>
              </w:rPr>
              <w:t>Executive Summary</w:t>
            </w:r>
            <w:r>
              <w:rPr>
                <w:noProof/>
                <w:webHidden/>
              </w:rPr>
              <w:tab/>
            </w:r>
            <w:r>
              <w:rPr>
                <w:noProof/>
                <w:webHidden/>
              </w:rPr>
              <w:fldChar w:fldCharType="begin"/>
            </w:r>
            <w:r>
              <w:rPr>
                <w:noProof/>
                <w:webHidden/>
              </w:rPr>
              <w:instrText xml:space="preserve"> PAGEREF _Toc181998432 \h </w:instrText>
            </w:r>
            <w:r>
              <w:rPr>
                <w:noProof/>
                <w:webHidden/>
              </w:rPr>
            </w:r>
            <w:r>
              <w:rPr>
                <w:noProof/>
                <w:webHidden/>
              </w:rPr>
              <w:fldChar w:fldCharType="separate"/>
            </w:r>
            <w:r>
              <w:rPr>
                <w:noProof/>
                <w:webHidden/>
              </w:rPr>
              <w:t>2</w:t>
            </w:r>
            <w:r>
              <w:rPr>
                <w:noProof/>
                <w:webHidden/>
              </w:rPr>
              <w:fldChar w:fldCharType="end"/>
            </w:r>
          </w:hyperlink>
        </w:p>
        <w:p w14:paraId="320D01B2" w14:textId="29CF55A2"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33" w:history="1">
            <w:r w:rsidRPr="008C30B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_Toc181998433 \h </w:instrText>
            </w:r>
            <w:r>
              <w:rPr>
                <w:noProof/>
                <w:webHidden/>
              </w:rPr>
            </w:r>
            <w:r>
              <w:rPr>
                <w:noProof/>
                <w:webHidden/>
              </w:rPr>
              <w:fldChar w:fldCharType="separate"/>
            </w:r>
            <w:r>
              <w:rPr>
                <w:noProof/>
                <w:webHidden/>
              </w:rPr>
              <w:t>5</w:t>
            </w:r>
            <w:r>
              <w:rPr>
                <w:noProof/>
                <w:webHidden/>
              </w:rPr>
              <w:fldChar w:fldCharType="end"/>
            </w:r>
          </w:hyperlink>
        </w:p>
        <w:p w14:paraId="3806E035" w14:textId="3D695615"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34" w:history="1">
            <w:r w:rsidRPr="008C30B5">
              <w:rPr>
                <w:rStyle w:val="Hyperlink"/>
                <w:rFonts w:ascii="Arial" w:hAnsi="Arial" w:cs="Arial"/>
                <w:noProof/>
              </w:rPr>
              <w:t>2.0 The Whitbread Employee reward Christmas event</w:t>
            </w:r>
            <w:r>
              <w:rPr>
                <w:noProof/>
                <w:webHidden/>
              </w:rPr>
              <w:tab/>
            </w:r>
            <w:r>
              <w:rPr>
                <w:noProof/>
                <w:webHidden/>
              </w:rPr>
              <w:fldChar w:fldCharType="begin"/>
            </w:r>
            <w:r>
              <w:rPr>
                <w:noProof/>
                <w:webHidden/>
              </w:rPr>
              <w:instrText xml:space="preserve"> PAGEREF _Toc181998434 \h </w:instrText>
            </w:r>
            <w:r>
              <w:rPr>
                <w:noProof/>
                <w:webHidden/>
              </w:rPr>
            </w:r>
            <w:r>
              <w:rPr>
                <w:noProof/>
                <w:webHidden/>
              </w:rPr>
              <w:fldChar w:fldCharType="separate"/>
            </w:r>
            <w:r>
              <w:rPr>
                <w:noProof/>
                <w:webHidden/>
              </w:rPr>
              <w:t>6</w:t>
            </w:r>
            <w:r>
              <w:rPr>
                <w:noProof/>
                <w:webHidden/>
              </w:rPr>
              <w:fldChar w:fldCharType="end"/>
            </w:r>
          </w:hyperlink>
        </w:p>
        <w:p w14:paraId="7AD42339" w14:textId="0C5A544D"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35" w:history="1">
            <w:r w:rsidRPr="008C30B5">
              <w:rPr>
                <w:rStyle w:val="Hyperlink"/>
                <w:rFonts w:ascii="Arial" w:hAnsi="Arial" w:cs="Arial"/>
                <w:noProof/>
              </w:rPr>
              <w:t>2.1 The Event Cycle</w:t>
            </w:r>
            <w:r>
              <w:rPr>
                <w:noProof/>
                <w:webHidden/>
              </w:rPr>
              <w:tab/>
            </w:r>
            <w:r>
              <w:rPr>
                <w:noProof/>
                <w:webHidden/>
              </w:rPr>
              <w:fldChar w:fldCharType="begin"/>
            </w:r>
            <w:r>
              <w:rPr>
                <w:noProof/>
                <w:webHidden/>
              </w:rPr>
              <w:instrText xml:space="preserve"> PAGEREF _Toc181998435 \h </w:instrText>
            </w:r>
            <w:r>
              <w:rPr>
                <w:noProof/>
                <w:webHidden/>
              </w:rPr>
            </w:r>
            <w:r>
              <w:rPr>
                <w:noProof/>
                <w:webHidden/>
              </w:rPr>
              <w:fldChar w:fldCharType="separate"/>
            </w:r>
            <w:r>
              <w:rPr>
                <w:noProof/>
                <w:webHidden/>
              </w:rPr>
              <w:t>8</w:t>
            </w:r>
            <w:r>
              <w:rPr>
                <w:noProof/>
                <w:webHidden/>
              </w:rPr>
              <w:fldChar w:fldCharType="end"/>
            </w:r>
          </w:hyperlink>
        </w:p>
        <w:p w14:paraId="375836F8" w14:textId="6339AAEC"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36" w:history="1">
            <w:r w:rsidRPr="008C30B5">
              <w:rPr>
                <w:rStyle w:val="Hyperlink"/>
                <w:rFonts w:ascii="Arial" w:hAnsi="Arial" w:cs="Arial"/>
                <w:noProof/>
              </w:rPr>
              <w:t>2.2 Before the Event (Planning and Preparation)</w:t>
            </w:r>
            <w:r>
              <w:rPr>
                <w:noProof/>
                <w:webHidden/>
              </w:rPr>
              <w:tab/>
            </w:r>
            <w:r>
              <w:rPr>
                <w:noProof/>
                <w:webHidden/>
              </w:rPr>
              <w:fldChar w:fldCharType="begin"/>
            </w:r>
            <w:r>
              <w:rPr>
                <w:noProof/>
                <w:webHidden/>
              </w:rPr>
              <w:instrText xml:space="preserve"> PAGEREF _Toc181998436 \h </w:instrText>
            </w:r>
            <w:r>
              <w:rPr>
                <w:noProof/>
                <w:webHidden/>
              </w:rPr>
            </w:r>
            <w:r>
              <w:rPr>
                <w:noProof/>
                <w:webHidden/>
              </w:rPr>
              <w:fldChar w:fldCharType="separate"/>
            </w:r>
            <w:r>
              <w:rPr>
                <w:noProof/>
                <w:webHidden/>
              </w:rPr>
              <w:t>9</w:t>
            </w:r>
            <w:r>
              <w:rPr>
                <w:noProof/>
                <w:webHidden/>
              </w:rPr>
              <w:fldChar w:fldCharType="end"/>
            </w:r>
          </w:hyperlink>
        </w:p>
        <w:p w14:paraId="4E41AC46" w14:textId="55B630FF"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37" w:history="1">
            <w:r w:rsidRPr="008C30B5">
              <w:rPr>
                <w:rStyle w:val="Hyperlink"/>
                <w:rFonts w:ascii="Arial" w:hAnsi="Arial" w:cs="Arial"/>
                <w:noProof/>
              </w:rPr>
              <w:t>2.3 During the Event (Execution and Management)</w:t>
            </w:r>
            <w:r>
              <w:rPr>
                <w:noProof/>
                <w:webHidden/>
              </w:rPr>
              <w:tab/>
            </w:r>
            <w:r>
              <w:rPr>
                <w:noProof/>
                <w:webHidden/>
              </w:rPr>
              <w:fldChar w:fldCharType="begin"/>
            </w:r>
            <w:r>
              <w:rPr>
                <w:noProof/>
                <w:webHidden/>
              </w:rPr>
              <w:instrText xml:space="preserve"> PAGEREF _Toc181998437 \h </w:instrText>
            </w:r>
            <w:r>
              <w:rPr>
                <w:noProof/>
                <w:webHidden/>
              </w:rPr>
            </w:r>
            <w:r>
              <w:rPr>
                <w:noProof/>
                <w:webHidden/>
              </w:rPr>
              <w:fldChar w:fldCharType="separate"/>
            </w:r>
            <w:r>
              <w:rPr>
                <w:noProof/>
                <w:webHidden/>
              </w:rPr>
              <w:t>11</w:t>
            </w:r>
            <w:r>
              <w:rPr>
                <w:noProof/>
                <w:webHidden/>
              </w:rPr>
              <w:fldChar w:fldCharType="end"/>
            </w:r>
          </w:hyperlink>
        </w:p>
        <w:p w14:paraId="487ACDA6" w14:textId="4DFC00EC"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38" w:history="1">
            <w:r w:rsidRPr="008C30B5">
              <w:rPr>
                <w:rStyle w:val="Hyperlink"/>
                <w:rFonts w:ascii="Arial" w:hAnsi="Arial" w:cs="Arial"/>
                <w:noProof/>
              </w:rPr>
              <w:t>2.4 After the Event (Evaluation and Follow-Up)</w:t>
            </w:r>
            <w:r>
              <w:rPr>
                <w:noProof/>
                <w:webHidden/>
              </w:rPr>
              <w:tab/>
            </w:r>
            <w:r>
              <w:rPr>
                <w:noProof/>
                <w:webHidden/>
              </w:rPr>
              <w:fldChar w:fldCharType="begin"/>
            </w:r>
            <w:r>
              <w:rPr>
                <w:noProof/>
                <w:webHidden/>
              </w:rPr>
              <w:instrText xml:space="preserve"> PAGEREF _Toc181998438 \h </w:instrText>
            </w:r>
            <w:r>
              <w:rPr>
                <w:noProof/>
                <w:webHidden/>
              </w:rPr>
            </w:r>
            <w:r>
              <w:rPr>
                <w:noProof/>
                <w:webHidden/>
              </w:rPr>
              <w:fldChar w:fldCharType="separate"/>
            </w:r>
            <w:r>
              <w:rPr>
                <w:noProof/>
                <w:webHidden/>
              </w:rPr>
              <w:t>11</w:t>
            </w:r>
            <w:r>
              <w:rPr>
                <w:noProof/>
                <w:webHidden/>
              </w:rPr>
              <w:fldChar w:fldCharType="end"/>
            </w:r>
          </w:hyperlink>
        </w:p>
        <w:p w14:paraId="2A303970" w14:textId="7B199480"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39" w:history="1">
            <w:r w:rsidRPr="008C30B5">
              <w:rPr>
                <w:rStyle w:val="Hyperlink"/>
                <w:rFonts w:ascii="Arial" w:hAnsi="Arial" w:cs="Arial"/>
                <w:noProof/>
              </w:rPr>
              <w:t>2.5 Event Concept</w:t>
            </w:r>
            <w:r>
              <w:rPr>
                <w:noProof/>
                <w:webHidden/>
              </w:rPr>
              <w:tab/>
            </w:r>
            <w:r>
              <w:rPr>
                <w:noProof/>
                <w:webHidden/>
              </w:rPr>
              <w:fldChar w:fldCharType="begin"/>
            </w:r>
            <w:r>
              <w:rPr>
                <w:noProof/>
                <w:webHidden/>
              </w:rPr>
              <w:instrText xml:space="preserve"> PAGEREF _Toc181998439 \h </w:instrText>
            </w:r>
            <w:r>
              <w:rPr>
                <w:noProof/>
                <w:webHidden/>
              </w:rPr>
            </w:r>
            <w:r>
              <w:rPr>
                <w:noProof/>
                <w:webHidden/>
              </w:rPr>
              <w:fldChar w:fldCharType="separate"/>
            </w:r>
            <w:r>
              <w:rPr>
                <w:noProof/>
                <w:webHidden/>
              </w:rPr>
              <w:t>12</w:t>
            </w:r>
            <w:r>
              <w:rPr>
                <w:noProof/>
                <w:webHidden/>
              </w:rPr>
              <w:fldChar w:fldCharType="end"/>
            </w:r>
          </w:hyperlink>
        </w:p>
        <w:p w14:paraId="17185941" w14:textId="75325DCF"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40" w:history="1">
            <w:r w:rsidRPr="008C30B5">
              <w:rPr>
                <w:rStyle w:val="Hyperlink"/>
                <w:rFonts w:ascii="Arial" w:hAnsi="Arial" w:cs="Arial"/>
                <w:noProof/>
              </w:rPr>
              <w:t>3.0 Aim and Objectives (SWOT)</w:t>
            </w:r>
            <w:r>
              <w:rPr>
                <w:noProof/>
                <w:webHidden/>
              </w:rPr>
              <w:tab/>
            </w:r>
            <w:r>
              <w:rPr>
                <w:noProof/>
                <w:webHidden/>
              </w:rPr>
              <w:fldChar w:fldCharType="begin"/>
            </w:r>
            <w:r>
              <w:rPr>
                <w:noProof/>
                <w:webHidden/>
              </w:rPr>
              <w:instrText xml:space="preserve"> PAGEREF _Toc181998440 \h </w:instrText>
            </w:r>
            <w:r>
              <w:rPr>
                <w:noProof/>
                <w:webHidden/>
              </w:rPr>
            </w:r>
            <w:r>
              <w:rPr>
                <w:noProof/>
                <w:webHidden/>
              </w:rPr>
              <w:fldChar w:fldCharType="separate"/>
            </w:r>
            <w:r>
              <w:rPr>
                <w:noProof/>
                <w:webHidden/>
              </w:rPr>
              <w:t>13</w:t>
            </w:r>
            <w:r>
              <w:rPr>
                <w:noProof/>
                <w:webHidden/>
              </w:rPr>
              <w:fldChar w:fldCharType="end"/>
            </w:r>
          </w:hyperlink>
        </w:p>
        <w:p w14:paraId="1C24C4BE" w14:textId="5A877655"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41" w:history="1">
            <w:r w:rsidRPr="008C30B5">
              <w:rPr>
                <w:rStyle w:val="Hyperlink"/>
                <w:rFonts w:ascii="Arial" w:hAnsi="Arial" w:cs="Arial"/>
                <w:noProof/>
              </w:rPr>
              <w:t>3.1 Gantt chart for the Whitbread employee rewards Christmas event</w:t>
            </w:r>
            <w:r>
              <w:rPr>
                <w:noProof/>
                <w:webHidden/>
              </w:rPr>
              <w:tab/>
            </w:r>
            <w:r>
              <w:rPr>
                <w:noProof/>
                <w:webHidden/>
              </w:rPr>
              <w:fldChar w:fldCharType="begin"/>
            </w:r>
            <w:r>
              <w:rPr>
                <w:noProof/>
                <w:webHidden/>
              </w:rPr>
              <w:instrText xml:space="preserve"> PAGEREF _Toc181998441 \h </w:instrText>
            </w:r>
            <w:r>
              <w:rPr>
                <w:noProof/>
                <w:webHidden/>
              </w:rPr>
            </w:r>
            <w:r>
              <w:rPr>
                <w:noProof/>
                <w:webHidden/>
              </w:rPr>
              <w:fldChar w:fldCharType="separate"/>
            </w:r>
            <w:r>
              <w:rPr>
                <w:noProof/>
                <w:webHidden/>
              </w:rPr>
              <w:t>14</w:t>
            </w:r>
            <w:r>
              <w:rPr>
                <w:noProof/>
                <w:webHidden/>
              </w:rPr>
              <w:fldChar w:fldCharType="end"/>
            </w:r>
          </w:hyperlink>
        </w:p>
        <w:p w14:paraId="499C745B" w14:textId="439DA2E9"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42" w:history="1">
            <w:r w:rsidRPr="008C30B5">
              <w:rPr>
                <w:rStyle w:val="Hyperlink"/>
                <w:rFonts w:ascii="Arial" w:hAnsi="Arial" w:cs="Arial"/>
                <w:noProof/>
              </w:rPr>
              <w:t>3.2 Event aim</w:t>
            </w:r>
            <w:r>
              <w:rPr>
                <w:noProof/>
                <w:webHidden/>
              </w:rPr>
              <w:tab/>
            </w:r>
            <w:r>
              <w:rPr>
                <w:noProof/>
                <w:webHidden/>
              </w:rPr>
              <w:fldChar w:fldCharType="begin"/>
            </w:r>
            <w:r>
              <w:rPr>
                <w:noProof/>
                <w:webHidden/>
              </w:rPr>
              <w:instrText xml:space="preserve"> PAGEREF _Toc181998442 \h </w:instrText>
            </w:r>
            <w:r>
              <w:rPr>
                <w:noProof/>
                <w:webHidden/>
              </w:rPr>
            </w:r>
            <w:r>
              <w:rPr>
                <w:noProof/>
                <w:webHidden/>
              </w:rPr>
              <w:fldChar w:fldCharType="separate"/>
            </w:r>
            <w:r>
              <w:rPr>
                <w:noProof/>
                <w:webHidden/>
              </w:rPr>
              <w:t>15</w:t>
            </w:r>
            <w:r>
              <w:rPr>
                <w:noProof/>
                <w:webHidden/>
              </w:rPr>
              <w:fldChar w:fldCharType="end"/>
            </w:r>
          </w:hyperlink>
        </w:p>
        <w:p w14:paraId="12289DE7" w14:textId="71A0A2FF"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43" w:history="1">
            <w:r w:rsidRPr="008C30B5">
              <w:rPr>
                <w:rStyle w:val="Hyperlink"/>
                <w:rFonts w:ascii="Arial" w:hAnsi="Arial" w:cs="Arial"/>
                <w:noProof/>
              </w:rPr>
              <w:t>3.3 SMART Target</w:t>
            </w:r>
            <w:r>
              <w:rPr>
                <w:noProof/>
                <w:webHidden/>
              </w:rPr>
              <w:tab/>
            </w:r>
            <w:r>
              <w:rPr>
                <w:noProof/>
                <w:webHidden/>
              </w:rPr>
              <w:fldChar w:fldCharType="begin"/>
            </w:r>
            <w:r>
              <w:rPr>
                <w:noProof/>
                <w:webHidden/>
              </w:rPr>
              <w:instrText xml:space="preserve"> PAGEREF _Toc181998443 \h </w:instrText>
            </w:r>
            <w:r>
              <w:rPr>
                <w:noProof/>
                <w:webHidden/>
              </w:rPr>
            </w:r>
            <w:r>
              <w:rPr>
                <w:noProof/>
                <w:webHidden/>
              </w:rPr>
              <w:fldChar w:fldCharType="separate"/>
            </w:r>
            <w:r>
              <w:rPr>
                <w:noProof/>
                <w:webHidden/>
              </w:rPr>
              <w:t>16</w:t>
            </w:r>
            <w:r>
              <w:rPr>
                <w:noProof/>
                <w:webHidden/>
              </w:rPr>
              <w:fldChar w:fldCharType="end"/>
            </w:r>
          </w:hyperlink>
        </w:p>
        <w:p w14:paraId="3B3E6E66" w14:textId="0263C955"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44" w:history="1">
            <w:r w:rsidRPr="008C30B5">
              <w:rPr>
                <w:rStyle w:val="Hyperlink"/>
                <w:rFonts w:ascii="Arial" w:hAnsi="Arial" w:cs="Arial"/>
                <w:noProof/>
              </w:rPr>
              <w:t>4.0 Event Management</w:t>
            </w:r>
            <w:r>
              <w:rPr>
                <w:noProof/>
                <w:webHidden/>
              </w:rPr>
              <w:tab/>
            </w:r>
            <w:r>
              <w:rPr>
                <w:noProof/>
                <w:webHidden/>
              </w:rPr>
              <w:fldChar w:fldCharType="begin"/>
            </w:r>
            <w:r>
              <w:rPr>
                <w:noProof/>
                <w:webHidden/>
              </w:rPr>
              <w:instrText xml:space="preserve"> PAGEREF _Toc181998444 \h </w:instrText>
            </w:r>
            <w:r>
              <w:rPr>
                <w:noProof/>
                <w:webHidden/>
              </w:rPr>
            </w:r>
            <w:r>
              <w:rPr>
                <w:noProof/>
                <w:webHidden/>
              </w:rPr>
              <w:fldChar w:fldCharType="separate"/>
            </w:r>
            <w:r>
              <w:rPr>
                <w:noProof/>
                <w:webHidden/>
              </w:rPr>
              <w:t>18</w:t>
            </w:r>
            <w:r>
              <w:rPr>
                <w:noProof/>
                <w:webHidden/>
              </w:rPr>
              <w:fldChar w:fldCharType="end"/>
            </w:r>
          </w:hyperlink>
        </w:p>
        <w:p w14:paraId="651E23D5" w14:textId="1638B633"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45" w:history="1">
            <w:r w:rsidRPr="008C30B5">
              <w:rPr>
                <w:rStyle w:val="Hyperlink"/>
                <w:rFonts w:ascii="Arial" w:hAnsi="Arial" w:cs="Arial"/>
                <w:noProof/>
              </w:rPr>
              <w:t>4.1. Event Budget</w:t>
            </w:r>
            <w:r>
              <w:rPr>
                <w:noProof/>
                <w:webHidden/>
              </w:rPr>
              <w:tab/>
            </w:r>
            <w:r>
              <w:rPr>
                <w:noProof/>
                <w:webHidden/>
              </w:rPr>
              <w:fldChar w:fldCharType="begin"/>
            </w:r>
            <w:r>
              <w:rPr>
                <w:noProof/>
                <w:webHidden/>
              </w:rPr>
              <w:instrText xml:space="preserve"> PAGEREF _Toc181998445 \h </w:instrText>
            </w:r>
            <w:r>
              <w:rPr>
                <w:noProof/>
                <w:webHidden/>
              </w:rPr>
            </w:r>
            <w:r>
              <w:rPr>
                <w:noProof/>
                <w:webHidden/>
              </w:rPr>
              <w:fldChar w:fldCharType="separate"/>
            </w:r>
            <w:r>
              <w:rPr>
                <w:noProof/>
                <w:webHidden/>
              </w:rPr>
              <w:t>19</w:t>
            </w:r>
            <w:r>
              <w:rPr>
                <w:noProof/>
                <w:webHidden/>
              </w:rPr>
              <w:fldChar w:fldCharType="end"/>
            </w:r>
          </w:hyperlink>
        </w:p>
        <w:p w14:paraId="505187FB" w14:textId="55851139"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46" w:history="1">
            <w:r w:rsidRPr="008C30B5">
              <w:rPr>
                <w:rStyle w:val="Hyperlink"/>
                <w:rFonts w:ascii="Arial" w:hAnsi="Arial" w:cs="Arial"/>
                <w:noProof/>
              </w:rPr>
              <w:t>4.2 Industry Trends / Issues / Impacts</w:t>
            </w:r>
            <w:r>
              <w:rPr>
                <w:noProof/>
                <w:webHidden/>
              </w:rPr>
              <w:tab/>
            </w:r>
            <w:r>
              <w:rPr>
                <w:noProof/>
                <w:webHidden/>
              </w:rPr>
              <w:fldChar w:fldCharType="begin"/>
            </w:r>
            <w:r>
              <w:rPr>
                <w:noProof/>
                <w:webHidden/>
              </w:rPr>
              <w:instrText xml:space="preserve"> PAGEREF _Toc181998446 \h </w:instrText>
            </w:r>
            <w:r>
              <w:rPr>
                <w:noProof/>
                <w:webHidden/>
              </w:rPr>
            </w:r>
            <w:r>
              <w:rPr>
                <w:noProof/>
                <w:webHidden/>
              </w:rPr>
              <w:fldChar w:fldCharType="separate"/>
            </w:r>
            <w:r>
              <w:rPr>
                <w:noProof/>
                <w:webHidden/>
              </w:rPr>
              <w:t>19</w:t>
            </w:r>
            <w:r>
              <w:rPr>
                <w:noProof/>
                <w:webHidden/>
              </w:rPr>
              <w:fldChar w:fldCharType="end"/>
            </w:r>
          </w:hyperlink>
        </w:p>
        <w:p w14:paraId="62DA8DB6" w14:textId="7A13B5A4"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47" w:history="1">
            <w:r w:rsidRPr="008C30B5">
              <w:rPr>
                <w:rStyle w:val="Hyperlink"/>
                <w:rFonts w:ascii="Arial" w:hAnsi="Arial" w:cs="Arial"/>
                <w:noProof/>
              </w:rPr>
              <w:t>4.3 Situational and Cultural Considerations</w:t>
            </w:r>
            <w:r>
              <w:rPr>
                <w:noProof/>
                <w:webHidden/>
              </w:rPr>
              <w:tab/>
            </w:r>
            <w:r>
              <w:rPr>
                <w:noProof/>
                <w:webHidden/>
              </w:rPr>
              <w:fldChar w:fldCharType="begin"/>
            </w:r>
            <w:r>
              <w:rPr>
                <w:noProof/>
                <w:webHidden/>
              </w:rPr>
              <w:instrText xml:space="preserve"> PAGEREF _Toc181998447 \h </w:instrText>
            </w:r>
            <w:r>
              <w:rPr>
                <w:noProof/>
                <w:webHidden/>
              </w:rPr>
            </w:r>
            <w:r>
              <w:rPr>
                <w:noProof/>
                <w:webHidden/>
              </w:rPr>
              <w:fldChar w:fldCharType="separate"/>
            </w:r>
            <w:r>
              <w:rPr>
                <w:noProof/>
                <w:webHidden/>
              </w:rPr>
              <w:t>20</w:t>
            </w:r>
            <w:r>
              <w:rPr>
                <w:noProof/>
                <w:webHidden/>
              </w:rPr>
              <w:fldChar w:fldCharType="end"/>
            </w:r>
          </w:hyperlink>
        </w:p>
        <w:p w14:paraId="757B5DAC" w14:textId="2B2FED40" w:rsidR="00845995" w:rsidRDefault="00845995">
          <w:pPr>
            <w:pStyle w:val="TOC2"/>
            <w:tabs>
              <w:tab w:val="right" w:leader="dot" w:pos="9016"/>
            </w:tabs>
            <w:rPr>
              <w:rFonts w:eastAsiaTheme="minorEastAsia"/>
              <w:noProof/>
              <w:kern w:val="2"/>
              <w:sz w:val="24"/>
              <w:szCs w:val="24"/>
              <w:lang w:eastAsia="en-GB"/>
              <w14:ligatures w14:val="standardContextual"/>
            </w:rPr>
          </w:pPr>
          <w:hyperlink w:anchor="_Toc181998448" w:history="1">
            <w:r w:rsidRPr="008C30B5">
              <w:rPr>
                <w:rStyle w:val="Hyperlink"/>
                <w:rFonts w:ascii="Arial" w:hAnsi="Arial" w:cs="Arial"/>
                <w:noProof/>
              </w:rPr>
              <w:t>4.3 PESTEL Analysis</w:t>
            </w:r>
            <w:r>
              <w:rPr>
                <w:noProof/>
                <w:webHidden/>
              </w:rPr>
              <w:tab/>
            </w:r>
            <w:r>
              <w:rPr>
                <w:noProof/>
                <w:webHidden/>
              </w:rPr>
              <w:fldChar w:fldCharType="begin"/>
            </w:r>
            <w:r>
              <w:rPr>
                <w:noProof/>
                <w:webHidden/>
              </w:rPr>
              <w:instrText xml:space="preserve"> PAGEREF _Toc181998448 \h </w:instrText>
            </w:r>
            <w:r>
              <w:rPr>
                <w:noProof/>
                <w:webHidden/>
              </w:rPr>
            </w:r>
            <w:r>
              <w:rPr>
                <w:noProof/>
                <w:webHidden/>
              </w:rPr>
              <w:fldChar w:fldCharType="separate"/>
            </w:r>
            <w:r>
              <w:rPr>
                <w:noProof/>
                <w:webHidden/>
              </w:rPr>
              <w:t>21</w:t>
            </w:r>
            <w:r>
              <w:rPr>
                <w:noProof/>
                <w:webHidden/>
              </w:rPr>
              <w:fldChar w:fldCharType="end"/>
            </w:r>
          </w:hyperlink>
        </w:p>
        <w:p w14:paraId="18C59888" w14:textId="2B17C0BF"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49" w:history="1">
            <w:r w:rsidRPr="008C30B5">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_Toc181998449 \h </w:instrText>
            </w:r>
            <w:r>
              <w:rPr>
                <w:noProof/>
                <w:webHidden/>
              </w:rPr>
            </w:r>
            <w:r>
              <w:rPr>
                <w:noProof/>
                <w:webHidden/>
              </w:rPr>
              <w:fldChar w:fldCharType="separate"/>
            </w:r>
            <w:r>
              <w:rPr>
                <w:noProof/>
                <w:webHidden/>
              </w:rPr>
              <w:t>21</w:t>
            </w:r>
            <w:r>
              <w:rPr>
                <w:noProof/>
                <w:webHidden/>
              </w:rPr>
              <w:fldChar w:fldCharType="end"/>
            </w:r>
          </w:hyperlink>
        </w:p>
        <w:p w14:paraId="6F79556C" w14:textId="787C3069"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50" w:history="1">
            <w:r w:rsidRPr="008C30B5">
              <w:rPr>
                <w:rStyle w:val="Hyperlink"/>
                <w:rFonts w:ascii="Arial" w:hAnsi="Arial" w:cs="Arial"/>
                <w:noProof/>
              </w:rPr>
              <w:t>10. Reference List</w:t>
            </w:r>
            <w:r>
              <w:rPr>
                <w:noProof/>
                <w:webHidden/>
              </w:rPr>
              <w:tab/>
            </w:r>
            <w:r>
              <w:rPr>
                <w:noProof/>
                <w:webHidden/>
              </w:rPr>
              <w:fldChar w:fldCharType="begin"/>
            </w:r>
            <w:r>
              <w:rPr>
                <w:noProof/>
                <w:webHidden/>
              </w:rPr>
              <w:instrText xml:space="preserve"> PAGEREF _Toc181998450 \h </w:instrText>
            </w:r>
            <w:r>
              <w:rPr>
                <w:noProof/>
                <w:webHidden/>
              </w:rPr>
            </w:r>
            <w:r>
              <w:rPr>
                <w:noProof/>
                <w:webHidden/>
              </w:rPr>
              <w:fldChar w:fldCharType="separate"/>
            </w:r>
            <w:r>
              <w:rPr>
                <w:noProof/>
                <w:webHidden/>
              </w:rPr>
              <w:t>23</w:t>
            </w:r>
            <w:r>
              <w:rPr>
                <w:noProof/>
                <w:webHidden/>
              </w:rPr>
              <w:fldChar w:fldCharType="end"/>
            </w:r>
          </w:hyperlink>
        </w:p>
        <w:p w14:paraId="1CCEFD08" w14:textId="4ABC65A8" w:rsidR="00845995" w:rsidRDefault="00845995">
          <w:pPr>
            <w:pStyle w:val="TOC1"/>
            <w:tabs>
              <w:tab w:val="right" w:leader="dot" w:pos="9016"/>
            </w:tabs>
            <w:rPr>
              <w:rFonts w:eastAsiaTheme="minorEastAsia"/>
              <w:noProof/>
              <w:kern w:val="2"/>
              <w:sz w:val="24"/>
              <w:szCs w:val="24"/>
              <w:lang w:eastAsia="en-GB"/>
              <w14:ligatures w14:val="standardContextual"/>
            </w:rPr>
          </w:pPr>
          <w:hyperlink w:anchor="_Toc181998451" w:history="1">
            <w:r w:rsidRPr="008C30B5">
              <w:rPr>
                <w:rStyle w:val="Hyperlink"/>
                <w:rFonts w:ascii="Arial" w:hAnsi="Arial" w:cs="Arial"/>
                <w:noProof/>
              </w:rPr>
              <w:t>11. Appendix</w:t>
            </w:r>
            <w:r>
              <w:rPr>
                <w:noProof/>
                <w:webHidden/>
              </w:rPr>
              <w:tab/>
            </w:r>
            <w:r>
              <w:rPr>
                <w:noProof/>
                <w:webHidden/>
              </w:rPr>
              <w:fldChar w:fldCharType="begin"/>
            </w:r>
            <w:r>
              <w:rPr>
                <w:noProof/>
                <w:webHidden/>
              </w:rPr>
              <w:instrText xml:space="preserve"> PAGEREF _Toc181998451 \h </w:instrText>
            </w:r>
            <w:r>
              <w:rPr>
                <w:noProof/>
                <w:webHidden/>
              </w:rPr>
            </w:r>
            <w:r>
              <w:rPr>
                <w:noProof/>
                <w:webHidden/>
              </w:rPr>
              <w:fldChar w:fldCharType="separate"/>
            </w:r>
            <w:r>
              <w:rPr>
                <w:noProof/>
                <w:webHidden/>
              </w:rPr>
              <w:t>26</w:t>
            </w:r>
            <w:r>
              <w:rPr>
                <w:noProof/>
                <w:webHidden/>
              </w:rPr>
              <w:fldChar w:fldCharType="end"/>
            </w:r>
          </w:hyperlink>
        </w:p>
        <w:p w14:paraId="2BD19B7C" w14:textId="4BCDEBDB" w:rsidR="00A05ADD" w:rsidRDefault="00A05ADD">
          <w:r>
            <w:rPr>
              <w:b/>
              <w:bCs/>
            </w:rPr>
            <w:fldChar w:fldCharType="end"/>
          </w:r>
        </w:p>
      </w:sdtContent>
    </w:sdt>
    <w:p w14:paraId="134DD29A" w14:textId="77777777" w:rsidR="00A05ADD" w:rsidRPr="00BD21A9" w:rsidRDefault="00A05ADD" w:rsidP="00BD21A9">
      <w:pPr>
        <w:spacing w:line="360" w:lineRule="auto"/>
        <w:jc w:val="both"/>
        <w:rPr>
          <w:rFonts w:ascii="Arial" w:hAnsi="Arial" w:cs="Arial"/>
        </w:rPr>
      </w:pPr>
    </w:p>
    <w:p w14:paraId="4974CF76" w14:textId="36EA5D3B" w:rsidR="004C684B" w:rsidRPr="0044304D" w:rsidRDefault="002A6F8F" w:rsidP="0044304D">
      <w:pPr>
        <w:spacing w:line="360" w:lineRule="auto"/>
        <w:jc w:val="both"/>
        <w:rPr>
          <w:rFonts w:ascii="Arial" w:hAnsi="Arial" w:cs="Arial"/>
        </w:rPr>
      </w:pPr>
      <w:r w:rsidRPr="00BD21A9">
        <w:rPr>
          <w:rFonts w:ascii="Arial" w:hAnsi="Arial" w:cs="Arial"/>
        </w:rPr>
        <w:br w:type="page"/>
      </w:r>
    </w:p>
    <w:p w14:paraId="69D32A61" w14:textId="6FBAF5F2" w:rsidR="0044304D" w:rsidRDefault="0044304D" w:rsidP="001F0862">
      <w:pPr>
        <w:pStyle w:val="Title"/>
        <w:jc w:val="center"/>
        <w:rPr>
          <w:sz w:val="48"/>
          <w:szCs w:val="48"/>
        </w:rPr>
      </w:pPr>
      <w:r w:rsidRPr="0044304D">
        <w:rPr>
          <w:sz w:val="48"/>
          <w:szCs w:val="48"/>
        </w:rPr>
        <w:lastRenderedPageBreak/>
        <w:t>Planning and Delivering an International Event</w:t>
      </w:r>
      <w:r>
        <w:rPr>
          <w:sz w:val="48"/>
          <w:szCs w:val="48"/>
        </w:rPr>
        <w:t>,</w:t>
      </w:r>
    </w:p>
    <w:p w14:paraId="1A864B09" w14:textId="31DC41C0" w:rsidR="002A6F8F" w:rsidRPr="001F0862" w:rsidRDefault="004C684B" w:rsidP="001F0862">
      <w:pPr>
        <w:pStyle w:val="Title"/>
        <w:jc w:val="center"/>
        <w:rPr>
          <w:sz w:val="48"/>
          <w:szCs w:val="48"/>
        </w:rPr>
      </w:pPr>
      <w:r>
        <w:rPr>
          <w:sz w:val="48"/>
          <w:szCs w:val="48"/>
        </w:rPr>
        <w:t xml:space="preserve"> </w:t>
      </w:r>
      <w:r w:rsidR="001F0862">
        <w:rPr>
          <w:sz w:val="48"/>
          <w:szCs w:val="48"/>
        </w:rPr>
        <w:t xml:space="preserve">The </w:t>
      </w:r>
      <w:r w:rsidR="001F0862" w:rsidRPr="001F0862">
        <w:rPr>
          <w:sz w:val="48"/>
          <w:szCs w:val="48"/>
        </w:rPr>
        <w:t>Whitbread employee rewards Christmas dinner</w:t>
      </w:r>
    </w:p>
    <w:p w14:paraId="32270E03" w14:textId="7F03EC8A" w:rsidR="005A7219" w:rsidRPr="00BD21A9" w:rsidRDefault="00647F14" w:rsidP="00BD21A9">
      <w:pPr>
        <w:spacing w:line="360" w:lineRule="auto"/>
        <w:jc w:val="both"/>
        <w:rPr>
          <w:rFonts w:ascii="Arial" w:hAnsi="Arial" w:cs="Arial"/>
        </w:rPr>
      </w:pPr>
      <w:r w:rsidRPr="00BD21A9">
        <w:rPr>
          <w:rStyle w:val="Heading1Char"/>
          <w:rFonts w:ascii="Arial" w:hAnsi="Arial" w:cs="Arial"/>
        </w:rPr>
        <w:t xml:space="preserve"> </w:t>
      </w:r>
      <w:bookmarkStart w:id="2" w:name="_Toc181998433"/>
      <w:r w:rsidR="003B1D10" w:rsidRPr="00BD21A9">
        <w:rPr>
          <w:rStyle w:val="Heading1Char"/>
          <w:rFonts w:ascii="Arial" w:hAnsi="Arial" w:cs="Arial"/>
        </w:rPr>
        <w:t>1</w:t>
      </w:r>
      <w:r w:rsidRPr="00BD21A9">
        <w:rPr>
          <w:rStyle w:val="Heading1Char"/>
          <w:rFonts w:ascii="Arial" w:hAnsi="Arial" w:cs="Arial"/>
        </w:rPr>
        <w:t>. Introduction</w:t>
      </w:r>
      <w:bookmarkEnd w:id="2"/>
      <w:r w:rsidRPr="00BD21A9">
        <w:rPr>
          <w:rFonts w:ascii="Arial" w:hAnsi="Arial" w:cs="Arial"/>
        </w:rPr>
        <w:t xml:space="preserve"> </w:t>
      </w:r>
    </w:p>
    <w:p w14:paraId="3FD2088D" w14:textId="77777777" w:rsidR="0081518E" w:rsidRPr="00BD21A9" w:rsidRDefault="0081518E" w:rsidP="00BD21A9">
      <w:pPr>
        <w:spacing w:line="360" w:lineRule="auto"/>
        <w:jc w:val="both"/>
        <w:rPr>
          <w:rFonts w:ascii="Arial" w:hAnsi="Arial" w:cs="Arial"/>
          <w:sz w:val="24"/>
          <w:szCs w:val="24"/>
        </w:rPr>
      </w:pPr>
      <w:r w:rsidRPr="00BD21A9">
        <w:rPr>
          <w:rFonts w:ascii="Arial" w:hAnsi="Arial" w:cs="Arial"/>
          <w:sz w:val="24"/>
          <w:szCs w:val="24"/>
        </w:rPr>
        <w:t>The Meetings, Incentives, Conventions, and Exhibitions (MICE) industry is a thriving sector of tourism and hospitality that organises large-scale events for professional, business, or recreational objectives. It comprises commercial or educational seminars, incentives for employee motivation or awards, industry conferences, and product or service exhibits (Anas et al., 2020). The MICE business contributes significantly to economic development by drawing participants and tourists to host regions, encouraging professional development, and boosting information exchange. MICE events provide excellent chances for organisations and individuals via networking and engaging, making this industry critical for worldwide business connections.</w:t>
      </w:r>
    </w:p>
    <w:p w14:paraId="58A49DE3" w14:textId="40F9B201" w:rsidR="005A7219" w:rsidRPr="00BD21A9" w:rsidRDefault="0081518E" w:rsidP="00BD21A9">
      <w:pPr>
        <w:spacing w:line="360" w:lineRule="auto"/>
        <w:jc w:val="both"/>
        <w:rPr>
          <w:rFonts w:ascii="Arial" w:hAnsi="Arial" w:cs="Arial"/>
          <w:sz w:val="24"/>
          <w:szCs w:val="24"/>
        </w:rPr>
      </w:pPr>
      <w:r w:rsidRPr="00BD21A9">
        <w:rPr>
          <w:rFonts w:ascii="Arial" w:hAnsi="Arial" w:cs="Arial"/>
          <w:sz w:val="24"/>
          <w:szCs w:val="24"/>
        </w:rPr>
        <w:t xml:space="preserve">The Whitbread Employee Reward Christmas Dinner is intended to reward Whitbread salaried employees who have shown excellent dedication throughout the year and hence falls under the Meeting category of MICE Industry. The event will take place at the Premier Inn Paddington Basin, </w:t>
      </w:r>
      <w:proofErr w:type="spellStart"/>
      <w:r w:rsidRPr="00BD21A9">
        <w:rPr>
          <w:rFonts w:ascii="Arial" w:hAnsi="Arial" w:cs="Arial"/>
          <w:sz w:val="24"/>
          <w:szCs w:val="24"/>
        </w:rPr>
        <w:t>Bar+Brick</w:t>
      </w:r>
      <w:proofErr w:type="spellEnd"/>
      <w:r w:rsidRPr="00BD21A9">
        <w:rPr>
          <w:rFonts w:ascii="Arial" w:hAnsi="Arial" w:cs="Arial"/>
          <w:sz w:val="24"/>
          <w:szCs w:val="24"/>
        </w:rPr>
        <w:t xml:space="preserve"> (Premier Inn, 2024) from 10 to 15, from 4 to 11 p.m. This site offers a comfortable yet classy setting that matches the joyful mood intended to install a sense of love and thankfulness in guests. The goal of this corporate event is to express gratitude for salaried staff members' efforts and contributions, as described by Newman et al. (2024). Employee recognition is critical to maintaining motivation and dedication to the common goal, and it is consistent with the company's ideals of praising and rewarding employees for their dedication. Furthermore, according to Bladen (2012), brand affiliation may install a sense of pride in employees by ensuring constant acknowledgement. According to Hougaard, Carter, and </w:t>
      </w:r>
      <w:proofErr w:type="spellStart"/>
      <w:r w:rsidRPr="00BD21A9">
        <w:rPr>
          <w:rFonts w:ascii="Arial" w:hAnsi="Arial" w:cs="Arial"/>
          <w:sz w:val="24"/>
          <w:szCs w:val="24"/>
        </w:rPr>
        <w:t>Sorenso</w:t>
      </w:r>
      <w:proofErr w:type="spellEnd"/>
      <w:r w:rsidRPr="00BD21A9">
        <w:rPr>
          <w:rFonts w:ascii="Arial" w:hAnsi="Arial" w:cs="Arial"/>
          <w:sz w:val="24"/>
          <w:szCs w:val="24"/>
        </w:rPr>
        <w:t xml:space="preserve"> (2018), "cash and other tangible rewards only have an effect in the short run and employees are not interested once they get used to"; thus, by showcasing and celebrating accomplishments, the event aims to raise spirits and encourage staff to continue delivering excellent work every year through intangible rewards such as offering employees recognition for their personal traits and psychological fulfilment such as pride. Furthermore, it provides apprenticeship students (Whitbread PLC, </w:t>
      </w:r>
      <w:r w:rsidRPr="00BD21A9">
        <w:rPr>
          <w:rFonts w:ascii="Arial" w:hAnsi="Arial" w:cs="Arial"/>
          <w:sz w:val="24"/>
          <w:szCs w:val="24"/>
        </w:rPr>
        <w:lastRenderedPageBreak/>
        <w:t>2024) who are involved in event planning and execution with a hands-on learning experience that allows them to gain valuable event management skills in a real-world company environment.</w:t>
      </w:r>
    </w:p>
    <w:p w14:paraId="6316E831" w14:textId="312DC7DF" w:rsidR="00596AE8" w:rsidRPr="00BD21A9" w:rsidRDefault="00515B72" w:rsidP="00BD21A9">
      <w:pPr>
        <w:pStyle w:val="Heading1"/>
        <w:spacing w:line="360" w:lineRule="auto"/>
        <w:jc w:val="both"/>
        <w:rPr>
          <w:rStyle w:val="Heading1Char"/>
          <w:rFonts w:ascii="Arial" w:hAnsi="Arial" w:cs="Arial"/>
        </w:rPr>
      </w:pPr>
      <w:bookmarkStart w:id="3" w:name="_Toc181998434"/>
      <w:r>
        <w:rPr>
          <w:rStyle w:val="Heading1Char"/>
          <w:rFonts w:ascii="Arial" w:hAnsi="Arial" w:cs="Arial"/>
        </w:rPr>
        <w:t>2.0</w:t>
      </w:r>
      <w:r w:rsidR="004931CC" w:rsidRPr="00BD21A9">
        <w:rPr>
          <w:rStyle w:val="Heading1Char"/>
          <w:rFonts w:ascii="Arial" w:hAnsi="Arial" w:cs="Arial"/>
        </w:rPr>
        <w:t xml:space="preserve"> The Whitbread Employee </w:t>
      </w:r>
      <w:r w:rsidR="00596AE8" w:rsidRPr="00BD21A9">
        <w:rPr>
          <w:rStyle w:val="Heading1Char"/>
          <w:rFonts w:ascii="Arial" w:hAnsi="Arial" w:cs="Arial"/>
        </w:rPr>
        <w:t>reward</w:t>
      </w:r>
      <w:r w:rsidR="004931CC" w:rsidRPr="00BD21A9">
        <w:rPr>
          <w:rStyle w:val="Heading1Char"/>
          <w:rFonts w:ascii="Arial" w:hAnsi="Arial" w:cs="Arial"/>
        </w:rPr>
        <w:t xml:space="preserve"> </w:t>
      </w:r>
      <w:r w:rsidR="00596AE8" w:rsidRPr="00BD21A9">
        <w:rPr>
          <w:rStyle w:val="Heading1Char"/>
          <w:rFonts w:ascii="Arial" w:hAnsi="Arial" w:cs="Arial"/>
        </w:rPr>
        <w:t>Christmas event</w:t>
      </w:r>
      <w:bookmarkEnd w:id="3"/>
    </w:p>
    <w:p w14:paraId="2D61AB8A" w14:textId="77777777" w:rsidR="00A9723C" w:rsidRPr="00BD21A9" w:rsidRDefault="00A9723C" w:rsidP="00BD21A9">
      <w:pPr>
        <w:spacing w:line="360" w:lineRule="auto"/>
        <w:jc w:val="both"/>
        <w:rPr>
          <w:rFonts w:ascii="Arial" w:hAnsi="Arial" w:cs="Arial"/>
          <w:sz w:val="24"/>
          <w:szCs w:val="24"/>
        </w:rPr>
      </w:pPr>
    </w:p>
    <w:p w14:paraId="45314787" w14:textId="38D99707" w:rsidR="005A1C06" w:rsidRPr="00BD21A9" w:rsidRDefault="000E4E74" w:rsidP="00BD21A9">
      <w:pPr>
        <w:spacing w:line="360" w:lineRule="auto"/>
        <w:jc w:val="both"/>
        <w:rPr>
          <w:rFonts w:ascii="Arial" w:hAnsi="Arial" w:cs="Arial"/>
          <w:sz w:val="24"/>
          <w:szCs w:val="24"/>
        </w:rPr>
      </w:pPr>
      <w:r w:rsidRPr="00BD21A9">
        <w:rPr>
          <w:rFonts w:ascii="Arial" w:hAnsi="Arial" w:cs="Arial"/>
          <w:sz w:val="24"/>
          <w:szCs w:val="24"/>
        </w:rPr>
        <w:t>An event is a scheduled gathering of people for a specified reason, such as a celebration, business meeting, or community activity. Events provide possibilities for interaction, learning, and shared experiences, making them beneficial to both personal and organisational goals (Bladen et al, 2012).</w:t>
      </w:r>
    </w:p>
    <w:p w14:paraId="2674AC32" w14:textId="6AF6007E" w:rsidR="00605B8C" w:rsidRPr="00BD21A9" w:rsidRDefault="00605B8C" w:rsidP="00BD21A9">
      <w:pPr>
        <w:spacing w:line="360" w:lineRule="auto"/>
        <w:jc w:val="both"/>
        <w:rPr>
          <w:rFonts w:ascii="Arial" w:hAnsi="Arial" w:cs="Arial"/>
          <w:sz w:val="24"/>
          <w:szCs w:val="24"/>
          <w:lang w:val="en-US"/>
        </w:rPr>
      </w:pPr>
      <w:r w:rsidRPr="00BD21A9">
        <w:rPr>
          <w:rFonts w:ascii="Arial" w:hAnsi="Arial" w:cs="Arial"/>
          <w:noProof/>
          <w:sz w:val="24"/>
          <w:szCs w:val="24"/>
        </w:rPr>
        <w:drawing>
          <wp:inline distT="0" distB="0" distL="0" distR="0" wp14:anchorId="73CDF740" wp14:editId="00A684CA">
            <wp:extent cx="5689600" cy="3406149"/>
            <wp:effectExtent l="0" t="0" r="6350" b="3810"/>
            <wp:docPr id="4" name="Picture 3" descr="A diagram of a event&#10;&#10;Description automatically generated">
              <a:extLst xmlns:a="http://schemas.openxmlformats.org/drawingml/2006/main">
                <a:ext uri="{FF2B5EF4-FFF2-40B4-BE49-F238E27FC236}">
                  <a16:creationId xmlns:a16="http://schemas.microsoft.com/office/drawing/2014/main" id="{1FADBBC8-7850-2833-2357-6A3D3280ED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event&#10;&#10;Description automatically generated">
                      <a:extLst>
                        <a:ext uri="{FF2B5EF4-FFF2-40B4-BE49-F238E27FC236}">
                          <a16:creationId xmlns:a16="http://schemas.microsoft.com/office/drawing/2014/main" id="{1FADBBC8-7850-2833-2357-6A3D3280ED28}"/>
                        </a:ext>
                      </a:extLst>
                    </pic:cNvPr>
                    <pic:cNvPicPr>
                      <a:picLocks noChangeAspect="1"/>
                    </pic:cNvPicPr>
                  </pic:nvPicPr>
                  <pic:blipFill>
                    <a:blip r:embed="rId9"/>
                    <a:stretch>
                      <a:fillRect/>
                    </a:stretch>
                  </pic:blipFill>
                  <pic:spPr>
                    <a:xfrm>
                      <a:off x="0" y="0"/>
                      <a:ext cx="5708088" cy="3417217"/>
                    </a:xfrm>
                    <a:prstGeom prst="rect">
                      <a:avLst/>
                    </a:prstGeom>
                  </pic:spPr>
                </pic:pic>
              </a:graphicData>
            </a:graphic>
          </wp:inline>
        </w:drawing>
      </w:r>
      <w:r w:rsidRPr="00BD21A9">
        <w:rPr>
          <w:rFonts w:ascii="Arial" w:eastAsiaTheme="minorEastAsia" w:hAnsi="Arial" w:cs="Arial"/>
          <w:color w:val="EDEDED"/>
          <w:kern w:val="24"/>
          <w:sz w:val="56"/>
          <w:szCs w:val="56"/>
          <w:lang w:val="en-US"/>
          <w14:textFill>
            <w14:gradFill>
              <w14:gsLst>
                <w14:gs w14:pos="34000">
                  <w14:schemeClr w14:val="tx1">
                    <w14:lumMod w14:val="93000"/>
                  </w14:schemeClr>
                </w14:gs>
                <w14:gs w14:pos="0">
                  <w14:schemeClr w14:val="bg1">
                    <w14:lumMod w14:val="25000"/>
                    <w14:lumOff w14:val="75000"/>
                  </w14:schemeClr>
                </w14:gs>
                <w14:gs w14:pos="100000">
                  <w14:schemeClr w14:val="tx2">
                    <w14:lumMod w14:val="0"/>
                    <w14:lumOff w14:val="100000"/>
                  </w14:schemeClr>
                </w14:gs>
              </w14:gsLst>
              <w14:lin w14:ang="4800000" w14:scaled="0"/>
            </w14:gradFill>
          </w14:textFill>
        </w:rPr>
        <w:t xml:space="preserve"> </w:t>
      </w:r>
      <w:r w:rsidRPr="00BD21A9">
        <w:rPr>
          <w:rFonts w:ascii="Arial" w:hAnsi="Arial" w:cs="Arial"/>
          <w:sz w:val="24"/>
          <w:szCs w:val="24"/>
          <w:lang w:val="en-US"/>
        </w:rPr>
        <w:t xml:space="preserve">(Bladen et </w:t>
      </w:r>
      <w:proofErr w:type="gramStart"/>
      <w:r w:rsidRPr="00BD21A9">
        <w:rPr>
          <w:rFonts w:ascii="Arial" w:hAnsi="Arial" w:cs="Arial"/>
          <w:sz w:val="24"/>
          <w:szCs w:val="24"/>
          <w:lang w:val="en-US"/>
        </w:rPr>
        <w:t>all</w:t>
      </w:r>
      <w:proofErr w:type="gramEnd"/>
      <w:r w:rsidRPr="00BD21A9">
        <w:rPr>
          <w:rFonts w:ascii="Arial" w:hAnsi="Arial" w:cs="Arial"/>
          <w:sz w:val="24"/>
          <w:szCs w:val="24"/>
          <w:lang w:val="en-US"/>
        </w:rPr>
        <w:t>, 20</w:t>
      </w:r>
      <w:r w:rsidR="008B2836" w:rsidRPr="00BD21A9">
        <w:rPr>
          <w:rFonts w:ascii="Arial" w:hAnsi="Arial" w:cs="Arial"/>
          <w:sz w:val="24"/>
          <w:szCs w:val="24"/>
          <w:lang w:val="en-US"/>
        </w:rPr>
        <w:t>1</w:t>
      </w:r>
      <w:r w:rsidRPr="00BD21A9">
        <w:rPr>
          <w:rFonts w:ascii="Arial" w:hAnsi="Arial" w:cs="Arial"/>
          <w:sz w:val="24"/>
          <w:szCs w:val="24"/>
          <w:lang w:val="en-US"/>
        </w:rPr>
        <w:t>2)</w:t>
      </w:r>
      <w:r w:rsidR="0042448A" w:rsidRPr="00BD21A9">
        <w:rPr>
          <w:rFonts w:ascii="Arial" w:hAnsi="Arial" w:cs="Arial"/>
          <w:sz w:val="24"/>
          <w:szCs w:val="24"/>
          <w:lang w:val="en-US"/>
        </w:rPr>
        <w:t>.</w:t>
      </w:r>
    </w:p>
    <w:p w14:paraId="339F2E47" w14:textId="77777777" w:rsidR="00CD73FD" w:rsidRPr="00BD21A9" w:rsidRDefault="00CD73FD" w:rsidP="00BD21A9">
      <w:pPr>
        <w:spacing w:line="360" w:lineRule="auto"/>
        <w:jc w:val="both"/>
        <w:rPr>
          <w:rFonts w:ascii="Arial" w:hAnsi="Arial" w:cs="Arial"/>
          <w:sz w:val="24"/>
          <w:szCs w:val="24"/>
          <w:lang w:val="en-US"/>
        </w:rPr>
      </w:pPr>
    </w:p>
    <w:p w14:paraId="1D4570B2" w14:textId="77777777" w:rsidR="00CD73FD" w:rsidRPr="00BD21A9" w:rsidRDefault="00CD73FD" w:rsidP="00BD21A9">
      <w:pPr>
        <w:spacing w:line="360" w:lineRule="auto"/>
        <w:jc w:val="both"/>
        <w:rPr>
          <w:rFonts w:ascii="Arial" w:hAnsi="Arial" w:cs="Arial"/>
          <w:sz w:val="24"/>
          <w:szCs w:val="24"/>
        </w:rPr>
      </w:pPr>
      <w:r w:rsidRPr="00BD21A9">
        <w:rPr>
          <w:rFonts w:ascii="Arial" w:hAnsi="Arial" w:cs="Arial"/>
          <w:sz w:val="24"/>
          <w:szCs w:val="24"/>
        </w:rPr>
        <w:t xml:space="preserve">The Whitbread Employee Reward Christmas Dinner is closely linked to the MICE industry, specifically within the Incentives and Meetings segments. This event serves as an incentive by recognising and rewarding top-performing salaried managers for their commitment and dedication, a practice that aligns with MICE’s goal of enhancing </w:t>
      </w:r>
      <w:r w:rsidRPr="00BD21A9">
        <w:rPr>
          <w:rFonts w:ascii="Arial" w:hAnsi="Arial" w:cs="Arial"/>
          <w:sz w:val="24"/>
          <w:szCs w:val="24"/>
        </w:rPr>
        <w:lastRenderedPageBreak/>
        <w:t>employee motivation and reinforcing loyalty (Rajkamal et al., 2023). Additionally, it provides a formal yet festive space for Whitbread’s leaders and employees to connect, reflect on achievements, and set goals for the coming year. The event also fosters networking and team cohesiveness, which are key MICE objectives.</w:t>
      </w:r>
    </w:p>
    <w:p w14:paraId="7A162423" w14:textId="77777777" w:rsidR="00CD73FD" w:rsidRPr="00BD21A9" w:rsidRDefault="00CD73FD" w:rsidP="00BD21A9">
      <w:pPr>
        <w:spacing w:line="360" w:lineRule="auto"/>
        <w:jc w:val="both"/>
        <w:rPr>
          <w:rFonts w:ascii="Arial" w:hAnsi="Arial" w:cs="Arial"/>
          <w:sz w:val="24"/>
          <w:szCs w:val="24"/>
        </w:rPr>
      </w:pPr>
    </w:p>
    <w:p w14:paraId="2C990AC7" w14:textId="3A825B52" w:rsidR="00CD73FD" w:rsidRPr="00BD21A9" w:rsidRDefault="00CD73FD" w:rsidP="00BD21A9">
      <w:pPr>
        <w:spacing w:line="360" w:lineRule="auto"/>
        <w:jc w:val="both"/>
        <w:rPr>
          <w:rFonts w:ascii="Arial" w:hAnsi="Arial" w:cs="Arial"/>
          <w:sz w:val="24"/>
          <w:szCs w:val="24"/>
        </w:rPr>
      </w:pPr>
      <w:r w:rsidRPr="00BD21A9">
        <w:rPr>
          <w:rFonts w:ascii="Arial" w:hAnsi="Arial" w:cs="Arial"/>
          <w:sz w:val="24"/>
          <w:szCs w:val="24"/>
        </w:rPr>
        <w:t>Through this event, Whitbread strengthens its corporate culture, employee engagement, and brand loyalty, all fundamental goals within the MICE industry, illustrating how incentive and recognition events play a vital role in organisational growth and workforce development.</w:t>
      </w:r>
    </w:p>
    <w:p w14:paraId="15F7CABE" w14:textId="77777777" w:rsidR="00CD73FD" w:rsidRPr="00BD21A9" w:rsidRDefault="00CD73FD" w:rsidP="00BD21A9">
      <w:pPr>
        <w:spacing w:line="360" w:lineRule="auto"/>
        <w:jc w:val="both"/>
        <w:rPr>
          <w:rFonts w:ascii="Arial" w:hAnsi="Arial" w:cs="Arial"/>
          <w:sz w:val="24"/>
          <w:szCs w:val="24"/>
        </w:rPr>
      </w:pPr>
    </w:p>
    <w:p w14:paraId="31F45D62" w14:textId="500D8F7E" w:rsidR="00CD73FD" w:rsidRPr="00BD21A9" w:rsidRDefault="00CD73FD" w:rsidP="00BD21A9">
      <w:pPr>
        <w:spacing w:line="360" w:lineRule="auto"/>
        <w:jc w:val="both"/>
        <w:rPr>
          <w:rFonts w:ascii="Arial" w:hAnsi="Arial" w:cs="Arial"/>
          <w:sz w:val="24"/>
          <w:szCs w:val="24"/>
        </w:rPr>
      </w:pPr>
      <w:r w:rsidRPr="00BD21A9">
        <w:rPr>
          <w:rFonts w:ascii="Arial" w:hAnsi="Arial" w:cs="Arial"/>
          <w:sz w:val="24"/>
          <w:szCs w:val="24"/>
        </w:rPr>
        <w:t xml:space="preserve">A seasonal celebration merged with a symbolic end to the fiscal year, the Christmas and festive theme captures the enthusiasm and cosiness of the holiday season while uniting the spirit of gratitude and rebirth. Christmas-themed décor, festive food, lights, and themed scents all serve to further the theme and immerse guests in the joyous atmosphere. Key Whitbread leaders will speak to the audience, offering words of encouragement, acknowledging accomplishments, and talking about goals for the upcoming year as per the benefit discussed by </w:t>
      </w:r>
      <w:proofErr w:type="spellStart"/>
      <w:r w:rsidRPr="00BD21A9">
        <w:rPr>
          <w:rFonts w:ascii="Arial" w:hAnsi="Arial" w:cs="Arial"/>
          <w:sz w:val="24"/>
          <w:szCs w:val="24"/>
        </w:rPr>
        <w:t>Vashdi</w:t>
      </w:r>
      <w:proofErr w:type="spellEnd"/>
      <w:r w:rsidRPr="00BD21A9">
        <w:rPr>
          <w:rFonts w:ascii="Arial" w:hAnsi="Arial" w:cs="Arial"/>
          <w:sz w:val="24"/>
          <w:szCs w:val="24"/>
        </w:rPr>
        <w:t xml:space="preserve">, </w:t>
      </w:r>
      <w:proofErr w:type="spellStart"/>
      <w:r w:rsidRPr="00BD21A9">
        <w:rPr>
          <w:rFonts w:ascii="Arial" w:hAnsi="Arial" w:cs="Arial"/>
          <w:sz w:val="24"/>
          <w:szCs w:val="24"/>
        </w:rPr>
        <w:t>Levitats</w:t>
      </w:r>
      <w:proofErr w:type="spellEnd"/>
      <w:r w:rsidRPr="00BD21A9">
        <w:rPr>
          <w:rFonts w:ascii="Arial" w:hAnsi="Arial" w:cs="Arial"/>
          <w:sz w:val="24"/>
          <w:szCs w:val="24"/>
        </w:rPr>
        <w:t xml:space="preserve">, &amp; Grimland (2019) </w:t>
      </w:r>
      <w:proofErr w:type="gramStart"/>
      <w:r w:rsidRPr="00BD21A9">
        <w:rPr>
          <w:rFonts w:ascii="Arial" w:hAnsi="Arial" w:cs="Arial"/>
          <w:sz w:val="24"/>
          <w:szCs w:val="24"/>
        </w:rPr>
        <w:t>in order to</w:t>
      </w:r>
      <w:proofErr w:type="gramEnd"/>
      <w:r w:rsidRPr="00BD21A9">
        <w:rPr>
          <w:rFonts w:ascii="Arial" w:hAnsi="Arial" w:cs="Arial"/>
          <w:sz w:val="24"/>
          <w:szCs w:val="24"/>
        </w:rPr>
        <w:t xml:space="preserve"> motivate the whole organisation by following transformational leadership. The Chairman of Whitbread (2024), Adam Crozier, will also share insights and experiences of success within Whitbread, highlighting inspirational stories that resonate with employees.</w:t>
      </w:r>
      <w:r w:rsidR="00F9691E" w:rsidRPr="00BD21A9">
        <w:rPr>
          <w:rFonts w:ascii="Arial" w:hAnsi="Arial" w:cs="Arial"/>
          <w:sz w:val="24"/>
          <w:szCs w:val="24"/>
        </w:rPr>
        <w:t xml:space="preserve"> The primary purpose is to celebrate and recognize the efforts of Whitbread employees, fostering a positive company culture and boosting morale (Cook, 2021).</w:t>
      </w:r>
      <w:r w:rsidRPr="00BD21A9">
        <w:rPr>
          <w:rFonts w:ascii="Arial" w:hAnsi="Arial" w:cs="Arial"/>
          <w:sz w:val="24"/>
          <w:szCs w:val="24"/>
        </w:rPr>
        <w:t xml:space="preserve"> </w:t>
      </w:r>
      <w:r w:rsidR="00F9691E" w:rsidRPr="00BD21A9">
        <w:rPr>
          <w:rFonts w:ascii="Arial" w:hAnsi="Arial" w:cs="Arial"/>
          <w:sz w:val="24"/>
          <w:szCs w:val="24"/>
        </w:rPr>
        <w:t>To</w:t>
      </w:r>
      <w:r w:rsidRPr="00BD21A9">
        <w:rPr>
          <w:rFonts w:ascii="Arial" w:hAnsi="Arial" w:cs="Arial"/>
          <w:sz w:val="24"/>
          <w:szCs w:val="24"/>
        </w:rPr>
        <w:t xml:space="preserve"> further recognise their contributions and promote a culture of acknowledgement, staff will also receive prizes such as certificates, vouchers, and gifts. Employees who submitted their stand-up talent material on November 1 can participate in a stand-up comedy show intended to provide a light-hearted and fun touch to the event; this gives gifted employees a chance to demonstrate their abilities and personalise the entertainment.</w:t>
      </w:r>
    </w:p>
    <w:p w14:paraId="49D3F9B2" w14:textId="77777777" w:rsidR="00CD73FD" w:rsidRPr="00BD21A9" w:rsidRDefault="00CD73FD" w:rsidP="00BD21A9">
      <w:pPr>
        <w:spacing w:line="360" w:lineRule="auto"/>
        <w:jc w:val="both"/>
        <w:rPr>
          <w:rFonts w:ascii="Arial" w:hAnsi="Arial" w:cs="Arial"/>
          <w:sz w:val="24"/>
          <w:szCs w:val="24"/>
        </w:rPr>
      </w:pPr>
    </w:p>
    <w:p w14:paraId="30D5EA84" w14:textId="71949F7D" w:rsidR="00067028" w:rsidRPr="00BD21A9" w:rsidRDefault="00CD73FD" w:rsidP="00BD21A9">
      <w:pPr>
        <w:spacing w:line="360" w:lineRule="auto"/>
        <w:jc w:val="both"/>
        <w:rPr>
          <w:rFonts w:ascii="Arial" w:hAnsi="Arial" w:cs="Arial"/>
          <w:sz w:val="24"/>
          <w:szCs w:val="24"/>
        </w:rPr>
      </w:pPr>
      <w:r w:rsidRPr="00BD21A9">
        <w:rPr>
          <w:rFonts w:ascii="Arial" w:hAnsi="Arial" w:cs="Arial"/>
          <w:sz w:val="24"/>
          <w:szCs w:val="24"/>
        </w:rPr>
        <w:t xml:space="preserve">The event will provide a pre-ordered, fixed menu with festive alternatives, guaranteeing simplified service that complements the event's holiday atmosphere </w:t>
      </w:r>
      <w:r w:rsidRPr="00BD21A9">
        <w:rPr>
          <w:rFonts w:ascii="Arial" w:hAnsi="Arial" w:cs="Arial"/>
          <w:sz w:val="24"/>
          <w:szCs w:val="24"/>
        </w:rPr>
        <w:lastRenderedPageBreak/>
        <w:t xml:space="preserve">while keeping in mind the F&amp;B principles and cost control outlined by Cousins &amp; Weekes (2020). </w:t>
      </w:r>
      <w:r w:rsidR="00782A24" w:rsidRPr="00BD21A9">
        <w:rPr>
          <w:rFonts w:ascii="Arial" w:hAnsi="Arial" w:cs="Arial"/>
          <w:sz w:val="24"/>
          <w:szCs w:val="24"/>
        </w:rPr>
        <w:t xml:space="preserve">Guests </w:t>
      </w:r>
      <w:r w:rsidRPr="00BD21A9">
        <w:rPr>
          <w:rFonts w:ascii="Arial" w:hAnsi="Arial" w:cs="Arial"/>
          <w:sz w:val="24"/>
          <w:szCs w:val="24"/>
        </w:rPr>
        <w:t xml:space="preserve">can also book accommodations at the nearby Premier Inns using the employee privilege room discounts, while the food to be catered by Whitbread and the drinks </w:t>
      </w:r>
      <w:proofErr w:type="gramStart"/>
      <w:r w:rsidRPr="00BD21A9">
        <w:rPr>
          <w:rFonts w:ascii="Arial" w:hAnsi="Arial" w:cs="Arial"/>
          <w:sz w:val="24"/>
          <w:szCs w:val="24"/>
        </w:rPr>
        <w:t>have to</w:t>
      </w:r>
      <w:proofErr w:type="gramEnd"/>
      <w:r w:rsidRPr="00BD21A9">
        <w:rPr>
          <w:rFonts w:ascii="Arial" w:hAnsi="Arial" w:cs="Arial"/>
          <w:sz w:val="24"/>
          <w:szCs w:val="24"/>
        </w:rPr>
        <w:t xml:space="preserve"> be bought individually by attendees.</w:t>
      </w:r>
    </w:p>
    <w:p w14:paraId="28F8DC0D" w14:textId="77777777" w:rsidR="00067028" w:rsidRPr="00BD21A9" w:rsidRDefault="00067028" w:rsidP="00BD21A9">
      <w:pPr>
        <w:spacing w:line="360" w:lineRule="auto"/>
        <w:jc w:val="both"/>
        <w:rPr>
          <w:rFonts w:ascii="Arial" w:hAnsi="Arial" w:cs="Arial"/>
          <w:sz w:val="24"/>
          <w:szCs w:val="24"/>
        </w:rPr>
      </w:pPr>
    </w:p>
    <w:p w14:paraId="27BB8A9B" w14:textId="77777777" w:rsidR="00067028" w:rsidRPr="00BD21A9" w:rsidRDefault="00067028" w:rsidP="00BD21A9">
      <w:pPr>
        <w:spacing w:line="360" w:lineRule="auto"/>
        <w:jc w:val="both"/>
        <w:rPr>
          <w:rFonts w:ascii="Arial" w:hAnsi="Arial" w:cs="Arial"/>
          <w:sz w:val="24"/>
          <w:szCs w:val="24"/>
        </w:rPr>
      </w:pPr>
    </w:p>
    <w:p w14:paraId="63992DD8" w14:textId="6E1E9EB5" w:rsidR="00632742" w:rsidRPr="00BD21A9" w:rsidRDefault="00632742" w:rsidP="00BD21A9">
      <w:pPr>
        <w:spacing w:line="360" w:lineRule="auto"/>
        <w:jc w:val="both"/>
        <w:rPr>
          <w:rFonts w:ascii="Arial" w:hAnsi="Arial" w:cs="Arial"/>
          <w:sz w:val="24"/>
          <w:szCs w:val="24"/>
        </w:rPr>
      </w:pPr>
    </w:p>
    <w:p w14:paraId="285E486B" w14:textId="05C512A6" w:rsidR="00093611" w:rsidRPr="00BD21A9" w:rsidRDefault="007355A1" w:rsidP="00BD21A9">
      <w:pPr>
        <w:spacing w:line="360" w:lineRule="auto"/>
        <w:jc w:val="both"/>
        <w:rPr>
          <w:rFonts w:ascii="Arial" w:hAnsi="Arial" w:cs="Arial"/>
          <w:sz w:val="24"/>
          <w:szCs w:val="24"/>
        </w:rPr>
      </w:pPr>
      <w:r w:rsidRPr="00BD21A9">
        <w:rPr>
          <w:rFonts w:ascii="Arial" w:hAnsi="Arial" w:cs="Arial"/>
          <w:noProof/>
        </w:rPr>
        <w:drawing>
          <wp:inline distT="0" distB="0" distL="0" distR="0" wp14:anchorId="419A27C0" wp14:editId="30651D8F">
            <wp:extent cx="5658692" cy="4000500"/>
            <wp:effectExtent l="0" t="0" r="0" b="0"/>
            <wp:docPr id="944224154" name="Picture 6"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224154" name="Picture 6" descr="A menu of a restauran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71526" cy="4009574"/>
                    </a:xfrm>
                    <a:prstGeom prst="rect">
                      <a:avLst/>
                    </a:prstGeom>
                    <a:noFill/>
                    <a:ln>
                      <a:noFill/>
                    </a:ln>
                  </pic:spPr>
                </pic:pic>
              </a:graphicData>
            </a:graphic>
          </wp:inline>
        </w:drawing>
      </w:r>
      <w:r w:rsidRPr="00BD21A9">
        <w:rPr>
          <w:rFonts w:ascii="Arial" w:hAnsi="Arial" w:cs="Arial"/>
          <w:sz w:val="24"/>
          <w:szCs w:val="24"/>
        </w:rPr>
        <w:t xml:space="preserve"> (Canva app, 2024)</w:t>
      </w:r>
    </w:p>
    <w:p w14:paraId="0680AB03" w14:textId="77777777" w:rsidR="00632742" w:rsidRPr="00BD21A9" w:rsidRDefault="00632742" w:rsidP="00BD21A9">
      <w:pPr>
        <w:spacing w:line="360" w:lineRule="auto"/>
        <w:jc w:val="both"/>
        <w:rPr>
          <w:rFonts w:ascii="Arial" w:hAnsi="Arial" w:cs="Arial"/>
          <w:sz w:val="24"/>
          <w:szCs w:val="24"/>
        </w:rPr>
      </w:pPr>
    </w:p>
    <w:p w14:paraId="409C007D" w14:textId="11AA8242" w:rsidR="004931CC" w:rsidRPr="00C83DA9" w:rsidRDefault="00647F14" w:rsidP="00C83DA9">
      <w:pPr>
        <w:pStyle w:val="Heading2"/>
        <w:spacing w:line="360" w:lineRule="auto"/>
        <w:jc w:val="both"/>
        <w:rPr>
          <w:rFonts w:ascii="Arial" w:hAnsi="Arial" w:cs="Arial"/>
          <w:sz w:val="36"/>
          <w:szCs w:val="36"/>
        </w:rPr>
      </w:pPr>
      <w:r w:rsidRPr="00C83DA9">
        <w:rPr>
          <w:rStyle w:val="Heading1Char"/>
          <w:rFonts w:ascii="Arial" w:hAnsi="Arial" w:cs="Arial"/>
          <w:sz w:val="36"/>
          <w:szCs w:val="36"/>
        </w:rPr>
        <w:t xml:space="preserve"> </w:t>
      </w:r>
      <w:bookmarkStart w:id="4" w:name="_Toc181998435"/>
      <w:r w:rsidR="00515B72" w:rsidRPr="00C83DA9">
        <w:rPr>
          <w:rStyle w:val="Heading1Char"/>
          <w:rFonts w:ascii="Arial" w:hAnsi="Arial" w:cs="Arial"/>
          <w:sz w:val="36"/>
          <w:szCs w:val="36"/>
        </w:rPr>
        <w:t>2.1</w:t>
      </w:r>
      <w:r w:rsidR="00EA1130" w:rsidRPr="00C83DA9">
        <w:rPr>
          <w:rStyle w:val="Heading1Char"/>
          <w:rFonts w:ascii="Arial" w:hAnsi="Arial" w:cs="Arial"/>
          <w:sz w:val="36"/>
          <w:szCs w:val="36"/>
        </w:rPr>
        <w:t xml:space="preserve"> </w:t>
      </w:r>
      <w:r w:rsidRPr="00C83DA9">
        <w:rPr>
          <w:rStyle w:val="Heading1Char"/>
          <w:rFonts w:ascii="Arial" w:hAnsi="Arial" w:cs="Arial"/>
          <w:sz w:val="36"/>
          <w:szCs w:val="36"/>
        </w:rPr>
        <w:t>The Event Cycle</w:t>
      </w:r>
      <w:bookmarkEnd w:id="4"/>
      <w:r w:rsidRPr="00C83DA9">
        <w:rPr>
          <w:rFonts w:ascii="Arial" w:hAnsi="Arial" w:cs="Arial"/>
          <w:sz w:val="36"/>
          <w:szCs w:val="36"/>
        </w:rPr>
        <w:t xml:space="preserve"> </w:t>
      </w:r>
    </w:p>
    <w:p w14:paraId="3F4788FE" w14:textId="77777777" w:rsidR="00093611" w:rsidRPr="00BD21A9" w:rsidRDefault="00093611" w:rsidP="00BD21A9">
      <w:pPr>
        <w:spacing w:line="360" w:lineRule="auto"/>
        <w:jc w:val="both"/>
        <w:rPr>
          <w:rFonts w:ascii="Arial" w:hAnsi="Arial" w:cs="Arial"/>
        </w:rPr>
      </w:pPr>
    </w:p>
    <w:p w14:paraId="1EE33D44" w14:textId="5686D961" w:rsidR="00866E8B" w:rsidRPr="00BD21A9" w:rsidRDefault="00CD73FD" w:rsidP="00BD21A9">
      <w:pPr>
        <w:spacing w:line="360" w:lineRule="auto"/>
        <w:jc w:val="both"/>
        <w:rPr>
          <w:rFonts w:ascii="Arial" w:hAnsi="Arial" w:cs="Arial"/>
          <w:sz w:val="24"/>
          <w:szCs w:val="24"/>
        </w:rPr>
      </w:pPr>
      <w:r w:rsidRPr="00BD21A9">
        <w:rPr>
          <w:rFonts w:ascii="Arial" w:hAnsi="Arial" w:cs="Arial"/>
          <w:sz w:val="24"/>
          <w:szCs w:val="24"/>
        </w:rPr>
        <w:t>The Event Lifecycle is a comprehensive framework used in event management to guide event planning, execution, and assessment. It divides the whole process into different stages, each with defined goals, activities, and checkpoints to assure success (Quick, 2020).</w:t>
      </w:r>
      <w:r w:rsidR="00782A24" w:rsidRPr="00BD21A9">
        <w:rPr>
          <w:rFonts w:ascii="Arial" w:hAnsi="Arial" w:cs="Arial"/>
          <w:sz w:val="24"/>
          <w:szCs w:val="24"/>
        </w:rPr>
        <w:t xml:space="preserve"> </w:t>
      </w:r>
      <w:r w:rsidR="00996650" w:rsidRPr="00BD21A9">
        <w:rPr>
          <w:rFonts w:ascii="Arial" w:hAnsi="Arial" w:cs="Arial"/>
          <w:sz w:val="24"/>
          <w:szCs w:val="24"/>
        </w:rPr>
        <w:t xml:space="preserve">Key goals include providing a memorable festive experience, </w:t>
      </w:r>
      <w:r w:rsidR="00996650" w:rsidRPr="00BD21A9">
        <w:rPr>
          <w:rFonts w:ascii="Arial" w:hAnsi="Arial" w:cs="Arial"/>
          <w:sz w:val="24"/>
          <w:szCs w:val="24"/>
        </w:rPr>
        <w:lastRenderedPageBreak/>
        <w:t xml:space="preserve">encouraging employee engagement, and offering practical event management experience for apprenticeship students (Whitbread Academy, 2024). </w:t>
      </w:r>
    </w:p>
    <w:p w14:paraId="7E313F3A" w14:textId="77777777" w:rsidR="00093611" w:rsidRPr="00BD21A9" w:rsidRDefault="00041C52" w:rsidP="00BD21A9">
      <w:pPr>
        <w:spacing w:line="360" w:lineRule="auto"/>
        <w:jc w:val="both"/>
        <w:rPr>
          <w:rFonts w:ascii="Arial" w:eastAsiaTheme="minorEastAsia" w:hAnsi="Arial" w:cs="Arial"/>
          <w:color w:val="FFFFFF" w:themeColor="background1"/>
          <w:kern w:val="24"/>
          <w:sz w:val="36"/>
          <w:szCs w:val="36"/>
          <w:lang w:eastAsia="en-GB"/>
        </w:rPr>
      </w:pPr>
      <w:r w:rsidRPr="00BD21A9">
        <w:rPr>
          <w:rFonts w:ascii="Arial" w:hAnsi="Arial" w:cs="Arial"/>
          <w:noProof/>
        </w:rPr>
        <w:drawing>
          <wp:inline distT="0" distB="0" distL="0" distR="0" wp14:anchorId="1FA89E70" wp14:editId="2187A068">
            <wp:extent cx="5372100" cy="5218380"/>
            <wp:effectExtent l="0" t="0" r="0" b="1905"/>
            <wp:docPr id="3" name="Picture 2" descr="A diagram of a business&#10;&#10;Description automatically generated">
              <a:extLst xmlns:a="http://schemas.openxmlformats.org/drawingml/2006/main">
                <a:ext uri="{FF2B5EF4-FFF2-40B4-BE49-F238E27FC236}">
                  <a16:creationId xmlns:a16="http://schemas.microsoft.com/office/drawing/2014/main" id="{77458A09-6B45-6A0C-F9CF-C59487DE04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business&#10;&#10;Description automatically generated">
                      <a:extLst>
                        <a:ext uri="{FF2B5EF4-FFF2-40B4-BE49-F238E27FC236}">
                          <a16:creationId xmlns:a16="http://schemas.microsoft.com/office/drawing/2014/main" id="{77458A09-6B45-6A0C-F9CF-C59487DE042E}"/>
                        </a:ext>
                      </a:extLst>
                    </pic:cNvPr>
                    <pic:cNvPicPr>
                      <a:picLocks noChangeAspect="1"/>
                    </pic:cNvPicPr>
                  </pic:nvPicPr>
                  <pic:blipFill>
                    <a:blip r:embed="rId11"/>
                    <a:stretch>
                      <a:fillRect/>
                    </a:stretch>
                  </pic:blipFill>
                  <pic:spPr>
                    <a:xfrm>
                      <a:off x="0" y="0"/>
                      <a:ext cx="5394850" cy="5240479"/>
                    </a:xfrm>
                    <a:prstGeom prst="rect">
                      <a:avLst/>
                    </a:prstGeom>
                  </pic:spPr>
                </pic:pic>
              </a:graphicData>
            </a:graphic>
          </wp:inline>
        </w:drawing>
      </w:r>
      <w:r w:rsidR="00DB03A2" w:rsidRPr="00BD21A9">
        <w:rPr>
          <w:rFonts w:ascii="Arial" w:eastAsiaTheme="minorEastAsia" w:hAnsi="Arial" w:cs="Arial"/>
          <w:color w:val="FFFFFF" w:themeColor="background1"/>
          <w:kern w:val="24"/>
          <w:sz w:val="36"/>
          <w:szCs w:val="36"/>
          <w:lang w:eastAsia="en-GB"/>
        </w:rPr>
        <w:t xml:space="preserve"> </w:t>
      </w:r>
    </w:p>
    <w:p w14:paraId="598152AD" w14:textId="6B217924" w:rsidR="00DB03A2" w:rsidRPr="00BD21A9" w:rsidRDefault="00DB03A2" w:rsidP="00BD21A9">
      <w:pPr>
        <w:spacing w:line="360" w:lineRule="auto"/>
        <w:jc w:val="both"/>
        <w:rPr>
          <w:rFonts w:ascii="Arial" w:hAnsi="Arial" w:cs="Arial"/>
          <w:sz w:val="24"/>
          <w:szCs w:val="24"/>
        </w:rPr>
      </w:pPr>
      <w:r w:rsidRPr="00BD21A9">
        <w:rPr>
          <w:rFonts w:ascii="Arial" w:hAnsi="Arial" w:cs="Arial"/>
          <w:sz w:val="24"/>
          <w:szCs w:val="24"/>
        </w:rPr>
        <w:t>(</w:t>
      </w:r>
      <w:proofErr w:type="spellStart"/>
      <w:r w:rsidRPr="00BD21A9">
        <w:rPr>
          <w:rFonts w:ascii="Arial" w:hAnsi="Arial" w:cs="Arial"/>
          <w:sz w:val="24"/>
          <w:szCs w:val="24"/>
        </w:rPr>
        <w:t>Benckendorff</w:t>
      </w:r>
      <w:proofErr w:type="spellEnd"/>
      <w:r w:rsidRPr="00BD21A9">
        <w:rPr>
          <w:rFonts w:ascii="Arial" w:hAnsi="Arial" w:cs="Arial"/>
          <w:sz w:val="24"/>
          <w:szCs w:val="24"/>
        </w:rPr>
        <w:t>, Pearce, 2020)</w:t>
      </w:r>
    </w:p>
    <w:p w14:paraId="075F8098" w14:textId="77777777" w:rsidR="00DB03A2" w:rsidRPr="00BD21A9" w:rsidRDefault="00DB03A2" w:rsidP="00BD21A9">
      <w:pPr>
        <w:spacing w:line="360" w:lineRule="auto"/>
        <w:jc w:val="both"/>
        <w:rPr>
          <w:rFonts w:ascii="Arial" w:hAnsi="Arial" w:cs="Arial"/>
        </w:rPr>
      </w:pPr>
    </w:p>
    <w:p w14:paraId="7498463E" w14:textId="09687ECF" w:rsidR="00741358" w:rsidRPr="001810D0" w:rsidRDefault="00515B72" w:rsidP="001810D0">
      <w:pPr>
        <w:pStyle w:val="Heading2"/>
        <w:spacing w:line="360" w:lineRule="auto"/>
        <w:jc w:val="both"/>
        <w:rPr>
          <w:rFonts w:ascii="Arial" w:hAnsi="Arial" w:cs="Arial"/>
          <w:sz w:val="36"/>
          <w:szCs w:val="36"/>
        </w:rPr>
      </w:pPr>
      <w:bookmarkStart w:id="5" w:name="_Toc181998436"/>
      <w:r w:rsidRPr="001810D0">
        <w:rPr>
          <w:rFonts w:ascii="Arial" w:hAnsi="Arial" w:cs="Arial"/>
          <w:sz w:val="36"/>
          <w:szCs w:val="36"/>
        </w:rPr>
        <w:t>2.2</w:t>
      </w:r>
      <w:r w:rsidR="00A215F6" w:rsidRPr="001810D0">
        <w:rPr>
          <w:rFonts w:ascii="Arial" w:hAnsi="Arial" w:cs="Arial"/>
          <w:sz w:val="36"/>
          <w:szCs w:val="36"/>
        </w:rPr>
        <w:t xml:space="preserve"> </w:t>
      </w:r>
      <w:r w:rsidR="000B0585" w:rsidRPr="001810D0">
        <w:rPr>
          <w:rFonts w:ascii="Arial" w:hAnsi="Arial" w:cs="Arial"/>
          <w:sz w:val="36"/>
          <w:szCs w:val="36"/>
        </w:rPr>
        <w:t>Before the Event (Planning and Preparation)</w:t>
      </w:r>
      <w:bookmarkEnd w:id="5"/>
    </w:p>
    <w:p w14:paraId="0371841C" w14:textId="77777777" w:rsidR="00446098" w:rsidRPr="00BD21A9" w:rsidRDefault="00446098" w:rsidP="00BD21A9">
      <w:pPr>
        <w:spacing w:line="360" w:lineRule="auto"/>
        <w:jc w:val="both"/>
        <w:rPr>
          <w:rFonts w:ascii="Arial" w:hAnsi="Arial" w:cs="Arial"/>
        </w:rPr>
      </w:pPr>
    </w:p>
    <w:p w14:paraId="449203A8" w14:textId="37349804" w:rsidR="00261B1F" w:rsidRPr="00BD21A9" w:rsidRDefault="00261B1F" w:rsidP="00BD21A9">
      <w:pPr>
        <w:spacing w:line="360" w:lineRule="auto"/>
        <w:jc w:val="both"/>
        <w:rPr>
          <w:rFonts w:ascii="Arial" w:hAnsi="Arial" w:cs="Arial"/>
          <w:sz w:val="24"/>
          <w:szCs w:val="24"/>
        </w:rPr>
      </w:pPr>
      <w:r w:rsidRPr="00BD21A9">
        <w:rPr>
          <w:rFonts w:ascii="Arial" w:hAnsi="Arial" w:cs="Arial"/>
          <w:sz w:val="24"/>
          <w:szCs w:val="24"/>
        </w:rPr>
        <w:t>The EMBOK (Event Management Body of Knowledge) model is a comprehensive framework used to guide the planning, execution, and evaluation of events. It provides a structured approach to managing various aspects of event planning and is based on five key domains:</w:t>
      </w:r>
    </w:p>
    <w:p w14:paraId="2D30FF4D" w14:textId="702A27C8" w:rsidR="00261B1F" w:rsidRPr="00BD21A9" w:rsidRDefault="00261B1F" w:rsidP="00BD21A9">
      <w:pPr>
        <w:spacing w:line="360" w:lineRule="auto"/>
        <w:jc w:val="both"/>
        <w:rPr>
          <w:rFonts w:ascii="Arial" w:hAnsi="Arial" w:cs="Arial"/>
          <w:sz w:val="24"/>
          <w:szCs w:val="24"/>
        </w:rPr>
      </w:pPr>
      <w:r w:rsidRPr="00BD21A9">
        <w:rPr>
          <w:rFonts w:ascii="Arial" w:hAnsi="Arial" w:cs="Arial"/>
          <w:sz w:val="24"/>
          <w:szCs w:val="24"/>
        </w:rPr>
        <w:lastRenderedPageBreak/>
        <w:t>• Administration - Covers the management aspects, including budgeting, legal considerations, risk management, and human resources.</w:t>
      </w:r>
    </w:p>
    <w:p w14:paraId="47B9DCE9" w14:textId="2F93C8F0" w:rsidR="00261B1F" w:rsidRPr="00BD21A9" w:rsidRDefault="00261B1F" w:rsidP="00BD21A9">
      <w:pPr>
        <w:spacing w:line="360" w:lineRule="auto"/>
        <w:jc w:val="both"/>
        <w:rPr>
          <w:rFonts w:ascii="Arial" w:hAnsi="Arial" w:cs="Arial"/>
          <w:sz w:val="24"/>
          <w:szCs w:val="24"/>
        </w:rPr>
      </w:pPr>
      <w:r w:rsidRPr="00BD21A9">
        <w:rPr>
          <w:rFonts w:ascii="Arial" w:hAnsi="Arial" w:cs="Arial"/>
          <w:sz w:val="24"/>
          <w:szCs w:val="24"/>
        </w:rPr>
        <w:t>• Design - Focuses on the creative and strategic elements, such as theme development, ambiance, and event format.</w:t>
      </w:r>
      <w:r w:rsidR="00535E78" w:rsidRPr="00BD21A9">
        <w:rPr>
          <w:rFonts w:ascii="Arial" w:hAnsi="Arial" w:cs="Arial"/>
          <w:sz w:val="24"/>
          <w:szCs w:val="24"/>
        </w:rPr>
        <w:t xml:space="preserve"> </w:t>
      </w:r>
    </w:p>
    <w:p w14:paraId="653FE9B7" w14:textId="07D32FBD" w:rsidR="00261B1F" w:rsidRPr="00BD21A9" w:rsidRDefault="00261B1F" w:rsidP="00BD21A9">
      <w:pPr>
        <w:spacing w:line="360" w:lineRule="auto"/>
        <w:jc w:val="both"/>
        <w:rPr>
          <w:rFonts w:ascii="Arial" w:hAnsi="Arial" w:cs="Arial"/>
          <w:sz w:val="24"/>
          <w:szCs w:val="24"/>
        </w:rPr>
      </w:pPr>
      <w:r w:rsidRPr="00BD21A9">
        <w:rPr>
          <w:rFonts w:ascii="Arial" w:hAnsi="Arial" w:cs="Arial"/>
          <w:sz w:val="24"/>
          <w:szCs w:val="24"/>
        </w:rPr>
        <w:t>• Marketing - Involves promoting the event, branding, public relations, and communication strategies to attract and engage attendees</w:t>
      </w:r>
      <w:r w:rsidR="00BA26F1" w:rsidRPr="00BD21A9">
        <w:rPr>
          <w:rFonts w:ascii="Arial" w:hAnsi="Arial" w:cs="Arial"/>
          <w:sz w:val="24"/>
          <w:szCs w:val="24"/>
        </w:rPr>
        <w:t>, Marketing materials to be sent to Withered sites to inform attendees about the event.</w:t>
      </w:r>
    </w:p>
    <w:p w14:paraId="1E512381" w14:textId="74FB5539" w:rsidR="00261B1F" w:rsidRPr="00BD21A9" w:rsidRDefault="00261B1F" w:rsidP="00BD21A9">
      <w:pPr>
        <w:spacing w:line="360" w:lineRule="auto"/>
        <w:jc w:val="both"/>
        <w:rPr>
          <w:rFonts w:ascii="Arial" w:hAnsi="Arial" w:cs="Arial"/>
          <w:sz w:val="24"/>
          <w:szCs w:val="24"/>
        </w:rPr>
      </w:pPr>
      <w:r w:rsidRPr="00BD21A9">
        <w:rPr>
          <w:rFonts w:ascii="Arial" w:hAnsi="Arial" w:cs="Arial"/>
          <w:sz w:val="24"/>
          <w:szCs w:val="24"/>
        </w:rPr>
        <w:t>• Operations - Addresses logistics like site management, attendee flow, transportation, and technical setups.</w:t>
      </w:r>
    </w:p>
    <w:p w14:paraId="016B8B3F" w14:textId="77777777" w:rsidR="00261B1F" w:rsidRPr="00BD21A9" w:rsidRDefault="00261B1F" w:rsidP="00BD21A9">
      <w:pPr>
        <w:spacing w:line="360" w:lineRule="auto"/>
        <w:jc w:val="both"/>
        <w:rPr>
          <w:rFonts w:ascii="Arial" w:hAnsi="Arial" w:cs="Arial"/>
          <w:sz w:val="24"/>
          <w:szCs w:val="24"/>
        </w:rPr>
      </w:pPr>
      <w:r w:rsidRPr="00BD21A9">
        <w:rPr>
          <w:rFonts w:ascii="Arial" w:hAnsi="Arial" w:cs="Arial"/>
          <w:sz w:val="24"/>
          <w:szCs w:val="24"/>
        </w:rPr>
        <w:t>• Risk - Focuses on identifying, assessing, and mitigating potential risks, including health and safety measures, insurance, and contingency planning.</w:t>
      </w:r>
    </w:p>
    <w:p w14:paraId="740B72C4" w14:textId="77777777" w:rsidR="00261B1F" w:rsidRPr="00BD21A9" w:rsidRDefault="00261B1F" w:rsidP="00BD21A9">
      <w:pPr>
        <w:spacing w:line="360" w:lineRule="auto"/>
        <w:jc w:val="both"/>
        <w:rPr>
          <w:rFonts w:ascii="Arial" w:hAnsi="Arial" w:cs="Arial"/>
          <w:sz w:val="24"/>
          <w:szCs w:val="24"/>
        </w:rPr>
      </w:pPr>
    </w:p>
    <w:p w14:paraId="28E4D995" w14:textId="6638EB03" w:rsidR="00261B1F" w:rsidRPr="00BD21A9" w:rsidRDefault="00261B1F" w:rsidP="00BD21A9">
      <w:pPr>
        <w:spacing w:line="360" w:lineRule="auto"/>
        <w:jc w:val="both"/>
        <w:rPr>
          <w:rFonts w:ascii="Arial" w:hAnsi="Arial" w:cs="Arial"/>
          <w:sz w:val="24"/>
          <w:szCs w:val="24"/>
        </w:rPr>
      </w:pPr>
      <w:r w:rsidRPr="00BD21A9">
        <w:rPr>
          <w:rFonts w:ascii="Arial" w:hAnsi="Arial" w:cs="Arial"/>
          <w:sz w:val="24"/>
          <w:szCs w:val="24"/>
        </w:rPr>
        <w:t>Each domain provides a set of principles, processes, and best practices that help event managers deliver successful, well-organized events. The EMBOK (2019</w:t>
      </w:r>
      <w:r w:rsidR="00F9691E" w:rsidRPr="00BD21A9">
        <w:rPr>
          <w:rFonts w:ascii="Arial" w:hAnsi="Arial" w:cs="Arial"/>
          <w:sz w:val="24"/>
          <w:szCs w:val="24"/>
        </w:rPr>
        <w:t>) model</w:t>
      </w:r>
      <w:r w:rsidRPr="00BD21A9">
        <w:rPr>
          <w:rFonts w:ascii="Arial" w:hAnsi="Arial" w:cs="Arial"/>
          <w:sz w:val="24"/>
          <w:szCs w:val="24"/>
        </w:rPr>
        <w:t xml:space="preserve"> is widely used in the event management industry as a foundational tool for achieving high-quality, professionally executed events. The main considerations in the planning and preparation of an event encompass a range of strategic, logistical, and operational elements that ensure a cohesive and successful outcome (Yeung &amp; Thomas, 2021).</w:t>
      </w:r>
    </w:p>
    <w:p w14:paraId="534DBC1A" w14:textId="77777777" w:rsidR="00261B1F" w:rsidRPr="00BD21A9" w:rsidRDefault="00261B1F" w:rsidP="00BD21A9">
      <w:pPr>
        <w:spacing w:line="360" w:lineRule="auto"/>
        <w:jc w:val="both"/>
        <w:rPr>
          <w:rFonts w:ascii="Arial" w:hAnsi="Arial" w:cs="Arial"/>
        </w:rPr>
      </w:pPr>
    </w:p>
    <w:p w14:paraId="7BC927C9" w14:textId="77777777" w:rsidR="00261B1F" w:rsidRPr="00BD21A9" w:rsidRDefault="00261B1F" w:rsidP="00BD21A9">
      <w:pPr>
        <w:spacing w:line="360" w:lineRule="auto"/>
        <w:jc w:val="both"/>
        <w:rPr>
          <w:rFonts w:ascii="Arial" w:hAnsi="Arial" w:cs="Arial"/>
        </w:rPr>
      </w:pPr>
    </w:p>
    <w:p w14:paraId="290381D6" w14:textId="77777777" w:rsidR="00261B1F" w:rsidRPr="00BD21A9" w:rsidRDefault="00261B1F" w:rsidP="00BD21A9">
      <w:pPr>
        <w:spacing w:line="360" w:lineRule="auto"/>
        <w:jc w:val="both"/>
        <w:rPr>
          <w:rFonts w:ascii="Arial" w:hAnsi="Arial" w:cs="Arial"/>
        </w:rPr>
      </w:pPr>
    </w:p>
    <w:p w14:paraId="468F9AF5" w14:textId="6F0835C4" w:rsidR="00A07D5B" w:rsidRPr="00BD21A9" w:rsidRDefault="00A07D5B" w:rsidP="00BD21A9">
      <w:pPr>
        <w:spacing w:line="360" w:lineRule="auto"/>
        <w:jc w:val="both"/>
        <w:rPr>
          <w:rFonts w:ascii="Arial" w:hAnsi="Arial" w:cs="Arial"/>
          <w:sz w:val="24"/>
          <w:szCs w:val="24"/>
        </w:rPr>
      </w:pPr>
    </w:p>
    <w:p w14:paraId="10EAED3C" w14:textId="36D4E34C" w:rsidR="000F7092" w:rsidRPr="00BD21A9" w:rsidRDefault="000F7092" w:rsidP="00BD21A9">
      <w:pPr>
        <w:spacing w:line="360" w:lineRule="auto"/>
        <w:jc w:val="both"/>
        <w:rPr>
          <w:rFonts w:ascii="Arial" w:hAnsi="Arial" w:cs="Arial"/>
          <w:sz w:val="24"/>
          <w:szCs w:val="24"/>
        </w:rPr>
      </w:pPr>
      <w:r w:rsidRPr="00BD21A9">
        <w:rPr>
          <w:rFonts w:ascii="Arial" w:hAnsi="Arial" w:cs="Arial"/>
          <w:noProof/>
          <w:sz w:val="24"/>
          <w:szCs w:val="24"/>
        </w:rPr>
        <w:lastRenderedPageBreak/>
        <w:drawing>
          <wp:inline distT="0" distB="0" distL="0" distR="0" wp14:anchorId="1A7A8BC2" wp14:editId="7AE13C28">
            <wp:extent cx="2715202" cy="1938484"/>
            <wp:effectExtent l="0" t="0" r="0" b="5080"/>
            <wp:docPr id="1529463561" name="Picture 1" descr="A card with pine branches and a lan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463561" name="Picture 1" descr="A card with pine branches and a lanter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2870" cy="1951098"/>
                    </a:xfrm>
                    <a:prstGeom prst="rect">
                      <a:avLst/>
                    </a:prstGeom>
                  </pic:spPr>
                </pic:pic>
              </a:graphicData>
            </a:graphic>
          </wp:inline>
        </w:drawing>
      </w:r>
      <w:r w:rsidRPr="00BD21A9">
        <w:rPr>
          <w:rFonts w:ascii="Arial" w:hAnsi="Arial" w:cs="Arial"/>
          <w:noProof/>
          <w:sz w:val="24"/>
          <w:szCs w:val="24"/>
        </w:rPr>
        <w:drawing>
          <wp:inline distT="0" distB="0" distL="0" distR="0" wp14:anchorId="41F11D32" wp14:editId="16594CBA">
            <wp:extent cx="2893671" cy="2067503"/>
            <wp:effectExtent l="0" t="0" r="2540" b="9525"/>
            <wp:docPr id="2055007642" name="Picture 2" descr="A card with pine branches and a lan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07642" name="Picture 2" descr="A card with pine branches and a lanter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07212" cy="2077178"/>
                    </a:xfrm>
                    <a:prstGeom prst="rect">
                      <a:avLst/>
                    </a:prstGeom>
                  </pic:spPr>
                </pic:pic>
              </a:graphicData>
            </a:graphic>
          </wp:inline>
        </w:drawing>
      </w:r>
      <w:r w:rsidR="007355A1" w:rsidRPr="00BD21A9">
        <w:rPr>
          <w:rFonts w:ascii="Arial" w:hAnsi="Arial" w:cs="Arial"/>
          <w:sz w:val="24"/>
          <w:szCs w:val="24"/>
        </w:rPr>
        <w:t>(Canva app, 2024).</w:t>
      </w:r>
    </w:p>
    <w:p w14:paraId="4087B8D6" w14:textId="77777777" w:rsidR="00A23DBE" w:rsidRPr="00BD21A9" w:rsidRDefault="00A23DBE" w:rsidP="00BD21A9">
      <w:pPr>
        <w:spacing w:line="360" w:lineRule="auto"/>
        <w:jc w:val="both"/>
        <w:rPr>
          <w:rFonts w:ascii="Arial" w:hAnsi="Arial" w:cs="Arial"/>
          <w:sz w:val="24"/>
          <w:szCs w:val="24"/>
        </w:rPr>
      </w:pPr>
    </w:p>
    <w:p w14:paraId="750BACF3" w14:textId="5722E7B9" w:rsidR="005A7219" w:rsidRPr="001810D0" w:rsidRDefault="00515B72" w:rsidP="001810D0">
      <w:pPr>
        <w:pStyle w:val="Heading2"/>
        <w:spacing w:line="360" w:lineRule="auto"/>
        <w:jc w:val="both"/>
        <w:rPr>
          <w:rStyle w:val="Heading3Char"/>
          <w:rFonts w:ascii="Arial" w:hAnsi="Arial" w:cs="Arial"/>
          <w:sz w:val="36"/>
          <w:szCs w:val="36"/>
        </w:rPr>
      </w:pPr>
      <w:bookmarkStart w:id="6" w:name="_Toc181998437"/>
      <w:r w:rsidRPr="001810D0">
        <w:rPr>
          <w:rFonts w:ascii="Arial" w:hAnsi="Arial" w:cs="Arial"/>
          <w:sz w:val="36"/>
          <w:szCs w:val="36"/>
        </w:rPr>
        <w:t>2.3</w:t>
      </w:r>
      <w:r w:rsidR="00A215F6" w:rsidRPr="001810D0">
        <w:rPr>
          <w:rStyle w:val="Heading3Char"/>
          <w:rFonts w:ascii="Arial" w:hAnsi="Arial" w:cs="Arial"/>
          <w:sz w:val="36"/>
          <w:szCs w:val="36"/>
        </w:rPr>
        <w:t xml:space="preserve"> </w:t>
      </w:r>
      <w:r w:rsidR="00741358" w:rsidRPr="001810D0">
        <w:rPr>
          <w:rStyle w:val="Heading3Char"/>
          <w:rFonts w:ascii="Arial" w:hAnsi="Arial" w:cs="Arial"/>
          <w:sz w:val="36"/>
          <w:szCs w:val="36"/>
        </w:rPr>
        <w:t>During the Event (Execution and Management)</w:t>
      </w:r>
      <w:bookmarkEnd w:id="6"/>
    </w:p>
    <w:p w14:paraId="223107C3" w14:textId="77777777" w:rsidR="00996650" w:rsidRPr="00BD21A9" w:rsidRDefault="00996650" w:rsidP="00BD21A9">
      <w:pPr>
        <w:spacing w:line="360" w:lineRule="auto"/>
        <w:jc w:val="both"/>
        <w:rPr>
          <w:rFonts w:ascii="Arial" w:hAnsi="Arial" w:cs="Arial"/>
          <w:sz w:val="24"/>
          <w:szCs w:val="24"/>
        </w:rPr>
      </w:pPr>
      <w:r w:rsidRPr="00BD21A9">
        <w:rPr>
          <w:rFonts w:ascii="Arial" w:hAnsi="Arial" w:cs="Arial"/>
          <w:sz w:val="24"/>
          <w:szCs w:val="24"/>
        </w:rPr>
        <w:t>Throughout the event, the emphasis is on ensuring seamless operations and providing a great experience for all guests. Apprenticeship personnel will be on hand to greet guests, organise and arrange tables, and give attentive table service throughout the night. Advanced apprenticeship students, taking on leadership responsibilities, will coordinate and oversee the event to ensure that everything works well.</w:t>
      </w:r>
    </w:p>
    <w:p w14:paraId="5840FEE8" w14:textId="08C1E48F" w:rsidR="008C54D1" w:rsidRPr="00BD21A9" w:rsidRDefault="00996650" w:rsidP="00BD21A9">
      <w:pPr>
        <w:spacing w:line="360" w:lineRule="auto"/>
        <w:jc w:val="both"/>
        <w:rPr>
          <w:rFonts w:ascii="Arial" w:hAnsi="Arial" w:cs="Arial"/>
          <w:sz w:val="24"/>
          <w:szCs w:val="24"/>
        </w:rPr>
      </w:pPr>
      <w:r w:rsidRPr="00BD21A9">
        <w:rPr>
          <w:rFonts w:ascii="Arial" w:hAnsi="Arial" w:cs="Arial"/>
          <w:sz w:val="24"/>
          <w:szCs w:val="24"/>
        </w:rPr>
        <w:t>The event follows a meticulously planned program, which includes a warm greeting, the unveiling of new business goals, and motivational remarks from company executives. This is followed by food and drink service, which culminates in a stand-up comedy show by skilled Whitbread staff. The evening consists of supper, entertainment, and an awards presentation, with audio-visual assistance to ensure quality sound and pictures. Cashless payment alternatives at drink stations keep lines moving, and personnel are on hand throughout to help customers, answer any needs, and create a lively, friendly environment. After the event, all participants and event workers escape to Premier Inn accommodations booked through the privilege website, which provide discounts of up to 60% on the hotel (Whitbread, 2024).</w:t>
      </w:r>
    </w:p>
    <w:p w14:paraId="382601FD" w14:textId="0597B4BF" w:rsidR="003B25BD" w:rsidRPr="001810D0" w:rsidRDefault="00515B72" w:rsidP="001810D0">
      <w:pPr>
        <w:pStyle w:val="Heading2"/>
        <w:spacing w:line="360" w:lineRule="auto"/>
        <w:jc w:val="both"/>
        <w:rPr>
          <w:rFonts w:ascii="Arial" w:hAnsi="Arial" w:cs="Arial"/>
          <w:sz w:val="36"/>
          <w:szCs w:val="36"/>
        </w:rPr>
      </w:pPr>
      <w:bookmarkStart w:id="7" w:name="_Toc181998438"/>
      <w:r w:rsidRPr="001810D0">
        <w:rPr>
          <w:rFonts w:ascii="Arial" w:hAnsi="Arial" w:cs="Arial"/>
          <w:sz w:val="36"/>
          <w:szCs w:val="36"/>
        </w:rPr>
        <w:t>2.4</w:t>
      </w:r>
      <w:r w:rsidR="00A46600" w:rsidRPr="001810D0">
        <w:rPr>
          <w:rFonts w:ascii="Arial" w:hAnsi="Arial" w:cs="Arial"/>
          <w:sz w:val="36"/>
          <w:szCs w:val="36"/>
        </w:rPr>
        <w:t xml:space="preserve"> After the Event (Evaluation and Follow-Up)</w:t>
      </w:r>
      <w:bookmarkEnd w:id="7"/>
    </w:p>
    <w:p w14:paraId="5BB4909E" w14:textId="1CF41F9F" w:rsidR="008C54D1" w:rsidRPr="00A150C1" w:rsidRDefault="00E0039C" w:rsidP="00A150C1">
      <w:pPr>
        <w:spacing w:line="360" w:lineRule="auto"/>
        <w:jc w:val="both"/>
        <w:rPr>
          <w:rFonts w:ascii="Arial" w:hAnsi="Arial" w:cs="Arial"/>
          <w:sz w:val="24"/>
          <w:szCs w:val="24"/>
        </w:rPr>
      </w:pPr>
      <w:r w:rsidRPr="00BD21A9">
        <w:rPr>
          <w:rFonts w:ascii="Arial" w:hAnsi="Arial" w:cs="Arial"/>
          <w:sz w:val="24"/>
          <w:szCs w:val="24"/>
        </w:rPr>
        <w:t xml:space="preserve">Once the Whitbread Employee Reward Christmas Event is completed, the attention shifts to assessing its overall performance and impact. The event staff collects feedback from participants via post-event surveys sent via email, where they answer </w:t>
      </w:r>
      <w:r w:rsidRPr="00BD21A9">
        <w:rPr>
          <w:rFonts w:ascii="Arial" w:hAnsi="Arial" w:cs="Arial"/>
          <w:sz w:val="24"/>
          <w:szCs w:val="24"/>
        </w:rPr>
        <w:lastRenderedPageBreak/>
        <w:t>10 questions about the event and leave a suggestion box, gathering insights on engagement, satisfaction, and areas for improvement. Metrics such as attendance, activity engagement, and financial results are used to determine whether goals were reached. Sending thank-you cards to attendees and contributors, as well as performing a team debrief, are all part of the post-event activities. This reflective phase is critical for refining strategy and improving future events based on important insights</w:t>
      </w:r>
      <w:r w:rsidR="00A150C1">
        <w:rPr>
          <w:rFonts w:ascii="Arial" w:hAnsi="Arial" w:cs="Arial"/>
          <w:sz w:val="24"/>
          <w:szCs w:val="24"/>
        </w:rPr>
        <w:t>.</w:t>
      </w:r>
    </w:p>
    <w:p w14:paraId="345A6012" w14:textId="4544C21C" w:rsidR="007A3A5B" w:rsidRPr="00A150C1" w:rsidRDefault="00452DD3" w:rsidP="00A150C1">
      <w:pPr>
        <w:pStyle w:val="Heading2"/>
        <w:spacing w:line="360" w:lineRule="auto"/>
        <w:jc w:val="both"/>
        <w:rPr>
          <w:rStyle w:val="Heading1Char"/>
          <w:rFonts w:ascii="Arial" w:hAnsi="Arial" w:cs="Arial"/>
          <w:sz w:val="36"/>
          <w:szCs w:val="36"/>
        </w:rPr>
      </w:pPr>
      <w:bookmarkStart w:id="8" w:name="_Toc181998439"/>
      <w:r>
        <w:rPr>
          <w:rStyle w:val="Heading1Char"/>
          <w:rFonts w:ascii="Arial" w:hAnsi="Arial" w:cs="Arial"/>
          <w:sz w:val="36"/>
          <w:szCs w:val="36"/>
        </w:rPr>
        <w:t>2.5</w:t>
      </w:r>
      <w:r w:rsidR="00647F14" w:rsidRPr="00A150C1">
        <w:rPr>
          <w:rStyle w:val="Heading1Char"/>
          <w:rFonts w:ascii="Arial" w:hAnsi="Arial" w:cs="Arial"/>
          <w:sz w:val="36"/>
          <w:szCs w:val="36"/>
        </w:rPr>
        <w:t xml:space="preserve"> Event Concept</w:t>
      </w:r>
      <w:bookmarkEnd w:id="8"/>
    </w:p>
    <w:p w14:paraId="0C2153EF" w14:textId="29E6EF4A" w:rsidR="00B92F75" w:rsidRPr="00BD21A9" w:rsidRDefault="00B92F75" w:rsidP="00BD21A9">
      <w:pPr>
        <w:spacing w:line="360" w:lineRule="auto"/>
        <w:jc w:val="both"/>
        <w:rPr>
          <w:rFonts w:ascii="Arial" w:hAnsi="Arial" w:cs="Arial"/>
          <w:sz w:val="24"/>
          <w:szCs w:val="24"/>
        </w:rPr>
      </w:pPr>
      <w:r w:rsidRPr="00BD21A9">
        <w:rPr>
          <w:rFonts w:ascii="Arial" w:hAnsi="Arial" w:cs="Arial"/>
          <w:sz w:val="24"/>
          <w:szCs w:val="24"/>
        </w:rPr>
        <w:t>The evening begins with a classy dining experience, complete with a selected holiday menu with alternatives for all dietary needs, served by apprentice staff for a touch of hospitality training.</w:t>
      </w:r>
    </w:p>
    <w:p w14:paraId="4A924B0C" w14:textId="1E1E71CA" w:rsidR="0029384D" w:rsidRPr="00BD21A9" w:rsidRDefault="00B92F75" w:rsidP="00BD21A9">
      <w:pPr>
        <w:spacing w:line="360" w:lineRule="auto"/>
        <w:jc w:val="both"/>
        <w:rPr>
          <w:rFonts w:ascii="Arial" w:hAnsi="Arial" w:cs="Arial"/>
          <w:sz w:val="24"/>
          <w:szCs w:val="24"/>
        </w:rPr>
      </w:pPr>
      <w:r w:rsidRPr="00BD21A9">
        <w:rPr>
          <w:rFonts w:ascii="Arial" w:hAnsi="Arial" w:cs="Arial"/>
          <w:sz w:val="24"/>
          <w:szCs w:val="24"/>
        </w:rPr>
        <w:t xml:space="preserve">The whole event will be written and projected onto a wall-mounted projector to accommodate Whitbread Hearing </w:t>
      </w:r>
      <w:r w:rsidR="003A33D0" w:rsidRPr="00BD21A9">
        <w:rPr>
          <w:rFonts w:ascii="Arial" w:hAnsi="Arial" w:cs="Arial"/>
          <w:sz w:val="24"/>
          <w:szCs w:val="24"/>
        </w:rPr>
        <w:t>difficulties</w:t>
      </w:r>
      <w:r w:rsidRPr="00BD21A9">
        <w:rPr>
          <w:rFonts w:ascii="Arial" w:hAnsi="Arial" w:cs="Arial"/>
          <w:sz w:val="24"/>
          <w:szCs w:val="24"/>
        </w:rPr>
        <w:t xml:space="preserve"> employees, as well as the installation of hearing loops. Furthermore, the restaurant's accessibility is being implemented in accordance with Whitbread (2024) </w:t>
      </w:r>
      <w:r w:rsidR="000A1C54" w:rsidRPr="00BD21A9">
        <w:rPr>
          <w:rFonts w:ascii="Arial" w:hAnsi="Arial" w:cs="Arial"/>
          <w:sz w:val="24"/>
          <w:szCs w:val="24"/>
        </w:rPr>
        <w:t>to</w:t>
      </w:r>
      <w:r w:rsidRPr="00BD21A9">
        <w:rPr>
          <w:rFonts w:ascii="Arial" w:hAnsi="Arial" w:cs="Arial"/>
          <w:sz w:val="24"/>
          <w:szCs w:val="24"/>
        </w:rPr>
        <w:t xml:space="preserve"> accommodate and provide simple access routes to guests, as well as to whiten the lodging sites. Mandatory test fire escape supervisions and exit routes continuing clarity during the event to guarantee speedy evacuation if necessity, as well as posters and signs to advise guests of assembly locations and departure routes.</w:t>
      </w:r>
    </w:p>
    <w:p w14:paraId="4E0647A0" w14:textId="64B5FA90" w:rsidR="005A7219" w:rsidRPr="00BD21A9" w:rsidRDefault="00647F14" w:rsidP="00BD21A9">
      <w:pPr>
        <w:spacing w:line="360" w:lineRule="auto"/>
        <w:jc w:val="both"/>
        <w:rPr>
          <w:rFonts w:ascii="Arial" w:hAnsi="Arial" w:cs="Arial"/>
        </w:rPr>
      </w:pPr>
      <w:r w:rsidRPr="00BD21A9">
        <w:rPr>
          <w:rFonts w:ascii="Arial" w:hAnsi="Arial" w:cs="Arial"/>
        </w:rPr>
        <w:t xml:space="preserve"> </w:t>
      </w:r>
    </w:p>
    <w:p w14:paraId="7D374241" w14:textId="50F3BF98" w:rsidR="00161451" w:rsidRPr="00BD21A9" w:rsidRDefault="00776A92" w:rsidP="00BD21A9">
      <w:pPr>
        <w:spacing w:line="360" w:lineRule="auto"/>
        <w:jc w:val="both"/>
        <w:rPr>
          <w:rFonts w:ascii="Arial" w:hAnsi="Arial" w:cs="Arial"/>
        </w:rPr>
      </w:pPr>
      <w:r w:rsidRPr="00BD21A9">
        <w:rPr>
          <w:rFonts w:ascii="Arial" w:hAnsi="Arial" w:cs="Arial"/>
          <w:noProof/>
        </w:rPr>
        <w:lastRenderedPageBreak/>
        <w:drawing>
          <wp:inline distT="0" distB="0" distL="0" distR="0" wp14:anchorId="7E1D63C3" wp14:editId="5A37FC36">
            <wp:extent cx="5725160" cy="4047490"/>
            <wp:effectExtent l="0" t="0" r="8890" b="0"/>
            <wp:docPr id="14514273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5160" cy="4047490"/>
                    </a:xfrm>
                    <a:prstGeom prst="rect">
                      <a:avLst/>
                    </a:prstGeom>
                    <a:noFill/>
                    <a:ln>
                      <a:noFill/>
                    </a:ln>
                  </pic:spPr>
                </pic:pic>
              </a:graphicData>
            </a:graphic>
          </wp:inline>
        </w:drawing>
      </w:r>
    </w:p>
    <w:p w14:paraId="14D636F6" w14:textId="77777777" w:rsidR="005A7219" w:rsidRPr="00BD21A9" w:rsidRDefault="005A7219" w:rsidP="00BD21A9">
      <w:pPr>
        <w:spacing w:line="360" w:lineRule="auto"/>
        <w:jc w:val="both"/>
        <w:rPr>
          <w:rFonts w:ascii="Arial" w:hAnsi="Arial" w:cs="Arial"/>
        </w:rPr>
      </w:pPr>
    </w:p>
    <w:p w14:paraId="7C99BE5A" w14:textId="3894A8F0" w:rsidR="00F51DC6" w:rsidRPr="00BD21A9" w:rsidRDefault="00452DD3" w:rsidP="00452DD3">
      <w:pPr>
        <w:tabs>
          <w:tab w:val="left" w:pos="5020"/>
        </w:tabs>
        <w:spacing w:line="360" w:lineRule="auto"/>
        <w:jc w:val="both"/>
        <w:rPr>
          <w:rStyle w:val="Heading1Char"/>
          <w:rFonts w:ascii="Arial" w:hAnsi="Arial" w:cs="Arial"/>
        </w:rPr>
      </w:pPr>
      <w:bookmarkStart w:id="9" w:name="_Toc181998440"/>
      <w:r>
        <w:rPr>
          <w:rStyle w:val="Heading1Char"/>
          <w:rFonts w:ascii="Arial" w:hAnsi="Arial" w:cs="Arial"/>
        </w:rPr>
        <w:t>3</w:t>
      </w:r>
      <w:r w:rsidR="00647F14" w:rsidRPr="00BD21A9">
        <w:rPr>
          <w:rStyle w:val="Heading1Char"/>
          <w:rFonts w:ascii="Arial" w:hAnsi="Arial" w:cs="Arial"/>
        </w:rPr>
        <w:t>.</w:t>
      </w:r>
      <w:r>
        <w:rPr>
          <w:rStyle w:val="Heading1Char"/>
          <w:rFonts w:ascii="Arial" w:hAnsi="Arial" w:cs="Arial"/>
        </w:rPr>
        <w:t>0</w:t>
      </w:r>
      <w:r w:rsidR="00647F14" w:rsidRPr="00BD21A9">
        <w:rPr>
          <w:rStyle w:val="Heading1Char"/>
          <w:rFonts w:ascii="Arial" w:hAnsi="Arial" w:cs="Arial"/>
        </w:rPr>
        <w:t xml:space="preserve"> Aim and Objectives</w:t>
      </w:r>
      <w:r>
        <w:rPr>
          <w:rStyle w:val="Heading1Char"/>
          <w:rFonts w:ascii="Arial" w:hAnsi="Arial" w:cs="Arial"/>
        </w:rPr>
        <w:t xml:space="preserve"> (SWOT)</w:t>
      </w:r>
      <w:bookmarkEnd w:id="9"/>
    </w:p>
    <w:p w14:paraId="23BB1F16" w14:textId="77777777" w:rsidR="005E72F9" w:rsidRPr="00BD21A9" w:rsidRDefault="005E72F9" w:rsidP="00BD21A9">
      <w:pPr>
        <w:spacing w:line="360" w:lineRule="auto"/>
        <w:jc w:val="both"/>
        <w:rPr>
          <w:rFonts w:ascii="Arial" w:hAnsi="Arial" w:cs="Arial"/>
        </w:rPr>
      </w:pPr>
    </w:p>
    <w:p w14:paraId="26A2235B" w14:textId="16D59847" w:rsidR="005A7219" w:rsidRPr="00BD21A9" w:rsidRDefault="005E72F9" w:rsidP="00BD21A9">
      <w:pPr>
        <w:spacing w:line="360" w:lineRule="auto"/>
        <w:jc w:val="both"/>
        <w:rPr>
          <w:rFonts w:ascii="Arial" w:hAnsi="Arial" w:cs="Arial"/>
          <w:sz w:val="24"/>
          <w:szCs w:val="24"/>
        </w:rPr>
      </w:pPr>
      <w:r w:rsidRPr="00BD21A9">
        <w:rPr>
          <w:rFonts w:ascii="Arial" w:hAnsi="Arial" w:cs="Arial"/>
          <w:sz w:val="24"/>
          <w:szCs w:val="24"/>
        </w:rPr>
        <w:t xml:space="preserve">When planning an event, setting clear aims and objectives is critical for guiding the process, measuring success, and ensuring the event meets its intended purpose, theories related to setting event aims and objectives can help structure the planning and execution phases </w:t>
      </w:r>
      <w:r w:rsidR="00622CE2" w:rsidRPr="00BD21A9">
        <w:rPr>
          <w:rFonts w:ascii="Arial" w:hAnsi="Arial" w:cs="Arial"/>
          <w:sz w:val="24"/>
          <w:szCs w:val="24"/>
        </w:rPr>
        <w:t>(Ramirez, 2024)</w:t>
      </w:r>
    </w:p>
    <w:p w14:paraId="417A83E8" w14:textId="0B3B1EDD" w:rsidR="005A4D99" w:rsidRPr="00BD21A9" w:rsidRDefault="005A4D99" w:rsidP="00BD21A9">
      <w:pPr>
        <w:spacing w:line="360" w:lineRule="auto"/>
        <w:jc w:val="both"/>
        <w:rPr>
          <w:rFonts w:ascii="Arial" w:hAnsi="Arial" w:cs="Arial"/>
        </w:rPr>
      </w:pPr>
      <w:r w:rsidRPr="00BD21A9">
        <w:rPr>
          <w:rFonts w:ascii="Arial" w:hAnsi="Arial" w:cs="Arial"/>
          <w:noProof/>
        </w:rPr>
        <w:lastRenderedPageBreak/>
        <w:drawing>
          <wp:inline distT="0" distB="0" distL="0" distR="0" wp14:anchorId="761BC40C" wp14:editId="7CB2496F">
            <wp:extent cx="5731510" cy="3223895"/>
            <wp:effectExtent l="0" t="0" r="2540" b="0"/>
            <wp:docPr id="166866086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660864" name="Picture 1" descr="A close-up of a document&#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1FE028C9" w14:textId="4698875E" w:rsidR="00E34287" w:rsidRPr="001810D0" w:rsidRDefault="00452DD3" w:rsidP="001810D0">
      <w:pPr>
        <w:pStyle w:val="Heading2"/>
        <w:spacing w:line="360" w:lineRule="auto"/>
        <w:jc w:val="both"/>
        <w:rPr>
          <w:rFonts w:ascii="Arial" w:hAnsi="Arial" w:cs="Arial"/>
          <w:sz w:val="36"/>
          <w:szCs w:val="36"/>
        </w:rPr>
      </w:pPr>
      <w:bookmarkStart w:id="10" w:name="_Toc181998441"/>
      <w:r>
        <w:rPr>
          <w:rFonts w:ascii="Arial" w:hAnsi="Arial" w:cs="Arial"/>
          <w:sz w:val="36"/>
          <w:szCs w:val="36"/>
        </w:rPr>
        <w:t>3.1</w:t>
      </w:r>
      <w:r w:rsidR="00E34287" w:rsidRPr="001810D0">
        <w:rPr>
          <w:rFonts w:ascii="Arial" w:hAnsi="Arial" w:cs="Arial"/>
          <w:sz w:val="36"/>
          <w:szCs w:val="36"/>
        </w:rPr>
        <w:t xml:space="preserve"> Gantt chart for the Whitbread employee rewards Christmas event</w:t>
      </w:r>
      <w:bookmarkEnd w:id="10"/>
    </w:p>
    <w:p w14:paraId="38183C3B" w14:textId="77777777" w:rsidR="003E7D9C" w:rsidRPr="00BD21A9" w:rsidRDefault="003E7D9C" w:rsidP="00BD21A9">
      <w:pPr>
        <w:spacing w:line="360" w:lineRule="auto"/>
        <w:jc w:val="both"/>
        <w:rPr>
          <w:rFonts w:ascii="Arial" w:hAnsi="Arial" w:cs="Arial"/>
        </w:rPr>
      </w:pPr>
    </w:p>
    <w:p w14:paraId="561A4A29" w14:textId="64715E99" w:rsidR="005E3762" w:rsidRPr="00BD21A9" w:rsidRDefault="00997D65" w:rsidP="00BD21A9">
      <w:pPr>
        <w:spacing w:line="360" w:lineRule="auto"/>
        <w:jc w:val="both"/>
        <w:rPr>
          <w:rFonts w:ascii="Arial" w:hAnsi="Arial" w:cs="Arial"/>
          <w:sz w:val="24"/>
          <w:szCs w:val="24"/>
        </w:rPr>
      </w:pPr>
      <w:proofErr w:type="gramStart"/>
      <w:r w:rsidRPr="00BD21A9">
        <w:rPr>
          <w:rFonts w:ascii="Arial" w:hAnsi="Arial" w:cs="Arial"/>
          <w:sz w:val="24"/>
          <w:szCs w:val="24"/>
        </w:rPr>
        <w:t>In order to</w:t>
      </w:r>
      <w:proofErr w:type="gramEnd"/>
      <w:r w:rsidRPr="00BD21A9">
        <w:rPr>
          <w:rFonts w:ascii="Arial" w:hAnsi="Arial" w:cs="Arial"/>
          <w:sz w:val="24"/>
          <w:szCs w:val="24"/>
        </w:rPr>
        <w:t xml:space="preserve"> better understand and</w:t>
      </w:r>
      <w:r w:rsidR="00077A00" w:rsidRPr="00BD21A9">
        <w:rPr>
          <w:rFonts w:ascii="Arial" w:hAnsi="Arial" w:cs="Arial"/>
          <w:sz w:val="24"/>
          <w:szCs w:val="24"/>
        </w:rPr>
        <w:t xml:space="preserve"> visual</w:t>
      </w:r>
      <w:r w:rsidRPr="00BD21A9">
        <w:rPr>
          <w:rFonts w:ascii="Arial" w:hAnsi="Arial" w:cs="Arial"/>
          <w:sz w:val="24"/>
          <w:szCs w:val="24"/>
        </w:rPr>
        <w:t>ise the</w:t>
      </w:r>
      <w:r w:rsidR="00077A00" w:rsidRPr="00BD21A9">
        <w:rPr>
          <w:rFonts w:ascii="Arial" w:hAnsi="Arial" w:cs="Arial"/>
          <w:sz w:val="24"/>
          <w:szCs w:val="24"/>
        </w:rPr>
        <w:t xml:space="preserve"> project </w:t>
      </w:r>
      <w:r w:rsidRPr="00BD21A9">
        <w:rPr>
          <w:rFonts w:ascii="Arial" w:hAnsi="Arial" w:cs="Arial"/>
          <w:sz w:val="24"/>
          <w:szCs w:val="24"/>
        </w:rPr>
        <w:t>Gantt chart</w:t>
      </w:r>
      <w:r w:rsidR="00077A00" w:rsidRPr="00BD21A9">
        <w:rPr>
          <w:rFonts w:ascii="Arial" w:hAnsi="Arial" w:cs="Arial"/>
          <w:sz w:val="24"/>
          <w:szCs w:val="24"/>
        </w:rPr>
        <w:t xml:space="preserve"> tool </w:t>
      </w:r>
      <w:r w:rsidRPr="00BD21A9">
        <w:rPr>
          <w:rFonts w:ascii="Arial" w:hAnsi="Arial" w:cs="Arial"/>
          <w:sz w:val="24"/>
          <w:szCs w:val="24"/>
        </w:rPr>
        <w:t>helps to</w:t>
      </w:r>
      <w:r w:rsidR="00077A00" w:rsidRPr="00BD21A9">
        <w:rPr>
          <w:rFonts w:ascii="Arial" w:hAnsi="Arial" w:cs="Arial"/>
          <w:sz w:val="24"/>
          <w:szCs w:val="24"/>
        </w:rPr>
        <w:t xml:space="preserve"> illustrates a project’s timeline, tasks, dependencies, and progress, helping to plan, coordinate, and track activities to ensure timely project completion</w:t>
      </w:r>
      <w:r w:rsidR="005E3762" w:rsidRPr="00BD21A9">
        <w:rPr>
          <w:rFonts w:ascii="Arial" w:hAnsi="Arial" w:cs="Arial"/>
          <w:sz w:val="24"/>
          <w:szCs w:val="24"/>
        </w:rPr>
        <w:t xml:space="preserve"> (Schwartz, 2024).</w:t>
      </w:r>
    </w:p>
    <w:p w14:paraId="5A5F2483" w14:textId="77777777" w:rsidR="00FE7075" w:rsidRPr="00BD21A9" w:rsidRDefault="00FE7075" w:rsidP="00BD21A9">
      <w:pPr>
        <w:spacing w:line="360" w:lineRule="auto"/>
        <w:jc w:val="both"/>
        <w:rPr>
          <w:rFonts w:ascii="Arial" w:hAnsi="Arial" w:cs="Arial"/>
        </w:rPr>
      </w:pPr>
    </w:p>
    <w:p w14:paraId="1C2F3C03" w14:textId="4518ADCE" w:rsidR="00E34287" w:rsidRPr="00BD21A9" w:rsidRDefault="004C20AA" w:rsidP="00BD21A9">
      <w:pPr>
        <w:spacing w:line="360" w:lineRule="auto"/>
        <w:jc w:val="both"/>
        <w:rPr>
          <w:rFonts w:ascii="Arial" w:hAnsi="Arial" w:cs="Arial"/>
        </w:rPr>
      </w:pPr>
      <w:r w:rsidRPr="00BD21A9">
        <w:rPr>
          <w:rFonts w:ascii="Arial" w:hAnsi="Arial" w:cs="Arial"/>
          <w:noProof/>
        </w:rPr>
        <w:lastRenderedPageBreak/>
        <w:drawing>
          <wp:inline distT="0" distB="0" distL="0" distR="0" wp14:anchorId="2D2DB3C1" wp14:editId="2D788F65">
            <wp:extent cx="5731510" cy="3307080"/>
            <wp:effectExtent l="0" t="0" r="2540" b="7620"/>
            <wp:docPr id="1853810267" name="Picture 7"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utput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307080"/>
                    </a:xfrm>
                    <a:prstGeom prst="rect">
                      <a:avLst/>
                    </a:prstGeom>
                    <a:noFill/>
                    <a:ln>
                      <a:noFill/>
                    </a:ln>
                  </pic:spPr>
                </pic:pic>
              </a:graphicData>
            </a:graphic>
          </wp:inline>
        </w:drawing>
      </w:r>
    </w:p>
    <w:p w14:paraId="7458733C" w14:textId="4C7E300F" w:rsidR="006A01E1" w:rsidRPr="00BD21A9" w:rsidRDefault="006A01E1" w:rsidP="00BD21A9">
      <w:pPr>
        <w:spacing w:line="360" w:lineRule="auto"/>
        <w:jc w:val="both"/>
        <w:rPr>
          <w:rFonts w:ascii="Arial" w:hAnsi="Arial" w:cs="Arial"/>
        </w:rPr>
      </w:pPr>
    </w:p>
    <w:p w14:paraId="5D7173A6" w14:textId="77777777" w:rsidR="006662C8" w:rsidRPr="00BD21A9" w:rsidRDefault="006662C8" w:rsidP="00BD21A9">
      <w:pPr>
        <w:spacing w:line="360" w:lineRule="auto"/>
        <w:jc w:val="both"/>
        <w:rPr>
          <w:rFonts w:ascii="Arial" w:hAnsi="Arial" w:cs="Arial"/>
        </w:rPr>
      </w:pPr>
    </w:p>
    <w:p w14:paraId="4A0AF060" w14:textId="28D80550" w:rsidR="007C20D2" w:rsidRPr="001810D0" w:rsidRDefault="00452DD3" w:rsidP="001810D0">
      <w:pPr>
        <w:pStyle w:val="Heading2"/>
        <w:spacing w:line="360" w:lineRule="auto"/>
        <w:jc w:val="both"/>
        <w:rPr>
          <w:rFonts w:ascii="Arial" w:hAnsi="Arial" w:cs="Arial"/>
          <w:sz w:val="36"/>
          <w:szCs w:val="36"/>
        </w:rPr>
      </w:pPr>
      <w:bookmarkStart w:id="11" w:name="_Toc181998442"/>
      <w:r>
        <w:rPr>
          <w:rFonts w:ascii="Arial" w:hAnsi="Arial" w:cs="Arial"/>
          <w:sz w:val="36"/>
          <w:szCs w:val="36"/>
        </w:rPr>
        <w:t>3.2</w:t>
      </w:r>
      <w:r w:rsidR="007C20D2" w:rsidRPr="001810D0">
        <w:rPr>
          <w:rFonts w:ascii="Arial" w:hAnsi="Arial" w:cs="Arial"/>
          <w:sz w:val="36"/>
          <w:szCs w:val="36"/>
        </w:rPr>
        <w:t xml:space="preserve"> Event aim</w:t>
      </w:r>
      <w:bookmarkEnd w:id="11"/>
    </w:p>
    <w:p w14:paraId="55E2B6F6" w14:textId="00D2A4BB" w:rsidR="004C4E8E" w:rsidRPr="00BD21A9" w:rsidRDefault="004C4E8E" w:rsidP="00BD21A9">
      <w:pPr>
        <w:spacing w:line="360" w:lineRule="auto"/>
        <w:jc w:val="both"/>
        <w:rPr>
          <w:rFonts w:ascii="Arial" w:hAnsi="Arial" w:cs="Arial"/>
          <w:sz w:val="24"/>
          <w:szCs w:val="24"/>
        </w:rPr>
      </w:pPr>
      <w:r w:rsidRPr="00BD21A9">
        <w:rPr>
          <w:rFonts w:ascii="Arial" w:hAnsi="Arial" w:cs="Arial"/>
          <w:sz w:val="24"/>
          <w:szCs w:val="24"/>
        </w:rPr>
        <w:t xml:space="preserve">The Whitbread Employee Reward Christmas Dinner is designed as </w:t>
      </w:r>
      <w:r w:rsidR="00682E8B" w:rsidRPr="00BD21A9">
        <w:rPr>
          <w:rFonts w:ascii="Arial" w:hAnsi="Arial" w:cs="Arial"/>
          <w:sz w:val="24"/>
          <w:szCs w:val="24"/>
        </w:rPr>
        <w:t>a f</w:t>
      </w:r>
      <w:r w:rsidRPr="00BD21A9">
        <w:rPr>
          <w:rFonts w:ascii="Arial" w:hAnsi="Arial" w:cs="Arial"/>
          <w:sz w:val="24"/>
          <w:szCs w:val="24"/>
        </w:rPr>
        <w:t xml:space="preserve">estive celebration, honouring the hard work and dedication of Whitbread </w:t>
      </w:r>
      <w:r w:rsidR="00496CD9" w:rsidRPr="00BD21A9">
        <w:rPr>
          <w:rFonts w:ascii="Arial" w:hAnsi="Arial" w:cs="Arial"/>
          <w:sz w:val="24"/>
          <w:szCs w:val="24"/>
        </w:rPr>
        <w:t xml:space="preserve">Salaried </w:t>
      </w:r>
      <w:r w:rsidRPr="00BD21A9">
        <w:rPr>
          <w:rFonts w:ascii="Arial" w:hAnsi="Arial" w:cs="Arial"/>
          <w:sz w:val="24"/>
          <w:szCs w:val="24"/>
        </w:rPr>
        <w:t>employees</w:t>
      </w:r>
      <w:r w:rsidR="00496CD9" w:rsidRPr="00BD21A9">
        <w:rPr>
          <w:rFonts w:ascii="Arial" w:hAnsi="Arial" w:cs="Arial"/>
          <w:sz w:val="24"/>
          <w:szCs w:val="24"/>
        </w:rPr>
        <w:t xml:space="preserve"> to host up to 200 </w:t>
      </w:r>
      <w:r w:rsidR="00F3448C" w:rsidRPr="00BD21A9">
        <w:rPr>
          <w:rFonts w:ascii="Arial" w:hAnsi="Arial" w:cs="Arial"/>
          <w:sz w:val="24"/>
          <w:szCs w:val="24"/>
        </w:rPr>
        <w:t xml:space="preserve">high performing </w:t>
      </w:r>
      <w:r w:rsidR="00E57780" w:rsidRPr="00BD21A9">
        <w:rPr>
          <w:rFonts w:ascii="Arial" w:hAnsi="Arial" w:cs="Arial"/>
          <w:sz w:val="24"/>
          <w:szCs w:val="24"/>
        </w:rPr>
        <w:t xml:space="preserve">salaried </w:t>
      </w:r>
      <w:r w:rsidR="00496CD9" w:rsidRPr="00BD21A9">
        <w:rPr>
          <w:rFonts w:ascii="Arial" w:hAnsi="Arial" w:cs="Arial"/>
          <w:sz w:val="24"/>
          <w:szCs w:val="24"/>
        </w:rPr>
        <w:t xml:space="preserve">employees </w:t>
      </w:r>
      <w:r w:rsidR="00F3448C" w:rsidRPr="00BD21A9">
        <w:rPr>
          <w:rFonts w:ascii="Arial" w:hAnsi="Arial" w:cs="Arial"/>
          <w:sz w:val="24"/>
          <w:szCs w:val="24"/>
        </w:rPr>
        <w:t xml:space="preserve">during the </w:t>
      </w:r>
      <w:r w:rsidR="0070233B" w:rsidRPr="00BD21A9">
        <w:rPr>
          <w:rFonts w:ascii="Arial" w:hAnsi="Arial" w:cs="Arial"/>
          <w:sz w:val="24"/>
          <w:szCs w:val="24"/>
        </w:rPr>
        <w:t>5-day</w:t>
      </w:r>
      <w:r w:rsidR="00F3448C" w:rsidRPr="00BD21A9">
        <w:rPr>
          <w:rFonts w:ascii="Arial" w:hAnsi="Arial" w:cs="Arial"/>
          <w:sz w:val="24"/>
          <w:szCs w:val="24"/>
        </w:rPr>
        <w:t xml:space="preserve"> event.</w:t>
      </w:r>
      <w:r w:rsidR="0026728E" w:rsidRPr="00BD21A9">
        <w:rPr>
          <w:rFonts w:ascii="Arial" w:hAnsi="Arial" w:cs="Arial"/>
          <w:sz w:val="24"/>
          <w:szCs w:val="24"/>
        </w:rPr>
        <w:t xml:space="preserve"> </w:t>
      </w:r>
    </w:p>
    <w:p w14:paraId="6561A1F5" w14:textId="283ADC1A" w:rsidR="00360031" w:rsidRPr="00BD21A9" w:rsidRDefault="00360031" w:rsidP="00BD21A9">
      <w:pPr>
        <w:spacing w:line="360" w:lineRule="auto"/>
        <w:jc w:val="both"/>
        <w:rPr>
          <w:rFonts w:ascii="Arial" w:hAnsi="Arial" w:cs="Arial"/>
        </w:rPr>
      </w:pPr>
      <w:r w:rsidRPr="00BD21A9">
        <w:rPr>
          <w:rFonts w:ascii="Arial" w:hAnsi="Arial" w:cs="Arial"/>
          <w:noProof/>
        </w:rPr>
        <w:lastRenderedPageBreak/>
        <w:drawing>
          <wp:inline distT="0" distB="0" distL="0" distR="0" wp14:anchorId="751A8EF5" wp14:editId="52F31374">
            <wp:extent cx="5731510" cy="3223895"/>
            <wp:effectExtent l="190500" t="190500" r="193040" b="186055"/>
            <wp:docPr id="1609070817"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070817" name="Picture 1" descr="A white rectangular object with black text&#10;&#10;Description automatically generated"/>
                    <pic:cNvPicPr/>
                  </pic:nvPicPr>
                  <pic:blipFill>
                    <a:blip r:embed="rId17"/>
                    <a:stretch>
                      <a:fillRect/>
                    </a:stretch>
                  </pic:blipFill>
                  <pic:spPr>
                    <a:xfrm>
                      <a:off x="0" y="0"/>
                      <a:ext cx="5731510" cy="3223895"/>
                    </a:xfrm>
                    <a:prstGeom prst="rect">
                      <a:avLst/>
                    </a:prstGeom>
                    <a:ln>
                      <a:noFill/>
                    </a:ln>
                    <a:effectLst>
                      <a:outerShdw blurRad="190500" algn="tl" rotWithShape="0">
                        <a:srgbClr val="000000">
                          <a:alpha val="70000"/>
                        </a:srgbClr>
                      </a:outerShdw>
                    </a:effectLst>
                  </pic:spPr>
                </pic:pic>
              </a:graphicData>
            </a:graphic>
          </wp:inline>
        </w:drawing>
      </w:r>
    </w:p>
    <w:p w14:paraId="3AF99183" w14:textId="117AB83B" w:rsidR="0026728E" w:rsidRPr="00C87363" w:rsidRDefault="00452DD3" w:rsidP="00C87363">
      <w:pPr>
        <w:pStyle w:val="Heading2"/>
        <w:spacing w:line="360" w:lineRule="auto"/>
        <w:jc w:val="both"/>
        <w:rPr>
          <w:rFonts w:ascii="Arial" w:hAnsi="Arial" w:cs="Arial"/>
          <w:sz w:val="36"/>
          <w:szCs w:val="36"/>
        </w:rPr>
      </w:pPr>
      <w:bookmarkStart w:id="12" w:name="_Toc181998443"/>
      <w:r w:rsidRPr="00C87363">
        <w:rPr>
          <w:rFonts w:ascii="Arial" w:hAnsi="Arial" w:cs="Arial"/>
          <w:sz w:val="36"/>
          <w:szCs w:val="36"/>
        </w:rPr>
        <w:t>3.3</w:t>
      </w:r>
      <w:r w:rsidR="0026728E" w:rsidRPr="00C87363">
        <w:rPr>
          <w:rFonts w:ascii="Arial" w:hAnsi="Arial" w:cs="Arial"/>
          <w:sz w:val="36"/>
          <w:szCs w:val="36"/>
        </w:rPr>
        <w:t xml:space="preserve"> SMART Target</w:t>
      </w:r>
      <w:bookmarkEnd w:id="12"/>
      <w:r w:rsidR="0026728E" w:rsidRPr="00C87363">
        <w:rPr>
          <w:rFonts w:ascii="Arial" w:hAnsi="Arial" w:cs="Arial"/>
          <w:sz w:val="36"/>
          <w:szCs w:val="36"/>
        </w:rPr>
        <w:t xml:space="preserve"> </w:t>
      </w:r>
    </w:p>
    <w:p w14:paraId="7C58CFE3" w14:textId="77777777" w:rsidR="00C16D0A" w:rsidRPr="00BD21A9" w:rsidRDefault="00C16D0A" w:rsidP="00BD21A9">
      <w:pPr>
        <w:spacing w:line="360" w:lineRule="auto"/>
        <w:jc w:val="both"/>
        <w:rPr>
          <w:rFonts w:ascii="Arial" w:hAnsi="Arial" w:cs="Arial"/>
          <w:sz w:val="24"/>
          <w:szCs w:val="24"/>
        </w:rPr>
      </w:pPr>
      <w:r w:rsidRPr="00BD21A9">
        <w:rPr>
          <w:rFonts w:ascii="Arial" w:hAnsi="Arial" w:cs="Arial"/>
          <w:sz w:val="24"/>
          <w:szCs w:val="24"/>
        </w:rPr>
        <w:t xml:space="preserve">The Management Apprenticeship Students (MAS) team will define the event's objectives, target audience, and topic in accordance with Whitbread's organisational principles. This entails finalising a unified event itinerary, allocating </w:t>
      </w:r>
      <w:proofErr w:type="gramStart"/>
      <w:r w:rsidRPr="00BD21A9">
        <w:rPr>
          <w:rFonts w:ascii="Arial" w:hAnsi="Arial" w:cs="Arial"/>
          <w:sz w:val="24"/>
          <w:szCs w:val="24"/>
        </w:rPr>
        <w:t>particular responsibilities</w:t>
      </w:r>
      <w:proofErr w:type="gramEnd"/>
      <w:r w:rsidRPr="00BD21A9">
        <w:rPr>
          <w:rFonts w:ascii="Arial" w:hAnsi="Arial" w:cs="Arial"/>
          <w:sz w:val="24"/>
          <w:szCs w:val="24"/>
        </w:rPr>
        <w:t>, formulating a comprehensive budget, and coordinating with vendors. MAS will guarantee that all logistical components—venue arrangement, catering, décor, and food and beverage inventory—are carefully orchestrated and executed. ISAS (IT Support Apprenticeship Students) will manage the installation and testing of audio-visual equipment, such as microphones, speakers, and projectors, and offer real-time technical assistance on the day of the event. FOHAS and BOH (Front of House and Back of House Apprenticeship Students) will oversee food and beverage service, guest check-in, and event progression, guaranteeing a smooth and professional experience for participants. The MAS will monitor and assess all expenditures to ensure budget compliance and do a post-event financial study to evaluate cost-effectiveness and pinpoint opportunities for future enhancement.</w:t>
      </w:r>
    </w:p>
    <w:p w14:paraId="46BCE27A" w14:textId="77777777" w:rsidR="00C16D0A" w:rsidRPr="00BD21A9" w:rsidRDefault="00C16D0A" w:rsidP="00BD21A9">
      <w:pPr>
        <w:spacing w:line="360" w:lineRule="auto"/>
        <w:jc w:val="both"/>
        <w:rPr>
          <w:rFonts w:ascii="Arial" w:hAnsi="Arial" w:cs="Arial"/>
          <w:sz w:val="24"/>
          <w:szCs w:val="24"/>
        </w:rPr>
      </w:pPr>
      <w:r w:rsidRPr="00BD21A9">
        <w:rPr>
          <w:rFonts w:ascii="Arial" w:hAnsi="Arial" w:cs="Arial"/>
          <w:sz w:val="24"/>
          <w:szCs w:val="24"/>
        </w:rPr>
        <w:t xml:space="preserve">Quantifiable: Advancement will be methodically monitored by an exhaustive checklist, guaranteeing timely completion of each assignment. Critical milestones encompass the finalisation of the menu and tasting occurring 10 days before the event to provide </w:t>
      </w:r>
      <w:r w:rsidRPr="00BD21A9">
        <w:rPr>
          <w:rFonts w:ascii="Arial" w:hAnsi="Arial" w:cs="Arial"/>
          <w:sz w:val="24"/>
          <w:szCs w:val="24"/>
        </w:rPr>
        <w:lastRenderedPageBreak/>
        <w:t>any required modifications, with promotional materials disseminated by October 2. The objective is to attain complete fulfilment of all duties in accordance with the designated schedule.</w:t>
      </w:r>
    </w:p>
    <w:p w14:paraId="43322300" w14:textId="77777777" w:rsidR="00C16D0A" w:rsidRPr="00BD21A9" w:rsidRDefault="00C16D0A" w:rsidP="00BD21A9">
      <w:pPr>
        <w:spacing w:line="360" w:lineRule="auto"/>
        <w:jc w:val="both"/>
        <w:rPr>
          <w:rFonts w:ascii="Arial" w:hAnsi="Arial" w:cs="Arial"/>
          <w:sz w:val="24"/>
          <w:szCs w:val="24"/>
        </w:rPr>
      </w:pPr>
      <w:r w:rsidRPr="00BD21A9">
        <w:rPr>
          <w:rFonts w:ascii="Arial" w:hAnsi="Arial" w:cs="Arial"/>
          <w:sz w:val="24"/>
          <w:szCs w:val="24"/>
        </w:rPr>
        <w:t xml:space="preserve">Feasible: Sufficient resources, encompassing personnel, budgetary allocations, and time, will be designated for each activity. Regular team meetings will be held to swiftly address any possible delays. All apprenticeship personnel will verify their availability by November 20, while senior apprenticeship leaders will submit their applications by October 1. Orientation and training will conclude by October 28, guaranteeing that all team members are adequately </w:t>
      </w:r>
      <w:proofErr w:type="gramStart"/>
      <w:r w:rsidRPr="00BD21A9">
        <w:rPr>
          <w:rFonts w:ascii="Arial" w:hAnsi="Arial" w:cs="Arial"/>
          <w:sz w:val="24"/>
          <w:szCs w:val="24"/>
        </w:rPr>
        <w:t>prepared</w:t>
      </w:r>
      <w:proofErr w:type="gramEnd"/>
      <w:r w:rsidRPr="00BD21A9">
        <w:rPr>
          <w:rFonts w:ascii="Arial" w:hAnsi="Arial" w:cs="Arial"/>
          <w:sz w:val="24"/>
          <w:szCs w:val="24"/>
        </w:rPr>
        <w:t xml:space="preserve"> and any necessary modifications are implemented.</w:t>
      </w:r>
    </w:p>
    <w:p w14:paraId="71472614" w14:textId="741EFF98" w:rsidR="00C16D0A" w:rsidRPr="00BD21A9" w:rsidRDefault="00C16D0A" w:rsidP="00BD21A9">
      <w:pPr>
        <w:spacing w:line="360" w:lineRule="auto"/>
        <w:jc w:val="both"/>
        <w:rPr>
          <w:rFonts w:ascii="Arial" w:hAnsi="Arial" w:cs="Arial"/>
          <w:sz w:val="24"/>
          <w:szCs w:val="24"/>
        </w:rPr>
      </w:pPr>
      <w:r w:rsidRPr="00BD21A9">
        <w:rPr>
          <w:rFonts w:ascii="Arial" w:hAnsi="Arial" w:cs="Arial"/>
          <w:sz w:val="24"/>
          <w:szCs w:val="24"/>
        </w:rPr>
        <w:t>Applicable: Every duty corresponds with Whitbread's primary objective of executing a high-</w:t>
      </w:r>
      <w:r w:rsidR="008F3EAD" w:rsidRPr="00BD21A9">
        <w:rPr>
          <w:rFonts w:ascii="Arial" w:hAnsi="Arial" w:cs="Arial"/>
          <w:sz w:val="24"/>
          <w:szCs w:val="24"/>
        </w:rPr>
        <w:t>calibre</w:t>
      </w:r>
      <w:r w:rsidRPr="00BD21A9">
        <w:rPr>
          <w:rFonts w:ascii="Arial" w:hAnsi="Arial" w:cs="Arial"/>
          <w:sz w:val="24"/>
          <w:szCs w:val="24"/>
        </w:rPr>
        <w:t>, meticulously organised employee recognition event that reflects its principles of gratitude, staff involvement, and brand coherence. The event provides a platform to strengthen Whitbread's dedication to cultivating a constructive organisational culture.</w:t>
      </w:r>
    </w:p>
    <w:p w14:paraId="6C047A7E" w14:textId="1F5A8172" w:rsidR="0061719F" w:rsidRPr="00BD21A9" w:rsidRDefault="00C16D0A" w:rsidP="00BD21A9">
      <w:pPr>
        <w:spacing w:line="360" w:lineRule="auto"/>
        <w:jc w:val="both"/>
        <w:rPr>
          <w:rFonts w:ascii="Arial" w:hAnsi="Arial" w:cs="Arial"/>
          <w:sz w:val="24"/>
          <w:szCs w:val="24"/>
        </w:rPr>
      </w:pPr>
      <w:r w:rsidRPr="00BD21A9">
        <w:rPr>
          <w:rFonts w:ascii="Arial" w:hAnsi="Arial" w:cs="Arial"/>
          <w:sz w:val="24"/>
          <w:szCs w:val="24"/>
        </w:rPr>
        <w:t>Time-Constrained: All event planning activities will be finished by December 14, 2024. The event is scheduled from December 10 to December 15, with post-event reviews to be completed by December 17, 2024.</w:t>
      </w:r>
    </w:p>
    <w:p w14:paraId="069EDC1A" w14:textId="176E9495" w:rsidR="000275D4" w:rsidRPr="00BD21A9" w:rsidRDefault="000275D4" w:rsidP="00BD21A9">
      <w:pPr>
        <w:spacing w:line="360" w:lineRule="auto"/>
        <w:jc w:val="both"/>
        <w:rPr>
          <w:rFonts w:ascii="Arial" w:hAnsi="Arial" w:cs="Arial"/>
        </w:rPr>
      </w:pPr>
      <w:r w:rsidRPr="00BD21A9">
        <w:rPr>
          <w:rFonts w:ascii="Arial" w:hAnsi="Arial" w:cs="Arial"/>
          <w:noProof/>
        </w:rPr>
        <w:drawing>
          <wp:inline distT="0" distB="0" distL="0" distR="0" wp14:anchorId="0846E861" wp14:editId="4C91E686">
            <wp:extent cx="5731510" cy="3223895"/>
            <wp:effectExtent l="190500" t="190500" r="193040" b="186055"/>
            <wp:docPr id="251362424" name="Picture 1" descr="A table of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62424" name="Picture 1" descr="A table of text with black text&#10;&#10;Description automatically generated with medium confidence"/>
                    <pic:cNvPicPr/>
                  </pic:nvPicPr>
                  <pic:blipFill>
                    <a:blip r:embed="rId18"/>
                    <a:stretch>
                      <a:fillRect/>
                    </a:stretch>
                  </pic:blipFill>
                  <pic:spPr>
                    <a:xfrm>
                      <a:off x="0" y="0"/>
                      <a:ext cx="5731510" cy="3223895"/>
                    </a:xfrm>
                    <a:prstGeom prst="rect">
                      <a:avLst/>
                    </a:prstGeom>
                    <a:ln>
                      <a:noFill/>
                    </a:ln>
                    <a:effectLst>
                      <a:outerShdw blurRad="190500" algn="tl" rotWithShape="0">
                        <a:srgbClr val="000000">
                          <a:alpha val="70000"/>
                        </a:srgbClr>
                      </a:outerShdw>
                    </a:effectLst>
                  </pic:spPr>
                </pic:pic>
              </a:graphicData>
            </a:graphic>
          </wp:inline>
        </w:drawing>
      </w:r>
    </w:p>
    <w:p w14:paraId="5226C698" w14:textId="77777777" w:rsidR="0026728E" w:rsidRPr="00BD21A9" w:rsidRDefault="0026728E" w:rsidP="00BD21A9">
      <w:pPr>
        <w:spacing w:line="360" w:lineRule="auto"/>
        <w:jc w:val="both"/>
        <w:rPr>
          <w:rFonts w:ascii="Arial" w:hAnsi="Arial" w:cs="Arial"/>
        </w:rPr>
      </w:pPr>
    </w:p>
    <w:p w14:paraId="03250C3D" w14:textId="77777777" w:rsidR="005A7219" w:rsidRPr="00BD21A9" w:rsidRDefault="005A7219" w:rsidP="00BD21A9">
      <w:pPr>
        <w:spacing w:line="360" w:lineRule="auto"/>
        <w:jc w:val="both"/>
        <w:rPr>
          <w:rFonts w:ascii="Arial" w:hAnsi="Arial" w:cs="Arial"/>
        </w:rPr>
      </w:pPr>
    </w:p>
    <w:p w14:paraId="74F99102" w14:textId="50F43E40" w:rsidR="005A7219" w:rsidRPr="00BD21A9" w:rsidRDefault="00F55927" w:rsidP="00BD21A9">
      <w:pPr>
        <w:spacing w:line="360" w:lineRule="auto"/>
        <w:jc w:val="both"/>
        <w:rPr>
          <w:rFonts w:ascii="Arial" w:hAnsi="Arial" w:cs="Arial"/>
        </w:rPr>
      </w:pPr>
      <w:bookmarkStart w:id="13" w:name="_Toc181998444"/>
      <w:r>
        <w:rPr>
          <w:rStyle w:val="Heading1Char"/>
          <w:rFonts w:ascii="Arial" w:hAnsi="Arial" w:cs="Arial"/>
        </w:rPr>
        <w:t>4</w:t>
      </w:r>
      <w:r w:rsidR="00647F14" w:rsidRPr="00BD21A9">
        <w:rPr>
          <w:rStyle w:val="Heading1Char"/>
          <w:rFonts w:ascii="Arial" w:hAnsi="Arial" w:cs="Arial"/>
        </w:rPr>
        <w:t>.</w:t>
      </w:r>
      <w:r>
        <w:rPr>
          <w:rStyle w:val="Heading1Char"/>
          <w:rFonts w:ascii="Arial" w:hAnsi="Arial" w:cs="Arial"/>
        </w:rPr>
        <w:t>0</w:t>
      </w:r>
      <w:r w:rsidR="00647F14" w:rsidRPr="00BD21A9">
        <w:rPr>
          <w:rStyle w:val="Heading1Char"/>
          <w:rFonts w:ascii="Arial" w:hAnsi="Arial" w:cs="Arial"/>
        </w:rPr>
        <w:t xml:space="preserve"> Event Management</w:t>
      </w:r>
      <w:bookmarkEnd w:id="13"/>
      <w:r w:rsidR="00647F14" w:rsidRPr="00BD21A9">
        <w:rPr>
          <w:rFonts w:ascii="Arial" w:hAnsi="Arial" w:cs="Arial"/>
        </w:rPr>
        <w:t xml:space="preserve"> </w:t>
      </w:r>
    </w:p>
    <w:p w14:paraId="7FE6E45F" w14:textId="5359D1D6" w:rsidR="002067E5" w:rsidRPr="00BD21A9" w:rsidRDefault="000C58FD" w:rsidP="00BD21A9">
      <w:pPr>
        <w:spacing w:line="360" w:lineRule="auto"/>
        <w:jc w:val="both"/>
        <w:rPr>
          <w:rFonts w:ascii="Arial" w:hAnsi="Arial" w:cs="Arial"/>
          <w:sz w:val="24"/>
          <w:szCs w:val="24"/>
        </w:rPr>
      </w:pPr>
      <w:r w:rsidRPr="00BD21A9">
        <w:rPr>
          <w:rFonts w:ascii="Arial" w:hAnsi="Arial" w:cs="Arial"/>
          <w:sz w:val="24"/>
          <w:szCs w:val="24"/>
        </w:rPr>
        <w:t xml:space="preserve">The EMBOK (2019) model is a framework intended to assist event planners in navigating the intricacies of event organisation and management.  </w:t>
      </w:r>
      <w:r w:rsidR="00736F5A" w:rsidRPr="00BD21A9">
        <w:rPr>
          <w:rFonts w:ascii="Arial" w:hAnsi="Arial" w:cs="Arial"/>
          <w:sz w:val="24"/>
          <w:szCs w:val="24"/>
        </w:rPr>
        <w:t>D</w:t>
      </w:r>
      <w:r w:rsidRPr="00BD21A9">
        <w:rPr>
          <w:rFonts w:ascii="Arial" w:hAnsi="Arial" w:cs="Arial"/>
          <w:sz w:val="24"/>
          <w:szCs w:val="24"/>
        </w:rPr>
        <w:t>elineates event management into five principal domains, each concentrating on critical facets of planning, executing, and assessing events. The model offers a systematic framework that assists event administrators in attaining success while reducing risks and improving participant experience.</w:t>
      </w:r>
      <w:r w:rsidR="00D4609F" w:rsidRPr="00BD21A9">
        <w:rPr>
          <w:rFonts w:ascii="Arial" w:hAnsi="Arial" w:cs="Arial"/>
          <w:sz w:val="24"/>
          <w:szCs w:val="24"/>
        </w:rPr>
        <w:t xml:space="preserve"> </w:t>
      </w:r>
      <w:r w:rsidR="005C6882" w:rsidRPr="00BD21A9">
        <w:rPr>
          <w:rFonts w:ascii="Arial" w:hAnsi="Arial" w:cs="Arial"/>
          <w:sz w:val="24"/>
          <w:szCs w:val="24"/>
        </w:rPr>
        <w:t>(</w:t>
      </w:r>
      <w:r w:rsidR="00D4609F" w:rsidRPr="00BD21A9">
        <w:rPr>
          <w:rFonts w:ascii="Arial" w:hAnsi="Arial" w:cs="Arial"/>
          <w:sz w:val="24"/>
          <w:szCs w:val="24"/>
        </w:rPr>
        <w:t>See appendix 1-5</w:t>
      </w:r>
      <w:r w:rsidR="005C6882" w:rsidRPr="00BD21A9">
        <w:rPr>
          <w:rFonts w:ascii="Arial" w:hAnsi="Arial" w:cs="Arial"/>
          <w:sz w:val="24"/>
          <w:szCs w:val="24"/>
        </w:rPr>
        <w:t>).</w:t>
      </w:r>
    </w:p>
    <w:p w14:paraId="2B237782" w14:textId="3DA5E47F" w:rsidR="00C2678D" w:rsidRPr="00BD21A9" w:rsidRDefault="00CB4E37" w:rsidP="00BD21A9">
      <w:pPr>
        <w:spacing w:line="360" w:lineRule="auto"/>
        <w:jc w:val="both"/>
        <w:rPr>
          <w:rFonts w:ascii="Arial" w:hAnsi="Arial" w:cs="Arial"/>
          <w:sz w:val="24"/>
          <w:szCs w:val="24"/>
        </w:rPr>
      </w:pPr>
      <w:r w:rsidRPr="00BD21A9">
        <w:rPr>
          <w:rFonts w:ascii="Arial" w:hAnsi="Arial" w:cs="Arial"/>
          <w:noProof/>
        </w:rPr>
        <w:drawing>
          <wp:inline distT="0" distB="0" distL="0" distR="0" wp14:anchorId="0C07AFE9" wp14:editId="374E2783">
            <wp:extent cx="5683099" cy="4039565"/>
            <wp:effectExtent l="190500" t="190500" r="184785" b="189865"/>
            <wp:docPr id="1459908774" name="Picture 1" descr="A diagram of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08774" name="Picture 1" descr="A diagram of core values&#10;&#10;Description automatically generated"/>
                    <pic:cNvPicPr/>
                  </pic:nvPicPr>
                  <pic:blipFill rotWithShape="1">
                    <a:blip r:embed="rId19"/>
                    <a:srcRect l="1008" b="4682"/>
                    <a:stretch/>
                  </pic:blipFill>
                  <pic:spPr bwMode="auto">
                    <a:xfrm>
                      <a:off x="0" y="0"/>
                      <a:ext cx="5683590" cy="4039914"/>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r w:rsidR="00F6425E" w:rsidRPr="00BD21A9">
        <w:rPr>
          <w:rFonts w:ascii="Arial" w:hAnsi="Arial" w:cs="Arial"/>
        </w:rPr>
        <w:t xml:space="preserve"> </w:t>
      </w:r>
    </w:p>
    <w:p w14:paraId="7541FE43" w14:textId="77777777" w:rsidR="00606CEB" w:rsidRPr="00BD21A9" w:rsidRDefault="00606CEB" w:rsidP="00BD21A9">
      <w:pPr>
        <w:spacing w:line="360" w:lineRule="auto"/>
        <w:jc w:val="both"/>
        <w:rPr>
          <w:rFonts w:ascii="Arial" w:hAnsi="Arial" w:cs="Arial"/>
          <w:sz w:val="24"/>
          <w:szCs w:val="24"/>
        </w:rPr>
      </w:pPr>
    </w:p>
    <w:p w14:paraId="566431B8" w14:textId="77777777" w:rsidR="00102B20" w:rsidRPr="00BD21A9" w:rsidRDefault="00102B20" w:rsidP="00BD21A9">
      <w:pPr>
        <w:spacing w:line="360" w:lineRule="auto"/>
        <w:jc w:val="both"/>
        <w:rPr>
          <w:rFonts w:ascii="Arial" w:hAnsi="Arial" w:cs="Arial"/>
          <w:sz w:val="24"/>
          <w:szCs w:val="24"/>
        </w:rPr>
      </w:pPr>
    </w:p>
    <w:p w14:paraId="2E4D1CCB" w14:textId="77777777" w:rsidR="005A7219" w:rsidRPr="00BD21A9" w:rsidRDefault="005A7219" w:rsidP="00BD21A9">
      <w:pPr>
        <w:spacing w:line="360" w:lineRule="auto"/>
        <w:jc w:val="both"/>
        <w:rPr>
          <w:rFonts w:ascii="Arial" w:hAnsi="Arial" w:cs="Arial"/>
        </w:rPr>
      </w:pPr>
    </w:p>
    <w:p w14:paraId="54853B14" w14:textId="55A193EF" w:rsidR="003C1E6F" w:rsidRPr="00F55927" w:rsidRDefault="00F55927" w:rsidP="00F55927">
      <w:pPr>
        <w:pStyle w:val="Heading2"/>
        <w:spacing w:line="360" w:lineRule="auto"/>
        <w:jc w:val="both"/>
        <w:rPr>
          <w:rStyle w:val="Heading1Char"/>
          <w:rFonts w:ascii="Arial" w:hAnsi="Arial" w:cs="Arial"/>
          <w:sz w:val="36"/>
          <w:szCs w:val="36"/>
        </w:rPr>
      </w:pPr>
      <w:bookmarkStart w:id="14" w:name="_Toc181998445"/>
      <w:r>
        <w:rPr>
          <w:rStyle w:val="Heading1Char"/>
          <w:rFonts w:ascii="Arial" w:hAnsi="Arial" w:cs="Arial"/>
          <w:sz w:val="36"/>
          <w:szCs w:val="36"/>
        </w:rPr>
        <w:lastRenderedPageBreak/>
        <w:t>4.1</w:t>
      </w:r>
      <w:r w:rsidR="00647F14" w:rsidRPr="00F55927">
        <w:rPr>
          <w:rStyle w:val="Heading1Char"/>
          <w:rFonts w:ascii="Arial" w:hAnsi="Arial" w:cs="Arial"/>
          <w:sz w:val="36"/>
          <w:szCs w:val="36"/>
        </w:rPr>
        <w:t>. Event Budget</w:t>
      </w:r>
      <w:bookmarkEnd w:id="14"/>
    </w:p>
    <w:p w14:paraId="11CEFEFD" w14:textId="53F584C4" w:rsidR="005A7219" w:rsidRPr="00BD21A9" w:rsidRDefault="00DA626B" w:rsidP="00BD21A9">
      <w:pPr>
        <w:spacing w:line="360" w:lineRule="auto"/>
        <w:jc w:val="both"/>
        <w:rPr>
          <w:rFonts w:ascii="Arial" w:hAnsi="Arial" w:cs="Arial"/>
          <w:sz w:val="24"/>
          <w:szCs w:val="24"/>
        </w:rPr>
      </w:pPr>
      <w:r w:rsidRPr="00BD21A9">
        <w:rPr>
          <w:rFonts w:ascii="Arial" w:hAnsi="Arial" w:cs="Arial"/>
          <w:sz w:val="24"/>
          <w:szCs w:val="24"/>
        </w:rPr>
        <w:t xml:space="preserve">Strategically planning, allocating, and regulating financial resources in event management to guarantee that an event achieves its objectives within established financial constraints. Budget control empowers event managers to make informed financial decisions, manage expenditures, and ultimately assess the event's financial viability or success. By integrating ideas from conventional budgeting, cost management, and financial risk evaluation, tailored to the distinctive and frequently fluctuating characteristics of event planning (Bowden 2012). </w:t>
      </w:r>
    </w:p>
    <w:p w14:paraId="7B79DA19" w14:textId="20C466F3" w:rsidR="009C2AD2" w:rsidRPr="00BD21A9" w:rsidRDefault="00EB5C65" w:rsidP="00BD21A9">
      <w:pPr>
        <w:spacing w:line="360" w:lineRule="auto"/>
        <w:jc w:val="both"/>
        <w:rPr>
          <w:rFonts w:ascii="Arial" w:hAnsi="Arial" w:cs="Arial"/>
        </w:rPr>
      </w:pPr>
      <w:r w:rsidRPr="00BD21A9">
        <w:rPr>
          <w:rFonts w:ascii="Arial" w:hAnsi="Arial" w:cs="Arial"/>
          <w:noProof/>
        </w:rPr>
        <w:drawing>
          <wp:inline distT="0" distB="0" distL="0" distR="0" wp14:anchorId="29AE3738" wp14:editId="49C416D8">
            <wp:extent cx="5731510" cy="3223895"/>
            <wp:effectExtent l="190500" t="190500" r="193040" b="186055"/>
            <wp:docPr id="688065539" name="Picture 1" descr="A black and white text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065539" name="Picture 1" descr="A black and white text on a white sheet&#10;&#10;Description automatically generated"/>
                    <pic:cNvPicPr/>
                  </pic:nvPicPr>
                  <pic:blipFill>
                    <a:blip r:embed="rId20"/>
                    <a:stretch>
                      <a:fillRect/>
                    </a:stretch>
                  </pic:blipFill>
                  <pic:spPr>
                    <a:xfrm>
                      <a:off x="0" y="0"/>
                      <a:ext cx="5731510" cy="3223895"/>
                    </a:xfrm>
                    <a:prstGeom prst="rect">
                      <a:avLst/>
                    </a:prstGeom>
                    <a:ln>
                      <a:noFill/>
                    </a:ln>
                    <a:effectLst>
                      <a:outerShdw blurRad="190500" algn="tl" rotWithShape="0">
                        <a:srgbClr val="000000">
                          <a:alpha val="70000"/>
                        </a:srgbClr>
                      </a:outerShdw>
                    </a:effectLst>
                  </pic:spPr>
                </pic:pic>
              </a:graphicData>
            </a:graphic>
          </wp:inline>
        </w:drawing>
      </w:r>
    </w:p>
    <w:p w14:paraId="77DB531F" w14:textId="3C172C78" w:rsidR="00761884" w:rsidRPr="00BD21A9" w:rsidRDefault="00761884" w:rsidP="00BD21A9">
      <w:pPr>
        <w:spacing w:line="360" w:lineRule="auto"/>
        <w:jc w:val="both"/>
        <w:rPr>
          <w:rFonts w:ascii="Arial" w:hAnsi="Arial" w:cs="Arial"/>
          <w:sz w:val="24"/>
          <w:szCs w:val="24"/>
        </w:rPr>
      </w:pPr>
      <w:r w:rsidRPr="00BD21A9">
        <w:rPr>
          <w:rFonts w:ascii="Arial" w:hAnsi="Arial" w:cs="Arial"/>
          <w:sz w:val="24"/>
          <w:szCs w:val="24"/>
        </w:rPr>
        <w:t>(See appendix, 6)</w:t>
      </w:r>
    </w:p>
    <w:p w14:paraId="2BC78215" w14:textId="7E51D97B" w:rsidR="005A7219" w:rsidRPr="00977E20" w:rsidRDefault="00F55927" w:rsidP="00977E20">
      <w:pPr>
        <w:pStyle w:val="Heading2"/>
        <w:spacing w:line="360" w:lineRule="auto"/>
        <w:jc w:val="both"/>
        <w:rPr>
          <w:sz w:val="20"/>
          <w:szCs w:val="20"/>
        </w:rPr>
      </w:pPr>
      <w:bookmarkStart w:id="15" w:name="_Toc181998446"/>
      <w:r w:rsidRPr="00977E20">
        <w:rPr>
          <w:rStyle w:val="Heading1Char"/>
          <w:rFonts w:ascii="Arial" w:hAnsi="Arial" w:cs="Arial"/>
          <w:sz w:val="36"/>
          <w:szCs w:val="36"/>
        </w:rPr>
        <w:t>4.2</w:t>
      </w:r>
      <w:r w:rsidR="00647F14" w:rsidRPr="00977E20">
        <w:rPr>
          <w:rStyle w:val="Heading1Char"/>
          <w:rFonts w:ascii="Arial" w:hAnsi="Arial" w:cs="Arial"/>
          <w:sz w:val="36"/>
          <w:szCs w:val="36"/>
        </w:rPr>
        <w:t xml:space="preserve"> Industry Trends / Issues / Impacts</w:t>
      </w:r>
      <w:bookmarkEnd w:id="15"/>
      <w:r w:rsidR="00647F14" w:rsidRPr="00977E20">
        <w:rPr>
          <w:sz w:val="20"/>
          <w:szCs w:val="20"/>
        </w:rPr>
        <w:t xml:space="preserve"> </w:t>
      </w:r>
    </w:p>
    <w:p w14:paraId="5F4A3B18" w14:textId="77777777" w:rsidR="00D73B1B" w:rsidRPr="00BD21A9" w:rsidRDefault="00D73B1B" w:rsidP="00BD21A9">
      <w:pPr>
        <w:spacing w:line="360" w:lineRule="auto"/>
        <w:jc w:val="both"/>
        <w:rPr>
          <w:rFonts w:ascii="Arial" w:hAnsi="Arial" w:cs="Arial"/>
        </w:rPr>
      </w:pPr>
    </w:p>
    <w:p w14:paraId="04BF5E0C" w14:textId="0272FD46" w:rsidR="00D73B1B" w:rsidRDefault="00D8543A" w:rsidP="00BD21A9">
      <w:pPr>
        <w:spacing w:line="360" w:lineRule="auto"/>
        <w:jc w:val="both"/>
        <w:rPr>
          <w:rFonts w:ascii="Arial" w:hAnsi="Arial" w:cs="Arial"/>
          <w:sz w:val="24"/>
          <w:szCs w:val="24"/>
        </w:rPr>
      </w:pPr>
      <w:r w:rsidRPr="00BD21A9">
        <w:rPr>
          <w:rFonts w:ascii="Arial" w:hAnsi="Arial" w:cs="Arial"/>
          <w:noProof/>
        </w:rPr>
        <w:lastRenderedPageBreak/>
        <w:drawing>
          <wp:inline distT="0" distB="0" distL="0" distR="0" wp14:anchorId="4E63DAE3" wp14:editId="013EE49A">
            <wp:extent cx="5731510" cy="3223895"/>
            <wp:effectExtent l="190500" t="190500" r="193040" b="186055"/>
            <wp:docPr id="212257947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579474" name="Picture 1" descr="A white sheet with black text&#10;&#10;Description automatically generated"/>
                    <pic:cNvPicPr/>
                  </pic:nvPicPr>
                  <pic:blipFill>
                    <a:blip r:embed="rId21"/>
                    <a:stretch>
                      <a:fillRect/>
                    </a:stretch>
                  </pic:blipFill>
                  <pic:spPr>
                    <a:xfrm>
                      <a:off x="0" y="0"/>
                      <a:ext cx="5731510" cy="3223895"/>
                    </a:xfrm>
                    <a:prstGeom prst="rect">
                      <a:avLst/>
                    </a:prstGeom>
                    <a:ln>
                      <a:noFill/>
                    </a:ln>
                    <a:effectLst>
                      <a:outerShdw blurRad="190500" algn="tl" rotWithShape="0">
                        <a:srgbClr val="000000">
                          <a:alpha val="70000"/>
                        </a:srgbClr>
                      </a:outerShdw>
                    </a:effectLst>
                  </pic:spPr>
                </pic:pic>
              </a:graphicData>
            </a:graphic>
          </wp:inline>
        </w:drawing>
      </w:r>
      <w:r w:rsidR="005F30E9" w:rsidRPr="00BD21A9">
        <w:rPr>
          <w:rFonts w:ascii="Arial" w:hAnsi="Arial" w:cs="Arial"/>
          <w:sz w:val="24"/>
          <w:szCs w:val="24"/>
        </w:rPr>
        <w:t>(Whitbread 2024)</w:t>
      </w:r>
      <w:r w:rsidR="006C410B" w:rsidRPr="00BD21A9">
        <w:rPr>
          <w:rFonts w:ascii="Arial" w:hAnsi="Arial" w:cs="Arial"/>
          <w:sz w:val="24"/>
          <w:szCs w:val="24"/>
        </w:rPr>
        <w:t>, (Singh</w:t>
      </w:r>
      <w:r w:rsidR="0027609C" w:rsidRPr="00BD21A9">
        <w:rPr>
          <w:rFonts w:ascii="Arial" w:hAnsi="Arial" w:cs="Arial"/>
          <w:sz w:val="24"/>
          <w:szCs w:val="24"/>
        </w:rPr>
        <w:t xml:space="preserve"> &amp;</w:t>
      </w:r>
      <w:r w:rsidR="006C410B" w:rsidRPr="00BD21A9">
        <w:rPr>
          <w:rFonts w:ascii="Arial" w:hAnsi="Arial" w:cs="Arial"/>
          <w:sz w:val="24"/>
          <w:szCs w:val="24"/>
        </w:rPr>
        <w:t xml:space="preserve"> Deri, 2024)</w:t>
      </w:r>
      <w:r w:rsidR="0027609C" w:rsidRPr="00BD21A9">
        <w:rPr>
          <w:rFonts w:ascii="Arial" w:hAnsi="Arial" w:cs="Arial"/>
          <w:sz w:val="24"/>
          <w:szCs w:val="24"/>
        </w:rPr>
        <w:t>, (Wee, Mustapha &amp; Anas, 2021)</w:t>
      </w:r>
      <w:r w:rsidR="008C6E25" w:rsidRPr="00BD21A9">
        <w:rPr>
          <w:rFonts w:ascii="Arial" w:hAnsi="Arial" w:cs="Arial"/>
          <w:sz w:val="24"/>
          <w:szCs w:val="24"/>
        </w:rPr>
        <w:t>, (Werner, 2020)</w:t>
      </w:r>
      <w:r w:rsidR="00A82DB0" w:rsidRPr="00BD21A9">
        <w:rPr>
          <w:rFonts w:ascii="Arial" w:hAnsi="Arial" w:cs="Arial"/>
          <w:sz w:val="24"/>
          <w:szCs w:val="24"/>
        </w:rPr>
        <w:t>, (Yaneva, 2018).</w:t>
      </w:r>
    </w:p>
    <w:p w14:paraId="19BC0850" w14:textId="77777777" w:rsidR="00F55927" w:rsidRPr="00BD21A9" w:rsidRDefault="00F55927" w:rsidP="00BD21A9">
      <w:pPr>
        <w:spacing w:line="360" w:lineRule="auto"/>
        <w:jc w:val="both"/>
        <w:rPr>
          <w:rFonts w:ascii="Arial" w:hAnsi="Arial" w:cs="Arial"/>
        </w:rPr>
      </w:pPr>
    </w:p>
    <w:p w14:paraId="3913E9AD" w14:textId="7FDCB596" w:rsidR="005A7219" w:rsidRPr="00F55927" w:rsidRDefault="00F55927" w:rsidP="00F55927">
      <w:pPr>
        <w:pStyle w:val="Heading2"/>
        <w:spacing w:line="360" w:lineRule="auto"/>
        <w:jc w:val="both"/>
        <w:rPr>
          <w:sz w:val="28"/>
          <w:szCs w:val="28"/>
        </w:rPr>
      </w:pPr>
      <w:bookmarkStart w:id="16" w:name="_Toc181998447"/>
      <w:r w:rsidRPr="00F55927">
        <w:rPr>
          <w:rStyle w:val="Heading1Char"/>
          <w:rFonts w:ascii="Arial" w:hAnsi="Arial" w:cs="Arial"/>
          <w:sz w:val="36"/>
          <w:szCs w:val="36"/>
        </w:rPr>
        <w:t>4.3</w:t>
      </w:r>
      <w:r w:rsidR="00647F14" w:rsidRPr="00F55927">
        <w:rPr>
          <w:rStyle w:val="Heading1Char"/>
          <w:rFonts w:ascii="Arial" w:hAnsi="Arial" w:cs="Arial"/>
          <w:sz w:val="36"/>
          <w:szCs w:val="36"/>
        </w:rPr>
        <w:t xml:space="preserve"> Situational and Cultural Considerations</w:t>
      </w:r>
      <w:bookmarkEnd w:id="16"/>
      <w:r w:rsidR="00647F14" w:rsidRPr="00F55927">
        <w:rPr>
          <w:sz w:val="28"/>
          <w:szCs w:val="28"/>
        </w:rPr>
        <w:t xml:space="preserve"> </w:t>
      </w:r>
    </w:p>
    <w:p w14:paraId="53CC0DAD" w14:textId="6F83D544" w:rsidR="008E7698" w:rsidRPr="00BD21A9" w:rsidRDefault="00CF13D2" w:rsidP="00BD21A9">
      <w:pPr>
        <w:spacing w:line="360" w:lineRule="auto"/>
        <w:jc w:val="both"/>
        <w:rPr>
          <w:rFonts w:ascii="Arial" w:hAnsi="Arial" w:cs="Arial"/>
          <w:sz w:val="24"/>
          <w:szCs w:val="24"/>
        </w:rPr>
      </w:pPr>
      <w:r w:rsidRPr="00BD21A9">
        <w:rPr>
          <w:rFonts w:ascii="Arial" w:hAnsi="Arial" w:cs="Arial"/>
          <w:sz w:val="24"/>
          <w:szCs w:val="24"/>
        </w:rPr>
        <w:t xml:space="preserve">For the Whitbread Employee Reward Christmas Dinner, it is crucial to </w:t>
      </w:r>
      <w:proofErr w:type="gramStart"/>
      <w:r w:rsidRPr="00BD21A9">
        <w:rPr>
          <w:rFonts w:ascii="Arial" w:hAnsi="Arial" w:cs="Arial"/>
          <w:sz w:val="24"/>
          <w:szCs w:val="24"/>
        </w:rPr>
        <w:t>take into account</w:t>
      </w:r>
      <w:proofErr w:type="gramEnd"/>
      <w:r w:rsidRPr="00BD21A9">
        <w:rPr>
          <w:rFonts w:ascii="Arial" w:hAnsi="Arial" w:cs="Arial"/>
          <w:sz w:val="24"/>
          <w:szCs w:val="24"/>
        </w:rPr>
        <w:t xml:space="preserve"> wider situational and cultural elements, since they might influence employee engagement, the efficacy of the event as a reward, and the company's reputation (Shenoy &amp; </w:t>
      </w:r>
      <w:proofErr w:type="spellStart"/>
      <w:r w:rsidRPr="00BD21A9">
        <w:rPr>
          <w:rFonts w:ascii="Arial" w:hAnsi="Arial" w:cs="Arial"/>
          <w:sz w:val="24"/>
          <w:szCs w:val="24"/>
        </w:rPr>
        <w:t>Uchil</w:t>
      </w:r>
      <w:proofErr w:type="spellEnd"/>
      <w:r w:rsidRPr="00BD21A9">
        <w:rPr>
          <w:rFonts w:ascii="Arial" w:hAnsi="Arial" w:cs="Arial"/>
          <w:sz w:val="24"/>
          <w:szCs w:val="24"/>
        </w:rPr>
        <w:t xml:space="preserve">, 2018). The Whitbread Employee Reward Christmas Dinner will meticulously accommodate many cultural origins, traditions, dietary requirements, and customs, assuring inclusion and respect as articulated by House et al. (2024). Vegetarian and varied culinary options will be offered, in accordance with employees' dietary preferences and principles. Eco-friendly methods that coincide with the Force for Good Whitbread (2024) initiatives and reduce waste will demonstrate the company's commitment to social responsibility (CSR). The event would be economical yet of superior quality, recognising financial constraints while emphasising employee gratitude. The establishment of a hospitable, participatory environment during the meal would facilitate personal and professional relationships, enhance unity, and </w:t>
      </w:r>
      <w:r w:rsidRPr="00BD21A9">
        <w:rPr>
          <w:rFonts w:ascii="Arial" w:hAnsi="Arial" w:cs="Arial"/>
          <w:sz w:val="24"/>
          <w:szCs w:val="24"/>
        </w:rPr>
        <w:lastRenderedPageBreak/>
        <w:t xml:space="preserve">diminish hierarchical barriers, so reinforcing workplace culture and employee happiness, as articulated by Ng et al. (2024). </w:t>
      </w:r>
    </w:p>
    <w:p w14:paraId="1B2DBE29" w14:textId="77777777" w:rsidR="00DC0981" w:rsidRPr="00BD21A9" w:rsidRDefault="00DC0981" w:rsidP="00BD21A9">
      <w:pPr>
        <w:spacing w:line="360" w:lineRule="auto"/>
        <w:jc w:val="both"/>
        <w:rPr>
          <w:rFonts w:ascii="Arial" w:hAnsi="Arial" w:cs="Arial"/>
        </w:rPr>
      </w:pPr>
    </w:p>
    <w:p w14:paraId="4AA5594E" w14:textId="6C0C1E2D" w:rsidR="00672089" w:rsidRPr="00F55927" w:rsidRDefault="00F55927" w:rsidP="00F55927">
      <w:pPr>
        <w:pStyle w:val="Heading2"/>
        <w:spacing w:line="360" w:lineRule="auto"/>
        <w:jc w:val="both"/>
        <w:rPr>
          <w:rFonts w:ascii="Arial" w:hAnsi="Arial" w:cs="Arial"/>
          <w:sz w:val="36"/>
          <w:szCs w:val="36"/>
        </w:rPr>
      </w:pPr>
      <w:bookmarkStart w:id="17" w:name="_Toc181998448"/>
      <w:r>
        <w:rPr>
          <w:rFonts w:ascii="Arial" w:hAnsi="Arial" w:cs="Arial"/>
          <w:sz w:val="36"/>
          <w:szCs w:val="36"/>
        </w:rPr>
        <w:t>4.3</w:t>
      </w:r>
      <w:r w:rsidR="00672089" w:rsidRPr="00F55927">
        <w:rPr>
          <w:rFonts w:ascii="Arial" w:hAnsi="Arial" w:cs="Arial"/>
          <w:sz w:val="36"/>
          <w:szCs w:val="36"/>
        </w:rPr>
        <w:t xml:space="preserve"> PESTEL </w:t>
      </w:r>
      <w:r>
        <w:rPr>
          <w:rFonts w:ascii="Arial" w:hAnsi="Arial" w:cs="Arial"/>
          <w:sz w:val="36"/>
          <w:szCs w:val="36"/>
        </w:rPr>
        <w:t>A</w:t>
      </w:r>
      <w:r w:rsidR="00672089" w:rsidRPr="00F55927">
        <w:rPr>
          <w:rFonts w:ascii="Arial" w:hAnsi="Arial" w:cs="Arial"/>
          <w:sz w:val="36"/>
          <w:szCs w:val="36"/>
        </w:rPr>
        <w:t>nalysis</w:t>
      </w:r>
      <w:bookmarkEnd w:id="17"/>
    </w:p>
    <w:p w14:paraId="1234488A" w14:textId="4E565A27" w:rsidR="005A7219" w:rsidRPr="00BD21A9" w:rsidRDefault="00DC0981" w:rsidP="00BD21A9">
      <w:pPr>
        <w:spacing w:line="360" w:lineRule="auto"/>
        <w:jc w:val="both"/>
        <w:rPr>
          <w:rFonts w:ascii="Arial" w:hAnsi="Arial" w:cs="Arial"/>
        </w:rPr>
      </w:pPr>
      <w:r w:rsidRPr="00BD21A9">
        <w:rPr>
          <w:rFonts w:ascii="Arial" w:hAnsi="Arial" w:cs="Arial"/>
          <w:noProof/>
        </w:rPr>
        <w:drawing>
          <wp:inline distT="0" distB="0" distL="0" distR="0" wp14:anchorId="61CD64C1" wp14:editId="654A8223">
            <wp:extent cx="5975798" cy="3099126"/>
            <wp:effectExtent l="190500" t="190500" r="196850" b="196850"/>
            <wp:docPr id="985529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29235" name=""/>
                    <pic:cNvPicPr/>
                  </pic:nvPicPr>
                  <pic:blipFill>
                    <a:blip r:embed="rId22"/>
                    <a:stretch>
                      <a:fillRect/>
                    </a:stretch>
                  </pic:blipFill>
                  <pic:spPr>
                    <a:xfrm>
                      <a:off x="0" y="0"/>
                      <a:ext cx="5983708" cy="3103228"/>
                    </a:xfrm>
                    <a:prstGeom prst="rect">
                      <a:avLst/>
                    </a:prstGeom>
                    <a:ln>
                      <a:noFill/>
                    </a:ln>
                    <a:effectLst>
                      <a:outerShdw blurRad="190500" algn="tl" rotWithShape="0">
                        <a:srgbClr val="000000">
                          <a:alpha val="70000"/>
                        </a:srgbClr>
                      </a:outerShdw>
                    </a:effectLst>
                  </pic:spPr>
                </pic:pic>
              </a:graphicData>
            </a:graphic>
          </wp:inline>
        </w:drawing>
      </w:r>
    </w:p>
    <w:p w14:paraId="1B143ED0" w14:textId="77777777" w:rsidR="003E1285" w:rsidRPr="00BD21A9" w:rsidRDefault="003E1285" w:rsidP="00BD21A9">
      <w:pPr>
        <w:spacing w:line="360" w:lineRule="auto"/>
        <w:jc w:val="both"/>
        <w:rPr>
          <w:rFonts w:ascii="Arial" w:hAnsi="Arial" w:cs="Arial"/>
        </w:rPr>
      </w:pPr>
    </w:p>
    <w:p w14:paraId="5DA95A7C" w14:textId="77777777" w:rsidR="00242730" w:rsidRPr="00BC5054" w:rsidRDefault="00242730" w:rsidP="00BC5054">
      <w:pPr>
        <w:pStyle w:val="Heading1"/>
        <w:spacing w:line="360" w:lineRule="auto"/>
        <w:jc w:val="both"/>
        <w:rPr>
          <w:rFonts w:ascii="Arial" w:hAnsi="Arial" w:cs="Arial"/>
        </w:rPr>
      </w:pPr>
      <w:bookmarkStart w:id="18" w:name="_Toc181998449"/>
      <w:r w:rsidRPr="00BC5054">
        <w:rPr>
          <w:rFonts w:ascii="Arial" w:hAnsi="Arial" w:cs="Arial"/>
        </w:rPr>
        <w:t>5.0 Conclusion</w:t>
      </w:r>
      <w:bookmarkEnd w:id="18"/>
    </w:p>
    <w:p w14:paraId="2754B81C" w14:textId="77777777" w:rsidR="00BD0A2C" w:rsidRDefault="00BD0A2C" w:rsidP="00DD2867">
      <w:pPr>
        <w:spacing w:line="360" w:lineRule="auto"/>
        <w:jc w:val="both"/>
        <w:rPr>
          <w:rFonts w:ascii="Arial" w:hAnsi="Arial" w:cs="Arial"/>
          <w:sz w:val="24"/>
          <w:szCs w:val="24"/>
        </w:rPr>
      </w:pPr>
      <w:r>
        <w:rPr>
          <w:rFonts w:ascii="Arial" w:hAnsi="Arial" w:cs="Arial"/>
          <w:sz w:val="24"/>
          <w:szCs w:val="24"/>
        </w:rPr>
        <w:t>The Whitbread Employee Reward Christmas Event demonstrates a holistic strategy for employee recognition, involvement, and incentive, strongly connected with Whitbread's corporate principles and the broader benchmarks of the MICE sector (Rajkamal et al., 2023). Utilising the EMBOK model ensures rigorous event planning, harmonising logistical efficiency with an emphasis on personal and professional acknowledgement to foster a smooth and significant experience for workers (Yeung &amp; Thomas, 2021). Recognising achievements, cultivating a culture of gratitude, and facilitating networking opportunities are essential elements that enable Whitbread to enhance loyalty and fortify its internal community, which are critical objectives within the MICE industry (Bladen et al., 2012).</w:t>
      </w:r>
    </w:p>
    <w:p w14:paraId="2C57C4CA" w14:textId="77777777" w:rsidR="00BD0A2C" w:rsidRDefault="00BD0A2C" w:rsidP="00DD2867">
      <w:pPr>
        <w:spacing w:line="360" w:lineRule="auto"/>
        <w:jc w:val="both"/>
        <w:rPr>
          <w:rFonts w:ascii="Arial" w:hAnsi="Arial" w:cs="Arial"/>
          <w:sz w:val="24"/>
          <w:szCs w:val="24"/>
        </w:rPr>
      </w:pPr>
    </w:p>
    <w:p w14:paraId="7864927E" w14:textId="6620A630" w:rsidR="00BD0A2C" w:rsidRDefault="00BD0A2C" w:rsidP="00DD2867">
      <w:pPr>
        <w:spacing w:line="360" w:lineRule="auto"/>
        <w:jc w:val="both"/>
        <w:rPr>
          <w:rFonts w:ascii="Arial" w:hAnsi="Arial" w:cs="Arial"/>
          <w:sz w:val="24"/>
          <w:szCs w:val="24"/>
        </w:rPr>
      </w:pPr>
      <w:r>
        <w:rPr>
          <w:rFonts w:ascii="Arial" w:hAnsi="Arial" w:cs="Arial"/>
          <w:sz w:val="24"/>
          <w:szCs w:val="24"/>
        </w:rPr>
        <w:t xml:space="preserve">The event's design, characterised by festive themes and inclusion, reflects Whitbread's dedication to diversity, accessibility, and employee welfare (House et al., 2024). The Christmas-themed atmosphere, available amenities like hearing loops, and culturally sensitive menu selections demonstrate an inclusive event management strategy that respects the diverse backgrounds of participants while adhering to the company's social responsibility principles (Shenoy &amp; </w:t>
      </w:r>
      <w:proofErr w:type="spellStart"/>
      <w:r>
        <w:rPr>
          <w:rFonts w:ascii="Arial" w:hAnsi="Arial" w:cs="Arial"/>
          <w:sz w:val="24"/>
          <w:szCs w:val="24"/>
        </w:rPr>
        <w:t>Uchil</w:t>
      </w:r>
      <w:proofErr w:type="spellEnd"/>
      <w:r>
        <w:rPr>
          <w:rFonts w:ascii="Arial" w:hAnsi="Arial" w:cs="Arial"/>
          <w:sz w:val="24"/>
          <w:szCs w:val="24"/>
        </w:rPr>
        <w:t>, 2018; Whitbread, 2024).</w:t>
      </w:r>
    </w:p>
    <w:p w14:paraId="5CF6208E" w14:textId="77777777" w:rsidR="00BD0A2C" w:rsidRDefault="00BD0A2C" w:rsidP="00DD2867">
      <w:pPr>
        <w:spacing w:line="360" w:lineRule="auto"/>
        <w:jc w:val="both"/>
        <w:rPr>
          <w:rFonts w:ascii="Arial" w:hAnsi="Arial" w:cs="Arial"/>
          <w:sz w:val="24"/>
          <w:szCs w:val="24"/>
        </w:rPr>
      </w:pPr>
      <w:proofErr w:type="gramStart"/>
      <w:r>
        <w:rPr>
          <w:rFonts w:ascii="Arial" w:hAnsi="Arial" w:cs="Arial"/>
          <w:sz w:val="24"/>
          <w:szCs w:val="24"/>
        </w:rPr>
        <w:t>Subsequent to</w:t>
      </w:r>
      <w:proofErr w:type="gramEnd"/>
      <w:r>
        <w:rPr>
          <w:rFonts w:ascii="Arial" w:hAnsi="Arial" w:cs="Arial"/>
          <w:sz w:val="24"/>
          <w:szCs w:val="24"/>
        </w:rPr>
        <w:t xml:space="preserve"> the event, a comprehensive assessment will gather feedback to get insights into satisfaction and areas for enhancement, so allowing future events to align with changing expectations and industry standards (Quick, 2020). This introspective phase is crucial for enhancing tactics to guarantee future success (Canva app, 2024). The Whitbread Employee Reward Christmas Dinner exemplifies how deliberately crafted business events may enhance workplace culture, elevate employee happiness, and fortify company values (Cook, 2021). This event recognises individual and team contributions, acknowledging the efforts of Whitbread employees while establishing a motivational atmosphere for the forthcoming year, thereby reinforcing Whitbread's dedication to fostering a supportive and engaged workforce (</w:t>
      </w:r>
      <w:proofErr w:type="spellStart"/>
      <w:r>
        <w:rPr>
          <w:rFonts w:ascii="Arial" w:hAnsi="Arial" w:cs="Arial"/>
          <w:sz w:val="24"/>
          <w:szCs w:val="24"/>
        </w:rPr>
        <w:t>Vashdi</w:t>
      </w:r>
      <w:proofErr w:type="spellEnd"/>
      <w:r>
        <w:rPr>
          <w:rFonts w:ascii="Arial" w:hAnsi="Arial" w:cs="Arial"/>
          <w:sz w:val="24"/>
          <w:szCs w:val="24"/>
        </w:rPr>
        <w:t xml:space="preserve">, </w:t>
      </w:r>
      <w:proofErr w:type="spellStart"/>
      <w:r>
        <w:rPr>
          <w:rFonts w:ascii="Arial" w:hAnsi="Arial" w:cs="Arial"/>
          <w:sz w:val="24"/>
          <w:szCs w:val="24"/>
        </w:rPr>
        <w:t>Levitats</w:t>
      </w:r>
      <w:proofErr w:type="spellEnd"/>
      <w:r>
        <w:rPr>
          <w:rFonts w:ascii="Arial" w:hAnsi="Arial" w:cs="Arial"/>
          <w:sz w:val="24"/>
          <w:szCs w:val="24"/>
        </w:rPr>
        <w:t>, &amp; Grimland, 2019).</w:t>
      </w:r>
    </w:p>
    <w:p w14:paraId="1D4AA19D" w14:textId="77777777" w:rsidR="00BD0A2C" w:rsidRDefault="00BD0A2C" w:rsidP="00DD2867">
      <w:pPr>
        <w:spacing w:line="360" w:lineRule="auto"/>
        <w:jc w:val="both"/>
        <w:rPr>
          <w:rFonts w:ascii="Arial" w:hAnsi="Arial" w:cs="Arial"/>
          <w:sz w:val="24"/>
          <w:szCs w:val="24"/>
        </w:rPr>
      </w:pPr>
    </w:p>
    <w:p w14:paraId="10802113" w14:textId="77777777" w:rsidR="00BD0A2C" w:rsidRDefault="00BD0A2C" w:rsidP="00DD2867">
      <w:pPr>
        <w:spacing w:line="360" w:lineRule="auto"/>
        <w:jc w:val="both"/>
        <w:rPr>
          <w:rFonts w:ascii="Arial" w:hAnsi="Arial" w:cs="Arial"/>
          <w:sz w:val="24"/>
          <w:szCs w:val="24"/>
        </w:rPr>
      </w:pPr>
    </w:p>
    <w:p w14:paraId="6AAE1DD7" w14:textId="77777777" w:rsidR="00BD0A2C" w:rsidRDefault="00BD0A2C" w:rsidP="00DD2867">
      <w:pPr>
        <w:spacing w:line="360" w:lineRule="auto"/>
        <w:jc w:val="both"/>
        <w:rPr>
          <w:rFonts w:ascii="Arial" w:hAnsi="Arial" w:cs="Arial"/>
          <w:sz w:val="24"/>
          <w:szCs w:val="24"/>
        </w:rPr>
      </w:pPr>
    </w:p>
    <w:p w14:paraId="2E463651" w14:textId="1E818A94" w:rsidR="00F034FD" w:rsidRPr="00DD2867" w:rsidRDefault="00F034FD" w:rsidP="00DD2867">
      <w:pPr>
        <w:spacing w:line="360" w:lineRule="auto"/>
        <w:jc w:val="both"/>
        <w:rPr>
          <w:rFonts w:ascii="Arial" w:hAnsi="Arial" w:cs="Arial"/>
          <w:sz w:val="24"/>
          <w:szCs w:val="24"/>
        </w:rPr>
      </w:pPr>
      <w:r w:rsidRPr="00DD2867">
        <w:rPr>
          <w:rFonts w:ascii="Arial" w:hAnsi="Arial" w:cs="Arial"/>
          <w:sz w:val="24"/>
          <w:szCs w:val="24"/>
        </w:rPr>
        <w:br w:type="page"/>
      </w:r>
    </w:p>
    <w:p w14:paraId="7ACBE8F4" w14:textId="77777777" w:rsidR="00672089" w:rsidRPr="00BD21A9" w:rsidRDefault="00672089" w:rsidP="00BD21A9">
      <w:pPr>
        <w:spacing w:line="360" w:lineRule="auto"/>
        <w:jc w:val="both"/>
        <w:rPr>
          <w:rFonts w:ascii="Arial" w:hAnsi="Arial" w:cs="Arial"/>
        </w:rPr>
      </w:pPr>
    </w:p>
    <w:p w14:paraId="2EC367B3" w14:textId="4BF85DD3" w:rsidR="00D44605" w:rsidRPr="00C87363" w:rsidRDefault="00647F14" w:rsidP="00C87363">
      <w:pPr>
        <w:pStyle w:val="Heading1"/>
        <w:spacing w:line="360" w:lineRule="auto"/>
        <w:jc w:val="both"/>
        <w:rPr>
          <w:rFonts w:ascii="Arial" w:hAnsi="Arial" w:cs="Arial"/>
        </w:rPr>
      </w:pPr>
      <w:bookmarkStart w:id="19" w:name="_Toc181998450"/>
      <w:r w:rsidRPr="00C87363">
        <w:rPr>
          <w:rFonts w:ascii="Arial" w:hAnsi="Arial" w:cs="Arial"/>
        </w:rPr>
        <w:t>10. Reference List</w:t>
      </w:r>
      <w:bookmarkEnd w:id="19"/>
    </w:p>
    <w:p w14:paraId="797AAE30" w14:textId="2A9F48B2"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Alon-Shenker, P., &amp; Davidov, G. (2024)</w:t>
      </w:r>
      <w:r w:rsidR="00BD1D02">
        <w:rPr>
          <w:rFonts w:ascii="Arial" w:hAnsi="Arial" w:cs="Arial"/>
          <w:sz w:val="24"/>
          <w:szCs w:val="24"/>
        </w:rPr>
        <w:t xml:space="preserve"> </w:t>
      </w:r>
      <w:r w:rsidR="00EE2E8A">
        <w:rPr>
          <w:rFonts w:ascii="Arial" w:hAnsi="Arial" w:cs="Arial"/>
          <w:sz w:val="24"/>
          <w:szCs w:val="24"/>
        </w:rPr>
        <w:t>‘</w:t>
      </w:r>
      <w:r w:rsidRPr="00BD1D02">
        <w:rPr>
          <w:rFonts w:ascii="Arial" w:hAnsi="Arial" w:cs="Arial"/>
          <w:i/>
          <w:iCs/>
          <w:sz w:val="24"/>
          <w:szCs w:val="24"/>
        </w:rPr>
        <w:t>Employee Status Preconditions</w:t>
      </w:r>
      <w:r w:rsidR="00EE2E8A">
        <w:rPr>
          <w:rFonts w:ascii="Arial" w:hAnsi="Arial" w:cs="Arial"/>
          <w:i/>
          <w:iCs/>
          <w:sz w:val="24"/>
          <w:szCs w:val="24"/>
        </w:rPr>
        <w:t>’</w:t>
      </w:r>
      <w:r w:rsidRPr="00BD1D02">
        <w:rPr>
          <w:rFonts w:ascii="Arial" w:hAnsi="Arial" w:cs="Arial"/>
          <w:i/>
          <w:iCs/>
          <w:sz w:val="24"/>
          <w:szCs w:val="24"/>
        </w:rPr>
        <w:t xml:space="preserve"> </w:t>
      </w:r>
      <w:r w:rsidRPr="00EE2E8A">
        <w:rPr>
          <w:rFonts w:ascii="Arial" w:hAnsi="Arial" w:cs="Arial"/>
          <w:sz w:val="24"/>
          <w:szCs w:val="24"/>
        </w:rPr>
        <w:t>A Critical Assessment</w:t>
      </w:r>
      <w:r w:rsidR="00EE2E8A" w:rsidRPr="00EE2E8A">
        <w:rPr>
          <w:rFonts w:ascii="Arial" w:hAnsi="Arial" w:cs="Arial"/>
          <w:sz w:val="24"/>
          <w:szCs w:val="24"/>
        </w:rPr>
        <w:t>.</w:t>
      </w:r>
      <w:r w:rsidRPr="00BD1D02">
        <w:rPr>
          <w:rFonts w:ascii="Arial" w:hAnsi="Arial" w:cs="Arial"/>
          <w:i/>
          <w:iCs/>
          <w:sz w:val="24"/>
          <w:szCs w:val="24"/>
        </w:rPr>
        <w:t> </w:t>
      </w:r>
      <w:r w:rsidRPr="00EB24D7">
        <w:rPr>
          <w:rFonts w:ascii="Arial" w:hAnsi="Arial" w:cs="Arial"/>
          <w:i/>
          <w:iCs/>
          <w:sz w:val="24"/>
          <w:szCs w:val="24"/>
        </w:rPr>
        <w:t>Berkeley Journal of Employment and Labor Law, Forthcoming</w:t>
      </w:r>
      <w:r w:rsidRPr="00EB24D7">
        <w:rPr>
          <w:rFonts w:ascii="Arial" w:hAnsi="Arial" w:cs="Arial"/>
          <w:sz w:val="24"/>
          <w:szCs w:val="24"/>
        </w:rPr>
        <w:t>.</w:t>
      </w:r>
    </w:p>
    <w:p w14:paraId="727963BE" w14:textId="2174FEB7"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 xml:space="preserve">Anas, M. S., </w:t>
      </w:r>
      <w:proofErr w:type="spellStart"/>
      <w:r w:rsidRPr="00EB24D7">
        <w:rPr>
          <w:rFonts w:ascii="Arial" w:hAnsi="Arial" w:cs="Arial"/>
          <w:sz w:val="24"/>
          <w:szCs w:val="24"/>
        </w:rPr>
        <w:t>Maddiah</w:t>
      </w:r>
      <w:proofErr w:type="spellEnd"/>
      <w:r w:rsidRPr="00EB24D7">
        <w:rPr>
          <w:rFonts w:ascii="Arial" w:hAnsi="Arial" w:cs="Arial"/>
          <w:sz w:val="24"/>
          <w:szCs w:val="24"/>
        </w:rPr>
        <w:t xml:space="preserve">, N. A., Noor </w:t>
      </w:r>
      <w:proofErr w:type="spellStart"/>
      <w:r w:rsidRPr="00EB24D7">
        <w:rPr>
          <w:rFonts w:ascii="Arial" w:hAnsi="Arial" w:cs="Arial"/>
          <w:sz w:val="24"/>
          <w:szCs w:val="24"/>
        </w:rPr>
        <w:t>Eizamly</w:t>
      </w:r>
      <w:proofErr w:type="spellEnd"/>
      <w:r w:rsidRPr="00EB24D7">
        <w:rPr>
          <w:rFonts w:ascii="Arial" w:hAnsi="Arial" w:cs="Arial"/>
          <w:sz w:val="24"/>
          <w:szCs w:val="24"/>
        </w:rPr>
        <w:t xml:space="preserve">, N. U. E., Sulaiman, N. A., &amp; Wee, H. (2020) </w:t>
      </w:r>
      <w:r w:rsidR="00EE2E8A">
        <w:rPr>
          <w:rFonts w:ascii="Arial" w:hAnsi="Arial" w:cs="Arial"/>
          <w:sz w:val="24"/>
          <w:szCs w:val="24"/>
        </w:rPr>
        <w:t>‘</w:t>
      </w:r>
      <w:r w:rsidRPr="00EE2E8A">
        <w:rPr>
          <w:rFonts w:ascii="Arial" w:hAnsi="Arial" w:cs="Arial"/>
          <w:i/>
          <w:iCs/>
          <w:sz w:val="24"/>
          <w:szCs w:val="24"/>
        </w:rPr>
        <w:t>Key success factors toward MICE industry</w:t>
      </w:r>
      <w:r w:rsidR="00EE2E8A">
        <w:rPr>
          <w:rFonts w:ascii="Arial" w:hAnsi="Arial" w:cs="Arial"/>
          <w:i/>
          <w:iCs/>
          <w:sz w:val="24"/>
          <w:szCs w:val="24"/>
        </w:rPr>
        <w:t>’</w:t>
      </w:r>
      <w:r w:rsidRPr="00EB24D7">
        <w:rPr>
          <w:rFonts w:ascii="Arial" w:hAnsi="Arial" w:cs="Arial"/>
          <w:sz w:val="24"/>
          <w:szCs w:val="24"/>
        </w:rPr>
        <w:t xml:space="preserve"> A systematic literature review. </w:t>
      </w:r>
      <w:r w:rsidRPr="00EB24D7">
        <w:rPr>
          <w:rFonts w:ascii="Arial" w:hAnsi="Arial" w:cs="Arial"/>
          <w:i/>
          <w:iCs/>
          <w:sz w:val="24"/>
          <w:szCs w:val="24"/>
        </w:rPr>
        <w:t>Journal of Tourism, Hospitality &amp; Culinary Arts (JTHCA)</w:t>
      </w:r>
      <w:r w:rsidRPr="00EB24D7">
        <w:rPr>
          <w:rFonts w:ascii="Arial" w:hAnsi="Arial" w:cs="Arial"/>
          <w:sz w:val="24"/>
          <w:szCs w:val="24"/>
        </w:rPr>
        <w:t>, </w:t>
      </w:r>
      <w:r w:rsidRPr="00EB24D7">
        <w:rPr>
          <w:rFonts w:ascii="Arial" w:hAnsi="Arial" w:cs="Arial"/>
          <w:i/>
          <w:iCs/>
          <w:sz w:val="24"/>
          <w:szCs w:val="24"/>
        </w:rPr>
        <w:t>12</w:t>
      </w:r>
      <w:r w:rsidRPr="00EB24D7">
        <w:rPr>
          <w:rFonts w:ascii="Arial" w:hAnsi="Arial" w:cs="Arial"/>
          <w:sz w:val="24"/>
          <w:szCs w:val="24"/>
        </w:rPr>
        <w:t>(1), 1-34.</w:t>
      </w:r>
    </w:p>
    <w:p w14:paraId="35F4570D" w14:textId="77777777" w:rsidR="00884FB2" w:rsidRPr="00EB24D7" w:rsidRDefault="00884FB2" w:rsidP="00EB24D7">
      <w:pPr>
        <w:spacing w:line="360" w:lineRule="auto"/>
        <w:jc w:val="both"/>
        <w:rPr>
          <w:rFonts w:ascii="Arial" w:hAnsi="Arial" w:cs="Arial"/>
          <w:sz w:val="24"/>
          <w:szCs w:val="24"/>
        </w:rPr>
      </w:pPr>
      <w:proofErr w:type="spellStart"/>
      <w:r w:rsidRPr="00EB24D7">
        <w:rPr>
          <w:rFonts w:ascii="Arial" w:hAnsi="Arial" w:cs="Arial"/>
          <w:sz w:val="24"/>
          <w:szCs w:val="24"/>
        </w:rPr>
        <w:t>Benckendorff</w:t>
      </w:r>
      <w:proofErr w:type="spellEnd"/>
      <w:r w:rsidRPr="00EB24D7">
        <w:rPr>
          <w:rFonts w:ascii="Arial" w:hAnsi="Arial" w:cs="Arial"/>
          <w:sz w:val="24"/>
          <w:szCs w:val="24"/>
        </w:rPr>
        <w:t xml:space="preserve">, P. and Pearce, P.L., (2020) </w:t>
      </w:r>
      <w:r w:rsidRPr="00EB24D7">
        <w:rPr>
          <w:rFonts w:ascii="Arial" w:hAnsi="Arial" w:cs="Arial"/>
          <w:i/>
          <w:iCs/>
          <w:sz w:val="24"/>
          <w:szCs w:val="24"/>
        </w:rPr>
        <w:t xml:space="preserve">Revisiting the psychology of events. </w:t>
      </w:r>
      <w:r w:rsidRPr="00EB24D7">
        <w:rPr>
          <w:rFonts w:ascii="Arial" w:hAnsi="Arial" w:cs="Arial"/>
          <w:sz w:val="24"/>
          <w:szCs w:val="24"/>
        </w:rPr>
        <w:t xml:space="preserve">In: I. Yeoman, M. Robertson, U. McMahon-Beattie, E. Backer, and K. Smith, eds. </w:t>
      </w:r>
      <w:r w:rsidRPr="00EB24D7">
        <w:rPr>
          <w:rFonts w:ascii="Arial" w:hAnsi="Arial" w:cs="Arial"/>
          <w:i/>
          <w:iCs/>
          <w:sz w:val="24"/>
          <w:szCs w:val="24"/>
        </w:rPr>
        <w:t>The Routledge handbook of events</w:t>
      </w:r>
      <w:r w:rsidRPr="00EB24D7">
        <w:rPr>
          <w:rFonts w:ascii="Arial" w:hAnsi="Arial" w:cs="Arial"/>
          <w:sz w:val="24"/>
          <w:szCs w:val="24"/>
        </w:rPr>
        <w:t>. 2nd ed. London: Routledge, pp. 26. Available at: https://doi.org/10.4324/9780429280993 (Accessed 15 Oct. 2024).</w:t>
      </w:r>
    </w:p>
    <w:p w14:paraId="79BC5E44" w14:textId="68E7A15A"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 xml:space="preserve">Bladen, C. et al (2012) </w:t>
      </w:r>
      <w:r w:rsidR="00EE2E8A">
        <w:rPr>
          <w:rFonts w:ascii="Arial" w:hAnsi="Arial" w:cs="Arial"/>
          <w:sz w:val="24"/>
          <w:szCs w:val="24"/>
        </w:rPr>
        <w:t>‘</w:t>
      </w:r>
      <w:r w:rsidRPr="00EE2E8A">
        <w:rPr>
          <w:rFonts w:ascii="Arial" w:hAnsi="Arial" w:cs="Arial"/>
          <w:i/>
          <w:iCs/>
          <w:sz w:val="24"/>
          <w:szCs w:val="24"/>
        </w:rPr>
        <w:t>Events Management</w:t>
      </w:r>
      <w:r w:rsidR="00EE2E8A">
        <w:rPr>
          <w:rFonts w:ascii="Arial" w:hAnsi="Arial" w:cs="Arial"/>
          <w:i/>
          <w:iCs/>
          <w:sz w:val="24"/>
          <w:szCs w:val="24"/>
        </w:rPr>
        <w:t>’</w:t>
      </w:r>
      <w:r w:rsidRPr="00EB24D7">
        <w:rPr>
          <w:rFonts w:ascii="Arial" w:hAnsi="Arial" w:cs="Arial"/>
          <w:sz w:val="24"/>
          <w:szCs w:val="24"/>
        </w:rPr>
        <w:t xml:space="preserve"> An Introduction. Abingdon: Routledge Seven available Online at: </w:t>
      </w:r>
      <w:hyperlink r:id="rId23" w:history="1">
        <w:r w:rsidRPr="00EB24D7">
          <w:rPr>
            <w:rStyle w:val="Hyperlink"/>
            <w:rFonts w:ascii="Arial" w:hAnsi="Arial" w:cs="Arial"/>
            <w:sz w:val="24"/>
            <w:szCs w:val="24"/>
          </w:rPr>
          <w:t>https://www-vlebooks-com.ezproxy.uwtsd.ac.uk/Product/Index/1996777?page=0&amp;startBookmarkId=-1</w:t>
        </w:r>
      </w:hyperlink>
      <w:r w:rsidRPr="00EB24D7">
        <w:rPr>
          <w:rFonts w:ascii="Arial" w:hAnsi="Arial" w:cs="Arial"/>
          <w:sz w:val="24"/>
          <w:szCs w:val="24"/>
        </w:rPr>
        <w:t xml:space="preserve"> Accessed on (Accessed on: 8 October 2024).</w:t>
      </w:r>
    </w:p>
    <w:p w14:paraId="4A796105" w14:textId="3DCD5E60"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Charles, </w:t>
      </w:r>
      <w:proofErr w:type="gramStart"/>
      <w:r w:rsidRPr="00EB24D7">
        <w:rPr>
          <w:rFonts w:ascii="Arial" w:hAnsi="Arial" w:cs="Arial"/>
          <w:sz w:val="24"/>
          <w:szCs w:val="24"/>
          <w:lang w:val="en-US"/>
        </w:rPr>
        <w:t>Al. ]</w:t>
      </w:r>
      <w:proofErr w:type="gramEnd"/>
      <w:r w:rsidRPr="00EB24D7">
        <w:rPr>
          <w:rFonts w:ascii="Arial" w:hAnsi="Arial" w:cs="Arial"/>
          <w:sz w:val="24"/>
          <w:szCs w:val="24"/>
          <w:lang w:val="en-US"/>
        </w:rPr>
        <w:t xml:space="preserve">, (2011) </w:t>
      </w:r>
      <w:r w:rsidRPr="00EB24D7">
        <w:rPr>
          <w:rFonts w:ascii="Arial" w:hAnsi="Arial" w:cs="Arial"/>
          <w:i/>
          <w:iCs/>
          <w:sz w:val="24"/>
          <w:szCs w:val="24"/>
          <w:lang w:val="en-US"/>
        </w:rPr>
        <w:t>Events management: an introduction</w:t>
      </w:r>
      <w:r w:rsidRPr="00EB24D7">
        <w:rPr>
          <w:rFonts w:ascii="Arial" w:hAnsi="Arial" w:cs="Arial"/>
          <w:sz w:val="24"/>
          <w:szCs w:val="24"/>
          <w:lang w:val="en-US"/>
        </w:rPr>
        <w:t>. Routledge.</w:t>
      </w:r>
    </w:p>
    <w:p w14:paraId="2D8BE2A5" w14:textId="461E78C3"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Cook, S. (2021) </w:t>
      </w:r>
      <w:r w:rsidRPr="00EB24D7">
        <w:rPr>
          <w:rFonts w:ascii="Arial" w:hAnsi="Arial" w:cs="Arial"/>
          <w:i/>
          <w:iCs/>
          <w:sz w:val="24"/>
          <w:szCs w:val="24"/>
        </w:rPr>
        <w:t>Well-Being in the Workplace</w:t>
      </w:r>
      <w:r w:rsidR="005819CF">
        <w:rPr>
          <w:rFonts w:ascii="Arial" w:hAnsi="Arial" w:cs="Arial"/>
          <w:i/>
          <w:iCs/>
          <w:sz w:val="24"/>
          <w:szCs w:val="24"/>
        </w:rPr>
        <w:t xml:space="preserve"> /</w:t>
      </w:r>
      <w:r w:rsidRPr="00EB24D7">
        <w:rPr>
          <w:rFonts w:ascii="Arial" w:hAnsi="Arial" w:cs="Arial"/>
          <w:i/>
          <w:iCs/>
          <w:sz w:val="24"/>
          <w:szCs w:val="24"/>
        </w:rPr>
        <w:t xml:space="preserve"> </w:t>
      </w:r>
      <w:r w:rsidRPr="005819CF">
        <w:rPr>
          <w:rFonts w:ascii="Arial" w:hAnsi="Arial" w:cs="Arial"/>
          <w:sz w:val="24"/>
          <w:szCs w:val="24"/>
        </w:rPr>
        <w:t>A Guide to Resilience for Individuals and Teams. E</w:t>
      </w:r>
      <w:r w:rsidRPr="00EB24D7">
        <w:rPr>
          <w:rFonts w:ascii="Arial" w:hAnsi="Arial" w:cs="Arial"/>
          <w:sz w:val="24"/>
          <w:szCs w:val="24"/>
        </w:rPr>
        <w:t xml:space="preserve">ly: IT Governance Ltd. Available online at: </w:t>
      </w:r>
      <w:hyperlink r:id="rId24" w:history="1">
        <w:r w:rsidRPr="00EB24D7">
          <w:rPr>
            <w:rStyle w:val="Hyperlink"/>
            <w:rFonts w:ascii="Arial" w:hAnsi="Arial" w:cs="Arial"/>
            <w:sz w:val="24"/>
            <w:szCs w:val="24"/>
          </w:rPr>
          <w:t>Well-being in the workplace: A guide to resilience for individuals and teams on JSTOR</w:t>
        </w:r>
      </w:hyperlink>
      <w:r w:rsidRPr="00EB24D7">
        <w:rPr>
          <w:rFonts w:ascii="Arial" w:hAnsi="Arial" w:cs="Arial"/>
          <w:sz w:val="24"/>
          <w:szCs w:val="24"/>
        </w:rPr>
        <w:t xml:space="preserve"> </w:t>
      </w:r>
      <w:r w:rsidR="005819CF">
        <w:rPr>
          <w:rFonts w:ascii="Arial" w:hAnsi="Arial" w:cs="Arial"/>
          <w:sz w:val="24"/>
          <w:szCs w:val="24"/>
        </w:rPr>
        <w:t>(</w:t>
      </w:r>
      <w:r w:rsidRPr="00EB24D7">
        <w:rPr>
          <w:rFonts w:ascii="Arial" w:hAnsi="Arial" w:cs="Arial"/>
          <w:sz w:val="24"/>
          <w:szCs w:val="24"/>
        </w:rPr>
        <w:t>Accessed at 1</w:t>
      </w:r>
      <w:r w:rsidRPr="00EB24D7">
        <w:rPr>
          <w:rFonts w:ascii="Arial" w:hAnsi="Arial" w:cs="Arial"/>
          <w:sz w:val="24"/>
          <w:szCs w:val="24"/>
          <w:vertAlign w:val="superscript"/>
        </w:rPr>
        <w:t>st</w:t>
      </w:r>
      <w:r w:rsidRPr="00EB24D7">
        <w:rPr>
          <w:rFonts w:ascii="Arial" w:hAnsi="Arial" w:cs="Arial"/>
          <w:sz w:val="24"/>
          <w:szCs w:val="24"/>
        </w:rPr>
        <w:t xml:space="preserve"> Nov 2024).</w:t>
      </w:r>
    </w:p>
    <w:p w14:paraId="6A82A802" w14:textId="1BFD92E1"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 xml:space="preserve">Cousins, J, &amp; Weekes, S </w:t>
      </w:r>
      <w:r w:rsidR="005819CF">
        <w:rPr>
          <w:rFonts w:ascii="Arial" w:hAnsi="Arial" w:cs="Arial"/>
          <w:sz w:val="24"/>
          <w:szCs w:val="24"/>
        </w:rPr>
        <w:t>(</w:t>
      </w:r>
      <w:r w:rsidRPr="00EB24D7">
        <w:rPr>
          <w:rFonts w:ascii="Arial" w:hAnsi="Arial" w:cs="Arial"/>
          <w:sz w:val="24"/>
          <w:szCs w:val="24"/>
        </w:rPr>
        <w:t>2020</w:t>
      </w:r>
      <w:r w:rsidR="005819CF">
        <w:rPr>
          <w:rFonts w:ascii="Arial" w:hAnsi="Arial" w:cs="Arial"/>
          <w:sz w:val="24"/>
          <w:szCs w:val="24"/>
        </w:rPr>
        <w:t>)</w:t>
      </w:r>
      <w:r w:rsidRPr="00EB24D7">
        <w:rPr>
          <w:rFonts w:ascii="Arial" w:hAnsi="Arial" w:cs="Arial"/>
          <w:sz w:val="24"/>
          <w:szCs w:val="24"/>
        </w:rPr>
        <w:t xml:space="preserve"> </w:t>
      </w:r>
      <w:r w:rsidRPr="005819CF">
        <w:rPr>
          <w:rFonts w:ascii="Arial" w:hAnsi="Arial" w:cs="Arial"/>
          <w:i/>
          <w:iCs/>
          <w:sz w:val="24"/>
          <w:szCs w:val="24"/>
        </w:rPr>
        <w:t>Food and Beverage Service,</w:t>
      </w:r>
      <w:r w:rsidRPr="00EB24D7">
        <w:rPr>
          <w:rFonts w:ascii="Arial" w:hAnsi="Arial" w:cs="Arial"/>
          <w:sz w:val="24"/>
          <w:szCs w:val="24"/>
        </w:rPr>
        <w:t xml:space="preserve"> 10th Edition, Hodder Education Group, London. Available from: ProQuest </w:t>
      </w:r>
      <w:proofErr w:type="spellStart"/>
      <w:r w:rsidRPr="00EB24D7">
        <w:rPr>
          <w:rFonts w:ascii="Arial" w:hAnsi="Arial" w:cs="Arial"/>
          <w:sz w:val="24"/>
          <w:szCs w:val="24"/>
        </w:rPr>
        <w:t>Ebook</w:t>
      </w:r>
      <w:proofErr w:type="spellEnd"/>
      <w:r w:rsidRPr="00EB24D7">
        <w:rPr>
          <w:rFonts w:ascii="Arial" w:hAnsi="Arial" w:cs="Arial"/>
          <w:sz w:val="24"/>
          <w:szCs w:val="24"/>
        </w:rPr>
        <w:t xml:space="preserve"> Central. </w:t>
      </w:r>
      <w:r w:rsidR="000A2C1D">
        <w:rPr>
          <w:rFonts w:ascii="Arial" w:hAnsi="Arial" w:cs="Arial"/>
          <w:sz w:val="24"/>
          <w:szCs w:val="24"/>
        </w:rPr>
        <w:t>(</w:t>
      </w:r>
      <w:r w:rsidRPr="00EB24D7">
        <w:rPr>
          <w:rFonts w:ascii="Arial" w:hAnsi="Arial" w:cs="Arial"/>
          <w:sz w:val="24"/>
          <w:szCs w:val="24"/>
        </w:rPr>
        <w:t>3 November 2024</w:t>
      </w:r>
      <w:r w:rsidR="000A2C1D">
        <w:rPr>
          <w:rFonts w:ascii="Arial" w:hAnsi="Arial" w:cs="Arial"/>
          <w:sz w:val="24"/>
          <w:szCs w:val="24"/>
        </w:rPr>
        <w:t>).</w:t>
      </w:r>
    </w:p>
    <w:p w14:paraId="31744D4A" w14:textId="09A89CFE"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EMBOK (2019) </w:t>
      </w:r>
      <w:r w:rsidRPr="00EB24D7">
        <w:rPr>
          <w:rFonts w:ascii="Arial" w:hAnsi="Arial" w:cs="Arial"/>
          <w:i/>
          <w:iCs/>
          <w:sz w:val="24"/>
          <w:szCs w:val="24"/>
          <w:lang w:val="en-US"/>
        </w:rPr>
        <w:t>EMBOK - Event Management Body of Knowledge - Afterburner2 — Free, GPL Template</w:t>
      </w:r>
      <w:r w:rsidRPr="00EB24D7">
        <w:rPr>
          <w:rFonts w:ascii="Arial" w:hAnsi="Arial" w:cs="Arial"/>
          <w:sz w:val="24"/>
          <w:szCs w:val="24"/>
          <w:lang w:val="en-US"/>
        </w:rPr>
        <w:t xml:space="preserve">. [online] Embok.org. Available at: </w:t>
      </w:r>
      <w:hyperlink r:id="rId25" w:history="1">
        <w:r w:rsidRPr="00EB24D7">
          <w:rPr>
            <w:rStyle w:val="Hyperlink"/>
            <w:rFonts w:ascii="Arial" w:hAnsi="Arial" w:cs="Arial"/>
            <w:sz w:val="24"/>
            <w:szCs w:val="24"/>
            <w:lang w:val="en-US"/>
          </w:rPr>
          <w:t>https://www.embok.org/</w:t>
        </w:r>
      </w:hyperlink>
      <w:r w:rsidRPr="00EB24D7">
        <w:rPr>
          <w:rFonts w:ascii="Arial" w:hAnsi="Arial" w:cs="Arial"/>
          <w:sz w:val="24"/>
          <w:szCs w:val="24"/>
          <w:lang w:val="en-US"/>
        </w:rPr>
        <w:t xml:space="preserve"> </w:t>
      </w:r>
      <w:r w:rsidR="000A2C1D">
        <w:rPr>
          <w:rFonts w:ascii="Arial" w:hAnsi="Arial" w:cs="Arial"/>
          <w:sz w:val="24"/>
          <w:szCs w:val="24"/>
          <w:lang w:val="en-US"/>
        </w:rPr>
        <w:t>(</w:t>
      </w:r>
      <w:r w:rsidRPr="00EB24D7">
        <w:rPr>
          <w:rFonts w:ascii="Arial" w:hAnsi="Arial" w:cs="Arial"/>
          <w:sz w:val="24"/>
          <w:szCs w:val="24"/>
          <w:lang w:val="en-US"/>
        </w:rPr>
        <w:t>Accessed 6 Nov. 2024</w:t>
      </w:r>
      <w:r w:rsidR="000A2C1D">
        <w:rPr>
          <w:rFonts w:ascii="Arial" w:hAnsi="Arial" w:cs="Arial"/>
          <w:sz w:val="24"/>
          <w:szCs w:val="24"/>
          <w:lang w:val="en-US"/>
        </w:rPr>
        <w:t>)</w:t>
      </w:r>
      <w:r w:rsidRPr="00EB24D7">
        <w:rPr>
          <w:rFonts w:ascii="Arial" w:hAnsi="Arial" w:cs="Arial"/>
          <w:sz w:val="24"/>
          <w:szCs w:val="24"/>
          <w:lang w:val="en-US"/>
        </w:rPr>
        <w:t>.</w:t>
      </w:r>
    </w:p>
    <w:p w14:paraId="55C5CD53" w14:textId="53624046"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Food and Wine (2024) </w:t>
      </w:r>
      <w:r w:rsidRPr="00EB24D7">
        <w:rPr>
          <w:rFonts w:ascii="Arial" w:hAnsi="Arial" w:cs="Arial"/>
          <w:i/>
          <w:iCs/>
          <w:sz w:val="24"/>
          <w:szCs w:val="24"/>
          <w:lang w:val="en-US"/>
        </w:rPr>
        <w:t>12 Recipes for a Gluten-Free Christmas Dinner</w:t>
      </w:r>
      <w:r w:rsidRPr="00EB24D7">
        <w:rPr>
          <w:rFonts w:ascii="Arial" w:hAnsi="Arial" w:cs="Arial"/>
          <w:sz w:val="24"/>
          <w:szCs w:val="24"/>
          <w:lang w:val="en-US"/>
        </w:rPr>
        <w:t xml:space="preserve">. [online] Available at: </w:t>
      </w:r>
      <w:hyperlink r:id="rId26" w:anchor=":~:text=For%20starters%2C%20curate%20a%20butternut%20squash%20soup%20and,a%20honey-pear%20sweet%20cream%20galette%2C%20or%20cacao-nib%20meringues." w:history="1">
        <w:r w:rsidRPr="00EB24D7">
          <w:rPr>
            <w:rStyle w:val="Hyperlink"/>
            <w:rFonts w:ascii="Arial" w:hAnsi="Arial" w:cs="Arial"/>
            <w:sz w:val="24"/>
            <w:szCs w:val="24"/>
            <w:lang w:val="en-US"/>
          </w:rPr>
          <w:t>https://www.foodandwine.com/holidays-events/christmas/gluten-free-christmas-recipes#:~:text=For%20starters%2C%20curate%20a%20butternut%20squash%20s</w:t>
        </w:r>
        <w:r w:rsidRPr="00EB24D7">
          <w:rPr>
            <w:rStyle w:val="Hyperlink"/>
            <w:rFonts w:ascii="Arial" w:hAnsi="Arial" w:cs="Arial"/>
            <w:sz w:val="24"/>
            <w:szCs w:val="24"/>
            <w:lang w:val="en-US"/>
          </w:rPr>
          <w:lastRenderedPageBreak/>
          <w:t>oup%20and,a%20honey-pear%20sweet%20cream%20galette%2C%20or%20cacao-nib%20meringues.</w:t>
        </w:r>
      </w:hyperlink>
      <w:r w:rsidRPr="00EB24D7">
        <w:rPr>
          <w:rFonts w:ascii="Arial" w:hAnsi="Arial" w:cs="Arial"/>
          <w:sz w:val="24"/>
          <w:szCs w:val="24"/>
          <w:lang w:val="en-US"/>
        </w:rPr>
        <w:t xml:space="preserve"> </w:t>
      </w:r>
      <w:r w:rsidR="003459A9">
        <w:rPr>
          <w:rFonts w:ascii="Arial" w:hAnsi="Arial" w:cs="Arial"/>
          <w:sz w:val="24"/>
          <w:szCs w:val="24"/>
          <w:lang w:val="en-US"/>
        </w:rPr>
        <w:t>(</w:t>
      </w:r>
      <w:r w:rsidRPr="00EB24D7">
        <w:rPr>
          <w:rFonts w:ascii="Arial" w:hAnsi="Arial" w:cs="Arial"/>
          <w:sz w:val="24"/>
          <w:szCs w:val="24"/>
          <w:lang w:val="en-US"/>
        </w:rPr>
        <w:t>Accessed 3 Nov. 2024</w:t>
      </w:r>
      <w:r w:rsidR="003459A9">
        <w:rPr>
          <w:rFonts w:ascii="Arial" w:hAnsi="Arial" w:cs="Arial"/>
          <w:sz w:val="24"/>
          <w:szCs w:val="24"/>
          <w:lang w:val="en-US"/>
        </w:rPr>
        <w:t>)</w:t>
      </w:r>
      <w:r w:rsidRPr="00EB24D7">
        <w:rPr>
          <w:rFonts w:ascii="Arial" w:hAnsi="Arial" w:cs="Arial"/>
          <w:sz w:val="24"/>
          <w:szCs w:val="24"/>
          <w:lang w:val="en-US"/>
        </w:rPr>
        <w:t>.</w:t>
      </w:r>
    </w:p>
    <w:p w14:paraId="2062C0E5" w14:textId="4EC5378D"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Hougaard, R., Carter, J. and </w:t>
      </w:r>
      <w:proofErr w:type="spellStart"/>
      <w:r w:rsidRPr="00EB24D7">
        <w:rPr>
          <w:rFonts w:ascii="Arial" w:hAnsi="Arial" w:cs="Arial"/>
          <w:sz w:val="24"/>
          <w:szCs w:val="24"/>
          <w:lang w:val="en-US"/>
        </w:rPr>
        <w:t>Sorenso</w:t>
      </w:r>
      <w:proofErr w:type="spellEnd"/>
      <w:r w:rsidRPr="00EB24D7">
        <w:rPr>
          <w:rFonts w:ascii="Arial" w:hAnsi="Arial" w:cs="Arial"/>
          <w:sz w:val="24"/>
          <w:szCs w:val="24"/>
          <w:lang w:val="en-US"/>
        </w:rPr>
        <w:t xml:space="preserve">, A. (2018) </w:t>
      </w:r>
      <w:r w:rsidRPr="00EB24D7">
        <w:rPr>
          <w:rFonts w:ascii="Arial" w:hAnsi="Arial" w:cs="Arial"/>
          <w:i/>
          <w:iCs/>
          <w:sz w:val="24"/>
          <w:szCs w:val="24"/>
          <w:lang w:val="en-US"/>
        </w:rPr>
        <w:t>The mind of a Leader</w:t>
      </w:r>
      <w:r w:rsidRPr="00EB24D7">
        <w:rPr>
          <w:rFonts w:ascii="Arial" w:hAnsi="Arial" w:cs="Arial"/>
          <w:sz w:val="24"/>
          <w:szCs w:val="24"/>
          <w:lang w:val="en-US"/>
        </w:rPr>
        <w:t xml:space="preserve">. [online] Audible.com. Available at: </w:t>
      </w:r>
      <w:hyperlink r:id="rId27" w:history="1">
        <w:r w:rsidRPr="00EB24D7">
          <w:rPr>
            <w:rStyle w:val="Hyperlink"/>
            <w:rFonts w:ascii="Arial" w:hAnsi="Arial" w:cs="Arial"/>
            <w:sz w:val="24"/>
            <w:szCs w:val="24"/>
            <w:lang w:val="en-US"/>
          </w:rPr>
          <w:t>https://www.audible.co.uk/pd/The-Mind-of-the-Leader-Audiobook/B07FFB8QZL?creativeId=41e85e98-10b8-40e2-907d-6b663f04a42d&amp;loginAttempt=true&amp;pageLoadId=4jLbBlD28nRLD8V9&amp;qid=1730634705&amp;ref=a_search_c3_lProduct_1_1&amp;ref_pageloadid=not_applicable&amp;sr=1-1</w:t>
        </w:r>
      </w:hyperlink>
      <w:r w:rsidRPr="00EB24D7">
        <w:rPr>
          <w:rFonts w:ascii="Arial" w:hAnsi="Arial" w:cs="Arial"/>
          <w:sz w:val="24"/>
          <w:szCs w:val="24"/>
          <w:lang w:val="en-US"/>
        </w:rPr>
        <w:t xml:space="preserve"> </w:t>
      </w:r>
      <w:r w:rsidR="000A2C1D">
        <w:rPr>
          <w:rFonts w:ascii="Arial" w:hAnsi="Arial" w:cs="Arial"/>
          <w:sz w:val="24"/>
          <w:szCs w:val="24"/>
          <w:lang w:val="en-US"/>
        </w:rPr>
        <w:t>(</w:t>
      </w:r>
      <w:r w:rsidRPr="00EB24D7">
        <w:rPr>
          <w:rFonts w:ascii="Arial" w:hAnsi="Arial" w:cs="Arial"/>
          <w:sz w:val="24"/>
          <w:szCs w:val="24"/>
          <w:lang w:val="en-US"/>
        </w:rPr>
        <w:t>Accessed 3 Oct. 2024</w:t>
      </w:r>
      <w:r w:rsidR="000A2C1D">
        <w:rPr>
          <w:rFonts w:ascii="Arial" w:hAnsi="Arial" w:cs="Arial"/>
          <w:sz w:val="24"/>
          <w:szCs w:val="24"/>
          <w:lang w:val="en-US"/>
        </w:rPr>
        <w:t>)</w:t>
      </w:r>
      <w:r w:rsidRPr="00EB24D7">
        <w:rPr>
          <w:rFonts w:ascii="Arial" w:hAnsi="Arial" w:cs="Arial"/>
          <w:sz w:val="24"/>
          <w:szCs w:val="24"/>
          <w:lang w:val="en-US"/>
        </w:rPr>
        <w:t>.</w:t>
      </w:r>
    </w:p>
    <w:p w14:paraId="078EDF92" w14:textId="2EB5EBE7"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House, J., Brons, A., Wertheim-Heck, S. and van (2023). What is culturally appropriate food consumption? A systematic literature review exploring six conceptual themes and their implications for sustainable food system transformation. </w:t>
      </w:r>
      <w:r w:rsidRPr="00EB24D7">
        <w:rPr>
          <w:rFonts w:ascii="Arial" w:hAnsi="Arial" w:cs="Arial"/>
          <w:i/>
          <w:iCs/>
          <w:sz w:val="24"/>
          <w:szCs w:val="24"/>
          <w:lang w:val="en-US"/>
        </w:rPr>
        <w:t>Agriculture and Human Values</w:t>
      </w:r>
      <w:r w:rsidRPr="00EB24D7">
        <w:rPr>
          <w:rFonts w:ascii="Arial" w:hAnsi="Arial" w:cs="Arial"/>
          <w:sz w:val="24"/>
          <w:szCs w:val="24"/>
          <w:lang w:val="en-US"/>
        </w:rPr>
        <w:t xml:space="preserve">. </w:t>
      </w:r>
      <w:proofErr w:type="spellStart"/>
      <w:r w:rsidRPr="00EB24D7">
        <w:rPr>
          <w:rFonts w:ascii="Arial" w:hAnsi="Arial" w:cs="Arial"/>
          <w:sz w:val="24"/>
          <w:szCs w:val="24"/>
          <w:lang w:val="en-US"/>
        </w:rPr>
        <w:t>doi:</w:t>
      </w:r>
      <w:hyperlink r:id="rId28" w:history="1">
        <w:r w:rsidRPr="00EB24D7">
          <w:rPr>
            <w:rStyle w:val="Hyperlink"/>
            <w:rFonts w:ascii="Arial" w:hAnsi="Arial" w:cs="Arial"/>
            <w:sz w:val="24"/>
            <w:szCs w:val="24"/>
            <w:lang w:val="en-US"/>
          </w:rPr>
          <w:t>https</w:t>
        </w:r>
        <w:proofErr w:type="spellEnd"/>
        <w:r w:rsidRPr="00EB24D7">
          <w:rPr>
            <w:rStyle w:val="Hyperlink"/>
            <w:rFonts w:ascii="Arial" w:hAnsi="Arial" w:cs="Arial"/>
            <w:sz w:val="24"/>
            <w:szCs w:val="24"/>
            <w:lang w:val="en-US"/>
          </w:rPr>
          <w:t>://doi.org/10.1007/s10460-023-10515-6</w:t>
        </w:r>
      </w:hyperlink>
      <w:r w:rsidR="000A2C1D">
        <w:rPr>
          <w:rFonts w:ascii="Arial" w:hAnsi="Arial" w:cs="Arial"/>
          <w:sz w:val="24"/>
          <w:szCs w:val="24"/>
          <w:lang w:val="en-US"/>
        </w:rPr>
        <w:t xml:space="preserve"> (Accessed on 15</w:t>
      </w:r>
      <w:r w:rsidR="000A2C1D" w:rsidRPr="000A2C1D">
        <w:rPr>
          <w:rFonts w:ascii="Arial" w:hAnsi="Arial" w:cs="Arial"/>
          <w:sz w:val="24"/>
          <w:szCs w:val="24"/>
          <w:vertAlign w:val="superscript"/>
          <w:lang w:val="en-US"/>
        </w:rPr>
        <w:t>th</w:t>
      </w:r>
      <w:r w:rsidR="000A2C1D">
        <w:rPr>
          <w:rFonts w:ascii="Arial" w:hAnsi="Arial" w:cs="Arial"/>
          <w:sz w:val="24"/>
          <w:szCs w:val="24"/>
          <w:lang w:val="en-US"/>
        </w:rPr>
        <w:t xml:space="preserve"> Oct 2024).</w:t>
      </w:r>
    </w:p>
    <w:p w14:paraId="0F23975E" w14:textId="6C08EF8E"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Ng, C., Wider, W., Yang, C., Jiang, L., Vasudevan, A., Bhandari, P. and Lee, H.P.T. (2024) </w:t>
      </w:r>
      <w:r w:rsidR="000A2C1D">
        <w:rPr>
          <w:rFonts w:ascii="Arial" w:hAnsi="Arial" w:cs="Arial"/>
          <w:sz w:val="24"/>
          <w:szCs w:val="24"/>
          <w:lang w:val="en-US"/>
        </w:rPr>
        <w:t>‘</w:t>
      </w:r>
      <w:r w:rsidRPr="000A2C1D">
        <w:rPr>
          <w:rFonts w:ascii="Arial" w:hAnsi="Arial" w:cs="Arial"/>
          <w:i/>
          <w:iCs/>
          <w:sz w:val="24"/>
          <w:szCs w:val="24"/>
          <w:lang w:val="en-US"/>
        </w:rPr>
        <w:t>Keys factor affecting employee performance in the banking sector</w:t>
      </w:r>
      <w:r w:rsidR="000A2C1D" w:rsidRPr="000A2C1D">
        <w:rPr>
          <w:rFonts w:ascii="Arial" w:hAnsi="Arial" w:cs="Arial"/>
          <w:i/>
          <w:iCs/>
          <w:sz w:val="24"/>
          <w:szCs w:val="24"/>
          <w:lang w:val="en-US"/>
        </w:rPr>
        <w:t>’</w:t>
      </w:r>
      <w:r w:rsidRPr="000A2C1D">
        <w:rPr>
          <w:rFonts w:ascii="Arial" w:hAnsi="Arial" w:cs="Arial"/>
          <w:sz w:val="24"/>
          <w:szCs w:val="24"/>
          <w:lang w:val="en-US"/>
        </w:rPr>
        <w:t xml:space="preserve"> a Delphi study. Cogent Business &amp; Management, </w:t>
      </w:r>
      <w:r w:rsidRPr="00EB24D7">
        <w:rPr>
          <w:rFonts w:ascii="Arial" w:hAnsi="Arial" w:cs="Arial"/>
          <w:sz w:val="24"/>
          <w:szCs w:val="24"/>
          <w:lang w:val="en-US"/>
        </w:rPr>
        <w:t xml:space="preserve">11(1). </w:t>
      </w:r>
      <w:proofErr w:type="spellStart"/>
      <w:r w:rsidRPr="00EB24D7">
        <w:rPr>
          <w:rFonts w:ascii="Arial" w:hAnsi="Arial" w:cs="Arial"/>
          <w:sz w:val="24"/>
          <w:szCs w:val="24"/>
          <w:lang w:val="en-US"/>
        </w:rPr>
        <w:t>doi:</w:t>
      </w:r>
      <w:hyperlink r:id="rId29" w:history="1">
        <w:r w:rsidRPr="00EB24D7">
          <w:rPr>
            <w:rStyle w:val="Hyperlink"/>
            <w:rFonts w:ascii="Arial" w:hAnsi="Arial" w:cs="Arial"/>
            <w:sz w:val="24"/>
            <w:szCs w:val="24"/>
            <w:lang w:val="en-US"/>
          </w:rPr>
          <w:t>https</w:t>
        </w:r>
        <w:proofErr w:type="spellEnd"/>
        <w:r w:rsidRPr="00EB24D7">
          <w:rPr>
            <w:rStyle w:val="Hyperlink"/>
            <w:rFonts w:ascii="Arial" w:hAnsi="Arial" w:cs="Arial"/>
            <w:sz w:val="24"/>
            <w:szCs w:val="24"/>
            <w:lang w:val="en-US"/>
          </w:rPr>
          <w:t>://doi.org/10.1080/23311975.2024.2409942</w:t>
        </w:r>
      </w:hyperlink>
      <w:r w:rsidR="000A2C1D">
        <w:rPr>
          <w:rFonts w:ascii="Arial" w:hAnsi="Arial" w:cs="Arial"/>
          <w:sz w:val="24"/>
          <w:szCs w:val="24"/>
          <w:lang w:val="en-US"/>
        </w:rPr>
        <w:t xml:space="preserve"> (Accessed on 2</w:t>
      </w:r>
      <w:r w:rsidR="000A2C1D" w:rsidRPr="000A2C1D">
        <w:rPr>
          <w:rFonts w:ascii="Arial" w:hAnsi="Arial" w:cs="Arial"/>
          <w:sz w:val="24"/>
          <w:szCs w:val="24"/>
          <w:vertAlign w:val="superscript"/>
          <w:lang w:val="en-US"/>
        </w:rPr>
        <w:t>nd</w:t>
      </w:r>
      <w:r w:rsidR="000A2C1D">
        <w:rPr>
          <w:rFonts w:ascii="Arial" w:hAnsi="Arial" w:cs="Arial"/>
          <w:sz w:val="24"/>
          <w:szCs w:val="24"/>
          <w:lang w:val="en-US"/>
        </w:rPr>
        <w:t xml:space="preserve"> Nov 2024).</w:t>
      </w:r>
    </w:p>
    <w:p w14:paraId="6372B4E2" w14:textId="5C9704E0"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Premier Inn (2024)</w:t>
      </w:r>
      <w:r w:rsidR="000A2C1D">
        <w:rPr>
          <w:rFonts w:ascii="Arial" w:hAnsi="Arial" w:cs="Arial"/>
          <w:sz w:val="24"/>
          <w:szCs w:val="24"/>
          <w:lang w:val="en-US"/>
        </w:rPr>
        <w:t xml:space="preserve"> </w:t>
      </w:r>
      <w:r w:rsidRPr="00EB24D7">
        <w:rPr>
          <w:rFonts w:ascii="Arial" w:hAnsi="Arial" w:cs="Arial"/>
          <w:i/>
          <w:iCs/>
          <w:sz w:val="24"/>
          <w:szCs w:val="24"/>
          <w:lang w:val="en-US"/>
        </w:rPr>
        <w:t>London Paddington (Paddington Basin) Hotel | Premier Inn</w:t>
      </w:r>
      <w:r w:rsidRPr="00EB24D7">
        <w:rPr>
          <w:rFonts w:ascii="Arial" w:hAnsi="Arial" w:cs="Arial"/>
          <w:sz w:val="24"/>
          <w:szCs w:val="24"/>
          <w:lang w:val="en-US"/>
        </w:rPr>
        <w:t xml:space="preserve">. [online] Premier Inn. Available at: </w:t>
      </w:r>
      <w:hyperlink r:id="rId30" w:history="1">
        <w:r w:rsidRPr="00EB24D7">
          <w:rPr>
            <w:rStyle w:val="Hyperlink"/>
            <w:rFonts w:ascii="Arial" w:hAnsi="Arial" w:cs="Arial"/>
            <w:sz w:val="24"/>
            <w:szCs w:val="24"/>
            <w:lang w:val="en-US"/>
          </w:rPr>
          <w:t>https://www.premierinn.com/gb/en/hotels/england/greater-london/london/london-paddington-paddington-basin.html?cid=KNC_Gen_B_UK_UK_Eng_PM_Paddington_Null_Null&amp;ef_id=5873c5145adf1b3bcda1a23301eb543d:G:s&amp;s_kwcid=AL</w:t>
        </w:r>
      </w:hyperlink>
      <w:r w:rsidRPr="00EB24D7">
        <w:rPr>
          <w:rFonts w:ascii="Arial" w:hAnsi="Arial" w:cs="Arial"/>
          <w:sz w:val="24"/>
          <w:szCs w:val="24"/>
          <w:lang w:val="en-US"/>
        </w:rPr>
        <w:t xml:space="preserve"> </w:t>
      </w:r>
      <w:r w:rsidR="000A2C1D">
        <w:rPr>
          <w:rFonts w:ascii="Arial" w:hAnsi="Arial" w:cs="Arial"/>
          <w:sz w:val="24"/>
          <w:szCs w:val="24"/>
          <w:lang w:val="en-US"/>
        </w:rPr>
        <w:t>(</w:t>
      </w:r>
      <w:r w:rsidRPr="00EB24D7">
        <w:rPr>
          <w:rFonts w:ascii="Arial" w:hAnsi="Arial" w:cs="Arial"/>
          <w:sz w:val="24"/>
          <w:szCs w:val="24"/>
          <w:lang w:val="en-US"/>
        </w:rPr>
        <w:t>Accessed 3 Nov. 2024</w:t>
      </w:r>
      <w:r w:rsidR="000A2C1D">
        <w:rPr>
          <w:rFonts w:ascii="Arial" w:hAnsi="Arial" w:cs="Arial"/>
          <w:sz w:val="24"/>
          <w:szCs w:val="24"/>
          <w:lang w:val="en-US"/>
        </w:rPr>
        <w:t>)</w:t>
      </w:r>
      <w:r w:rsidRPr="00EB24D7">
        <w:rPr>
          <w:rFonts w:ascii="Arial" w:hAnsi="Arial" w:cs="Arial"/>
          <w:sz w:val="24"/>
          <w:szCs w:val="24"/>
          <w:lang w:val="en-US"/>
        </w:rPr>
        <w:t>.</w:t>
      </w:r>
    </w:p>
    <w:p w14:paraId="429223BC" w14:textId="77777777"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 xml:space="preserve">Quick, L (2020) </w:t>
      </w:r>
      <w:r w:rsidRPr="000A2C1D">
        <w:rPr>
          <w:rFonts w:ascii="Arial" w:hAnsi="Arial" w:cs="Arial"/>
          <w:i/>
          <w:iCs/>
          <w:sz w:val="24"/>
          <w:szCs w:val="24"/>
        </w:rPr>
        <w:t>Managing Events, Real Challenges Real Outcomes.</w:t>
      </w:r>
      <w:r w:rsidRPr="00EB24D7">
        <w:rPr>
          <w:rFonts w:ascii="Arial" w:hAnsi="Arial" w:cs="Arial"/>
          <w:sz w:val="24"/>
          <w:szCs w:val="24"/>
        </w:rPr>
        <w:t xml:space="preserve"> SAGE Publications Ltd. Available online at: </w:t>
      </w:r>
      <w:hyperlink r:id="rId31" w:history="1">
        <w:r w:rsidRPr="00EB24D7">
          <w:rPr>
            <w:rStyle w:val="Hyperlink"/>
            <w:rFonts w:ascii="Arial" w:hAnsi="Arial" w:cs="Arial"/>
            <w:sz w:val="24"/>
            <w:szCs w:val="24"/>
          </w:rPr>
          <w:t>113385_book_item_113385.pdf</w:t>
        </w:r>
      </w:hyperlink>
      <w:r w:rsidRPr="00EB24D7">
        <w:rPr>
          <w:rFonts w:ascii="Arial" w:hAnsi="Arial" w:cs="Arial"/>
          <w:sz w:val="24"/>
          <w:szCs w:val="24"/>
        </w:rPr>
        <w:t xml:space="preserve"> (Accessed on: 19 Oct 2024).</w:t>
      </w:r>
    </w:p>
    <w:p w14:paraId="7B71B0C5" w14:textId="295D5C74"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 xml:space="preserve">Rajkamal, R., Gond, H. K., Pandey, P. K., </w:t>
      </w:r>
      <w:proofErr w:type="spellStart"/>
      <w:r w:rsidRPr="00EB24D7">
        <w:rPr>
          <w:rFonts w:ascii="Arial" w:hAnsi="Arial" w:cs="Arial"/>
          <w:sz w:val="24"/>
          <w:szCs w:val="24"/>
        </w:rPr>
        <w:t>Borlikar</w:t>
      </w:r>
      <w:proofErr w:type="spellEnd"/>
      <w:r w:rsidRPr="00EB24D7">
        <w:rPr>
          <w:rFonts w:ascii="Arial" w:hAnsi="Arial" w:cs="Arial"/>
          <w:sz w:val="24"/>
          <w:szCs w:val="24"/>
        </w:rPr>
        <w:t>, R. R., &amp; Singh, A. P. (2023</w:t>
      </w:r>
      <w:r w:rsidRPr="00F16613">
        <w:rPr>
          <w:rFonts w:ascii="Arial" w:hAnsi="Arial" w:cs="Arial"/>
          <w:i/>
          <w:iCs/>
          <w:sz w:val="24"/>
          <w:szCs w:val="24"/>
        </w:rPr>
        <w:t xml:space="preserve">) </w:t>
      </w:r>
      <w:r w:rsidR="00F16613">
        <w:rPr>
          <w:rFonts w:ascii="Arial" w:hAnsi="Arial" w:cs="Arial"/>
          <w:i/>
          <w:iCs/>
          <w:sz w:val="24"/>
          <w:szCs w:val="24"/>
        </w:rPr>
        <w:t>‘</w:t>
      </w:r>
      <w:r w:rsidRPr="00F16613">
        <w:rPr>
          <w:rFonts w:ascii="Arial" w:hAnsi="Arial" w:cs="Arial"/>
          <w:i/>
          <w:iCs/>
          <w:sz w:val="24"/>
          <w:szCs w:val="24"/>
        </w:rPr>
        <w:t>A Study of the MICE Tourism Industry's Workforce and the Variables Influencing Customer Relationship Management</w:t>
      </w:r>
      <w:r w:rsidR="00F16613">
        <w:rPr>
          <w:rFonts w:ascii="Arial" w:hAnsi="Arial" w:cs="Arial"/>
          <w:i/>
          <w:iCs/>
          <w:sz w:val="24"/>
          <w:szCs w:val="24"/>
        </w:rPr>
        <w:t>’</w:t>
      </w:r>
      <w:r w:rsidRPr="00F16613">
        <w:rPr>
          <w:rFonts w:ascii="Arial" w:hAnsi="Arial" w:cs="Arial"/>
          <w:i/>
          <w:iCs/>
          <w:sz w:val="24"/>
          <w:szCs w:val="24"/>
        </w:rPr>
        <w:t> </w:t>
      </w:r>
      <w:r w:rsidRPr="00F16613">
        <w:rPr>
          <w:rFonts w:ascii="Arial" w:hAnsi="Arial" w:cs="Arial"/>
          <w:sz w:val="24"/>
          <w:szCs w:val="24"/>
        </w:rPr>
        <w:t>Atna Journal of Tourism Studies,</w:t>
      </w:r>
      <w:r w:rsidRPr="00EB24D7">
        <w:rPr>
          <w:rFonts w:ascii="Arial" w:hAnsi="Arial" w:cs="Arial"/>
          <w:sz w:val="24"/>
          <w:szCs w:val="24"/>
        </w:rPr>
        <w:t> </w:t>
      </w:r>
      <w:r w:rsidRPr="00EB24D7">
        <w:rPr>
          <w:rFonts w:ascii="Arial" w:hAnsi="Arial" w:cs="Arial"/>
          <w:i/>
          <w:iCs/>
          <w:sz w:val="24"/>
          <w:szCs w:val="24"/>
        </w:rPr>
        <w:t>18</w:t>
      </w:r>
      <w:r w:rsidRPr="00EB24D7">
        <w:rPr>
          <w:rFonts w:ascii="Arial" w:hAnsi="Arial" w:cs="Arial"/>
          <w:sz w:val="24"/>
          <w:szCs w:val="24"/>
        </w:rPr>
        <w:t>(1).</w:t>
      </w:r>
    </w:p>
    <w:p w14:paraId="53976EB9" w14:textId="2AEB90E6"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Ramirez, J.G.C. (</w:t>
      </w:r>
      <w:proofErr w:type="gramStart"/>
      <w:r w:rsidRPr="00EB24D7">
        <w:rPr>
          <w:rFonts w:ascii="Arial" w:hAnsi="Arial" w:cs="Arial"/>
          <w:sz w:val="24"/>
          <w:szCs w:val="24"/>
          <w:lang w:val="en-US"/>
        </w:rPr>
        <w:t xml:space="preserve">2024) </w:t>
      </w:r>
      <w:r w:rsidR="00F16613">
        <w:rPr>
          <w:rFonts w:ascii="Arial" w:hAnsi="Arial" w:cs="Arial"/>
          <w:sz w:val="24"/>
          <w:szCs w:val="24"/>
          <w:lang w:val="en-US"/>
        </w:rPr>
        <w:t>‘</w:t>
      </w:r>
      <w:proofErr w:type="gramEnd"/>
      <w:r w:rsidRPr="00F16613">
        <w:rPr>
          <w:rFonts w:ascii="Arial" w:hAnsi="Arial" w:cs="Arial"/>
          <w:i/>
          <w:iCs/>
          <w:sz w:val="24"/>
          <w:szCs w:val="24"/>
          <w:lang w:val="en-US"/>
        </w:rPr>
        <w:t>The Power of Planning</w:t>
      </w:r>
      <w:r w:rsidR="00F16613">
        <w:rPr>
          <w:rFonts w:ascii="Arial" w:hAnsi="Arial" w:cs="Arial"/>
          <w:i/>
          <w:iCs/>
          <w:sz w:val="24"/>
          <w:szCs w:val="24"/>
          <w:lang w:val="en-US"/>
        </w:rPr>
        <w:t>’</w:t>
      </w:r>
      <w:r w:rsidRPr="00EB24D7">
        <w:rPr>
          <w:rFonts w:ascii="Arial" w:hAnsi="Arial" w:cs="Arial"/>
          <w:sz w:val="24"/>
          <w:szCs w:val="24"/>
          <w:lang w:val="en-US"/>
        </w:rPr>
        <w:t xml:space="preserve"> How Business Plans Drive Effective Management Strategies. </w:t>
      </w:r>
      <w:r w:rsidRPr="00EB24D7">
        <w:rPr>
          <w:rFonts w:ascii="Arial" w:hAnsi="Arial" w:cs="Arial"/>
          <w:i/>
          <w:iCs/>
          <w:sz w:val="24"/>
          <w:szCs w:val="24"/>
          <w:lang w:val="en-US"/>
        </w:rPr>
        <w:t>Integrated Journal of Science and Technology</w:t>
      </w:r>
      <w:r w:rsidRPr="00EB24D7">
        <w:rPr>
          <w:rFonts w:ascii="Arial" w:hAnsi="Arial" w:cs="Arial"/>
          <w:sz w:val="24"/>
          <w:szCs w:val="24"/>
          <w:lang w:val="en-US"/>
        </w:rPr>
        <w:t>, 1(3).</w:t>
      </w:r>
    </w:p>
    <w:p w14:paraId="737FA478" w14:textId="39148533"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lastRenderedPageBreak/>
        <w:t>Schwartz, B. (2024)</w:t>
      </w:r>
      <w:r w:rsidR="00F16613">
        <w:rPr>
          <w:rFonts w:ascii="Arial" w:hAnsi="Arial" w:cs="Arial"/>
          <w:sz w:val="24"/>
          <w:szCs w:val="24"/>
          <w:lang w:val="en-US"/>
        </w:rPr>
        <w:t xml:space="preserve"> </w:t>
      </w:r>
      <w:r w:rsidRPr="00EB24D7">
        <w:rPr>
          <w:rFonts w:ascii="Arial" w:hAnsi="Arial" w:cs="Arial"/>
          <w:i/>
          <w:iCs/>
          <w:sz w:val="24"/>
          <w:szCs w:val="24"/>
          <w:lang w:val="en-US"/>
        </w:rPr>
        <w:t>Henry Gantt’s Biography &amp; Role in Gantt Chart History</w:t>
      </w:r>
      <w:r w:rsidRPr="00EB24D7">
        <w:rPr>
          <w:rFonts w:ascii="Arial" w:hAnsi="Arial" w:cs="Arial"/>
          <w:sz w:val="24"/>
          <w:szCs w:val="24"/>
          <w:lang w:val="en-US"/>
        </w:rPr>
        <w:t xml:space="preserve">. [online] </w:t>
      </w:r>
      <w:proofErr w:type="spellStart"/>
      <w:r w:rsidRPr="00EB24D7">
        <w:rPr>
          <w:rFonts w:ascii="Arial" w:hAnsi="Arial" w:cs="Arial"/>
          <w:sz w:val="24"/>
          <w:szCs w:val="24"/>
          <w:lang w:val="en-US"/>
        </w:rPr>
        <w:t>ProjectManager</w:t>
      </w:r>
      <w:proofErr w:type="spellEnd"/>
      <w:r w:rsidRPr="00EB24D7">
        <w:rPr>
          <w:rFonts w:ascii="Arial" w:hAnsi="Arial" w:cs="Arial"/>
          <w:sz w:val="24"/>
          <w:szCs w:val="24"/>
          <w:lang w:val="en-US"/>
        </w:rPr>
        <w:t xml:space="preserve">. Available at: </w:t>
      </w:r>
      <w:hyperlink r:id="rId32" w:history="1">
        <w:r w:rsidRPr="00EB24D7">
          <w:rPr>
            <w:rStyle w:val="Hyperlink"/>
            <w:rFonts w:ascii="Arial" w:hAnsi="Arial" w:cs="Arial"/>
            <w:sz w:val="24"/>
            <w:szCs w:val="24"/>
            <w:lang w:val="en-US"/>
          </w:rPr>
          <w:t>https://www.projectmanager.com/blog/henry-gantt-chart-history</w:t>
        </w:r>
      </w:hyperlink>
      <w:r w:rsidRPr="00EB24D7">
        <w:rPr>
          <w:rFonts w:ascii="Arial" w:hAnsi="Arial" w:cs="Arial"/>
          <w:sz w:val="24"/>
          <w:szCs w:val="24"/>
          <w:lang w:val="en-US"/>
        </w:rPr>
        <w:t xml:space="preserve"> </w:t>
      </w:r>
      <w:r w:rsidR="00964727">
        <w:rPr>
          <w:rFonts w:ascii="Arial" w:hAnsi="Arial" w:cs="Arial"/>
          <w:sz w:val="24"/>
          <w:szCs w:val="24"/>
          <w:lang w:val="en-US"/>
        </w:rPr>
        <w:t>(</w:t>
      </w:r>
      <w:r w:rsidRPr="00EB24D7">
        <w:rPr>
          <w:rFonts w:ascii="Arial" w:hAnsi="Arial" w:cs="Arial"/>
          <w:sz w:val="24"/>
          <w:szCs w:val="24"/>
          <w:lang w:val="en-US"/>
        </w:rPr>
        <w:t>Accessed 4 Oct. 2024</w:t>
      </w:r>
      <w:r w:rsidR="00964727">
        <w:rPr>
          <w:rFonts w:ascii="Arial" w:hAnsi="Arial" w:cs="Arial"/>
          <w:sz w:val="24"/>
          <w:szCs w:val="24"/>
          <w:lang w:val="en-US"/>
        </w:rPr>
        <w:t>)</w:t>
      </w:r>
      <w:r w:rsidRPr="00EB24D7">
        <w:rPr>
          <w:rFonts w:ascii="Arial" w:hAnsi="Arial" w:cs="Arial"/>
          <w:sz w:val="24"/>
          <w:szCs w:val="24"/>
          <w:lang w:val="en-US"/>
        </w:rPr>
        <w:t>.</w:t>
      </w:r>
    </w:p>
    <w:p w14:paraId="02D573B4" w14:textId="6346D91B"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Singh, A., &amp; Deri, M. N. (2024) Exploring the Use of Virtual and Hybrid Events for MICE Sector: Trends and Opportunities. In </w:t>
      </w:r>
      <w:r w:rsidRPr="00EB24D7">
        <w:rPr>
          <w:rFonts w:ascii="Arial" w:hAnsi="Arial" w:cs="Arial"/>
          <w:i/>
          <w:iCs/>
          <w:sz w:val="24"/>
          <w:szCs w:val="24"/>
        </w:rPr>
        <w:t>New Technologies in Virtual and Hybrid Events</w:t>
      </w:r>
      <w:r w:rsidRPr="00EB24D7">
        <w:rPr>
          <w:rFonts w:ascii="Arial" w:hAnsi="Arial" w:cs="Arial"/>
          <w:sz w:val="24"/>
          <w:szCs w:val="24"/>
        </w:rPr>
        <w:t> (pp. 47-70). IGI Global.</w:t>
      </w:r>
    </w:p>
    <w:p w14:paraId="51C46747" w14:textId="736601D5"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 xml:space="preserve">VASHDI, D.R., LEVITATS, Z.S. and GRIMLAND, S., </w:t>
      </w:r>
      <w:r w:rsidR="00964727">
        <w:rPr>
          <w:rFonts w:ascii="Arial" w:hAnsi="Arial" w:cs="Arial"/>
          <w:sz w:val="24"/>
          <w:szCs w:val="24"/>
        </w:rPr>
        <w:t>(</w:t>
      </w:r>
      <w:r w:rsidRPr="00EB24D7">
        <w:rPr>
          <w:rFonts w:ascii="Arial" w:hAnsi="Arial" w:cs="Arial"/>
          <w:sz w:val="24"/>
          <w:szCs w:val="24"/>
        </w:rPr>
        <w:t>2019</w:t>
      </w:r>
      <w:r w:rsidR="00964727">
        <w:rPr>
          <w:rFonts w:ascii="Arial" w:hAnsi="Arial" w:cs="Arial"/>
          <w:sz w:val="24"/>
          <w:szCs w:val="24"/>
        </w:rPr>
        <w:t>)</w:t>
      </w:r>
      <w:r w:rsidRPr="00EB24D7">
        <w:rPr>
          <w:rFonts w:ascii="Arial" w:hAnsi="Arial" w:cs="Arial"/>
          <w:sz w:val="24"/>
          <w:szCs w:val="24"/>
        </w:rPr>
        <w:t xml:space="preserve"> </w:t>
      </w:r>
      <w:r w:rsidR="00964727">
        <w:rPr>
          <w:rFonts w:ascii="Arial" w:hAnsi="Arial" w:cs="Arial"/>
          <w:sz w:val="24"/>
          <w:szCs w:val="24"/>
        </w:rPr>
        <w:t>‘</w:t>
      </w:r>
      <w:r w:rsidRPr="00964727">
        <w:rPr>
          <w:rFonts w:ascii="Arial" w:hAnsi="Arial" w:cs="Arial"/>
          <w:i/>
          <w:iCs/>
          <w:sz w:val="24"/>
          <w:szCs w:val="24"/>
        </w:rPr>
        <w:t xml:space="preserve">Which transformational leadership </w:t>
      </w:r>
      <w:proofErr w:type="spellStart"/>
      <w:r w:rsidRPr="00964727">
        <w:rPr>
          <w:rFonts w:ascii="Arial" w:hAnsi="Arial" w:cs="Arial"/>
          <w:i/>
          <w:iCs/>
          <w:sz w:val="24"/>
          <w:szCs w:val="24"/>
        </w:rPr>
        <w:t>behaviors</w:t>
      </w:r>
      <w:proofErr w:type="spellEnd"/>
      <w:r w:rsidRPr="00964727">
        <w:rPr>
          <w:rFonts w:ascii="Arial" w:hAnsi="Arial" w:cs="Arial"/>
          <w:i/>
          <w:iCs/>
          <w:sz w:val="24"/>
          <w:szCs w:val="24"/>
        </w:rPr>
        <w:t xml:space="preserve"> relate to organizational learning process</w:t>
      </w:r>
      <w:r w:rsidR="00964727">
        <w:rPr>
          <w:rFonts w:ascii="Arial" w:hAnsi="Arial" w:cs="Arial"/>
          <w:sz w:val="24"/>
          <w:szCs w:val="24"/>
        </w:rPr>
        <w:t>’</w:t>
      </w:r>
      <w:r w:rsidRPr="00EB24D7">
        <w:rPr>
          <w:rFonts w:ascii="Arial" w:hAnsi="Arial" w:cs="Arial"/>
          <w:sz w:val="24"/>
          <w:szCs w:val="24"/>
        </w:rPr>
        <w:t> </w:t>
      </w:r>
      <w:r w:rsidRPr="00964727">
        <w:rPr>
          <w:rFonts w:ascii="Arial" w:hAnsi="Arial" w:cs="Arial"/>
          <w:sz w:val="24"/>
          <w:szCs w:val="24"/>
        </w:rPr>
        <w:t>The Learning Organization, </w:t>
      </w:r>
      <w:r w:rsidRPr="00EB24D7">
        <w:rPr>
          <w:rFonts w:ascii="Arial" w:hAnsi="Arial" w:cs="Arial"/>
          <w:b/>
          <w:bCs/>
          <w:sz w:val="24"/>
          <w:szCs w:val="24"/>
        </w:rPr>
        <w:t>26</w:t>
      </w:r>
      <w:r w:rsidRPr="00EB24D7">
        <w:rPr>
          <w:rFonts w:ascii="Arial" w:hAnsi="Arial" w:cs="Arial"/>
          <w:sz w:val="24"/>
          <w:szCs w:val="24"/>
        </w:rPr>
        <w:t>(2), pp. 176-189.</w:t>
      </w:r>
    </w:p>
    <w:p w14:paraId="76BAF30C" w14:textId="2B613DA5"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Ward, C. J. (2024) </w:t>
      </w:r>
      <w:r w:rsidRPr="00EB24D7">
        <w:rPr>
          <w:rFonts w:ascii="Arial" w:hAnsi="Arial" w:cs="Arial"/>
          <w:i/>
          <w:iCs/>
          <w:sz w:val="24"/>
          <w:szCs w:val="24"/>
        </w:rPr>
        <w:t>Strategies for Remaining Competitive Without Compromising Quality in the Aerospace Industry</w:t>
      </w:r>
      <w:r w:rsidRPr="00EB24D7">
        <w:rPr>
          <w:rFonts w:ascii="Arial" w:hAnsi="Arial" w:cs="Arial"/>
          <w:sz w:val="24"/>
          <w:szCs w:val="24"/>
        </w:rPr>
        <w:t> (Doctoral dissertation, Walden University).</w:t>
      </w:r>
    </w:p>
    <w:p w14:paraId="7D0B058C" w14:textId="4DB8B29E"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 xml:space="preserve">Wee, H., Mustapha, N. A., &amp; Anas, M. S. (2021) </w:t>
      </w:r>
      <w:r w:rsidR="00964727">
        <w:rPr>
          <w:rFonts w:ascii="Arial" w:hAnsi="Arial" w:cs="Arial"/>
          <w:sz w:val="24"/>
          <w:szCs w:val="24"/>
        </w:rPr>
        <w:t>‘</w:t>
      </w:r>
      <w:r w:rsidRPr="00EB24D7">
        <w:rPr>
          <w:rFonts w:ascii="Arial" w:hAnsi="Arial" w:cs="Arial"/>
          <w:sz w:val="24"/>
          <w:szCs w:val="24"/>
        </w:rPr>
        <w:t>Characteristic of green event practices in mice tourism: a systematic literature review</w:t>
      </w:r>
      <w:r w:rsidR="00964727">
        <w:rPr>
          <w:rFonts w:ascii="Arial" w:hAnsi="Arial" w:cs="Arial"/>
          <w:sz w:val="24"/>
          <w:szCs w:val="24"/>
        </w:rPr>
        <w:t>’</w:t>
      </w:r>
      <w:r w:rsidRPr="00EB24D7">
        <w:rPr>
          <w:rFonts w:ascii="Arial" w:hAnsi="Arial" w:cs="Arial"/>
          <w:sz w:val="24"/>
          <w:szCs w:val="24"/>
        </w:rPr>
        <w:t> </w:t>
      </w:r>
      <w:r w:rsidR="00964727">
        <w:rPr>
          <w:rFonts w:ascii="Arial" w:hAnsi="Arial" w:cs="Arial"/>
          <w:sz w:val="24"/>
          <w:szCs w:val="24"/>
        </w:rPr>
        <w:t>In</w:t>
      </w:r>
      <w:r w:rsidRPr="00964727">
        <w:rPr>
          <w:rFonts w:ascii="Arial" w:hAnsi="Arial" w:cs="Arial"/>
          <w:sz w:val="24"/>
          <w:szCs w:val="24"/>
        </w:rPr>
        <w:t>ternational Journal of Academic Research in Business and Social Sciences, </w:t>
      </w:r>
      <w:r w:rsidRPr="00EB24D7">
        <w:rPr>
          <w:rFonts w:ascii="Arial" w:hAnsi="Arial" w:cs="Arial"/>
          <w:i/>
          <w:iCs/>
          <w:sz w:val="24"/>
          <w:szCs w:val="24"/>
        </w:rPr>
        <w:t>11</w:t>
      </w:r>
      <w:r w:rsidRPr="00EB24D7">
        <w:rPr>
          <w:rFonts w:ascii="Arial" w:hAnsi="Arial" w:cs="Arial"/>
          <w:sz w:val="24"/>
          <w:szCs w:val="24"/>
        </w:rPr>
        <w:t>(16), 271-291.</w:t>
      </w:r>
    </w:p>
    <w:p w14:paraId="2AE0C52B" w14:textId="41A9489E"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Werner, K., &amp; Ye, D, (2020) </w:t>
      </w:r>
      <w:r w:rsidRPr="00EB24D7">
        <w:rPr>
          <w:rFonts w:ascii="Arial" w:hAnsi="Arial" w:cs="Arial"/>
          <w:i/>
          <w:iCs/>
          <w:sz w:val="24"/>
          <w:szCs w:val="24"/>
        </w:rPr>
        <w:t>Events-Future, Trends, Perspectives: an international approach</w:t>
      </w:r>
      <w:r w:rsidRPr="00EB24D7">
        <w:rPr>
          <w:rFonts w:ascii="Arial" w:hAnsi="Arial" w:cs="Arial"/>
          <w:sz w:val="24"/>
          <w:szCs w:val="24"/>
        </w:rPr>
        <w:t xml:space="preserve">. </w:t>
      </w:r>
      <w:proofErr w:type="spellStart"/>
      <w:r w:rsidRPr="00EB24D7">
        <w:rPr>
          <w:rFonts w:ascii="Arial" w:hAnsi="Arial" w:cs="Arial"/>
          <w:sz w:val="24"/>
          <w:szCs w:val="24"/>
        </w:rPr>
        <w:t>utb</w:t>
      </w:r>
      <w:proofErr w:type="spellEnd"/>
      <w:r w:rsidRPr="00EB24D7">
        <w:rPr>
          <w:rFonts w:ascii="Arial" w:hAnsi="Arial" w:cs="Arial"/>
          <w:sz w:val="24"/>
          <w:szCs w:val="24"/>
        </w:rPr>
        <w:t xml:space="preserve"> GmbH.</w:t>
      </w:r>
    </w:p>
    <w:p w14:paraId="0BF8DF76" w14:textId="5C6B7029"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Whitbread (2024) </w:t>
      </w:r>
      <w:r w:rsidRPr="00EB24D7">
        <w:rPr>
          <w:rFonts w:ascii="Arial" w:hAnsi="Arial" w:cs="Arial"/>
          <w:i/>
          <w:iCs/>
          <w:sz w:val="24"/>
          <w:szCs w:val="24"/>
          <w:lang w:val="en-US"/>
        </w:rPr>
        <w:t>Management</w:t>
      </w:r>
      <w:r w:rsidRPr="00EB24D7">
        <w:rPr>
          <w:rFonts w:ascii="Arial" w:hAnsi="Arial" w:cs="Arial"/>
          <w:sz w:val="24"/>
          <w:szCs w:val="24"/>
          <w:lang w:val="en-US"/>
        </w:rPr>
        <w:t xml:space="preserve">. [online] Whitbread PLC. Available at: </w:t>
      </w:r>
      <w:hyperlink r:id="rId33" w:history="1">
        <w:r w:rsidRPr="00EB24D7">
          <w:rPr>
            <w:rStyle w:val="Hyperlink"/>
            <w:rFonts w:ascii="Arial" w:hAnsi="Arial" w:cs="Arial"/>
            <w:sz w:val="24"/>
            <w:szCs w:val="24"/>
            <w:lang w:val="en-US"/>
          </w:rPr>
          <w:t>https://www.whitbread.co.uk/about-us/management/</w:t>
        </w:r>
      </w:hyperlink>
      <w:r w:rsidRPr="00EB24D7">
        <w:rPr>
          <w:rFonts w:ascii="Arial" w:hAnsi="Arial" w:cs="Arial"/>
          <w:sz w:val="24"/>
          <w:szCs w:val="24"/>
          <w:lang w:val="en-US"/>
        </w:rPr>
        <w:t>.</w:t>
      </w:r>
      <w:r w:rsidR="00964727">
        <w:rPr>
          <w:rFonts w:ascii="Arial" w:hAnsi="Arial" w:cs="Arial"/>
          <w:sz w:val="24"/>
          <w:szCs w:val="24"/>
          <w:lang w:val="en-US"/>
        </w:rPr>
        <w:t>( Accessed on 14 Oct 2024).</w:t>
      </w:r>
    </w:p>
    <w:p w14:paraId="65A1675D" w14:textId="20BACC1C" w:rsidR="00884FB2" w:rsidRPr="00EB24D7" w:rsidRDefault="00884FB2" w:rsidP="00EB24D7">
      <w:pPr>
        <w:spacing w:line="360" w:lineRule="auto"/>
        <w:jc w:val="both"/>
        <w:rPr>
          <w:rFonts w:ascii="Arial" w:hAnsi="Arial" w:cs="Arial"/>
          <w:sz w:val="24"/>
          <w:szCs w:val="24"/>
          <w:lang w:val="en-US"/>
        </w:rPr>
      </w:pPr>
      <w:r w:rsidRPr="00EB24D7">
        <w:rPr>
          <w:rFonts w:ascii="Arial" w:hAnsi="Arial" w:cs="Arial"/>
          <w:sz w:val="24"/>
          <w:szCs w:val="24"/>
          <w:lang w:val="en-US"/>
        </w:rPr>
        <w:t xml:space="preserve">Whitbread PLC (2024) </w:t>
      </w:r>
      <w:r w:rsidRPr="00EB24D7">
        <w:rPr>
          <w:rFonts w:ascii="Arial" w:hAnsi="Arial" w:cs="Arial"/>
          <w:i/>
          <w:iCs/>
          <w:sz w:val="24"/>
          <w:szCs w:val="24"/>
          <w:lang w:val="en-US"/>
        </w:rPr>
        <w:t>Schools | Early Careers | Whitbread Careers</w:t>
      </w:r>
      <w:r w:rsidRPr="00EB24D7">
        <w:rPr>
          <w:rFonts w:ascii="Arial" w:hAnsi="Arial" w:cs="Arial"/>
          <w:sz w:val="24"/>
          <w:szCs w:val="24"/>
          <w:lang w:val="en-US"/>
        </w:rPr>
        <w:t xml:space="preserve">. [online] Whitbread Careers. Available at: </w:t>
      </w:r>
      <w:hyperlink r:id="rId34" w:history="1">
        <w:r w:rsidRPr="00EB24D7">
          <w:rPr>
            <w:rStyle w:val="Hyperlink"/>
            <w:rFonts w:ascii="Arial" w:hAnsi="Arial" w:cs="Arial"/>
            <w:sz w:val="24"/>
            <w:szCs w:val="24"/>
            <w:lang w:val="en-US"/>
          </w:rPr>
          <w:t>https://www.whitbreadcareers.com/early-careers/schools/</w:t>
        </w:r>
      </w:hyperlink>
      <w:r w:rsidRPr="00EB24D7">
        <w:rPr>
          <w:rFonts w:ascii="Arial" w:hAnsi="Arial" w:cs="Arial"/>
          <w:sz w:val="24"/>
          <w:szCs w:val="24"/>
          <w:lang w:val="en-US"/>
        </w:rPr>
        <w:t xml:space="preserve"> [Accessed 16 Oct. 2024].</w:t>
      </w:r>
    </w:p>
    <w:p w14:paraId="7C074F25" w14:textId="39350146"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Yaneva, M. (2018) Employee satisfaction vs. employee engagement vs. employee NPS. </w:t>
      </w:r>
      <w:r w:rsidRPr="00EB24D7">
        <w:rPr>
          <w:rFonts w:ascii="Arial" w:hAnsi="Arial" w:cs="Arial"/>
          <w:i/>
          <w:iCs/>
          <w:sz w:val="24"/>
          <w:szCs w:val="24"/>
        </w:rPr>
        <w:t>European Journal of Economics and Business Studies</w:t>
      </w:r>
      <w:r w:rsidRPr="00EB24D7">
        <w:rPr>
          <w:rFonts w:ascii="Arial" w:hAnsi="Arial" w:cs="Arial"/>
          <w:sz w:val="24"/>
          <w:szCs w:val="24"/>
        </w:rPr>
        <w:t>, </w:t>
      </w:r>
      <w:r w:rsidRPr="00EB24D7">
        <w:rPr>
          <w:rFonts w:ascii="Arial" w:hAnsi="Arial" w:cs="Arial"/>
          <w:i/>
          <w:iCs/>
          <w:sz w:val="24"/>
          <w:szCs w:val="24"/>
        </w:rPr>
        <w:t>4</w:t>
      </w:r>
      <w:r w:rsidRPr="00EB24D7">
        <w:rPr>
          <w:rFonts w:ascii="Arial" w:hAnsi="Arial" w:cs="Arial"/>
          <w:sz w:val="24"/>
          <w:szCs w:val="24"/>
        </w:rPr>
        <w:t>(1), 221-227.</w:t>
      </w:r>
    </w:p>
    <w:p w14:paraId="3F744204" w14:textId="417EAFA0" w:rsidR="00884FB2" w:rsidRPr="00EB24D7" w:rsidRDefault="00884FB2" w:rsidP="00EB24D7">
      <w:pPr>
        <w:spacing w:line="360" w:lineRule="auto"/>
        <w:jc w:val="both"/>
        <w:rPr>
          <w:rFonts w:ascii="Arial" w:hAnsi="Arial" w:cs="Arial"/>
          <w:sz w:val="24"/>
          <w:szCs w:val="24"/>
        </w:rPr>
      </w:pPr>
      <w:r w:rsidRPr="00EB24D7">
        <w:rPr>
          <w:rFonts w:ascii="Arial" w:hAnsi="Arial" w:cs="Arial"/>
          <w:sz w:val="24"/>
          <w:szCs w:val="24"/>
        </w:rPr>
        <w:t>Yeung, E., &amp; Thomas, R. (2021) The ‘long tail’ of event management research: evidence from the field’s main journals. </w:t>
      </w:r>
      <w:r w:rsidRPr="00EB24D7">
        <w:rPr>
          <w:rFonts w:ascii="Arial" w:hAnsi="Arial" w:cs="Arial"/>
          <w:i/>
          <w:iCs/>
          <w:sz w:val="24"/>
          <w:szCs w:val="24"/>
        </w:rPr>
        <w:t>Journal of Policy Research in Tourism, Leisure and Events</w:t>
      </w:r>
      <w:r w:rsidRPr="00EB24D7">
        <w:rPr>
          <w:rFonts w:ascii="Arial" w:hAnsi="Arial" w:cs="Arial"/>
          <w:sz w:val="24"/>
          <w:szCs w:val="24"/>
        </w:rPr>
        <w:t>, </w:t>
      </w:r>
      <w:r w:rsidRPr="00EB24D7">
        <w:rPr>
          <w:rFonts w:ascii="Arial" w:hAnsi="Arial" w:cs="Arial"/>
          <w:i/>
          <w:iCs/>
          <w:sz w:val="24"/>
          <w:szCs w:val="24"/>
        </w:rPr>
        <w:t>14</w:t>
      </w:r>
      <w:r w:rsidRPr="00EB24D7">
        <w:rPr>
          <w:rFonts w:ascii="Arial" w:hAnsi="Arial" w:cs="Arial"/>
          <w:sz w:val="24"/>
          <w:szCs w:val="24"/>
        </w:rPr>
        <w:t xml:space="preserve">(2), 207–214. </w:t>
      </w:r>
      <w:hyperlink r:id="rId35" w:history="1">
        <w:r w:rsidRPr="00EB24D7">
          <w:rPr>
            <w:rStyle w:val="Hyperlink"/>
            <w:rFonts w:ascii="Arial" w:hAnsi="Arial" w:cs="Arial"/>
            <w:sz w:val="24"/>
            <w:szCs w:val="24"/>
          </w:rPr>
          <w:t>https://doi.org/10.1080/19407963.2020.1862855</w:t>
        </w:r>
      </w:hyperlink>
      <w:r w:rsidRPr="00EB24D7">
        <w:rPr>
          <w:rFonts w:ascii="Arial" w:hAnsi="Arial" w:cs="Arial"/>
          <w:sz w:val="24"/>
          <w:szCs w:val="24"/>
        </w:rPr>
        <w:t xml:space="preserve"> (Accessed on 4th Nov 2024).</w:t>
      </w:r>
    </w:p>
    <w:p w14:paraId="662BFF5C" w14:textId="77777777" w:rsidR="00884FB2" w:rsidRPr="00BD21A9" w:rsidRDefault="00884FB2" w:rsidP="00BD21A9">
      <w:pPr>
        <w:spacing w:line="360" w:lineRule="auto"/>
        <w:jc w:val="both"/>
        <w:rPr>
          <w:rFonts w:ascii="Arial" w:hAnsi="Arial" w:cs="Arial"/>
        </w:rPr>
      </w:pPr>
    </w:p>
    <w:p w14:paraId="51905613" w14:textId="77777777" w:rsidR="005A23CD" w:rsidRDefault="005A23CD" w:rsidP="00265585"/>
    <w:p w14:paraId="30465DA7" w14:textId="77777777" w:rsidR="000F469C" w:rsidRPr="00265585" w:rsidRDefault="000F469C" w:rsidP="00265585"/>
    <w:p w14:paraId="3589A8BB" w14:textId="60D40BDF" w:rsidR="00265585" w:rsidRPr="00C87363" w:rsidRDefault="00BE3DCB" w:rsidP="00C87363">
      <w:pPr>
        <w:pStyle w:val="Heading1"/>
        <w:spacing w:line="360" w:lineRule="auto"/>
        <w:jc w:val="both"/>
        <w:rPr>
          <w:rFonts w:ascii="Arial" w:hAnsi="Arial" w:cs="Arial"/>
        </w:rPr>
      </w:pPr>
      <w:bookmarkStart w:id="20" w:name="_Toc181998451"/>
      <w:r w:rsidRPr="00C87363">
        <w:rPr>
          <w:rFonts w:ascii="Arial" w:hAnsi="Arial" w:cs="Arial"/>
        </w:rPr>
        <w:t>11. Appendix</w:t>
      </w:r>
      <w:bookmarkEnd w:id="20"/>
    </w:p>
    <w:p w14:paraId="1318E235" w14:textId="325F9DA3" w:rsidR="00BE3DCB" w:rsidRDefault="00BE3DCB" w:rsidP="005B5AE3">
      <w:r>
        <w:t>Appendix 1</w:t>
      </w:r>
    </w:p>
    <w:p w14:paraId="5CDFCD9A" w14:textId="0AE202AE" w:rsidR="00242A5F" w:rsidRDefault="00CC024D" w:rsidP="005B5AE3">
      <w:r w:rsidRPr="00CC024D">
        <w:rPr>
          <w:noProof/>
        </w:rPr>
        <w:drawing>
          <wp:inline distT="0" distB="0" distL="0" distR="0" wp14:anchorId="026D900C" wp14:editId="3C2B08BC">
            <wp:extent cx="5731510" cy="3223895"/>
            <wp:effectExtent l="0" t="0" r="2540" b="0"/>
            <wp:docPr id="59406162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61620" name="Picture 1" descr="A close-up of a document&#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r w:rsidR="005A7A7A">
        <w:t>Appendix 2</w:t>
      </w:r>
    </w:p>
    <w:p w14:paraId="3B41C737" w14:textId="674E3042" w:rsidR="00CF0BE9" w:rsidRDefault="0072124A" w:rsidP="005B5AE3">
      <w:r w:rsidRPr="0072124A">
        <w:rPr>
          <w:noProof/>
        </w:rPr>
        <w:drawing>
          <wp:inline distT="0" distB="0" distL="0" distR="0" wp14:anchorId="3D9E2FC4" wp14:editId="00C2A6D9">
            <wp:extent cx="5731510" cy="3223895"/>
            <wp:effectExtent l="0" t="0" r="2540" b="0"/>
            <wp:docPr id="83747344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73448" name="Picture 1" descr="A close-up of a document&#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58395585" w14:textId="78D3097F" w:rsidR="00724E22" w:rsidRDefault="005A7A7A" w:rsidP="005B5AE3">
      <w:r>
        <w:lastRenderedPageBreak/>
        <w:t>Appendix 3</w:t>
      </w:r>
      <w:r w:rsidR="00E319D4" w:rsidRPr="00E319D4">
        <w:rPr>
          <w:noProof/>
        </w:rPr>
        <w:drawing>
          <wp:inline distT="0" distB="0" distL="0" distR="0" wp14:anchorId="1F4A1489" wp14:editId="21CA7918">
            <wp:extent cx="6009806" cy="3380433"/>
            <wp:effectExtent l="0" t="0" r="0" b="0"/>
            <wp:docPr id="151098102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981027" name="Picture 1" descr="A close-up of a document&#10;&#10;Description automatically generated"/>
                    <pic:cNvPicPr/>
                  </pic:nvPicPr>
                  <pic:blipFill>
                    <a:blip r:embed="rId38"/>
                    <a:stretch>
                      <a:fillRect/>
                    </a:stretch>
                  </pic:blipFill>
                  <pic:spPr>
                    <a:xfrm>
                      <a:off x="0" y="0"/>
                      <a:ext cx="6021057" cy="3386762"/>
                    </a:xfrm>
                    <a:prstGeom prst="rect">
                      <a:avLst/>
                    </a:prstGeom>
                  </pic:spPr>
                </pic:pic>
              </a:graphicData>
            </a:graphic>
          </wp:inline>
        </w:drawing>
      </w:r>
    </w:p>
    <w:p w14:paraId="69E38BBC" w14:textId="7ED64D50" w:rsidR="00242A5F" w:rsidRDefault="005A7A7A" w:rsidP="005B5AE3">
      <w:r>
        <w:t>Appendix 4</w:t>
      </w:r>
    </w:p>
    <w:p w14:paraId="31A37899" w14:textId="46337A40" w:rsidR="00BE3DCB" w:rsidRDefault="00057539" w:rsidP="005B5AE3">
      <w:r w:rsidRPr="00057539">
        <w:rPr>
          <w:noProof/>
        </w:rPr>
        <w:drawing>
          <wp:inline distT="0" distB="0" distL="0" distR="0" wp14:anchorId="23387FDC" wp14:editId="6CCBD377">
            <wp:extent cx="5731510" cy="3223895"/>
            <wp:effectExtent l="0" t="0" r="2540" b="0"/>
            <wp:docPr id="184991035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10350" name="Picture 1" descr="A close-up of a document&#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r w:rsidR="005A7A7A">
        <w:t>Appendix 5</w:t>
      </w:r>
    </w:p>
    <w:p w14:paraId="393ED09D" w14:textId="2B805760" w:rsidR="00607F84" w:rsidRDefault="006515DF" w:rsidP="005B5AE3">
      <w:r w:rsidRPr="006515DF">
        <w:rPr>
          <w:noProof/>
        </w:rPr>
        <w:lastRenderedPageBreak/>
        <w:drawing>
          <wp:inline distT="0" distB="0" distL="0" distR="0" wp14:anchorId="7076E932" wp14:editId="1285CA13">
            <wp:extent cx="5731510" cy="3223895"/>
            <wp:effectExtent l="0" t="0" r="2540" b="0"/>
            <wp:docPr id="1172213984"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213984" name="Picture 1" descr="A document with text on it&#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4D4B17CD" w14:textId="0DEB50F0" w:rsidR="00974B7F" w:rsidRDefault="00974B7F" w:rsidP="005B5AE3">
      <w:r>
        <w:t xml:space="preserve">Appendix 6 </w:t>
      </w:r>
      <w:r w:rsidRPr="00974B7F">
        <w:rPr>
          <w:noProof/>
        </w:rPr>
        <w:drawing>
          <wp:inline distT="0" distB="0" distL="0" distR="0" wp14:anchorId="178CD05C" wp14:editId="7284AF8F">
            <wp:extent cx="5731510" cy="3223895"/>
            <wp:effectExtent l="0" t="0" r="2540" b="0"/>
            <wp:docPr id="583534199" name="Picture 1" descr="A close-up of a list of cost and budg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34199" name="Picture 1" descr="A close-up of a list of cost and budget&#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0DE5C355" w14:textId="77777777" w:rsidR="00694A82" w:rsidRPr="005B5AE3" w:rsidRDefault="00694A82" w:rsidP="005B5AE3"/>
    <w:sectPr w:rsidR="00694A82" w:rsidRPr="005B5AE3" w:rsidSect="00CC1D98">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19D097" w14:textId="77777777" w:rsidR="007D1132" w:rsidRDefault="007D1132" w:rsidP="007D1132">
      <w:pPr>
        <w:spacing w:after="0" w:line="240" w:lineRule="auto"/>
      </w:pPr>
      <w:r>
        <w:separator/>
      </w:r>
    </w:p>
  </w:endnote>
  <w:endnote w:type="continuationSeparator" w:id="0">
    <w:p w14:paraId="20B5EA68" w14:textId="77777777" w:rsidR="007D1132" w:rsidRDefault="007D1132" w:rsidP="007D1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3851078"/>
      <w:docPartObj>
        <w:docPartGallery w:val="Page Numbers (Bottom of Page)"/>
        <w:docPartUnique/>
      </w:docPartObj>
    </w:sdtPr>
    <w:sdtEndPr/>
    <w:sdtContent>
      <w:p w14:paraId="56D26408" w14:textId="77BEBC80" w:rsidR="007D1132" w:rsidRDefault="007D1132">
        <w:pPr>
          <w:pStyle w:val="Footer"/>
          <w:jc w:val="right"/>
        </w:pPr>
        <w:r>
          <w:fldChar w:fldCharType="begin"/>
        </w:r>
        <w:r>
          <w:instrText>PAGE   \* MERGEFORMAT</w:instrText>
        </w:r>
        <w:r>
          <w:fldChar w:fldCharType="separate"/>
        </w:r>
        <w:r>
          <w:t>2</w:t>
        </w:r>
        <w:r>
          <w:fldChar w:fldCharType="end"/>
        </w:r>
      </w:p>
    </w:sdtContent>
  </w:sdt>
  <w:p w14:paraId="36E85A1F" w14:textId="77777777" w:rsidR="007D1132" w:rsidRDefault="007D1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7DCA23" w14:textId="77777777" w:rsidR="007D1132" w:rsidRDefault="007D1132" w:rsidP="007D1132">
      <w:pPr>
        <w:spacing w:after="0" w:line="240" w:lineRule="auto"/>
      </w:pPr>
      <w:r>
        <w:separator/>
      </w:r>
    </w:p>
  </w:footnote>
  <w:footnote w:type="continuationSeparator" w:id="0">
    <w:p w14:paraId="12846634" w14:textId="77777777" w:rsidR="007D1132" w:rsidRDefault="007D1132" w:rsidP="007D1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32736"/>
    <w:multiLevelType w:val="multilevel"/>
    <w:tmpl w:val="F47E4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B01250"/>
    <w:multiLevelType w:val="multilevel"/>
    <w:tmpl w:val="8DDC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C831E3"/>
    <w:multiLevelType w:val="multilevel"/>
    <w:tmpl w:val="2FD0B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FD0BBB"/>
    <w:multiLevelType w:val="hybridMultilevel"/>
    <w:tmpl w:val="8DC2D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7064DA"/>
    <w:multiLevelType w:val="hybridMultilevel"/>
    <w:tmpl w:val="8F368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7239027">
    <w:abstractNumId w:val="0"/>
  </w:num>
  <w:num w:numId="2" w16cid:durableId="1480002106">
    <w:abstractNumId w:val="2"/>
  </w:num>
  <w:num w:numId="3" w16cid:durableId="1872107919">
    <w:abstractNumId w:val="1"/>
  </w:num>
  <w:num w:numId="4" w16cid:durableId="40911335">
    <w:abstractNumId w:val="4"/>
  </w:num>
  <w:num w:numId="5" w16cid:durableId="20863417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D4"/>
    <w:rsid w:val="0000552A"/>
    <w:rsid w:val="00023D65"/>
    <w:rsid w:val="000275D4"/>
    <w:rsid w:val="00041C52"/>
    <w:rsid w:val="00045E8F"/>
    <w:rsid w:val="00057539"/>
    <w:rsid w:val="00066D5D"/>
    <w:rsid w:val="00067028"/>
    <w:rsid w:val="00071B73"/>
    <w:rsid w:val="00077A00"/>
    <w:rsid w:val="00083DB9"/>
    <w:rsid w:val="000870D2"/>
    <w:rsid w:val="00093611"/>
    <w:rsid w:val="000A1C54"/>
    <w:rsid w:val="000A2C1D"/>
    <w:rsid w:val="000B0585"/>
    <w:rsid w:val="000C082C"/>
    <w:rsid w:val="000C4093"/>
    <w:rsid w:val="000C58FD"/>
    <w:rsid w:val="000D1B6A"/>
    <w:rsid w:val="000E4E74"/>
    <w:rsid w:val="000F469C"/>
    <w:rsid w:val="000F7092"/>
    <w:rsid w:val="000F798F"/>
    <w:rsid w:val="00100DA5"/>
    <w:rsid w:val="00102B20"/>
    <w:rsid w:val="00106262"/>
    <w:rsid w:val="00107D59"/>
    <w:rsid w:val="00110FF3"/>
    <w:rsid w:val="0011488E"/>
    <w:rsid w:val="001260CE"/>
    <w:rsid w:val="0013507A"/>
    <w:rsid w:val="0014664C"/>
    <w:rsid w:val="0014702D"/>
    <w:rsid w:val="00154A36"/>
    <w:rsid w:val="00161451"/>
    <w:rsid w:val="00167718"/>
    <w:rsid w:val="0017134B"/>
    <w:rsid w:val="00176CC5"/>
    <w:rsid w:val="001810D0"/>
    <w:rsid w:val="00184F1D"/>
    <w:rsid w:val="00197CC6"/>
    <w:rsid w:val="001A1A7C"/>
    <w:rsid w:val="001A5A4F"/>
    <w:rsid w:val="001B75E2"/>
    <w:rsid w:val="001D0B69"/>
    <w:rsid w:val="001D64CE"/>
    <w:rsid w:val="001E75D5"/>
    <w:rsid w:val="001F0439"/>
    <w:rsid w:val="001F0862"/>
    <w:rsid w:val="001F3187"/>
    <w:rsid w:val="00200ED3"/>
    <w:rsid w:val="002067E5"/>
    <w:rsid w:val="002142C6"/>
    <w:rsid w:val="00226CA5"/>
    <w:rsid w:val="00232918"/>
    <w:rsid w:val="00232C98"/>
    <w:rsid w:val="00235EE0"/>
    <w:rsid w:val="00237DA2"/>
    <w:rsid w:val="0024191B"/>
    <w:rsid w:val="00242730"/>
    <w:rsid w:val="00242A5F"/>
    <w:rsid w:val="0025060D"/>
    <w:rsid w:val="002558D0"/>
    <w:rsid w:val="00261B1F"/>
    <w:rsid w:val="00262D3B"/>
    <w:rsid w:val="00263891"/>
    <w:rsid w:val="00265585"/>
    <w:rsid w:val="00266AE3"/>
    <w:rsid w:val="0026728E"/>
    <w:rsid w:val="00270382"/>
    <w:rsid w:val="0027609C"/>
    <w:rsid w:val="00291D4B"/>
    <w:rsid w:val="0029384D"/>
    <w:rsid w:val="002A6F8F"/>
    <w:rsid w:val="002B49F3"/>
    <w:rsid w:val="002C3752"/>
    <w:rsid w:val="002C65D3"/>
    <w:rsid w:val="002D23E6"/>
    <w:rsid w:val="002F464B"/>
    <w:rsid w:val="0030359F"/>
    <w:rsid w:val="003272D7"/>
    <w:rsid w:val="003401AE"/>
    <w:rsid w:val="003459A9"/>
    <w:rsid w:val="00360031"/>
    <w:rsid w:val="00373609"/>
    <w:rsid w:val="00375362"/>
    <w:rsid w:val="0037690C"/>
    <w:rsid w:val="003818EF"/>
    <w:rsid w:val="00392E78"/>
    <w:rsid w:val="00396E85"/>
    <w:rsid w:val="003A33D0"/>
    <w:rsid w:val="003A3764"/>
    <w:rsid w:val="003B1D10"/>
    <w:rsid w:val="003B25BD"/>
    <w:rsid w:val="003B2DE5"/>
    <w:rsid w:val="003C1E6F"/>
    <w:rsid w:val="003C42DE"/>
    <w:rsid w:val="003C6909"/>
    <w:rsid w:val="003D323B"/>
    <w:rsid w:val="003D3E2D"/>
    <w:rsid w:val="003E1285"/>
    <w:rsid w:val="003E203B"/>
    <w:rsid w:val="003E78F0"/>
    <w:rsid w:val="003E7D9C"/>
    <w:rsid w:val="003F4CAE"/>
    <w:rsid w:val="00406A08"/>
    <w:rsid w:val="00407183"/>
    <w:rsid w:val="0041282A"/>
    <w:rsid w:val="0042448A"/>
    <w:rsid w:val="00431EA5"/>
    <w:rsid w:val="00433E9C"/>
    <w:rsid w:val="004366EF"/>
    <w:rsid w:val="00437B4C"/>
    <w:rsid w:val="0044304D"/>
    <w:rsid w:val="00443ED0"/>
    <w:rsid w:val="00444878"/>
    <w:rsid w:val="00446098"/>
    <w:rsid w:val="00446CD2"/>
    <w:rsid w:val="00452DD3"/>
    <w:rsid w:val="0046419F"/>
    <w:rsid w:val="00465579"/>
    <w:rsid w:val="004662EE"/>
    <w:rsid w:val="004670C2"/>
    <w:rsid w:val="004675BA"/>
    <w:rsid w:val="00473B4E"/>
    <w:rsid w:val="004819DE"/>
    <w:rsid w:val="004931CC"/>
    <w:rsid w:val="00496CD9"/>
    <w:rsid w:val="004A7781"/>
    <w:rsid w:val="004C20AA"/>
    <w:rsid w:val="004C29CA"/>
    <w:rsid w:val="004C4E8E"/>
    <w:rsid w:val="004C5336"/>
    <w:rsid w:val="004C684B"/>
    <w:rsid w:val="004C71E8"/>
    <w:rsid w:val="004D249B"/>
    <w:rsid w:val="004E2012"/>
    <w:rsid w:val="004F6D31"/>
    <w:rsid w:val="005053CE"/>
    <w:rsid w:val="00511CE4"/>
    <w:rsid w:val="00515B72"/>
    <w:rsid w:val="00522842"/>
    <w:rsid w:val="0053009D"/>
    <w:rsid w:val="00535E78"/>
    <w:rsid w:val="00542DB2"/>
    <w:rsid w:val="00550F3E"/>
    <w:rsid w:val="00563BC6"/>
    <w:rsid w:val="00563C62"/>
    <w:rsid w:val="00572B2B"/>
    <w:rsid w:val="0057723F"/>
    <w:rsid w:val="005819CF"/>
    <w:rsid w:val="005911C0"/>
    <w:rsid w:val="00596AE8"/>
    <w:rsid w:val="005A150F"/>
    <w:rsid w:val="005A1C06"/>
    <w:rsid w:val="005A23CD"/>
    <w:rsid w:val="005A4D99"/>
    <w:rsid w:val="005A7219"/>
    <w:rsid w:val="005A7A7A"/>
    <w:rsid w:val="005B5AE3"/>
    <w:rsid w:val="005C543D"/>
    <w:rsid w:val="005C6882"/>
    <w:rsid w:val="005C7B83"/>
    <w:rsid w:val="005D36D0"/>
    <w:rsid w:val="005D396D"/>
    <w:rsid w:val="005D6482"/>
    <w:rsid w:val="005E35B6"/>
    <w:rsid w:val="005E3762"/>
    <w:rsid w:val="005E72F9"/>
    <w:rsid w:val="005F30E9"/>
    <w:rsid w:val="00601F94"/>
    <w:rsid w:val="0060496D"/>
    <w:rsid w:val="00605B8C"/>
    <w:rsid w:val="00606CEB"/>
    <w:rsid w:val="00607F84"/>
    <w:rsid w:val="0061719F"/>
    <w:rsid w:val="006207C2"/>
    <w:rsid w:val="00622CE2"/>
    <w:rsid w:val="006236DE"/>
    <w:rsid w:val="00632742"/>
    <w:rsid w:val="00647F14"/>
    <w:rsid w:val="006515DF"/>
    <w:rsid w:val="00651C60"/>
    <w:rsid w:val="006662C8"/>
    <w:rsid w:val="00672089"/>
    <w:rsid w:val="006746C2"/>
    <w:rsid w:val="00682E8B"/>
    <w:rsid w:val="00694A82"/>
    <w:rsid w:val="006A01E1"/>
    <w:rsid w:val="006B4E99"/>
    <w:rsid w:val="006C1B57"/>
    <w:rsid w:val="006C410B"/>
    <w:rsid w:val="006C4AD2"/>
    <w:rsid w:val="006C6E1C"/>
    <w:rsid w:val="006E66F5"/>
    <w:rsid w:val="0070233B"/>
    <w:rsid w:val="00707D4E"/>
    <w:rsid w:val="0071291D"/>
    <w:rsid w:val="007132E7"/>
    <w:rsid w:val="0072124A"/>
    <w:rsid w:val="00724E22"/>
    <w:rsid w:val="00731816"/>
    <w:rsid w:val="007355A1"/>
    <w:rsid w:val="00736F5A"/>
    <w:rsid w:val="00741358"/>
    <w:rsid w:val="00752C2F"/>
    <w:rsid w:val="007553D5"/>
    <w:rsid w:val="00761884"/>
    <w:rsid w:val="00772DAE"/>
    <w:rsid w:val="00776A92"/>
    <w:rsid w:val="00777907"/>
    <w:rsid w:val="00781EB5"/>
    <w:rsid w:val="00782A24"/>
    <w:rsid w:val="00786B36"/>
    <w:rsid w:val="007960BB"/>
    <w:rsid w:val="007A169C"/>
    <w:rsid w:val="007A3A5B"/>
    <w:rsid w:val="007A732D"/>
    <w:rsid w:val="007B111F"/>
    <w:rsid w:val="007B593E"/>
    <w:rsid w:val="007C20D2"/>
    <w:rsid w:val="007C21B2"/>
    <w:rsid w:val="007C79F5"/>
    <w:rsid w:val="007D1132"/>
    <w:rsid w:val="007D26E0"/>
    <w:rsid w:val="007D3ED8"/>
    <w:rsid w:val="007E26B2"/>
    <w:rsid w:val="007E2D1D"/>
    <w:rsid w:val="007F2B4F"/>
    <w:rsid w:val="0080003B"/>
    <w:rsid w:val="00803114"/>
    <w:rsid w:val="0081518E"/>
    <w:rsid w:val="008207B9"/>
    <w:rsid w:val="00820DC6"/>
    <w:rsid w:val="00821701"/>
    <w:rsid w:val="008366FA"/>
    <w:rsid w:val="00845995"/>
    <w:rsid w:val="00857E88"/>
    <w:rsid w:val="00862784"/>
    <w:rsid w:val="00866E8B"/>
    <w:rsid w:val="008700DB"/>
    <w:rsid w:val="008702E1"/>
    <w:rsid w:val="008714AD"/>
    <w:rsid w:val="00884FB2"/>
    <w:rsid w:val="00893314"/>
    <w:rsid w:val="0089661B"/>
    <w:rsid w:val="008A518D"/>
    <w:rsid w:val="008B2836"/>
    <w:rsid w:val="008C54D1"/>
    <w:rsid w:val="008C6E25"/>
    <w:rsid w:val="008C75BB"/>
    <w:rsid w:val="008D2BB2"/>
    <w:rsid w:val="008D4BF3"/>
    <w:rsid w:val="008D5553"/>
    <w:rsid w:val="008D73D5"/>
    <w:rsid w:val="008E696F"/>
    <w:rsid w:val="008E7698"/>
    <w:rsid w:val="008F3EAD"/>
    <w:rsid w:val="008F7B4D"/>
    <w:rsid w:val="00907321"/>
    <w:rsid w:val="00910CCF"/>
    <w:rsid w:val="009200BA"/>
    <w:rsid w:val="0092249C"/>
    <w:rsid w:val="00923065"/>
    <w:rsid w:val="009262B6"/>
    <w:rsid w:val="009333C4"/>
    <w:rsid w:val="00933BE7"/>
    <w:rsid w:val="00943811"/>
    <w:rsid w:val="0094471C"/>
    <w:rsid w:val="009472F4"/>
    <w:rsid w:val="0095560F"/>
    <w:rsid w:val="00960136"/>
    <w:rsid w:val="00964727"/>
    <w:rsid w:val="00974B7F"/>
    <w:rsid w:val="00974CF3"/>
    <w:rsid w:val="00977E20"/>
    <w:rsid w:val="00996650"/>
    <w:rsid w:val="00997D65"/>
    <w:rsid w:val="009B42F4"/>
    <w:rsid w:val="009B556C"/>
    <w:rsid w:val="009C2266"/>
    <w:rsid w:val="009C2AD2"/>
    <w:rsid w:val="009D635C"/>
    <w:rsid w:val="009D65D8"/>
    <w:rsid w:val="009E636B"/>
    <w:rsid w:val="00A00774"/>
    <w:rsid w:val="00A00C54"/>
    <w:rsid w:val="00A05ADD"/>
    <w:rsid w:val="00A07D5B"/>
    <w:rsid w:val="00A13ED5"/>
    <w:rsid w:val="00A150C1"/>
    <w:rsid w:val="00A215F6"/>
    <w:rsid w:val="00A22AE5"/>
    <w:rsid w:val="00A23DBE"/>
    <w:rsid w:val="00A32A39"/>
    <w:rsid w:val="00A34538"/>
    <w:rsid w:val="00A42CE6"/>
    <w:rsid w:val="00A435AE"/>
    <w:rsid w:val="00A46600"/>
    <w:rsid w:val="00A50CE5"/>
    <w:rsid w:val="00A54BC3"/>
    <w:rsid w:val="00A671C4"/>
    <w:rsid w:val="00A73995"/>
    <w:rsid w:val="00A76D29"/>
    <w:rsid w:val="00A82DB0"/>
    <w:rsid w:val="00A84FAB"/>
    <w:rsid w:val="00A93A60"/>
    <w:rsid w:val="00A9723C"/>
    <w:rsid w:val="00AA6F90"/>
    <w:rsid w:val="00AB62F4"/>
    <w:rsid w:val="00AE5CCD"/>
    <w:rsid w:val="00B00807"/>
    <w:rsid w:val="00B05AB3"/>
    <w:rsid w:val="00B10920"/>
    <w:rsid w:val="00B16D31"/>
    <w:rsid w:val="00B178DA"/>
    <w:rsid w:val="00B22DB2"/>
    <w:rsid w:val="00B55E7E"/>
    <w:rsid w:val="00B56C9D"/>
    <w:rsid w:val="00B57EB4"/>
    <w:rsid w:val="00B61D61"/>
    <w:rsid w:val="00B92F30"/>
    <w:rsid w:val="00B92F75"/>
    <w:rsid w:val="00B962AC"/>
    <w:rsid w:val="00B9736C"/>
    <w:rsid w:val="00B9798D"/>
    <w:rsid w:val="00BA26F1"/>
    <w:rsid w:val="00BC1799"/>
    <w:rsid w:val="00BC5054"/>
    <w:rsid w:val="00BC587D"/>
    <w:rsid w:val="00BC7DDD"/>
    <w:rsid w:val="00BD0979"/>
    <w:rsid w:val="00BD0A2C"/>
    <w:rsid w:val="00BD19CD"/>
    <w:rsid w:val="00BD1D02"/>
    <w:rsid w:val="00BD21A9"/>
    <w:rsid w:val="00BD250D"/>
    <w:rsid w:val="00BD4E71"/>
    <w:rsid w:val="00BE3DCB"/>
    <w:rsid w:val="00C007F5"/>
    <w:rsid w:val="00C0206D"/>
    <w:rsid w:val="00C02601"/>
    <w:rsid w:val="00C02DEC"/>
    <w:rsid w:val="00C06FD1"/>
    <w:rsid w:val="00C144F5"/>
    <w:rsid w:val="00C16D0A"/>
    <w:rsid w:val="00C16F24"/>
    <w:rsid w:val="00C20AEE"/>
    <w:rsid w:val="00C2678D"/>
    <w:rsid w:val="00C26EEE"/>
    <w:rsid w:val="00C3337E"/>
    <w:rsid w:val="00C46EC1"/>
    <w:rsid w:val="00C53A85"/>
    <w:rsid w:val="00C61220"/>
    <w:rsid w:val="00C66A58"/>
    <w:rsid w:val="00C66EBF"/>
    <w:rsid w:val="00C671F6"/>
    <w:rsid w:val="00C67F33"/>
    <w:rsid w:val="00C76387"/>
    <w:rsid w:val="00C83DA9"/>
    <w:rsid w:val="00C84559"/>
    <w:rsid w:val="00C87363"/>
    <w:rsid w:val="00CB0811"/>
    <w:rsid w:val="00CB09A5"/>
    <w:rsid w:val="00CB4E37"/>
    <w:rsid w:val="00CC024D"/>
    <w:rsid w:val="00CC1D98"/>
    <w:rsid w:val="00CD0AB8"/>
    <w:rsid w:val="00CD73FD"/>
    <w:rsid w:val="00CF0536"/>
    <w:rsid w:val="00CF0BE9"/>
    <w:rsid w:val="00CF13D2"/>
    <w:rsid w:val="00D025AC"/>
    <w:rsid w:val="00D070C5"/>
    <w:rsid w:val="00D24F70"/>
    <w:rsid w:val="00D44605"/>
    <w:rsid w:val="00D4609F"/>
    <w:rsid w:val="00D6141D"/>
    <w:rsid w:val="00D62F54"/>
    <w:rsid w:val="00D721D8"/>
    <w:rsid w:val="00D73B1B"/>
    <w:rsid w:val="00D8543A"/>
    <w:rsid w:val="00D85558"/>
    <w:rsid w:val="00D91C2A"/>
    <w:rsid w:val="00DA339C"/>
    <w:rsid w:val="00DA626B"/>
    <w:rsid w:val="00DA685A"/>
    <w:rsid w:val="00DB03A2"/>
    <w:rsid w:val="00DB71C9"/>
    <w:rsid w:val="00DC06D4"/>
    <w:rsid w:val="00DC0981"/>
    <w:rsid w:val="00DC25E3"/>
    <w:rsid w:val="00DD2867"/>
    <w:rsid w:val="00DD2E37"/>
    <w:rsid w:val="00DD4477"/>
    <w:rsid w:val="00DF1628"/>
    <w:rsid w:val="00DF7E5B"/>
    <w:rsid w:val="00E0039C"/>
    <w:rsid w:val="00E04582"/>
    <w:rsid w:val="00E05326"/>
    <w:rsid w:val="00E11433"/>
    <w:rsid w:val="00E11E6C"/>
    <w:rsid w:val="00E219CE"/>
    <w:rsid w:val="00E2665F"/>
    <w:rsid w:val="00E27783"/>
    <w:rsid w:val="00E319D4"/>
    <w:rsid w:val="00E34287"/>
    <w:rsid w:val="00E36A76"/>
    <w:rsid w:val="00E46F80"/>
    <w:rsid w:val="00E57780"/>
    <w:rsid w:val="00E91009"/>
    <w:rsid w:val="00E95548"/>
    <w:rsid w:val="00E97013"/>
    <w:rsid w:val="00EA1130"/>
    <w:rsid w:val="00EA1C73"/>
    <w:rsid w:val="00EA256A"/>
    <w:rsid w:val="00EA2C18"/>
    <w:rsid w:val="00EB24D7"/>
    <w:rsid w:val="00EB5C65"/>
    <w:rsid w:val="00EB66A7"/>
    <w:rsid w:val="00EC3DA4"/>
    <w:rsid w:val="00ED18CF"/>
    <w:rsid w:val="00ED266E"/>
    <w:rsid w:val="00ED77D4"/>
    <w:rsid w:val="00EE2E8A"/>
    <w:rsid w:val="00EF33D1"/>
    <w:rsid w:val="00F00A3B"/>
    <w:rsid w:val="00F034FD"/>
    <w:rsid w:val="00F10DC7"/>
    <w:rsid w:val="00F13F7B"/>
    <w:rsid w:val="00F1464B"/>
    <w:rsid w:val="00F16006"/>
    <w:rsid w:val="00F16613"/>
    <w:rsid w:val="00F21192"/>
    <w:rsid w:val="00F22544"/>
    <w:rsid w:val="00F33418"/>
    <w:rsid w:val="00F3448C"/>
    <w:rsid w:val="00F34DC0"/>
    <w:rsid w:val="00F35D2F"/>
    <w:rsid w:val="00F4088F"/>
    <w:rsid w:val="00F41667"/>
    <w:rsid w:val="00F51DC6"/>
    <w:rsid w:val="00F55927"/>
    <w:rsid w:val="00F620DA"/>
    <w:rsid w:val="00F6425E"/>
    <w:rsid w:val="00F642DF"/>
    <w:rsid w:val="00F834C7"/>
    <w:rsid w:val="00F83CC7"/>
    <w:rsid w:val="00F842CF"/>
    <w:rsid w:val="00F93B67"/>
    <w:rsid w:val="00F94765"/>
    <w:rsid w:val="00F9691E"/>
    <w:rsid w:val="00FA06DF"/>
    <w:rsid w:val="00FA6F27"/>
    <w:rsid w:val="00FA6FAF"/>
    <w:rsid w:val="00FB361E"/>
    <w:rsid w:val="00FB3B0D"/>
    <w:rsid w:val="00FC1DE4"/>
    <w:rsid w:val="00FC5799"/>
    <w:rsid w:val="00FD1764"/>
    <w:rsid w:val="00FE0BE2"/>
    <w:rsid w:val="00FE1098"/>
    <w:rsid w:val="00FE4296"/>
    <w:rsid w:val="00FE7075"/>
    <w:rsid w:val="00FF009D"/>
    <w:rsid w:val="00FF2878"/>
    <w:rsid w:val="00FF5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DE6F7"/>
  <w15:chartTrackingRefBased/>
  <w15:docId w15:val="{FCF6E712-DF48-4B72-8D21-67B21F423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6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06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06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6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6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6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6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6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6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6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06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C06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6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6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6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6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6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6D4"/>
    <w:rPr>
      <w:rFonts w:eastAsiaTheme="majorEastAsia" w:cstheme="majorBidi"/>
      <w:color w:val="272727" w:themeColor="text1" w:themeTint="D8"/>
    </w:rPr>
  </w:style>
  <w:style w:type="paragraph" w:styleId="Title">
    <w:name w:val="Title"/>
    <w:basedOn w:val="Normal"/>
    <w:next w:val="Normal"/>
    <w:link w:val="TitleChar"/>
    <w:uiPriority w:val="10"/>
    <w:qFormat/>
    <w:rsid w:val="00DC06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6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6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6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6D4"/>
    <w:pPr>
      <w:spacing w:before="160"/>
      <w:jc w:val="center"/>
    </w:pPr>
    <w:rPr>
      <w:i/>
      <w:iCs/>
      <w:color w:val="404040" w:themeColor="text1" w:themeTint="BF"/>
    </w:rPr>
  </w:style>
  <w:style w:type="character" w:customStyle="1" w:styleId="QuoteChar">
    <w:name w:val="Quote Char"/>
    <w:basedOn w:val="DefaultParagraphFont"/>
    <w:link w:val="Quote"/>
    <w:uiPriority w:val="29"/>
    <w:rsid w:val="00DC06D4"/>
    <w:rPr>
      <w:i/>
      <w:iCs/>
      <w:color w:val="404040" w:themeColor="text1" w:themeTint="BF"/>
    </w:rPr>
  </w:style>
  <w:style w:type="paragraph" w:styleId="ListParagraph">
    <w:name w:val="List Paragraph"/>
    <w:basedOn w:val="Normal"/>
    <w:uiPriority w:val="34"/>
    <w:qFormat/>
    <w:rsid w:val="00DC06D4"/>
    <w:pPr>
      <w:ind w:left="720"/>
      <w:contextualSpacing/>
    </w:pPr>
  </w:style>
  <w:style w:type="character" w:styleId="IntenseEmphasis">
    <w:name w:val="Intense Emphasis"/>
    <w:basedOn w:val="DefaultParagraphFont"/>
    <w:uiPriority w:val="21"/>
    <w:qFormat/>
    <w:rsid w:val="00DC06D4"/>
    <w:rPr>
      <w:i/>
      <w:iCs/>
      <w:color w:val="0F4761" w:themeColor="accent1" w:themeShade="BF"/>
    </w:rPr>
  </w:style>
  <w:style w:type="paragraph" w:styleId="IntenseQuote">
    <w:name w:val="Intense Quote"/>
    <w:basedOn w:val="Normal"/>
    <w:next w:val="Normal"/>
    <w:link w:val="IntenseQuoteChar"/>
    <w:uiPriority w:val="30"/>
    <w:qFormat/>
    <w:rsid w:val="00DC06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6D4"/>
    <w:rPr>
      <w:i/>
      <w:iCs/>
      <w:color w:val="0F4761" w:themeColor="accent1" w:themeShade="BF"/>
    </w:rPr>
  </w:style>
  <w:style w:type="character" w:styleId="IntenseReference">
    <w:name w:val="Intense Reference"/>
    <w:basedOn w:val="DefaultParagraphFont"/>
    <w:uiPriority w:val="32"/>
    <w:qFormat/>
    <w:rsid w:val="00DC06D4"/>
    <w:rPr>
      <w:b/>
      <w:bCs/>
      <w:smallCaps/>
      <w:color w:val="0F4761" w:themeColor="accent1" w:themeShade="BF"/>
      <w:spacing w:val="5"/>
    </w:rPr>
  </w:style>
  <w:style w:type="character" w:styleId="Hyperlink">
    <w:name w:val="Hyperlink"/>
    <w:basedOn w:val="DefaultParagraphFont"/>
    <w:uiPriority w:val="99"/>
    <w:unhideWhenUsed/>
    <w:rsid w:val="002142C6"/>
    <w:rPr>
      <w:color w:val="467886" w:themeColor="hyperlink"/>
      <w:u w:val="single"/>
    </w:rPr>
  </w:style>
  <w:style w:type="character" w:styleId="UnresolvedMention">
    <w:name w:val="Unresolved Mention"/>
    <w:basedOn w:val="DefaultParagraphFont"/>
    <w:uiPriority w:val="99"/>
    <w:semiHidden/>
    <w:unhideWhenUsed/>
    <w:rsid w:val="002142C6"/>
    <w:rPr>
      <w:color w:val="605E5C"/>
      <w:shd w:val="clear" w:color="auto" w:fill="E1DFDD"/>
    </w:rPr>
  </w:style>
  <w:style w:type="table" w:styleId="TableGrid">
    <w:name w:val="Table Grid"/>
    <w:basedOn w:val="TableNormal"/>
    <w:uiPriority w:val="39"/>
    <w:rsid w:val="003818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B03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05ADD"/>
    <w:pPr>
      <w:spacing w:before="240" w:after="0"/>
      <w:outlineLvl w:val="9"/>
    </w:pPr>
    <w:rPr>
      <w:sz w:val="32"/>
      <w:szCs w:val="32"/>
      <w:lang w:eastAsia="en-GB"/>
    </w:rPr>
  </w:style>
  <w:style w:type="paragraph" w:styleId="TOC1">
    <w:name w:val="toc 1"/>
    <w:basedOn w:val="Normal"/>
    <w:next w:val="Normal"/>
    <w:autoRedefine/>
    <w:uiPriority w:val="39"/>
    <w:unhideWhenUsed/>
    <w:rsid w:val="00A05ADD"/>
    <w:pPr>
      <w:spacing w:after="100"/>
    </w:pPr>
  </w:style>
  <w:style w:type="paragraph" w:styleId="TOC2">
    <w:name w:val="toc 2"/>
    <w:basedOn w:val="Normal"/>
    <w:next w:val="Normal"/>
    <w:autoRedefine/>
    <w:uiPriority w:val="39"/>
    <w:unhideWhenUsed/>
    <w:rsid w:val="00A05ADD"/>
    <w:pPr>
      <w:spacing w:after="100"/>
      <w:ind w:left="220"/>
    </w:pPr>
  </w:style>
  <w:style w:type="paragraph" w:styleId="TOC3">
    <w:name w:val="toc 3"/>
    <w:basedOn w:val="Normal"/>
    <w:next w:val="Normal"/>
    <w:autoRedefine/>
    <w:uiPriority w:val="39"/>
    <w:unhideWhenUsed/>
    <w:rsid w:val="00A05ADD"/>
    <w:pPr>
      <w:spacing w:after="100"/>
      <w:ind w:left="440"/>
    </w:pPr>
  </w:style>
  <w:style w:type="paragraph" w:styleId="NoSpacing">
    <w:name w:val="No Spacing"/>
    <w:link w:val="NoSpacingChar"/>
    <w:uiPriority w:val="1"/>
    <w:qFormat/>
    <w:rsid w:val="00CC1D9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C1D98"/>
    <w:rPr>
      <w:rFonts w:eastAsiaTheme="minorEastAsia"/>
      <w:lang w:eastAsia="en-GB"/>
    </w:rPr>
  </w:style>
  <w:style w:type="paragraph" w:styleId="Header">
    <w:name w:val="header"/>
    <w:basedOn w:val="Normal"/>
    <w:link w:val="HeaderChar"/>
    <w:uiPriority w:val="99"/>
    <w:unhideWhenUsed/>
    <w:rsid w:val="007D1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132"/>
  </w:style>
  <w:style w:type="paragraph" w:styleId="Footer">
    <w:name w:val="footer"/>
    <w:basedOn w:val="Normal"/>
    <w:link w:val="FooterChar"/>
    <w:uiPriority w:val="99"/>
    <w:unhideWhenUsed/>
    <w:rsid w:val="007D1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213792">
      <w:bodyDiv w:val="1"/>
      <w:marLeft w:val="0"/>
      <w:marRight w:val="0"/>
      <w:marTop w:val="0"/>
      <w:marBottom w:val="0"/>
      <w:divBdr>
        <w:top w:val="none" w:sz="0" w:space="0" w:color="auto"/>
        <w:left w:val="none" w:sz="0" w:space="0" w:color="auto"/>
        <w:bottom w:val="none" w:sz="0" w:space="0" w:color="auto"/>
        <w:right w:val="none" w:sz="0" w:space="0" w:color="auto"/>
      </w:divBdr>
    </w:div>
    <w:div w:id="95295526">
      <w:bodyDiv w:val="1"/>
      <w:marLeft w:val="0"/>
      <w:marRight w:val="0"/>
      <w:marTop w:val="0"/>
      <w:marBottom w:val="0"/>
      <w:divBdr>
        <w:top w:val="none" w:sz="0" w:space="0" w:color="auto"/>
        <w:left w:val="none" w:sz="0" w:space="0" w:color="auto"/>
        <w:bottom w:val="none" w:sz="0" w:space="0" w:color="auto"/>
        <w:right w:val="none" w:sz="0" w:space="0" w:color="auto"/>
      </w:divBdr>
    </w:div>
    <w:div w:id="101607084">
      <w:bodyDiv w:val="1"/>
      <w:marLeft w:val="0"/>
      <w:marRight w:val="0"/>
      <w:marTop w:val="0"/>
      <w:marBottom w:val="0"/>
      <w:divBdr>
        <w:top w:val="none" w:sz="0" w:space="0" w:color="auto"/>
        <w:left w:val="none" w:sz="0" w:space="0" w:color="auto"/>
        <w:bottom w:val="none" w:sz="0" w:space="0" w:color="auto"/>
        <w:right w:val="none" w:sz="0" w:space="0" w:color="auto"/>
      </w:divBdr>
    </w:div>
    <w:div w:id="135922554">
      <w:bodyDiv w:val="1"/>
      <w:marLeft w:val="0"/>
      <w:marRight w:val="0"/>
      <w:marTop w:val="0"/>
      <w:marBottom w:val="0"/>
      <w:divBdr>
        <w:top w:val="none" w:sz="0" w:space="0" w:color="auto"/>
        <w:left w:val="none" w:sz="0" w:space="0" w:color="auto"/>
        <w:bottom w:val="none" w:sz="0" w:space="0" w:color="auto"/>
        <w:right w:val="none" w:sz="0" w:space="0" w:color="auto"/>
      </w:divBdr>
    </w:div>
    <w:div w:id="181012223">
      <w:bodyDiv w:val="1"/>
      <w:marLeft w:val="0"/>
      <w:marRight w:val="0"/>
      <w:marTop w:val="0"/>
      <w:marBottom w:val="0"/>
      <w:divBdr>
        <w:top w:val="none" w:sz="0" w:space="0" w:color="auto"/>
        <w:left w:val="none" w:sz="0" w:space="0" w:color="auto"/>
        <w:bottom w:val="none" w:sz="0" w:space="0" w:color="auto"/>
        <w:right w:val="none" w:sz="0" w:space="0" w:color="auto"/>
      </w:divBdr>
    </w:div>
    <w:div w:id="193007572">
      <w:bodyDiv w:val="1"/>
      <w:marLeft w:val="0"/>
      <w:marRight w:val="0"/>
      <w:marTop w:val="0"/>
      <w:marBottom w:val="0"/>
      <w:divBdr>
        <w:top w:val="none" w:sz="0" w:space="0" w:color="auto"/>
        <w:left w:val="none" w:sz="0" w:space="0" w:color="auto"/>
        <w:bottom w:val="none" w:sz="0" w:space="0" w:color="auto"/>
        <w:right w:val="none" w:sz="0" w:space="0" w:color="auto"/>
      </w:divBdr>
    </w:div>
    <w:div w:id="213085027">
      <w:bodyDiv w:val="1"/>
      <w:marLeft w:val="0"/>
      <w:marRight w:val="0"/>
      <w:marTop w:val="0"/>
      <w:marBottom w:val="0"/>
      <w:divBdr>
        <w:top w:val="none" w:sz="0" w:space="0" w:color="auto"/>
        <w:left w:val="none" w:sz="0" w:space="0" w:color="auto"/>
        <w:bottom w:val="none" w:sz="0" w:space="0" w:color="auto"/>
        <w:right w:val="none" w:sz="0" w:space="0" w:color="auto"/>
      </w:divBdr>
    </w:div>
    <w:div w:id="254899672">
      <w:bodyDiv w:val="1"/>
      <w:marLeft w:val="0"/>
      <w:marRight w:val="0"/>
      <w:marTop w:val="0"/>
      <w:marBottom w:val="0"/>
      <w:divBdr>
        <w:top w:val="none" w:sz="0" w:space="0" w:color="auto"/>
        <w:left w:val="none" w:sz="0" w:space="0" w:color="auto"/>
        <w:bottom w:val="none" w:sz="0" w:space="0" w:color="auto"/>
        <w:right w:val="none" w:sz="0" w:space="0" w:color="auto"/>
      </w:divBdr>
    </w:div>
    <w:div w:id="316766784">
      <w:bodyDiv w:val="1"/>
      <w:marLeft w:val="0"/>
      <w:marRight w:val="0"/>
      <w:marTop w:val="0"/>
      <w:marBottom w:val="0"/>
      <w:divBdr>
        <w:top w:val="none" w:sz="0" w:space="0" w:color="auto"/>
        <w:left w:val="none" w:sz="0" w:space="0" w:color="auto"/>
        <w:bottom w:val="none" w:sz="0" w:space="0" w:color="auto"/>
        <w:right w:val="none" w:sz="0" w:space="0" w:color="auto"/>
      </w:divBdr>
    </w:div>
    <w:div w:id="363405014">
      <w:bodyDiv w:val="1"/>
      <w:marLeft w:val="0"/>
      <w:marRight w:val="0"/>
      <w:marTop w:val="0"/>
      <w:marBottom w:val="0"/>
      <w:divBdr>
        <w:top w:val="none" w:sz="0" w:space="0" w:color="auto"/>
        <w:left w:val="none" w:sz="0" w:space="0" w:color="auto"/>
        <w:bottom w:val="none" w:sz="0" w:space="0" w:color="auto"/>
        <w:right w:val="none" w:sz="0" w:space="0" w:color="auto"/>
      </w:divBdr>
    </w:div>
    <w:div w:id="395789332">
      <w:bodyDiv w:val="1"/>
      <w:marLeft w:val="0"/>
      <w:marRight w:val="0"/>
      <w:marTop w:val="0"/>
      <w:marBottom w:val="0"/>
      <w:divBdr>
        <w:top w:val="none" w:sz="0" w:space="0" w:color="auto"/>
        <w:left w:val="none" w:sz="0" w:space="0" w:color="auto"/>
        <w:bottom w:val="none" w:sz="0" w:space="0" w:color="auto"/>
        <w:right w:val="none" w:sz="0" w:space="0" w:color="auto"/>
      </w:divBdr>
    </w:div>
    <w:div w:id="414477294">
      <w:bodyDiv w:val="1"/>
      <w:marLeft w:val="0"/>
      <w:marRight w:val="0"/>
      <w:marTop w:val="0"/>
      <w:marBottom w:val="0"/>
      <w:divBdr>
        <w:top w:val="none" w:sz="0" w:space="0" w:color="auto"/>
        <w:left w:val="none" w:sz="0" w:space="0" w:color="auto"/>
        <w:bottom w:val="none" w:sz="0" w:space="0" w:color="auto"/>
        <w:right w:val="none" w:sz="0" w:space="0" w:color="auto"/>
      </w:divBdr>
      <w:divsChild>
        <w:div w:id="1399667740">
          <w:marLeft w:val="0"/>
          <w:marRight w:val="0"/>
          <w:marTop w:val="0"/>
          <w:marBottom w:val="0"/>
          <w:divBdr>
            <w:top w:val="none" w:sz="0" w:space="0" w:color="auto"/>
            <w:left w:val="none" w:sz="0" w:space="0" w:color="auto"/>
            <w:bottom w:val="none" w:sz="0" w:space="0" w:color="auto"/>
            <w:right w:val="none" w:sz="0" w:space="0" w:color="auto"/>
          </w:divBdr>
        </w:div>
      </w:divsChild>
    </w:div>
    <w:div w:id="418792467">
      <w:bodyDiv w:val="1"/>
      <w:marLeft w:val="0"/>
      <w:marRight w:val="0"/>
      <w:marTop w:val="0"/>
      <w:marBottom w:val="0"/>
      <w:divBdr>
        <w:top w:val="none" w:sz="0" w:space="0" w:color="auto"/>
        <w:left w:val="none" w:sz="0" w:space="0" w:color="auto"/>
        <w:bottom w:val="none" w:sz="0" w:space="0" w:color="auto"/>
        <w:right w:val="none" w:sz="0" w:space="0" w:color="auto"/>
      </w:divBdr>
    </w:div>
    <w:div w:id="432019881">
      <w:bodyDiv w:val="1"/>
      <w:marLeft w:val="0"/>
      <w:marRight w:val="0"/>
      <w:marTop w:val="0"/>
      <w:marBottom w:val="0"/>
      <w:divBdr>
        <w:top w:val="none" w:sz="0" w:space="0" w:color="auto"/>
        <w:left w:val="none" w:sz="0" w:space="0" w:color="auto"/>
        <w:bottom w:val="none" w:sz="0" w:space="0" w:color="auto"/>
        <w:right w:val="none" w:sz="0" w:space="0" w:color="auto"/>
      </w:divBdr>
    </w:div>
    <w:div w:id="458690362">
      <w:bodyDiv w:val="1"/>
      <w:marLeft w:val="0"/>
      <w:marRight w:val="0"/>
      <w:marTop w:val="0"/>
      <w:marBottom w:val="0"/>
      <w:divBdr>
        <w:top w:val="none" w:sz="0" w:space="0" w:color="auto"/>
        <w:left w:val="none" w:sz="0" w:space="0" w:color="auto"/>
        <w:bottom w:val="none" w:sz="0" w:space="0" w:color="auto"/>
        <w:right w:val="none" w:sz="0" w:space="0" w:color="auto"/>
      </w:divBdr>
    </w:div>
    <w:div w:id="477187083">
      <w:bodyDiv w:val="1"/>
      <w:marLeft w:val="0"/>
      <w:marRight w:val="0"/>
      <w:marTop w:val="0"/>
      <w:marBottom w:val="0"/>
      <w:divBdr>
        <w:top w:val="none" w:sz="0" w:space="0" w:color="auto"/>
        <w:left w:val="none" w:sz="0" w:space="0" w:color="auto"/>
        <w:bottom w:val="none" w:sz="0" w:space="0" w:color="auto"/>
        <w:right w:val="none" w:sz="0" w:space="0" w:color="auto"/>
      </w:divBdr>
    </w:div>
    <w:div w:id="525411516">
      <w:bodyDiv w:val="1"/>
      <w:marLeft w:val="0"/>
      <w:marRight w:val="0"/>
      <w:marTop w:val="0"/>
      <w:marBottom w:val="0"/>
      <w:divBdr>
        <w:top w:val="none" w:sz="0" w:space="0" w:color="auto"/>
        <w:left w:val="none" w:sz="0" w:space="0" w:color="auto"/>
        <w:bottom w:val="none" w:sz="0" w:space="0" w:color="auto"/>
        <w:right w:val="none" w:sz="0" w:space="0" w:color="auto"/>
      </w:divBdr>
    </w:div>
    <w:div w:id="545794935">
      <w:bodyDiv w:val="1"/>
      <w:marLeft w:val="0"/>
      <w:marRight w:val="0"/>
      <w:marTop w:val="0"/>
      <w:marBottom w:val="0"/>
      <w:divBdr>
        <w:top w:val="none" w:sz="0" w:space="0" w:color="auto"/>
        <w:left w:val="none" w:sz="0" w:space="0" w:color="auto"/>
        <w:bottom w:val="none" w:sz="0" w:space="0" w:color="auto"/>
        <w:right w:val="none" w:sz="0" w:space="0" w:color="auto"/>
      </w:divBdr>
    </w:div>
    <w:div w:id="560989277">
      <w:bodyDiv w:val="1"/>
      <w:marLeft w:val="0"/>
      <w:marRight w:val="0"/>
      <w:marTop w:val="0"/>
      <w:marBottom w:val="0"/>
      <w:divBdr>
        <w:top w:val="none" w:sz="0" w:space="0" w:color="auto"/>
        <w:left w:val="none" w:sz="0" w:space="0" w:color="auto"/>
        <w:bottom w:val="none" w:sz="0" w:space="0" w:color="auto"/>
        <w:right w:val="none" w:sz="0" w:space="0" w:color="auto"/>
      </w:divBdr>
    </w:div>
    <w:div w:id="601450647">
      <w:bodyDiv w:val="1"/>
      <w:marLeft w:val="0"/>
      <w:marRight w:val="0"/>
      <w:marTop w:val="0"/>
      <w:marBottom w:val="0"/>
      <w:divBdr>
        <w:top w:val="none" w:sz="0" w:space="0" w:color="auto"/>
        <w:left w:val="none" w:sz="0" w:space="0" w:color="auto"/>
        <w:bottom w:val="none" w:sz="0" w:space="0" w:color="auto"/>
        <w:right w:val="none" w:sz="0" w:space="0" w:color="auto"/>
      </w:divBdr>
    </w:div>
    <w:div w:id="619990198">
      <w:bodyDiv w:val="1"/>
      <w:marLeft w:val="0"/>
      <w:marRight w:val="0"/>
      <w:marTop w:val="0"/>
      <w:marBottom w:val="0"/>
      <w:divBdr>
        <w:top w:val="none" w:sz="0" w:space="0" w:color="auto"/>
        <w:left w:val="none" w:sz="0" w:space="0" w:color="auto"/>
        <w:bottom w:val="none" w:sz="0" w:space="0" w:color="auto"/>
        <w:right w:val="none" w:sz="0" w:space="0" w:color="auto"/>
      </w:divBdr>
    </w:div>
    <w:div w:id="681081978">
      <w:bodyDiv w:val="1"/>
      <w:marLeft w:val="0"/>
      <w:marRight w:val="0"/>
      <w:marTop w:val="0"/>
      <w:marBottom w:val="0"/>
      <w:divBdr>
        <w:top w:val="none" w:sz="0" w:space="0" w:color="auto"/>
        <w:left w:val="none" w:sz="0" w:space="0" w:color="auto"/>
        <w:bottom w:val="none" w:sz="0" w:space="0" w:color="auto"/>
        <w:right w:val="none" w:sz="0" w:space="0" w:color="auto"/>
      </w:divBdr>
    </w:div>
    <w:div w:id="711880256">
      <w:bodyDiv w:val="1"/>
      <w:marLeft w:val="0"/>
      <w:marRight w:val="0"/>
      <w:marTop w:val="0"/>
      <w:marBottom w:val="0"/>
      <w:divBdr>
        <w:top w:val="none" w:sz="0" w:space="0" w:color="auto"/>
        <w:left w:val="none" w:sz="0" w:space="0" w:color="auto"/>
        <w:bottom w:val="none" w:sz="0" w:space="0" w:color="auto"/>
        <w:right w:val="none" w:sz="0" w:space="0" w:color="auto"/>
      </w:divBdr>
    </w:div>
    <w:div w:id="750197957">
      <w:bodyDiv w:val="1"/>
      <w:marLeft w:val="0"/>
      <w:marRight w:val="0"/>
      <w:marTop w:val="0"/>
      <w:marBottom w:val="0"/>
      <w:divBdr>
        <w:top w:val="none" w:sz="0" w:space="0" w:color="auto"/>
        <w:left w:val="none" w:sz="0" w:space="0" w:color="auto"/>
        <w:bottom w:val="none" w:sz="0" w:space="0" w:color="auto"/>
        <w:right w:val="none" w:sz="0" w:space="0" w:color="auto"/>
      </w:divBdr>
    </w:div>
    <w:div w:id="818885850">
      <w:bodyDiv w:val="1"/>
      <w:marLeft w:val="0"/>
      <w:marRight w:val="0"/>
      <w:marTop w:val="0"/>
      <w:marBottom w:val="0"/>
      <w:divBdr>
        <w:top w:val="none" w:sz="0" w:space="0" w:color="auto"/>
        <w:left w:val="none" w:sz="0" w:space="0" w:color="auto"/>
        <w:bottom w:val="none" w:sz="0" w:space="0" w:color="auto"/>
        <w:right w:val="none" w:sz="0" w:space="0" w:color="auto"/>
      </w:divBdr>
    </w:div>
    <w:div w:id="824318076">
      <w:bodyDiv w:val="1"/>
      <w:marLeft w:val="0"/>
      <w:marRight w:val="0"/>
      <w:marTop w:val="0"/>
      <w:marBottom w:val="0"/>
      <w:divBdr>
        <w:top w:val="none" w:sz="0" w:space="0" w:color="auto"/>
        <w:left w:val="none" w:sz="0" w:space="0" w:color="auto"/>
        <w:bottom w:val="none" w:sz="0" w:space="0" w:color="auto"/>
        <w:right w:val="none" w:sz="0" w:space="0" w:color="auto"/>
      </w:divBdr>
    </w:div>
    <w:div w:id="829441815">
      <w:bodyDiv w:val="1"/>
      <w:marLeft w:val="0"/>
      <w:marRight w:val="0"/>
      <w:marTop w:val="0"/>
      <w:marBottom w:val="0"/>
      <w:divBdr>
        <w:top w:val="none" w:sz="0" w:space="0" w:color="auto"/>
        <w:left w:val="none" w:sz="0" w:space="0" w:color="auto"/>
        <w:bottom w:val="none" w:sz="0" w:space="0" w:color="auto"/>
        <w:right w:val="none" w:sz="0" w:space="0" w:color="auto"/>
      </w:divBdr>
    </w:div>
    <w:div w:id="845482139">
      <w:bodyDiv w:val="1"/>
      <w:marLeft w:val="0"/>
      <w:marRight w:val="0"/>
      <w:marTop w:val="0"/>
      <w:marBottom w:val="0"/>
      <w:divBdr>
        <w:top w:val="none" w:sz="0" w:space="0" w:color="auto"/>
        <w:left w:val="none" w:sz="0" w:space="0" w:color="auto"/>
        <w:bottom w:val="none" w:sz="0" w:space="0" w:color="auto"/>
        <w:right w:val="none" w:sz="0" w:space="0" w:color="auto"/>
      </w:divBdr>
    </w:div>
    <w:div w:id="916748510">
      <w:bodyDiv w:val="1"/>
      <w:marLeft w:val="0"/>
      <w:marRight w:val="0"/>
      <w:marTop w:val="0"/>
      <w:marBottom w:val="0"/>
      <w:divBdr>
        <w:top w:val="none" w:sz="0" w:space="0" w:color="auto"/>
        <w:left w:val="none" w:sz="0" w:space="0" w:color="auto"/>
        <w:bottom w:val="none" w:sz="0" w:space="0" w:color="auto"/>
        <w:right w:val="none" w:sz="0" w:space="0" w:color="auto"/>
      </w:divBdr>
    </w:div>
    <w:div w:id="917792193">
      <w:bodyDiv w:val="1"/>
      <w:marLeft w:val="0"/>
      <w:marRight w:val="0"/>
      <w:marTop w:val="0"/>
      <w:marBottom w:val="0"/>
      <w:divBdr>
        <w:top w:val="none" w:sz="0" w:space="0" w:color="auto"/>
        <w:left w:val="none" w:sz="0" w:space="0" w:color="auto"/>
        <w:bottom w:val="none" w:sz="0" w:space="0" w:color="auto"/>
        <w:right w:val="none" w:sz="0" w:space="0" w:color="auto"/>
      </w:divBdr>
    </w:div>
    <w:div w:id="931549433">
      <w:bodyDiv w:val="1"/>
      <w:marLeft w:val="0"/>
      <w:marRight w:val="0"/>
      <w:marTop w:val="0"/>
      <w:marBottom w:val="0"/>
      <w:divBdr>
        <w:top w:val="none" w:sz="0" w:space="0" w:color="auto"/>
        <w:left w:val="none" w:sz="0" w:space="0" w:color="auto"/>
        <w:bottom w:val="none" w:sz="0" w:space="0" w:color="auto"/>
        <w:right w:val="none" w:sz="0" w:space="0" w:color="auto"/>
      </w:divBdr>
    </w:div>
    <w:div w:id="958531285">
      <w:bodyDiv w:val="1"/>
      <w:marLeft w:val="0"/>
      <w:marRight w:val="0"/>
      <w:marTop w:val="0"/>
      <w:marBottom w:val="0"/>
      <w:divBdr>
        <w:top w:val="none" w:sz="0" w:space="0" w:color="auto"/>
        <w:left w:val="none" w:sz="0" w:space="0" w:color="auto"/>
        <w:bottom w:val="none" w:sz="0" w:space="0" w:color="auto"/>
        <w:right w:val="none" w:sz="0" w:space="0" w:color="auto"/>
      </w:divBdr>
    </w:div>
    <w:div w:id="960303827">
      <w:bodyDiv w:val="1"/>
      <w:marLeft w:val="0"/>
      <w:marRight w:val="0"/>
      <w:marTop w:val="0"/>
      <w:marBottom w:val="0"/>
      <w:divBdr>
        <w:top w:val="none" w:sz="0" w:space="0" w:color="auto"/>
        <w:left w:val="none" w:sz="0" w:space="0" w:color="auto"/>
        <w:bottom w:val="none" w:sz="0" w:space="0" w:color="auto"/>
        <w:right w:val="none" w:sz="0" w:space="0" w:color="auto"/>
      </w:divBdr>
    </w:div>
    <w:div w:id="1021711285">
      <w:bodyDiv w:val="1"/>
      <w:marLeft w:val="0"/>
      <w:marRight w:val="0"/>
      <w:marTop w:val="0"/>
      <w:marBottom w:val="0"/>
      <w:divBdr>
        <w:top w:val="none" w:sz="0" w:space="0" w:color="auto"/>
        <w:left w:val="none" w:sz="0" w:space="0" w:color="auto"/>
        <w:bottom w:val="none" w:sz="0" w:space="0" w:color="auto"/>
        <w:right w:val="none" w:sz="0" w:space="0" w:color="auto"/>
      </w:divBdr>
    </w:div>
    <w:div w:id="1056465012">
      <w:bodyDiv w:val="1"/>
      <w:marLeft w:val="0"/>
      <w:marRight w:val="0"/>
      <w:marTop w:val="0"/>
      <w:marBottom w:val="0"/>
      <w:divBdr>
        <w:top w:val="none" w:sz="0" w:space="0" w:color="auto"/>
        <w:left w:val="none" w:sz="0" w:space="0" w:color="auto"/>
        <w:bottom w:val="none" w:sz="0" w:space="0" w:color="auto"/>
        <w:right w:val="none" w:sz="0" w:space="0" w:color="auto"/>
      </w:divBdr>
    </w:div>
    <w:div w:id="1065951349">
      <w:bodyDiv w:val="1"/>
      <w:marLeft w:val="0"/>
      <w:marRight w:val="0"/>
      <w:marTop w:val="0"/>
      <w:marBottom w:val="0"/>
      <w:divBdr>
        <w:top w:val="none" w:sz="0" w:space="0" w:color="auto"/>
        <w:left w:val="none" w:sz="0" w:space="0" w:color="auto"/>
        <w:bottom w:val="none" w:sz="0" w:space="0" w:color="auto"/>
        <w:right w:val="none" w:sz="0" w:space="0" w:color="auto"/>
      </w:divBdr>
    </w:div>
    <w:div w:id="1068764257">
      <w:bodyDiv w:val="1"/>
      <w:marLeft w:val="0"/>
      <w:marRight w:val="0"/>
      <w:marTop w:val="0"/>
      <w:marBottom w:val="0"/>
      <w:divBdr>
        <w:top w:val="none" w:sz="0" w:space="0" w:color="auto"/>
        <w:left w:val="none" w:sz="0" w:space="0" w:color="auto"/>
        <w:bottom w:val="none" w:sz="0" w:space="0" w:color="auto"/>
        <w:right w:val="none" w:sz="0" w:space="0" w:color="auto"/>
      </w:divBdr>
    </w:div>
    <w:div w:id="1073820318">
      <w:bodyDiv w:val="1"/>
      <w:marLeft w:val="0"/>
      <w:marRight w:val="0"/>
      <w:marTop w:val="0"/>
      <w:marBottom w:val="0"/>
      <w:divBdr>
        <w:top w:val="none" w:sz="0" w:space="0" w:color="auto"/>
        <w:left w:val="none" w:sz="0" w:space="0" w:color="auto"/>
        <w:bottom w:val="none" w:sz="0" w:space="0" w:color="auto"/>
        <w:right w:val="none" w:sz="0" w:space="0" w:color="auto"/>
      </w:divBdr>
    </w:div>
    <w:div w:id="1106924267">
      <w:bodyDiv w:val="1"/>
      <w:marLeft w:val="0"/>
      <w:marRight w:val="0"/>
      <w:marTop w:val="0"/>
      <w:marBottom w:val="0"/>
      <w:divBdr>
        <w:top w:val="none" w:sz="0" w:space="0" w:color="auto"/>
        <w:left w:val="none" w:sz="0" w:space="0" w:color="auto"/>
        <w:bottom w:val="none" w:sz="0" w:space="0" w:color="auto"/>
        <w:right w:val="none" w:sz="0" w:space="0" w:color="auto"/>
      </w:divBdr>
    </w:div>
    <w:div w:id="1123499813">
      <w:bodyDiv w:val="1"/>
      <w:marLeft w:val="0"/>
      <w:marRight w:val="0"/>
      <w:marTop w:val="0"/>
      <w:marBottom w:val="0"/>
      <w:divBdr>
        <w:top w:val="none" w:sz="0" w:space="0" w:color="auto"/>
        <w:left w:val="none" w:sz="0" w:space="0" w:color="auto"/>
        <w:bottom w:val="none" w:sz="0" w:space="0" w:color="auto"/>
        <w:right w:val="none" w:sz="0" w:space="0" w:color="auto"/>
      </w:divBdr>
    </w:div>
    <w:div w:id="1129591567">
      <w:bodyDiv w:val="1"/>
      <w:marLeft w:val="0"/>
      <w:marRight w:val="0"/>
      <w:marTop w:val="0"/>
      <w:marBottom w:val="0"/>
      <w:divBdr>
        <w:top w:val="none" w:sz="0" w:space="0" w:color="auto"/>
        <w:left w:val="none" w:sz="0" w:space="0" w:color="auto"/>
        <w:bottom w:val="none" w:sz="0" w:space="0" w:color="auto"/>
        <w:right w:val="none" w:sz="0" w:space="0" w:color="auto"/>
      </w:divBdr>
    </w:div>
    <w:div w:id="1214347702">
      <w:bodyDiv w:val="1"/>
      <w:marLeft w:val="0"/>
      <w:marRight w:val="0"/>
      <w:marTop w:val="0"/>
      <w:marBottom w:val="0"/>
      <w:divBdr>
        <w:top w:val="none" w:sz="0" w:space="0" w:color="auto"/>
        <w:left w:val="none" w:sz="0" w:space="0" w:color="auto"/>
        <w:bottom w:val="none" w:sz="0" w:space="0" w:color="auto"/>
        <w:right w:val="none" w:sz="0" w:space="0" w:color="auto"/>
      </w:divBdr>
    </w:div>
    <w:div w:id="1223634433">
      <w:bodyDiv w:val="1"/>
      <w:marLeft w:val="0"/>
      <w:marRight w:val="0"/>
      <w:marTop w:val="0"/>
      <w:marBottom w:val="0"/>
      <w:divBdr>
        <w:top w:val="none" w:sz="0" w:space="0" w:color="auto"/>
        <w:left w:val="none" w:sz="0" w:space="0" w:color="auto"/>
        <w:bottom w:val="none" w:sz="0" w:space="0" w:color="auto"/>
        <w:right w:val="none" w:sz="0" w:space="0" w:color="auto"/>
      </w:divBdr>
    </w:div>
    <w:div w:id="1256012101">
      <w:bodyDiv w:val="1"/>
      <w:marLeft w:val="0"/>
      <w:marRight w:val="0"/>
      <w:marTop w:val="0"/>
      <w:marBottom w:val="0"/>
      <w:divBdr>
        <w:top w:val="none" w:sz="0" w:space="0" w:color="auto"/>
        <w:left w:val="none" w:sz="0" w:space="0" w:color="auto"/>
        <w:bottom w:val="none" w:sz="0" w:space="0" w:color="auto"/>
        <w:right w:val="none" w:sz="0" w:space="0" w:color="auto"/>
      </w:divBdr>
    </w:div>
    <w:div w:id="1294942267">
      <w:bodyDiv w:val="1"/>
      <w:marLeft w:val="0"/>
      <w:marRight w:val="0"/>
      <w:marTop w:val="0"/>
      <w:marBottom w:val="0"/>
      <w:divBdr>
        <w:top w:val="none" w:sz="0" w:space="0" w:color="auto"/>
        <w:left w:val="none" w:sz="0" w:space="0" w:color="auto"/>
        <w:bottom w:val="none" w:sz="0" w:space="0" w:color="auto"/>
        <w:right w:val="none" w:sz="0" w:space="0" w:color="auto"/>
      </w:divBdr>
    </w:div>
    <w:div w:id="1300040201">
      <w:bodyDiv w:val="1"/>
      <w:marLeft w:val="0"/>
      <w:marRight w:val="0"/>
      <w:marTop w:val="0"/>
      <w:marBottom w:val="0"/>
      <w:divBdr>
        <w:top w:val="none" w:sz="0" w:space="0" w:color="auto"/>
        <w:left w:val="none" w:sz="0" w:space="0" w:color="auto"/>
        <w:bottom w:val="none" w:sz="0" w:space="0" w:color="auto"/>
        <w:right w:val="none" w:sz="0" w:space="0" w:color="auto"/>
      </w:divBdr>
    </w:div>
    <w:div w:id="1309937037">
      <w:bodyDiv w:val="1"/>
      <w:marLeft w:val="0"/>
      <w:marRight w:val="0"/>
      <w:marTop w:val="0"/>
      <w:marBottom w:val="0"/>
      <w:divBdr>
        <w:top w:val="none" w:sz="0" w:space="0" w:color="auto"/>
        <w:left w:val="none" w:sz="0" w:space="0" w:color="auto"/>
        <w:bottom w:val="none" w:sz="0" w:space="0" w:color="auto"/>
        <w:right w:val="none" w:sz="0" w:space="0" w:color="auto"/>
      </w:divBdr>
    </w:div>
    <w:div w:id="1329359384">
      <w:bodyDiv w:val="1"/>
      <w:marLeft w:val="0"/>
      <w:marRight w:val="0"/>
      <w:marTop w:val="0"/>
      <w:marBottom w:val="0"/>
      <w:divBdr>
        <w:top w:val="none" w:sz="0" w:space="0" w:color="auto"/>
        <w:left w:val="none" w:sz="0" w:space="0" w:color="auto"/>
        <w:bottom w:val="none" w:sz="0" w:space="0" w:color="auto"/>
        <w:right w:val="none" w:sz="0" w:space="0" w:color="auto"/>
      </w:divBdr>
    </w:div>
    <w:div w:id="1400786515">
      <w:bodyDiv w:val="1"/>
      <w:marLeft w:val="0"/>
      <w:marRight w:val="0"/>
      <w:marTop w:val="0"/>
      <w:marBottom w:val="0"/>
      <w:divBdr>
        <w:top w:val="none" w:sz="0" w:space="0" w:color="auto"/>
        <w:left w:val="none" w:sz="0" w:space="0" w:color="auto"/>
        <w:bottom w:val="none" w:sz="0" w:space="0" w:color="auto"/>
        <w:right w:val="none" w:sz="0" w:space="0" w:color="auto"/>
      </w:divBdr>
    </w:div>
    <w:div w:id="1425149790">
      <w:bodyDiv w:val="1"/>
      <w:marLeft w:val="0"/>
      <w:marRight w:val="0"/>
      <w:marTop w:val="0"/>
      <w:marBottom w:val="0"/>
      <w:divBdr>
        <w:top w:val="none" w:sz="0" w:space="0" w:color="auto"/>
        <w:left w:val="none" w:sz="0" w:space="0" w:color="auto"/>
        <w:bottom w:val="none" w:sz="0" w:space="0" w:color="auto"/>
        <w:right w:val="none" w:sz="0" w:space="0" w:color="auto"/>
      </w:divBdr>
    </w:div>
    <w:div w:id="1431854916">
      <w:bodyDiv w:val="1"/>
      <w:marLeft w:val="0"/>
      <w:marRight w:val="0"/>
      <w:marTop w:val="0"/>
      <w:marBottom w:val="0"/>
      <w:divBdr>
        <w:top w:val="none" w:sz="0" w:space="0" w:color="auto"/>
        <w:left w:val="none" w:sz="0" w:space="0" w:color="auto"/>
        <w:bottom w:val="none" w:sz="0" w:space="0" w:color="auto"/>
        <w:right w:val="none" w:sz="0" w:space="0" w:color="auto"/>
      </w:divBdr>
    </w:div>
    <w:div w:id="1459566493">
      <w:bodyDiv w:val="1"/>
      <w:marLeft w:val="0"/>
      <w:marRight w:val="0"/>
      <w:marTop w:val="0"/>
      <w:marBottom w:val="0"/>
      <w:divBdr>
        <w:top w:val="none" w:sz="0" w:space="0" w:color="auto"/>
        <w:left w:val="none" w:sz="0" w:space="0" w:color="auto"/>
        <w:bottom w:val="none" w:sz="0" w:space="0" w:color="auto"/>
        <w:right w:val="none" w:sz="0" w:space="0" w:color="auto"/>
      </w:divBdr>
    </w:div>
    <w:div w:id="1465078865">
      <w:bodyDiv w:val="1"/>
      <w:marLeft w:val="0"/>
      <w:marRight w:val="0"/>
      <w:marTop w:val="0"/>
      <w:marBottom w:val="0"/>
      <w:divBdr>
        <w:top w:val="none" w:sz="0" w:space="0" w:color="auto"/>
        <w:left w:val="none" w:sz="0" w:space="0" w:color="auto"/>
        <w:bottom w:val="none" w:sz="0" w:space="0" w:color="auto"/>
        <w:right w:val="none" w:sz="0" w:space="0" w:color="auto"/>
      </w:divBdr>
    </w:div>
    <w:div w:id="1469517838">
      <w:bodyDiv w:val="1"/>
      <w:marLeft w:val="0"/>
      <w:marRight w:val="0"/>
      <w:marTop w:val="0"/>
      <w:marBottom w:val="0"/>
      <w:divBdr>
        <w:top w:val="none" w:sz="0" w:space="0" w:color="auto"/>
        <w:left w:val="none" w:sz="0" w:space="0" w:color="auto"/>
        <w:bottom w:val="none" w:sz="0" w:space="0" w:color="auto"/>
        <w:right w:val="none" w:sz="0" w:space="0" w:color="auto"/>
      </w:divBdr>
    </w:div>
    <w:div w:id="1492796302">
      <w:bodyDiv w:val="1"/>
      <w:marLeft w:val="0"/>
      <w:marRight w:val="0"/>
      <w:marTop w:val="0"/>
      <w:marBottom w:val="0"/>
      <w:divBdr>
        <w:top w:val="none" w:sz="0" w:space="0" w:color="auto"/>
        <w:left w:val="none" w:sz="0" w:space="0" w:color="auto"/>
        <w:bottom w:val="none" w:sz="0" w:space="0" w:color="auto"/>
        <w:right w:val="none" w:sz="0" w:space="0" w:color="auto"/>
      </w:divBdr>
    </w:div>
    <w:div w:id="1517885906">
      <w:bodyDiv w:val="1"/>
      <w:marLeft w:val="0"/>
      <w:marRight w:val="0"/>
      <w:marTop w:val="0"/>
      <w:marBottom w:val="0"/>
      <w:divBdr>
        <w:top w:val="none" w:sz="0" w:space="0" w:color="auto"/>
        <w:left w:val="none" w:sz="0" w:space="0" w:color="auto"/>
        <w:bottom w:val="none" w:sz="0" w:space="0" w:color="auto"/>
        <w:right w:val="none" w:sz="0" w:space="0" w:color="auto"/>
      </w:divBdr>
    </w:div>
    <w:div w:id="1571386673">
      <w:bodyDiv w:val="1"/>
      <w:marLeft w:val="0"/>
      <w:marRight w:val="0"/>
      <w:marTop w:val="0"/>
      <w:marBottom w:val="0"/>
      <w:divBdr>
        <w:top w:val="none" w:sz="0" w:space="0" w:color="auto"/>
        <w:left w:val="none" w:sz="0" w:space="0" w:color="auto"/>
        <w:bottom w:val="none" w:sz="0" w:space="0" w:color="auto"/>
        <w:right w:val="none" w:sz="0" w:space="0" w:color="auto"/>
      </w:divBdr>
    </w:div>
    <w:div w:id="1585609498">
      <w:bodyDiv w:val="1"/>
      <w:marLeft w:val="0"/>
      <w:marRight w:val="0"/>
      <w:marTop w:val="0"/>
      <w:marBottom w:val="0"/>
      <w:divBdr>
        <w:top w:val="none" w:sz="0" w:space="0" w:color="auto"/>
        <w:left w:val="none" w:sz="0" w:space="0" w:color="auto"/>
        <w:bottom w:val="none" w:sz="0" w:space="0" w:color="auto"/>
        <w:right w:val="none" w:sz="0" w:space="0" w:color="auto"/>
      </w:divBdr>
    </w:div>
    <w:div w:id="1626963032">
      <w:bodyDiv w:val="1"/>
      <w:marLeft w:val="0"/>
      <w:marRight w:val="0"/>
      <w:marTop w:val="0"/>
      <w:marBottom w:val="0"/>
      <w:divBdr>
        <w:top w:val="none" w:sz="0" w:space="0" w:color="auto"/>
        <w:left w:val="none" w:sz="0" w:space="0" w:color="auto"/>
        <w:bottom w:val="none" w:sz="0" w:space="0" w:color="auto"/>
        <w:right w:val="none" w:sz="0" w:space="0" w:color="auto"/>
      </w:divBdr>
      <w:divsChild>
        <w:div w:id="1841118335">
          <w:marLeft w:val="0"/>
          <w:marRight w:val="0"/>
          <w:marTop w:val="0"/>
          <w:marBottom w:val="0"/>
          <w:divBdr>
            <w:top w:val="none" w:sz="0" w:space="0" w:color="auto"/>
            <w:left w:val="none" w:sz="0" w:space="0" w:color="auto"/>
            <w:bottom w:val="none" w:sz="0" w:space="0" w:color="auto"/>
            <w:right w:val="none" w:sz="0" w:space="0" w:color="auto"/>
          </w:divBdr>
        </w:div>
      </w:divsChild>
    </w:div>
    <w:div w:id="1676878899">
      <w:bodyDiv w:val="1"/>
      <w:marLeft w:val="0"/>
      <w:marRight w:val="0"/>
      <w:marTop w:val="0"/>
      <w:marBottom w:val="0"/>
      <w:divBdr>
        <w:top w:val="none" w:sz="0" w:space="0" w:color="auto"/>
        <w:left w:val="none" w:sz="0" w:space="0" w:color="auto"/>
        <w:bottom w:val="none" w:sz="0" w:space="0" w:color="auto"/>
        <w:right w:val="none" w:sz="0" w:space="0" w:color="auto"/>
      </w:divBdr>
    </w:div>
    <w:div w:id="1710102223">
      <w:bodyDiv w:val="1"/>
      <w:marLeft w:val="0"/>
      <w:marRight w:val="0"/>
      <w:marTop w:val="0"/>
      <w:marBottom w:val="0"/>
      <w:divBdr>
        <w:top w:val="none" w:sz="0" w:space="0" w:color="auto"/>
        <w:left w:val="none" w:sz="0" w:space="0" w:color="auto"/>
        <w:bottom w:val="none" w:sz="0" w:space="0" w:color="auto"/>
        <w:right w:val="none" w:sz="0" w:space="0" w:color="auto"/>
      </w:divBdr>
    </w:div>
    <w:div w:id="1730762851">
      <w:bodyDiv w:val="1"/>
      <w:marLeft w:val="0"/>
      <w:marRight w:val="0"/>
      <w:marTop w:val="0"/>
      <w:marBottom w:val="0"/>
      <w:divBdr>
        <w:top w:val="none" w:sz="0" w:space="0" w:color="auto"/>
        <w:left w:val="none" w:sz="0" w:space="0" w:color="auto"/>
        <w:bottom w:val="none" w:sz="0" w:space="0" w:color="auto"/>
        <w:right w:val="none" w:sz="0" w:space="0" w:color="auto"/>
      </w:divBdr>
    </w:div>
    <w:div w:id="1732653969">
      <w:bodyDiv w:val="1"/>
      <w:marLeft w:val="0"/>
      <w:marRight w:val="0"/>
      <w:marTop w:val="0"/>
      <w:marBottom w:val="0"/>
      <w:divBdr>
        <w:top w:val="none" w:sz="0" w:space="0" w:color="auto"/>
        <w:left w:val="none" w:sz="0" w:space="0" w:color="auto"/>
        <w:bottom w:val="none" w:sz="0" w:space="0" w:color="auto"/>
        <w:right w:val="none" w:sz="0" w:space="0" w:color="auto"/>
      </w:divBdr>
    </w:div>
    <w:div w:id="1744402434">
      <w:bodyDiv w:val="1"/>
      <w:marLeft w:val="0"/>
      <w:marRight w:val="0"/>
      <w:marTop w:val="0"/>
      <w:marBottom w:val="0"/>
      <w:divBdr>
        <w:top w:val="none" w:sz="0" w:space="0" w:color="auto"/>
        <w:left w:val="none" w:sz="0" w:space="0" w:color="auto"/>
        <w:bottom w:val="none" w:sz="0" w:space="0" w:color="auto"/>
        <w:right w:val="none" w:sz="0" w:space="0" w:color="auto"/>
      </w:divBdr>
    </w:div>
    <w:div w:id="1788039812">
      <w:bodyDiv w:val="1"/>
      <w:marLeft w:val="0"/>
      <w:marRight w:val="0"/>
      <w:marTop w:val="0"/>
      <w:marBottom w:val="0"/>
      <w:divBdr>
        <w:top w:val="none" w:sz="0" w:space="0" w:color="auto"/>
        <w:left w:val="none" w:sz="0" w:space="0" w:color="auto"/>
        <w:bottom w:val="none" w:sz="0" w:space="0" w:color="auto"/>
        <w:right w:val="none" w:sz="0" w:space="0" w:color="auto"/>
      </w:divBdr>
    </w:div>
    <w:div w:id="1848712718">
      <w:bodyDiv w:val="1"/>
      <w:marLeft w:val="0"/>
      <w:marRight w:val="0"/>
      <w:marTop w:val="0"/>
      <w:marBottom w:val="0"/>
      <w:divBdr>
        <w:top w:val="none" w:sz="0" w:space="0" w:color="auto"/>
        <w:left w:val="none" w:sz="0" w:space="0" w:color="auto"/>
        <w:bottom w:val="none" w:sz="0" w:space="0" w:color="auto"/>
        <w:right w:val="none" w:sz="0" w:space="0" w:color="auto"/>
      </w:divBdr>
    </w:div>
    <w:div w:id="1855806460">
      <w:bodyDiv w:val="1"/>
      <w:marLeft w:val="0"/>
      <w:marRight w:val="0"/>
      <w:marTop w:val="0"/>
      <w:marBottom w:val="0"/>
      <w:divBdr>
        <w:top w:val="none" w:sz="0" w:space="0" w:color="auto"/>
        <w:left w:val="none" w:sz="0" w:space="0" w:color="auto"/>
        <w:bottom w:val="none" w:sz="0" w:space="0" w:color="auto"/>
        <w:right w:val="none" w:sz="0" w:space="0" w:color="auto"/>
      </w:divBdr>
    </w:div>
    <w:div w:id="1900095244">
      <w:bodyDiv w:val="1"/>
      <w:marLeft w:val="0"/>
      <w:marRight w:val="0"/>
      <w:marTop w:val="0"/>
      <w:marBottom w:val="0"/>
      <w:divBdr>
        <w:top w:val="none" w:sz="0" w:space="0" w:color="auto"/>
        <w:left w:val="none" w:sz="0" w:space="0" w:color="auto"/>
        <w:bottom w:val="none" w:sz="0" w:space="0" w:color="auto"/>
        <w:right w:val="none" w:sz="0" w:space="0" w:color="auto"/>
      </w:divBdr>
    </w:div>
    <w:div w:id="1923756098">
      <w:bodyDiv w:val="1"/>
      <w:marLeft w:val="0"/>
      <w:marRight w:val="0"/>
      <w:marTop w:val="0"/>
      <w:marBottom w:val="0"/>
      <w:divBdr>
        <w:top w:val="none" w:sz="0" w:space="0" w:color="auto"/>
        <w:left w:val="none" w:sz="0" w:space="0" w:color="auto"/>
        <w:bottom w:val="none" w:sz="0" w:space="0" w:color="auto"/>
        <w:right w:val="none" w:sz="0" w:space="0" w:color="auto"/>
      </w:divBdr>
    </w:div>
    <w:div w:id="2007320460">
      <w:bodyDiv w:val="1"/>
      <w:marLeft w:val="0"/>
      <w:marRight w:val="0"/>
      <w:marTop w:val="0"/>
      <w:marBottom w:val="0"/>
      <w:divBdr>
        <w:top w:val="none" w:sz="0" w:space="0" w:color="auto"/>
        <w:left w:val="none" w:sz="0" w:space="0" w:color="auto"/>
        <w:bottom w:val="none" w:sz="0" w:space="0" w:color="auto"/>
        <w:right w:val="none" w:sz="0" w:space="0" w:color="auto"/>
      </w:divBdr>
    </w:div>
    <w:div w:id="2049334182">
      <w:bodyDiv w:val="1"/>
      <w:marLeft w:val="0"/>
      <w:marRight w:val="0"/>
      <w:marTop w:val="0"/>
      <w:marBottom w:val="0"/>
      <w:divBdr>
        <w:top w:val="none" w:sz="0" w:space="0" w:color="auto"/>
        <w:left w:val="none" w:sz="0" w:space="0" w:color="auto"/>
        <w:bottom w:val="none" w:sz="0" w:space="0" w:color="auto"/>
        <w:right w:val="none" w:sz="0" w:space="0" w:color="auto"/>
      </w:divBdr>
    </w:div>
    <w:div w:id="2105682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oodandwine.com/holidays-events/christmas/gluten-free-christmas-recipes" TargetMode="External"/><Relationship Id="rId39"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whitbreadcareers.com/early-careers/school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1080/23311975.2024.2409942" TargetMode="External"/><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stor-org.ezproxy.uwtsd.ac.uk/stable/j.ctv1qp9g8r" TargetMode="External"/><Relationship Id="rId32" Type="http://schemas.openxmlformats.org/officeDocument/2006/relationships/hyperlink" Target="https://www.projectmanager.com/blog/henry-gantt-chart-history" TargetMode="External"/><Relationship Id="rId37" Type="http://schemas.openxmlformats.org/officeDocument/2006/relationships/image" Target="media/image17.png"/><Relationship Id="rId40"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vlebooks-com.ezproxy.uwtsd.ac.uk/Product/Index/1996777?page=0&amp;startBookmarkId=-1" TargetMode="External"/><Relationship Id="rId28" Type="http://schemas.openxmlformats.org/officeDocument/2006/relationships/hyperlink" Target="https://doi.org/10.1007/s10460-023-10515-6" TargetMode="External"/><Relationship Id="rId36"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sagepub.com/sites/default/files/upm-assets/113385_book_item_113385.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audible.co.uk/pd/The-Mind-of-the-Leader-Audiobook/B07FFB8QZL?creativeId=41e85e98-10b8-40e2-907d-6b663f04a42d&amp;loginAttempt=true&amp;pageLoadId=4jLbBlD28nRLD8V9&amp;qid=1730634705&amp;ref=a_search_c3_lProduct_1_1&amp;ref_pageloadid=not_applicable&amp;sr=1-1" TargetMode="External"/><Relationship Id="rId30" Type="http://schemas.openxmlformats.org/officeDocument/2006/relationships/hyperlink" Target="https://www.premierinn.com/gb/en/hotels/england/greater-london/london/london-paddington-paddington-basin.html?cid=KNC_Gen_B_UK_UK_Eng_PM_Paddington_Null_Null&amp;ef_id=5873c5145adf1b3bcda1a23301eb543d:G:s&amp;s_kwcid=AL" TargetMode="External"/><Relationship Id="rId35" Type="http://schemas.openxmlformats.org/officeDocument/2006/relationships/hyperlink" Target="https://doi.org/10.1080/19407963.2020.1862855"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mbok.org/" TargetMode="External"/><Relationship Id="rId33" Type="http://schemas.openxmlformats.org/officeDocument/2006/relationships/hyperlink" Target="https://www.whitbread.co.uk/about-us/management/" TargetMode="External"/><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106A12-AAFD-445E-897E-A5749AC96FD9}">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15A53-2F49-4C38-AC97-9869E2210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29</Pages>
  <Words>4615</Words>
  <Characters>26307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Event</dc:title>
  <dc:subject>Whitbread employee rewards Christmas dinner</dc:subject>
  <dc:creator>   </dc:creator>
  <cp:keywords/>
  <dc:description/>
  <cp:lastModifiedBy>   </cp:lastModifiedBy>
  <cp:revision>10</cp:revision>
  <dcterms:created xsi:type="dcterms:W3CDTF">2024-11-07T14:50:00Z</dcterms:created>
  <dcterms:modified xsi:type="dcterms:W3CDTF">2024-11-08T22:55:00Z</dcterms:modified>
  <cp:category>International meeting management BMIH6007</cp:category>
</cp:coreProperties>
</file>