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A8FE6E" w14:textId="382F0349" w:rsidR="78DAC983" w:rsidRDefault="78DAC983" w:rsidP="78DAC983">
      <w:pPr>
        <w:rPr>
          <w:rFonts w:ascii="Calibri" w:eastAsia="Calibri" w:hAnsi="Calibri" w:cs="Calibri"/>
        </w:rPr>
      </w:pPr>
    </w:p>
    <w:p w14:paraId="28F9F193" w14:textId="1D6B4F51" w:rsidR="78DAC983" w:rsidRDefault="1D3B3A99" w:rsidP="1D3B3A99">
      <w:pPr>
        <w:pStyle w:val="Title"/>
      </w:pPr>
      <w:r w:rsidRPr="1D3B3A99">
        <w:t xml:space="preserve">Lesley Morgan – 1706444  </w:t>
      </w:r>
    </w:p>
    <w:p w14:paraId="5C6ABF80" w14:textId="69C609F7" w:rsidR="78DAC983" w:rsidRDefault="1D3B3A99" w:rsidP="1D3B3A99">
      <w:pPr>
        <w:pStyle w:val="Title"/>
      </w:pPr>
      <w:r w:rsidRPr="1D3B3A99">
        <w:t xml:space="preserve">Research in Context ADAD5003  </w:t>
      </w:r>
    </w:p>
    <w:p w14:paraId="07B99DCC" w14:textId="0261C7C8" w:rsidR="78DAC983" w:rsidRDefault="1D3B3A99" w:rsidP="1D3B3A99">
      <w:pPr>
        <w:pStyle w:val="Heading1"/>
      </w:pPr>
      <w:r w:rsidRPr="1D3B3A99">
        <w:t xml:space="preserve"> Architectural Glass  </w:t>
      </w:r>
    </w:p>
    <w:p w14:paraId="0DEF62D4" w14:textId="4D2E6C5C" w:rsidR="78DAC983" w:rsidRDefault="1D3B3A99" w:rsidP="1D3B3A99">
      <w:pPr>
        <w:pStyle w:val="Heading1"/>
      </w:pPr>
      <w:r w:rsidRPr="1D3B3A99">
        <w:t xml:space="preserve"> Julia Lockheart/ Gwenllian Beynon  </w:t>
      </w:r>
    </w:p>
    <w:p w14:paraId="11B44EDE" w14:textId="083CC130" w:rsidR="78DAC983" w:rsidRDefault="1D3B3A99" w:rsidP="1D3B3A99">
      <w:pPr>
        <w:pStyle w:val="Heading1"/>
      </w:pPr>
      <w:r w:rsidRPr="1D3B3A99">
        <w:t xml:space="preserve"> Question 4: Outline a current environmental, political, or social issue that requires redesign. Explain how you will solve this issue over the duration of your future design career. Underline the tools and approaches will you use and discuss how and why.  </w:t>
      </w:r>
    </w:p>
    <w:p w14:paraId="54E4DB2D" w14:textId="35B640B2" w:rsidR="78DAC983" w:rsidRDefault="1D3B3A99" w:rsidP="1D3B3A99">
      <w:pPr>
        <w:pStyle w:val="Heading1"/>
      </w:pPr>
      <w:r w:rsidRPr="1D3B3A99">
        <w:t>Word Count: 2263</w:t>
      </w:r>
    </w:p>
    <w:p w14:paraId="7880C6E4" w14:textId="3C59FE86" w:rsidR="1D3B3A99" w:rsidRDefault="1D3B3A99" w:rsidP="1D3B3A99"/>
    <w:p w14:paraId="44FCAB78" w14:textId="637B2A3B" w:rsidR="1D3B3A99" w:rsidRDefault="1D3B3A99" w:rsidP="1D3B3A99"/>
    <w:p w14:paraId="210BEFE5" w14:textId="074958D8" w:rsidR="1D3B3A99" w:rsidRDefault="1D3B3A99">
      <w:r>
        <w:br w:type="page"/>
      </w:r>
    </w:p>
    <w:p w14:paraId="26AAD930" w14:textId="5460606E" w:rsidR="1D3B3A99" w:rsidRDefault="1D3B3A99" w:rsidP="1D3B3A99">
      <w:pPr>
        <w:spacing w:line="480" w:lineRule="auto"/>
        <w:ind w:firstLine="720"/>
        <w:jc w:val="both"/>
      </w:pPr>
      <w:r w:rsidRPr="1D3B3A99">
        <w:rPr>
          <w:rFonts w:ascii="Calibri" w:eastAsia="Calibri" w:hAnsi="Calibri" w:cs="Calibri"/>
        </w:rPr>
        <w:lastRenderedPageBreak/>
        <w:t xml:space="preserve">Bydd y traethawd yma yn trafod yr anawsterau moesegol o ddefnyddio cemegau llym a chynhyrchion anifeiliaid yn y diwydiant gwydr.   </w:t>
      </w:r>
      <w:r>
        <w:t>Gan gynnwys yr anawsterau a all godi o ddefnyddio paent gwydr sy'n nodweddiadol yn cynnwys metelau a deunyddiau gwenwynig a ddefnyddir i wneud gwydr lliw a phaentio draddodiadol o'r canol oesoedd.  Mae hyn yn cynnwys y gwahaniaethau a'r tebygrwydd rhwng cynhyrchu gwydr o'r Oesoedd Canol a'r hyn a ddefnyddir mewn cynhyrchu màs heddiw.  Hefyd, y dewisiadau personol y mae artist yn eu gwneud wrth ddefnyddio neu ystyried defnyddio brwsys paent anifeiliaid a ffwr wrth  paentio gwydr lliw.</w:t>
      </w:r>
    </w:p>
    <w:p w14:paraId="1C88D8FA" w14:textId="37BD7C31" w:rsidR="78DAC983" w:rsidRDefault="1D3B3A99" w:rsidP="1D3B3A99">
      <w:pPr>
        <w:spacing w:line="480" w:lineRule="auto"/>
        <w:ind w:firstLine="720"/>
        <w:jc w:val="both"/>
      </w:pPr>
      <w:r w:rsidRPr="1D3B3A99">
        <w:rPr>
          <w:rFonts w:ascii="Calibri" w:eastAsia="Calibri" w:hAnsi="Calibri" w:cs="Calibri"/>
        </w:rPr>
        <w:t xml:space="preserve">Mae testun sy'n dyddio o dua'r 8fed ganrif yn sôn am baentio gwydr lliw, fodd bynnag “by the 12th century it had become a sophisticated art form” (Stained Glass Museum, 2019).  Yn ystod y cyfnod hwn, mae’n debyg na fyddai’r cemegau a ddefnyddir i greu'r gwydr a'r paent yn llym o gwbl, sef cemeg ddaearol fwy cyffredin a geir ym myd natur.  Yn ystod y cyfnod hwn, roedd yn arfer cyffredin i ddefnyddio lludw 'beechwood' i greu'r gwydr (Jackson &amp; Smedley, 2008)  oherwydd y swm uchel o botasiwm gadwyd ar ôl y broseso o llosgi'r pren (Mikkelsen, 2019) byddai’r alcali hyn a cyfeirir ato fel ‘potash’ wedyn yn cael ei cymysgu gyda thywod a’i doddi i dymheredd uchel.  Wedyn byddai rhai metelau penodol yn cael eu hychwanegu at y gwydr toddedig i gynhyrchu lliw (Met Museum, 2019).  Mae defnyddio metelau gwahanol yn arwain i amryw o lywiau gwahanol. Er enghraifft, mae ychwanegu haearn (Fe2) yn cynhyrchu gwydr gwyrdd, wrth ddefnyddio aur (Au) yn cynhyrchu pinc dwfn (Compound Interest, 2015).  Nid yw’r process mewn gwydr modern yn annhebyg, o ran bod yn gynhwysion sylfaenol yn dal i gael eu defnyddio, ond ar raddfa lawer mwy.  </w:t>
      </w:r>
      <w:r>
        <w:t xml:space="preserve">Wrth wneud gwydr modern, mae'r sodiwm carbonad wedi disodli'r 'beechwood' (Woodford, 2018).  Mae'r deunydd yn digwydd yn naturiol mewn rhanbarthau cras, Mae'r sylwedd i'w gael yn naturiol mewn rhanbarthau cras, lle mae llawer iawn o ddyfroedd llyn yn anweddu a chyfeirir ato'n gyffredin fel 'lludw soda' (Meduim, 2016).  Yna caiff hwn ei gymysgu â'r unon tywod tawdd a gwydr wedi'i ailgylchu, i gynhyrchu gwydr newydd.  </w:t>
      </w:r>
      <w:r w:rsidRPr="1D3B3A99">
        <w:rPr>
          <w:rFonts w:ascii="Calibri" w:eastAsia="Calibri" w:hAnsi="Calibri" w:cs="Calibri"/>
        </w:rPr>
        <w:t xml:space="preserve">Mae gwydr fel deunydd ar gyfer adeiladu ac artistig yn gynaliadwy gan y gellir ailgylchu gwydr am gyfnod amhenodol, heb golli eich nerth na rinweddau esthetig.  Mae hyn yn golygu bod y </w:t>
      </w:r>
      <w:r w:rsidRPr="1D3B3A99">
        <w:rPr>
          <w:rFonts w:ascii="Calibri" w:eastAsia="Calibri" w:hAnsi="Calibri" w:cs="Calibri"/>
        </w:rPr>
        <w:lastRenderedPageBreak/>
        <w:t xml:space="preserve">broblem yn gorwedd gyda'r mathau o brosesau a chynhwysion penodol mae'r person sydd yn defnyddio’r gwydr am yn ei wneud.  </w:t>
      </w:r>
    </w:p>
    <w:p w14:paraId="0C8A162B" w14:textId="486281EB" w:rsidR="78DAC983" w:rsidRDefault="1D3B3A99" w:rsidP="1D3B3A99">
      <w:pPr>
        <w:spacing w:line="480" w:lineRule="auto"/>
        <w:ind w:firstLine="720"/>
        <w:jc w:val="both"/>
      </w:pPr>
      <w:r w:rsidRPr="1D3B3A99">
        <w:rPr>
          <w:rFonts w:ascii="Calibri" w:eastAsia="Calibri" w:hAnsi="Calibri" w:cs="Calibri"/>
        </w:rPr>
        <w:t xml:space="preserve">Fel yr amlinellwyd yn flaenorol, y cydrannau sy’n angenrheidiol i greu gwydr a phaent gwydr lle nad ydynt wedi’u gwneud o gemegau llym ond y gellid eu darganfod o amgylchedd mwy naturiol a chynaliadwy.  Mae Byrnes (2015) yn amlinellu’r broses o wneud gwydr yn yr oesoedd ganol.  Nid yw cynhwysion gwydr, o fewn peintio gwydr traddodiadol, wedi newid dros y chwe chan mlynedd diwethaf.  Yn draddodiadol, roedd paent gwydr wedi Cael ei wneud mas o wydr wedi malu i bowdr man.  Byddai hun yn cael ei wneud gan brentis, pwy fyddai wedi cymrid sawl awr i dorri lawr a malu'r gwydr mewn i bowdr man.  Unwaith y byddai hyn wedi’i gwblhau, byddai’r pant wedyn yn cael ei roi i’r </w:t>
      </w:r>
      <w:r w:rsidR="00782142">
        <w:rPr>
          <w:rFonts w:ascii="Calibri" w:eastAsia="Calibri" w:hAnsi="Calibri" w:cs="Calibri"/>
        </w:rPr>
        <w:t>artist</w:t>
      </w:r>
      <w:r w:rsidRPr="1D3B3A99">
        <w:rPr>
          <w:rFonts w:ascii="Calibri" w:eastAsia="Calibri" w:hAnsi="Calibri" w:cs="Calibri"/>
        </w:rPr>
        <w:t xml:space="preserve"> gwydr.  Mae’r paent gwydr bellach ar gael i’w brynu gan yr owns.  Oherwydd hyn mae paint gwydr yn nawr haws i </w:t>
      </w:r>
      <w:bookmarkStart w:id="0" w:name="_GoBack"/>
      <w:bookmarkEnd w:id="0"/>
      <w:r w:rsidR="00782142">
        <w:rPr>
          <w:rFonts w:ascii="Calibri" w:eastAsia="Calibri" w:hAnsi="Calibri" w:cs="Calibri"/>
        </w:rPr>
        <w:t>artist</w:t>
      </w:r>
      <w:r w:rsidRPr="1D3B3A99">
        <w:rPr>
          <w:rFonts w:ascii="Calibri" w:eastAsia="Calibri" w:hAnsi="Calibri" w:cs="Calibri"/>
        </w:rPr>
        <w:t xml:space="preserve"> gwydr gael gafael arno.  Mae’r </w:t>
      </w:r>
      <w:r w:rsidR="00782142">
        <w:rPr>
          <w:rFonts w:ascii="Calibri" w:eastAsia="Calibri" w:hAnsi="Calibri" w:cs="Calibri"/>
        </w:rPr>
        <w:t>artist</w:t>
      </w:r>
      <w:r w:rsidRPr="1D3B3A99">
        <w:rPr>
          <w:rFonts w:ascii="Calibri" w:eastAsia="Calibri" w:hAnsi="Calibri" w:cs="Calibri"/>
        </w:rPr>
        <w:t xml:space="preserve"> sydd yn bellach yn gyfrifol am waredu’r paint yn gywir.</w:t>
      </w:r>
    </w:p>
    <w:p w14:paraId="0AB24978" w14:textId="4552BF35" w:rsidR="78DAC983" w:rsidRDefault="1D3B3A99" w:rsidP="1D3B3A99">
      <w:pPr>
        <w:spacing w:line="480" w:lineRule="auto"/>
        <w:ind w:firstLine="720"/>
        <w:jc w:val="both"/>
      </w:pPr>
      <w:r w:rsidRPr="1D3B3A99">
        <w:rPr>
          <w:rFonts w:ascii="Calibri" w:eastAsia="Calibri" w:hAnsi="Calibri" w:cs="Calibri"/>
        </w:rPr>
        <w:t xml:space="preserve">Felly, mae'r elfennau amheus a yw paentio gwydr yn foesegol yn dibynnu ar helaeth  ddewisiadau unigol.  Ar p'un yw </w:t>
      </w:r>
      <w:r w:rsidR="00782142">
        <w:rPr>
          <w:rFonts w:ascii="Calibri" w:eastAsia="Calibri" w:hAnsi="Calibri" w:cs="Calibri"/>
        </w:rPr>
        <w:t>artist</w:t>
      </w:r>
      <w:r w:rsidRPr="1D3B3A99">
        <w:rPr>
          <w:rFonts w:ascii="Calibri" w:eastAsia="Calibri" w:hAnsi="Calibri" w:cs="Calibri"/>
        </w:rPr>
        <w:t xml:space="preserve"> neu gwmnïau'n gwneud penderfyniadau i ddefnyddiau a chemegau yn ddoeth gyda llawer iawn o feddwl ymlaen law ai peidio.  Mae e'n bwysig i </w:t>
      </w:r>
      <w:r w:rsidR="00782142">
        <w:rPr>
          <w:rFonts w:ascii="Calibri" w:eastAsia="Calibri" w:hAnsi="Calibri" w:cs="Calibri"/>
        </w:rPr>
        <w:t>artist</w:t>
      </w:r>
      <w:r w:rsidRPr="1D3B3A99">
        <w:rPr>
          <w:rFonts w:ascii="Calibri" w:eastAsia="Calibri" w:hAnsi="Calibri" w:cs="Calibri"/>
        </w:rPr>
        <w:t xml:space="preserve"> i roi mesuriadau yn lle i Atal cemegau  peryglus rhag mynd mewn i'r cwrs ddŵr. Mae'r Rheoliadau COSHH (2002) (Control of Substances Hazardous to Health Regulations) yn amlinellu'r dyletswyddau gweithwyr yn y gweithle.  Mae'n nodi a dylai gweithwyr defnyddio mesurau rheoli'r ffordd gath nhw ei drin (Health and Safety Executive, 2013 p.42)  Gwneir hyn men busnesau masnachol a chyfleusterau addysgol trwy sicrhau bod yr hyfforddiant cywir yn cael ei roi a hefyd yr offer amddiffyn peronol (Personal protective equipement, PPE) ar gael bob amser i gwblhau’r gwaith.  Yn ogystal â'r PPE a'r hyfforddiant cywir a ddarperir, mae'r hidlwyr gronynnau yn cael eu gosod ar systemau draenio sinc i sicrhau nad yw cemegau  o baent wydr yn mynd i mewn i'r cwrs dŵr.  Mae hidlwyr gronynnau yn cael eu gosod ar systemau draenio sinc i sicrhau nad yw cemegau  o baent wydr yn mynd i mewn i'r cwrs dŵr.  Ond nid oes unrhyw ffordd i ddweud faint o artistiaid sy'n cymryd y rhagofalon hyn yn eu stiwdios </w:t>
      </w:r>
      <w:r w:rsidRPr="1D3B3A99">
        <w:rPr>
          <w:rFonts w:ascii="Calibri" w:eastAsia="Calibri" w:hAnsi="Calibri" w:cs="Calibri"/>
        </w:rPr>
        <w:lastRenderedPageBreak/>
        <w:t>personol a chartrefi ar ôl gadael addysg neu waith.  Er enghraifft, ym myd addysg mae'n bosibl bod myfyrwyr yn dod yn gyfarwydd â chael gwared ar wastraff heb orfod ystyried effaith amgylcheddol eu gweithredoedd gan fod y rhagofalon sydd wedi cael ei rhoi yn llefydd gwaith.  Gall hyn arwain at beidio â gweithredu'r rhagofalon cywir mewn stiwdios personol y tu allan i'w cyfleusterau addysgol.  Er mwyn gwrthweithio hyn, mae'n debygol y byddai myfyrwyr yn elwa o hyfforddiant penodol ynghylch gwaredu cemegau peryglus yn gywir ar gyfer stiwdios personol.  Fyddai hwn yn godi'r ymwybyddiaeth o'r effeithiau cyffredinol y gallai'r cemegau hyn eu cael ar yr amgylchedd ac o bosib y dylanwadu ar y broses o wneud penderfyniadau i fod yn fwy moesegol.  Gan wneud penderfyniadau gwell a mwy moesegol all artistiaid wneud gwahaniaeth mawr i'r amgylchedd a hefyd i ofalu am iechyd ei hun.</w:t>
      </w:r>
    </w:p>
    <w:p w14:paraId="7129DB92" w14:textId="0EDA9376" w:rsidR="78DAC983" w:rsidRDefault="1D3B3A99" w:rsidP="1D3B3A99">
      <w:pPr>
        <w:spacing w:line="480" w:lineRule="auto"/>
        <w:ind w:firstLine="720"/>
        <w:jc w:val="both"/>
      </w:pPr>
      <w:r w:rsidRPr="1D3B3A99">
        <w:rPr>
          <w:rFonts w:ascii="Calibri" w:eastAsia="Calibri" w:hAnsi="Calibri" w:cs="Calibri"/>
        </w:rPr>
        <w:t xml:space="preserve">Gellid dweud bod paent gwydr traddodiadol yn hoff gyfrwng ymhlith </w:t>
      </w:r>
      <w:r w:rsidR="00782142">
        <w:rPr>
          <w:rFonts w:ascii="Calibri" w:eastAsia="Calibri" w:hAnsi="Calibri" w:cs="Calibri"/>
        </w:rPr>
        <w:t>artist</w:t>
      </w:r>
      <w:r w:rsidRPr="1D3B3A99">
        <w:rPr>
          <w:rFonts w:ascii="Calibri" w:eastAsia="Calibri" w:hAnsi="Calibri" w:cs="Calibri"/>
        </w:rPr>
        <w:t xml:space="preserve"> gwydr.  Dewis arall yn y maes hwn fyddai enamelau plwm isel yn cael eu gwneud gan Reusche (Creative Glass Guild, 2019b).  Mae'r cynhyrchion hyn yn sylweddol ddrytach ond mae ganddynt lawer llai o gemegau niweidio ynddyn nhw, lleihau’r risg i'r amgylchedd ac yr artist ei hun.  Gallai defnyddio'r rhain ddylanwadu'n gadarnhaol ar y mathau penodol o gynhyrchion a ddefnyddir gan artist yn y dyfodol.  Efallai na fydd y mathau hyn o gynhyrchion paent gwydr yn hyfyw i'w defnyddio o dan reoliadau llymach.  Maent yn crynhoi bod yn rhaid i unrhyw gynhyrchion neu ddeunyddiau a ddefnyddir yn ystod yr adferiad fod yn gydymdeimladol â'r dyluniad artistig gwreiddiol.  Mae hyn nid yn unig yn berthnasol i wydr lliw, ond hefyd y canllawiau cyffredinol ar gyfer gradd glasurol a gweithiau rhestredig yn gyffredinol.  Mae hyn yn golygu bod yn rhaid i'r deunyddiau a'r offer a ddefnyddir ar gyfer yr adfer fod yn debyg i'r rhai a fyddai wedi bod ar gael i'r arlunwydd ar adeg creu'r ffenestr.  Y canlyniad o hwn, byddai angen defnyddio paent gwydr traddodiadol ar gyfer gweithwyr hŷn sy'n cael eu hadfer.  Fodd bynnag, pe gallai gwaith gwydr sy'n cael ei wneud heddiw symud tuag at ddefnyddio paent sy'n fwy cyfeillgar i'r amgylchedd, wrth symud ymlaen byddai hyn yn lleihau'r angen i ddefnyddio paent llai niweidiol yn y dyfodol pan fydd angen gwneud gwaith adfer i'r ffenest.</w:t>
      </w:r>
    </w:p>
    <w:p w14:paraId="096C84D1" w14:textId="2B26C8CF" w:rsidR="78DAC983" w:rsidRDefault="1D3B3A99" w:rsidP="1D3B3A99">
      <w:pPr>
        <w:spacing w:line="480" w:lineRule="auto"/>
        <w:ind w:firstLine="720"/>
        <w:jc w:val="both"/>
      </w:pPr>
      <w:r w:rsidRPr="1D3B3A99">
        <w:rPr>
          <w:rFonts w:ascii="Calibri" w:eastAsia="Calibri" w:hAnsi="Calibri" w:cs="Calibri"/>
        </w:rPr>
        <w:lastRenderedPageBreak/>
        <w:t xml:space="preserve">Gallai fod mater moesegol gyda defnyddio brwsys sable yn y diwydiant gwydr.  Maer (Gwahardd) Deddf Ffermio Ffwr 2000 (Fur Farming (Prohibition) Act 2000) yn ddeddfwriaeth sy'n dyfynnu bod bridio anifeiliaid yn y DU am werth eu ffwr yn anghyfreithlon.  Mae hyn yn golygu bod yr holl ffwr yn y DU yn cael ei fewnforio o dramor.   Fodd bynnag, mae sôn am ffwr wedi'i fewnforio am ddod o'r wlad sydd â safonau lles anifeiliaid gwan neu ddim o gwbl.  Mae hyn yn golygu bod y rhan fwyaf o ffwr sy'n cael ei fewnforio i'r DU yn dod o ffynonellau anfoesegol (Humane Society, 2018).  O wybod hyn, mae'n annhebygol nad yw'r ffwr a ddefnyddir mewn brwsys paenti yn fwy moesegol na'r ffwr sy'n cael ei defnyddio mewn cotiau ac ategolion ffwr.  Codwyd pryderon am hyn yn Nhŷ’r Arglwyddi dros y blynyddoedd.  Daw adroddiad gan Dŷ’r Cyffredin (House of Commons) (2018) i’r casgliad bod materion moesegol o fewn mewnforio ffwr.  Mae'r adroddiad ei hun yn methu nodi'r hyn y gellir ei wneud yn y dyfodol i weithredu'r cyfyngiad ar werthiannau ffwr, ond mae'n tynnu sylw y bydd gweinidogion yn gwrando ar ddadleuon ar y ddwy ochr ystyriaethau lles anifeiliaid a dewis defnyddwyr.  Y brif ddadl yw ‘dewis defnyddiwr’. Gellir dadlau mai cwestiwn moesoldeb yw hwn.  Gall hon hefyd fod yn sgwrs gymhleth yn dibynnu ar farn bersonol ar beth yw moesoldeb.   </w:t>
      </w:r>
    </w:p>
    <w:p w14:paraId="7FBEB075" w14:textId="3BA7ACA5" w:rsidR="78DAC983" w:rsidRDefault="1D3B3A99" w:rsidP="1D3B3A99">
      <w:pPr>
        <w:spacing w:line="480" w:lineRule="auto"/>
        <w:ind w:firstLine="720"/>
        <w:jc w:val="both"/>
      </w:pPr>
      <w:r w:rsidRPr="1D3B3A99">
        <w:rPr>
          <w:rFonts w:ascii="Calibri" w:eastAsia="Calibri" w:hAnsi="Calibri" w:cs="Calibri"/>
        </w:rPr>
        <w:t>Gellid dweud bod ffwr go iawn a gwallt anifeiliaid yn cael ei ystyried yn well nid yn unig yn y diwydiant paentio gwydr, ond ar draws llawer o gyfryngau eraill, fel tempera, olewau, acrylig a dyfrlliwiau.  Mae'r ffibrau naturiol yn y gwallt yn rhoi hydwythedd a meddalwch iddo.  Ond hefyd oferwyd y trwch naturiol adeiladu'r ffibr' gwallt maent yn amsugnol iawn.  Mewn cymhariaeth, mae brwsys neilon synthetig yn dal llai o hylif, yn anodd ac yn oer i'w cyffwrdd ac yn brin o hyblygrwydd.  Byddai hyn yn golygu y byddai'n rhaid i artist gyfaddawdu ar yr offer a ddefnyddir wrth greu eu gwaith. Gall hwn fod yn ddewis hawdd.</w:t>
      </w:r>
    </w:p>
    <w:p w14:paraId="7B65150D" w14:textId="3F546BAE" w:rsidR="78DAC983" w:rsidRDefault="1D3B3A99" w:rsidP="1D3B3A99">
      <w:pPr>
        <w:spacing w:line="480" w:lineRule="auto"/>
        <w:ind w:firstLine="720"/>
        <w:jc w:val="both"/>
      </w:pPr>
      <w:r w:rsidRPr="1D3B3A99">
        <w:rPr>
          <w:rFonts w:ascii="Calibri" w:eastAsia="Calibri" w:hAnsi="Calibri" w:cs="Calibri"/>
        </w:rPr>
        <w:t xml:space="preserve">Dywed Kant fod y moesoldeb yn gorfod bod o Beth sydd yn foeseg ac yn dda, y defnydd o " will must be regarded as autonomous, or free, in the sense of being the author of the law that binds it.” (Johnson et al, 2019).  Yn gyfreithiol nid oes unrhyw yn bod gyda'r weithred o brynu cynnyrch ffwr anifeiliaid yn fwriadol.   Ond mae rhaid i bob unigolyn wneud ei benderfyniad ei hun ynghylch moeseg </w:t>
      </w:r>
      <w:r w:rsidRPr="1D3B3A99">
        <w:rPr>
          <w:rFonts w:ascii="Calibri" w:eastAsia="Calibri" w:hAnsi="Calibri" w:cs="Calibri"/>
        </w:rPr>
        <w:lastRenderedPageBreak/>
        <w:t>prynu'r cynhyrchion hyn.  Gellid codi dadl debyg o safbwynt Descartes.  Fel athronydd moesol, roedd Descartes yn cael ei adnabod i raddau helaeth fel rhesymegwr, School of Life, 2015).  O ddarpar Resymolwr gellir dweud nad yw perchennog y brwsh wedi cyflawni unrhyw gamwedd gan ei fod eisoes wedi'i gynhyrchu, gwneud prynu a bod yn berchen ar y brwsh yn hollol resymol.  Mewn cyferbyniad â hyn, byddai Hume yn dadlau bod moesoldeb yn cael ei arwain gan ein teimladau yn hytrach na rhesymeg a rhesymu:</w:t>
      </w:r>
    </w:p>
    <w:p w14:paraId="25BF4753" w14:textId="45ACF02B" w:rsidR="78DAC983" w:rsidRDefault="1D3B3A99" w:rsidP="1D3B3A99">
      <w:pPr>
        <w:spacing w:line="240" w:lineRule="auto"/>
        <w:ind w:left="720"/>
        <w:jc w:val="both"/>
      </w:pPr>
      <w:r w:rsidRPr="1D3B3A99">
        <w:rPr>
          <w:rFonts w:ascii="Calibri" w:eastAsia="Calibri" w:hAnsi="Calibri" w:cs="Calibri"/>
        </w:rPr>
        <w:t xml:space="preserve">Having been trained from an early age in the art of decency through the emotions. ‘Good’ means getting into good habits of feeling... A person could be extensively rational, but not that nice because being able to follow a complex argument or deduce trends from data does not make you sensitive to the suffering of others or skilled at keeping your temper (School of Life, 2016). </w:t>
      </w:r>
    </w:p>
    <w:p w14:paraId="74F3BEFD" w14:textId="0BE1813D" w:rsidR="1D3B3A99" w:rsidRDefault="1D3B3A99" w:rsidP="1D3B3A99">
      <w:pPr>
        <w:spacing w:line="480" w:lineRule="auto"/>
        <w:jc w:val="both"/>
      </w:pPr>
      <w:r w:rsidRPr="1D3B3A99">
        <w:rPr>
          <w:rFonts w:ascii="Calibri" w:eastAsia="Calibri" w:hAnsi="Calibri" w:cs="Calibri"/>
        </w:rPr>
        <w:t xml:space="preserve"> Gallai'r agweddau hyn ar bersonoliaeth rhywun hefyd fod oherwydd eu profiadau personol a'u magwraeth. Yn ôl y rhesymeg hon, gellid cytuno y byddai person yn gwrthwynebu ac yn osgoi prynu eitemau ffwr, oherwydd ei ymateb emosiynol i'r wybodaeth y mae anifail wedi'i dioddef fwyaf tebygol o gynhyrchu'r cynnyrch.  </w:t>
      </w:r>
      <w:r>
        <w:t>Yna gellir pwyso a mesur y penderfyniad moesegol. Pe bai artist yn prynu un o'r cynhyrchion hyn, gallent addo'n ffyddlon i edrych ar ôl eitem gan wybod bod yr eitem eisoes wedi'i chynhyrchu ac nid wrth ei law nhw.  Fodd bynnag, pe bai pob artist yn gwneud y penderfyniad hwn, yna byddai hynny'n awgrymu dioddefaint mawr i wneud dewis o frwsh paent yn ddidrugaredd.</w:t>
      </w:r>
    </w:p>
    <w:p w14:paraId="16ABAD1F" w14:textId="2E3E3659" w:rsidR="1D3B3A99" w:rsidRDefault="1D3B3A99" w:rsidP="1D3B3A99">
      <w:pPr>
        <w:spacing w:line="480" w:lineRule="auto"/>
        <w:ind w:firstLine="720"/>
      </w:pPr>
      <w:r>
        <w:t xml:space="preserve">Gall edrych ar ychydig o'r pwyntiau uchod wneud penderfyniadau yn fy ymarfer fy hun yn heriol.  Mae gwydr fel cynfas ar gyfer celf, boed hynny mewn ffenestri neu fel celf addurniadol yn sylwedd cynaliadwy, oherwydd gellir ei ailgylchu am gyfnod amhenodol.  Yn yr ystyr hwnnw mae'n annhebygol na fyddai'r gwydr ei hun yn achosi niwed i'r amgylcheddau pe bai'n dod o hyd i'w ffordd yn ôl i natur.  Y paent eu hunain yn y gofod stiwdio sydd fwyaf niweidiol nid yn unig i'r amgylchedd, ond hefyd o bosibl i'r artist sy'n eu defnyddio.  Ar gyfer fy ymarfer personol rwy'n ofalus iawn dros y PPE rwy'n ei ddefnyddio wrth gynhyrchu gwaith a hefyd faint o'r tocsinau hyn sy'n mynd i lawr y sinc ac yn dychwelyd i'r cwrs dŵr.  Mae hyn yn rhywbeth sydd wedi'i ddysgu i mi gan </w:t>
      </w:r>
      <w:r w:rsidR="00782142">
        <w:t>artist</w:t>
      </w:r>
      <w:r>
        <w:t xml:space="preserve"> arall sy'n ymwybodol o'u gweithredoedd a'r effaith y gallai ei chael ar yr amgylchedd.  A’r ymwybyddiaeth </w:t>
      </w:r>
      <w:r>
        <w:lastRenderedPageBreak/>
        <w:t>ofalgar hon y mae angen ei hamlygu, er mwyn sicrhau bod yr arfer o wydr lliw wedi’i baentio yn goroesi yn y dyfodol.</w:t>
      </w:r>
    </w:p>
    <w:p w14:paraId="22D8F708" w14:textId="18305E8D" w:rsidR="1D3B3A99" w:rsidRDefault="1D3B3A99" w:rsidP="1D3B3A99">
      <w:pPr>
        <w:spacing w:line="480" w:lineRule="auto"/>
        <w:ind w:firstLine="720"/>
        <w:jc w:val="both"/>
      </w:pPr>
      <w:r>
        <w:t>Byddaf hefyd yn gwneud ymdrech ymwybodol i ddewis gweithiau a chomisiynau yn seiliedig ar y deunyddiau y gallaf eu defnyddio i gyflawni'r tasgau. Byddai hyn yn golygu y byddwn yn fwyaf tebygol o ddewis gwaith newydd yn hytrach nag adfer darn hŷn o waith hen.  Mae hyn yn bennaf oherwydd ei fod eisoes wedi penderfynu prynu'r brwsys ffwr go iawn angenrheidiol i gyflawni'r swydd, ond ar y pryd heb roi cryn ystyriaeth i ble roedd y brwsys wedi dod o. Ar ôl pwyso a mesur cost foesegol ailosod y brwsys, byddai angen imi bara cyhyd â phosibl gan wybod y gost a ddeuai i'w disodli.  Hefyd byddai'n rhoi cyfle i mi geisio defnyddio paent newydd sydd â llai o gemegau ynddynt. Byddai angen gwneud hyn yn gynnil oherwydd y gost uchel o'i gymharu â phaent arferol. Wrth edrych i'r dyfodol, rwy'n gobeithio am ddatblygiad mewn brwsys synthetig. Gwybod mai siâp a gwead y ffibrau synthetig yw rhai o'r materion.  An improvement in this area may help remove the need to use animal fur brushes altogether, particularly if the qualities could equal that of Real fur.  Gellir dweud yr un peth hefyd am ddatblygu paent llai peryglus, gan roi llai o risg i artist gwydr.  Byddwn hefyd o fudd i artist yn y dyfodol pe bai angen adfer y gwaith. Gan y byddai angen defnyddio'r un paent ag y byddai'r artist wedi bod ar gael iddynt ar y pryd.  Byddai'r ddau beth yr un mor wersyllu'r cyfyng-gyngor moesegol y byddai artist yn ei ymarfer yn y dyfodol.</w:t>
      </w:r>
      <w:r>
        <w:br/>
      </w:r>
    </w:p>
    <w:p w14:paraId="04BA2C8C" w14:textId="014225CE" w:rsidR="1D3B3A99" w:rsidRDefault="1D3B3A99" w:rsidP="1D3B3A99">
      <w:r>
        <w:br/>
      </w:r>
    </w:p>
    <w:p w14:paraId="69488DE9" w14:textId="1DD477CB" w:rsidR="1D3B3A99" w:rsidRDefault="1D3B3A99" w:rsidP="1D3B3A99">
      <w:r>
        <w:br/>
      </w:r>
    </w:p>
    <w:p w14:paraId="53FBE8ED" w14:textId="52CDAEB1" w:rsidR="1D3B3A99" w:rsidRDefault="1D3B3A99">
      <w:r>
        <w:t>.</w:t>
      </w:r>
      <w:r>
        <w:br/>
      </w:r>
    </w:p>
    <w:p w14:paraId="719511E2" w14:textId="1FE5922B" w:rsidR="1D3B3A99" w:rsidRDefault="1D3B3A99" w:rsidP="1D3B3A99">
      <w:r>
        <w:br/>
      </w:r>
    </w:p>
    <w:p w14:paraId="0A971245" w14:textId="6C000440" w:rsidR="1D3B3A99" w:rsidRDefault="1D3B3A99" w:rsidP="1D3B3A99">
      <w:r>
        <w:br/>
      </w:r>
    </w:p>
    <w:p w14:paraId="238A43A1" w14:textId="13540AC5" w:rsidR="1D3B3A99" w:rsidRDefault="1D3B3A99" w:rsidP="1D3B3A99">
      <w:r>
        <w:lastRenderedPageBreak/>
        <w:br/>
      </w:r>
    </w:p>
    <w:p w14:paraId="42F5A444" w14:textId="33FEA583" w:rsidR="1D3B3A99" w:rsidRDefault="1D3B3A99" w:rsidP="1D3B3A99">
      <w:r>
        <w:br/>
      </w:r>
      <w:r w:rsidRPr="1D3B3A99">
        <w:rPr>
          <w:rStyle w:val="Heading1Char"/>
        </w:rPr>
        <w:t>References</w:t>
      </w:r>
    </w:p>
    <w:p w14:paraId="30E77695" w14:textId="5592FF6E" w:rsidR="1D3B3A99" w:rsidRDefault="1D3B3A99" w:rsidP="1D3B3A99">
      <w:pPr>
        <w:rPr>
          <w:rFonts w:eastAsiaTheme="minorEastAsia"/>
          <w:sz w:val="24"/>
          <w:szCs w:val="24"/>
        </w:rPr>
      </w:pPr>
      <w:r w:rsidRPr="1D3B3A99">
        <w:rPr>
          <w:rFonts w:eastAsiaTheme="minorEastAsia"/>
          <w:sz w:val="24"/>
          <w:szCs w:val="24"/>
        </w:rPr>
        <w:t xml:space="preserve">Creativeglassguild.co.uk. (2019). </w:t>
      </w:r>
      <w:r w:rsidRPr="1D3B3A99">
        <w:rPr>
          <w:rFonts w:eastAsiaTheme="minorEastAsia"/>
          <w:i/>
          <w:iCs/>
          <w:sz w:val="24"/>
          <w:szCs w:val="24"/>
        </w:rPr>
        <w:t xml:space="preserve">Reusche Glass Paint Carmine Transparent 2777  </w:t>
      </w:r>
      <w:r w:rsidRPr="1D3B3A99">
        <w:rPr>
          <w:rFonts w:eastAsiaTheme="minorEastAsia"/>
          <w:sz w:val="24"/>
          <w:szCs w:val="24"/>
        </w:rPr>
        <w:t>[online] Available at: https://www.creativeglassguild.co.uk/prod/reusche-glass-paint-carmine-transparent-2777 accessed 04/12/2019 [Accessed 3 Dec. 2019].</w:t>
      </w:r>
    </w:p>
    <w:p w14:paraId="558DC2D8" w14:textId="7B2F861C" w:rsidR="1D3B3A99" w:rsidRDefault="1D3B3A99" w:rsidP="1D3B3A99">
      <w:pPr>
        <w:rPr>
          <w:rFonts w:eastAsiaTheme="minorEastAsia"/>
          <w:sz w:val="24"/>
          <w:szCs w:val="24"/>
        </w:rPr>
      </w:pPr>
      <w:r w:rsidRPr="1D3B3A99">
        <w:rPr>
          <w:rFonts w:eastAsiaTheme="minorEastAsia"/>
          <w:sz w:val="24"/>
          <w:szCs w:val="24"/>
        </w:rPr>
        <w:t xml:space="preserve">The School of Life (2015). </w:t>
      </w:r>
      <w:r w:rsidRPr="1D3B3A99">
        <w:rPr>
          <w:rFonts w:eastAsiaTheme="minorEastAsia"/>
          <w:i/>
          <w:iCs/>
          <w:sz w:val="24"/>
          <w:szCs w:val="24"/>
        </w:rPr>
        <w:t>PHILOSOPHY - Rene Descartes</w:t>
      </w:r>
      <w:r w:rsidRPr="1D3B3A99">
        <w:rPr>
          <w:rFonts w:eastAsiaTheme="minorEastAsia"/>
          <w:sz w:val="24"/>
          <w:szCs w:val="24"/>
        </w:rPr>
        <w:t>. [video] Available at: https://www.youtube.com/watch?v=CAjWUrwvxs4 [Accessed 12 Dec. 2019].</w:t>
      </w:r>
    </w:p>
    <w:p w14:paraId="4B20E77F" w14:textId="150B2416" w:rsidR="1D3B3A99" w:rsidRDefault="1D3B3A99" w:rsidP="1D3B3A99">
      <w:pPr>
        <w:rPr>
          <w:rFonts w:eastAsiaTheme="minorEastAsia"/>
          <w:sz w:val="24"/>
          <w:szCs w:val="24"/>
        </w:rPr>
      </w:pPr>
      <w:r w:rsidRPr="1D3B3A99">
        <w:rPr>
          <w:rFonts w:eastAsiaTheme="minorEastAsia"/>
          <w:sz w:val="24"/>
          <w:szCs w:val="24"/>
        </w:rPr>
        <w:t xml:space="preserve">Johnson, Robert, Cureton and Adam (2019). </w:t>
      </w:r>
      <w:r w:rsidRPr="1D3B3A99">
        <w:rPr>
          <w:rFonts w:eastAsiaTheme="minorEastAsia"/>
          <w:i/>
          <w:iCs/>
          <w:sz w:val="24"/>
          <w:szCs w:val="24"/>
        </w:rPr>
        <w:t>Kant’s Moral Philosophy (Stanford Encyclopedia of Philosophy/Spring 2019 Edition)</w:t>
      </w:r>
      <w:r w:rsidRPr="1D3B3A99">
        <w:rPr>
          <w:rFonts w:eastAsiaTheme="minorEastAsia"/>
          <w:sz w:val="24"/>
          <w:szCs w:val="24"/>
        </w:rPr>
        <w:t>. [online] Plato.stanford.edu. Available at: https://plato.stanford.edu/archives/spr2019/entries/kant-moral/ [Accessed 3 Dec. 2019].</w:t>
      </w:r>
    </w:p>
    <w:p w14:paraId="39E1F7D2" w14:textId="620CE972" w:rsidR="1D3B3A99" w:rsidRDefault="1D3B3A99" w:rsidP="1D3B3A99">
      <w:pPr>
        <w:rPr>
          <w:rFonts w:eastAsiaTheme="minorEastAsia"/>
          <w:sz w:val="24"/>
          <w:szCs w:val="24"/>
        </w:rPr>
      </w:pPr>
      <w:r w:rsidRPr="1D3B3A99">
        <w:rPr>
          <w:rFonts w:eastAsiaTheme="minorEastAsia"/>
          <w:sz w:val="24"/>
          <w:szCs w:val="24"/>
        </w:rPr>
        <w:t xml:space="preserve">Higgins, W. (2018). </w:t>
      </w:r>
      <w:r w:rsidRPr="1D3B3A99">
        <w:rPr>
          <w:rFonts w:eastAsiaTheme="minorEastAsia"/>
          <w:i/>
          <w:iCs/>
          <w:sz w:val="24"/>
          <w:szCs w:val="24"/>
        </w:rPr>
        <w:t>Fur farming is inherently unethical, veterinarians and experts tell MPs as Parliament prepares to debate a UK fur trade ban</w:t>
      </w:r>
      <w:r w:rsidRPr="1D3B3A99">
        <w:rPr>
          <w:rFonts w:eastAsiaTheme="minorEastAsia"/>
          <w:sz w:val="24"/>
          <w:szCs w:val="24"/>
        </w:rPr>
        <w:t>. [online] Humane Society International. Available at: https://www.hsi.org/news-media/vets-fur-concern-053018/ [Accessed 7 Dec. 2019].</w:t>
      </w:r>
    </w:p>
    <w:p w14:paraId="45268CF5" w14:textId="6A467D60" w:rsidR="1D3B3A99" w:rsidRDefault="1D3B3A99" w:rsidP="1D3B3A99">
      <w:pPr>
        <w:rPr>
          <w:rFonts w:eastAsiaTheme="minorEastAsia"/>
          <w:sz w:val="24"/>
          <w:szCs w:val="24"/>
        </w:rPr>
      </w:pPr>
      <w:r w:rsidRPr="1D3B3A99">
        <w:rPr>
          <w:rFonts w:eastAsiaTheme="minorEastAsia"/>
          <w:sz w:val="24"/>
          <w:szCs w:val="24"/>
        </w:rPr>
        <w:t xml:space="preserve">The School of Life (2016). </w:t>
      </w:r>
      <w:r w:rsidRPr="1D3B3A99">
        <w:rPr>
          <w:rFonts w:eastAsiaTheme="minorEastAsia"/>
          <w:i/>
          <w:iCs/>
          <w:sz w:val="24"/>
          <w:szCs w:val="24"/>
        </w:rPr>
        <w:t>PHILOSOPHY - David Hume</w:t>
      </w:r>
      <w:r w:rsidRPr="1D3B3A99">
        <w:rPr>
          <w:rFonts w:eastAsiaTheme="minorEastAsia"/>
          <w:sz w:val="24"/>
          <w:szCs w:val="24"/>
        </w:rPr>
        <w:t>. [video] Available at: https://www.youtube.com/watch?v=HS52H_CqZLE [Accessed 3 Dec. 2019].</w:t>
      </w:r>
    </w:p>
    <w:p w14:paraId="4989C765" w14:textId="2A1732B7" w:rsidR="1D3B3A99" w:rsidRDefault="1D3B3A99" w:rsidP="1D3B3A99">
      <w:pPr>
        <w:rPr>
          <w:rFonts w:eastAsiaTheme="minorEastAsia"/>
          <w:sz w:val="24"/>
          <w:szCs w:val="24"/>
        </w:rPr>
      </w:pPr>
      <w:r w:rsidRPr="1D3B3A99">
        <w:rPr>
          <w:rFonts w:eastAsiaTheme="minorEastAsia"/>
          <w:sz w:val="24"/>
          <w:szCs w:val="24"/>
        </w:rPr>
        <w:t xml:space="preserve">Mikkelsen, R. (2019). </w:t>
      </w:r>
      <w:r w:rsidRPr="1D3B3A99">
        <w:rPr>
          <w:rFonts w:eastAsiaTheme="minorEastAsia"/>
          <w:i/>
          <w:iCs/>
          <w:sz w:val="24"/>
          <w:szCs w:val="24"/>
        </w:rPr>
        <w:t>What is Potash</w:t>
      </w:r>
      <w:r w:rsidRPr="1D3B3A99">
        <w:rPr>
          <w:rFonts w:eastAsiaTheme="minorEastAsia"/>
          <w:sz w:val="24"/>
          <w:szCs w:val="24"/>
        </w:rPr>
        <w:t>. [online] Cropnutrition.com. Available at: https://www.cropnutrition.com/what-is-potash [Accessed 2 Dec. 2019].</w:t>
      </w:r>
    </w:p>
    <w:p w14:paraId="3B6A6033" w14:textId="6F6DFBE8" w:rsidR="1D3B3A99" w:rsidRDefault="1D3B3A99" w:rsidP="1D3B3A99">
      <w:pPr>
        <w:rPr>
          <w:rFonts w:eastAsiaTheme="minorEastAsia"/>
          <w:sz w:val="24"/>
          <w:szCs w:val="24"/>
        </w:rPr>
      </w:pPr>
      <w:r w:rsidRPr="1D3B3A99">
        <w:rPr>
          <w:rFonts w:eastAsiaTheme="minorEastAsia"/>
          <w:sz w:val="24"/>
          <w:szCs w:val="24"/>
        </w:rPr>
        <w:t xml:space="preserve">Jackson, C. and Smedley, J. (2008). </w:t>
      </w:r>
      <w:r w:rsidRPr="1D3B3A99">
        <w:rPr>
          <w:rFonts w:eastAsiaTheme="minorEastAsia"/>
          <w:i/>
          <w:iCs/>
          <w:sz w:val="24"/>
          <w:szCs w:val="24"/>
        </w:rPr>
        <w:t>Theophilus and the use of beech ash as a glassmaking alkali</w:t>
      </w:r>
      <w:r w:rsidRPr="1D3B3A99">
        <w:rPr>
          <w:rFonts w:eastAsiaTheme="minorEastAsia"/>
          <w:sz w:val="24"/>
          <w:szCs w:val="24"/>
        </w:rPr>
        <w:t>. [ebook] Sheffield: University of Sheffield, pp.117, 118. Available at: https://www.researchgate.net/publication/285188392_Theophilus_and_the_use_of_beech_ash_as_a_glassmaking_alkali [Accessed 3 Dec. 2019].</w:t>
      </w:r>
    </w:p>
    <w:p w14:paraId="67FE1CED" w14:textId="19BEF4DE" w:rsidR="1D3B3A99" w:rsidRDefault="1D3B3A99" w:rsidP="1D3B3A99">
      <w:pPr>
        <w:rPr>
          <w:rFonts w:eastAsiaTheme="minorEastAsia"/>
          <w:sz w:val="24"/>
          <w:szCs w:val="24"/>
        </w:rPr>
      </w:pPr>
      <w:r w:rsidRPr="1D3B3A99">
        <w:rPr>
          <w:rFonts w:eastAsiaTheme="minorEastAsia"/>
          <w:sz w:val="24"/>
          <w:szCs w:val="24"/>
        </w:rPr>
        <w:t xml:space="preserve">Health and Safety Executive (2013). </w:t>
      </w:r>
      <w:r w:rsidRPr="1D3B3A99">
        <w:rPr>
          <w:rFonts w:eastAsiaTheme="minorEastAsia"/>
          <w:i/>
          <w:iCs/>
          <w:sz w:val="24"/>
          <w:szCs w:val="24"/>
        </w:rPr>
        <w:t>Control of Substances Hazardous to Health Regulations 2002</w:t>
      </w:r>
      <w:r w:rsidRPr="1D3B3A99">
        <w:rPr>
          <w:rFonts w:eastAsiaTheme="minorEastAsia"/>
          <w:sz w:val="24"/>
          <w:szCs w:val="24"/>
        </w:rPr>
        <w:t>. Health and Safety Executive, p.42.</w:t>
      </w:r>
    </w:p>
    <w:p w14:paraId="20B04005" w14:textId="61174500" w:rsidR="1D3B3A99" w:rsidRDefault="1D3B3A99" w:rsidP="1D3B3A99">
      <w:pPr>
        <w:rPr>
          <w:rFonts w:eastAsiaTheme="minorEastAsia"/>
          <w:sz w:val="24"/>
          <w:szCs w:val="24"/>
        </w:rPr>
      </w:pPr>
      <w:r w:rsidRPr="1D3B3A99">
        <w:rPr>
          <w:rFonts w:eastAsiaTheme="minorEastAsia"/>
          <w:sz w:val="24"/>
          <w:szCs w:val="24"/>
        </w:rPr>
        <w:t xml:space="preserve">Woodford, C. (2018). </w:t>
      </w:r>
      <w:r w:rsidRPr="1D3B3A99">
        <w:rPr>
          <w:rFonts w:eastAsiaTheme="minorEastAsia"/>
          <w:i/>
          <w:iCs/>
          <w:sz w:val="24"/>
          <w:szCs w:val="24"/>
        </w:rPr>
        <w:t>What is glass? | How is glass made?</w:t>
      </w:r>
      <w:r w:rsidRPr="1D3B3A99">
        <w:rPr>
          <w:rFonts w:eastAsiaTheme="minorEastAsia"/>
          <w:sz w:val="24"/>
          <w:szCs w:val="24"/>
        </w:rPr>
        <w:t>. [online] Explain that Stuff. Available at: https://www.explainthatstuff.com/glass.html soda ash/ sodium carbonate. [Accessed 16 Dec. 2019].</w:t>
      </w:r>
    </w:p>
    <w:p w14:paraId="7F9BBD3B" w14:textId="2157E6AB" w:rsidR="1D3B3A99" w:rsidRDefault="1D3B3A99" w:rsidP="1D3B3A99">
      <w:pPr>
        <w:rPr>
          <w:rFonts w:eastAsiaTheme="minorEastAsia"/>
          <w:sz w:val="24"/>
          <w:szCs w:val="24"/>
        </w:rPr>
      </w:pPr>
      <w:r w:rsidRPr="1D3B3A99">
        <w:rPr>
          <w:rFonts w:eastAsiaTheme="minorEastAsia"/>
          <w:sz w:val="24"/>
          <w:szCs w:val="24"/>
        </w:rPr>
        <w:t xml:space="preserve">Medium. (2019). </w:t>
      </w:r>
      <w:r w:rsidRPr="1D3B3A99">
        <w:rPr>
          <w:rFonts w:eastAsiaTheme="minorEastAsia"/>
          <w:i/>
          <w:iCs/>
          <w:sz w:val="24"/>
          <w:szCs w:val="24"/>
        </w:rPr>
        <w:t>Interesting facts about Soda ash / Washing soda / Sodium carbonate</w:t>
      </w:r>
      <w:r w:rsidRPr="1D3B3A99">
        <w:rPr>
          <w:rFonts w:eastAsiaTheme="minorEastAsia"/>
          <w:sz w:val="24"/>
          <w:szCs w:val="24"/>
        </w:rPr>
        <w:t>. [online] Available at: https://medium.com/@worldofchemical/interesting-facts-about-soda-ash-washing-soda-sodium-carbonate-23bb922720a2 [Accessed 17 Dec. 2019].</w:t>
      </w:r>
    </w:p>
    <w:p w14:paraId="7F1F767D" w14:textId="3C42B5E1" w:rsidR="1D3B3A99" w:rsidRDefault="1D3B3A99" w:rsidP="1D3B3A99">
      <w:pPr>
        <w:rPr>
          <w:rFonts w:eastAsiaTheme="minorEastAsia"/>
          <w:sz w:val="24"/>
          <w:szCs w:val="24"/>
        </w:rPr>
      </w:pPr>
      <w:r w:rsidRPr="1D3B3A99">
        <w:rPr>
          <w:rFonts w:eastAsiaTheme="minorEastAsia"/>
          <w:sz w:val="24"/>
          <w:szCs w:val="24"/>
        </w:rPr>
        <w:t xml:space="preserve">Stainedglassmuseum.com. (2019). </w:t>
      </w:r>
      <w:r w:rsidRPr="1D3B3A99">
        <w:rPr>
          <w:rFonts w:eastAsiaTheme="minorEastAsia"/>
          <w:i/>
          <w:iCs/>
          <w:sz w:val="24"/>
          <w:szCs w:val="24"/>
        </w:rPr>
        <w:t>A Brief History of Stained Glass</w:t>
      </w:r>
      <w:r w:rsidRPr="1D3B3A99">
        <w:rPr>
          <w:rFonts w:eastAsiaTheme="minorEastAsia"/>
          <w:sz w:val="24"/>
          <w:szCs w:val="24"/>
        </w:rPr>
        <w:t>. [online] Available at: https://stainedglassmuseum.com/briefhistory [Accessed 17 Dec. 2019].</w:t>
      </w:r>
    </w:p>
    <w:p w14:paraId="35F6367F" w14:textId="3AB145B5" w:rsidR="1D3B3A99" w:rsidRDefault="1D3B3A99" w:rsidP="1D3B3A99">
      <w:pPr>
        <w:ind w:left="120" w:hanging="120"/>
        <w:rPr>
          <w:rFonts w:eastAsiaTheme="minorEastAsia"/>
          <w:sz w:val="24"/>
          <w:szCs w:val="24"/>
        </w:rPr>
      </w:pPr>
      <w:r w:rsidRPr="1D3B3A99">
        <w:rPr>
          <w:rFonts w:eastAsiaTheme="minorEastAsia"/>
          <w:sz w:val="24"/>
          <w:szCs w:val="24"/>
        </w:rPr>
        <w:t xml:space="preserve">House of Commons (2018). </w:t>
      </w:r>
      <w:r w:rsidRPr="1D3B3A99">
        <w:rPr>
          <w:rFonts w:eastAsiaTheme="minorEastAsia"/>
          <w:i/>
          <w:iCs/>
          <w:sz w:val="24"/>
          <w:szCs w:val="24"/>
        </w:rPr>
        <w:t>Fur trade in the UK</w:t>
      </w:r>
      <w:r w:rsidRPr="1D3B3A99">
        <w:rPr>
          <w:rFonts w:eastAsiaTheme="minorEastAsia"/>
          <w:sz w:val="24"/>
          <w:szCs w:val="24"/>
        </w:rPr>
        <w:t xml:space="preserve">. [online] London: House of Commons. Available at: </w:t>
      </w:r>
      <w:r w:rsidRPr="1D3B3A99">
        <w:rPr>
          <w:rFonts w:eastAsiaTheme="minorEastAsia"/>
          <w:sz w:val="24"/>
          <w:szCs w:val="24"/>
        </w:rPr>
        <w:lastRenderedPageBreak/>
        <w:t>https://publications.parliament.uk/pa/cm201719/cmselect/cmenvfru/823/823.pdf [Accessed 17 Dec. 2019].</w:t>
      </w:r>
    </w:p>
    <w:p w14:paraId="7BBDBEB0" w14:textId="163E34FB" w:rsidR="1D3B3A99" w:rsidRDefault="1D3B3A99" w:rsidP="1D3B3A99">
      <w:pPr>
        <w:rPr>
          <w:rFonts w:eastAsiaTheme="minorEastAsia"/>
          <w:sz w:val="24"/>
          <w:szCs w:val="24"/>
        </w:rPr>
      </w:pPr>
      <w:r w:rsidRPr="1D3B3A99">
        <w:rPr>
          <w:rFonts w:eastAsiaTheme="minorEastAsia"/>
          <w:i/>
          <w:iCs/>
          <w:sz w:val="24"/>
          <w:szCs w:val="24"/>
        </w:rPr>
        <w:t xml:space="preserve">Fur Farming (Prohibition) Act 2000. </w:t>
      </w:r>
      <w:r w:rsidRPr="1D3B3A99">
        <w:rPr>
          <w:rFonts w:eastAsiaTheme="minorEastAsia"/>
          <w:sz w:val="24"/>
          <w:szCs w:val="24"/>
        </w:rPr>
        <w:t>Available at:</w:t>
      </w:r>
      <w:r w:rsidRPr="1D3B3A99">
        <w:rPr>
          <w:rStyle w:val="Hyperlink"/>
          <w:rFonts w:eastAsiaTheme="minorEastAsia"/>
          <w:color w:val="0563C1"/>
          <w:sz w:val="24"/>
          <w:szCs w:val="24"/>
        </w:rPr>
        <w:t xml:space="preserve"> </w:t>
      </w:r>
      <w:r w:rsidRPr="1D3B3A99">
        <w:rPr>
          <w:rFonts w:eastAsiaTheme="minorEastAsia"/>
          <w:sz w:val="24"/>
          <w:szCs w:val="24"/>
        </w:rPr>
        <w:t>http://www.legislation.gov.uk/ukpga/2000/33/section/1 accessed 27/11/2019 (reference gov legislation).</w:t>
      </w:r>
      <w:r w:rsidRPr="1D3B3A99">
        <w:rPr>
          <w:rFonts w:eastAsiaTheme="minorEastAsia"/>
          <w:sz w:val="24"/>
          <w:szCs w:val="24"/>
          <w:u w:val="single"/>
        </w:rPr>
        <w:t xml:space="preserve"> </w:t>
      </w:r>
      <w:r w:rsidRPr="1D3B3A99">
        <w:rPr>
          <w:rFonts w:eastAsiaTheme="minorEastAsia"/>
          <w:color w:val="0563C1"/>
          <w:sz w:val="24"/>
          <w:szCs w:val="24"/>
          <w:u w:val="single"/>
        </w:rPr>
        <w:t xml:space="preserve"> </w:t>
      </w:r>
      <w:r w:rsidRPr="1D3B3A99">
        <w:rPr>
          <w:rFonts w:eastAsiaTheme="minorEastAsia"/>
          <w:sz w:val="24"/>
          <w:szCs w:val="24"/>
        </w:rPr>
        <w:t>[Accessed 17 December. 2019]</w:t>
      </w:r>
    </w:p>
    <w:p w14:paraId="25FEE445" w14:textId="4E858817" w:rsidR="1D3B3A99" w:rsidRDefault="1D3B3A99" w:rsidP="1D3B3A99">
      <w:pPr>
        <w:pStyle w:val="Heading1"/>
        <w:rPr>
          <w:rFonts w:asciiTheme="minorHAnsi" w:eastAsiaTheme="minorEastAsia" w:hAnsiTheme="minorHAnsi" w:cstheme="minorBidi"/>
          <w:sz w:val="24"/>
          <w:szCs w:val="24"/>
        </w:rPr>
      </w:pPr>
      <w:r w:rsidRPr="1D3B3A99">
        <w:rPr>
          <w:rFonts w:asciiTheme="minorHAnsi" w:eastAsiaTheme="minorEastAsia" w:hAnsiTheme="minorHAnsi" w:cstheme="minorBidi"/>
          <w:sz w:val="24"/>
          <w:szCs w:val="24"/>
        </w:rPr>
        <w:t>Rhestyr Darllen</w:t>
      </w:r>
    </w:p>
    <w:p w14:paraId="0F77E9A0" w14:textId="67BFE43A" w:rsidR="1D3B3A99" w:rsidRDefault="1D3B3A99" w:rsidP="1D3B3A99">
      <w:pPr>
        <w:rPr>
          <w:rFonts w:eastAsiaTheme="minorEastAsia"/>
          <w:sz w:val="24"/>
          <w:szCs w:val="24"/>
        </w:rPr>
      </w:pPr>
    </w:p>
    <w:p w14:paraId="6DB0D9CC" w14:textId="2C85909D" w:rsidR="1D3B3A99" w:rsidRDefault="1D3B3A99" w:rsidP="1D3B3A99">
      <w:pPr>
        <w:rPr>
          <w:rFonts w:eastAsiaTheme="minorEastAsia"/>
          <w:sz w:val="24"/>
          <w:szCs w:val="24"/>
        </w:rPr>
      </w:pPr>
      <w:r w:rsidRPr="1D3B3A99">
        <w:rPr>
          <w:rFonts w:eastAsiaTheme="minorEastAsia"/>
          <w:sz w:val="24"/>
          <w:szCs w:val="24"/>
        </w:rPr>
        <w:t xml:space="preserve">Philosophy Tube (2016). </w:t>
      </w:r>
      <w:r w:rsidRPr="1D3B3A99">
        <w:rPr>
          <w:rFonts w:eastAsiaTheme="minorEastAsia"/>
          <w:i/>
          <w:iCs/>
          <w:sz w:val="24"/>
          <w:szCs w:val="24"/>
        </w:rPr>
        <w:t>Beginner's Guide to Kant's Moral Philosophy</w:t>
      </w:r>
      <w:r w:rsidRPr="1D3B3A99">
        <w:rPr>
          <w:rFonts w:eastAsiaTheme="minorEastAsia"/>
          <w:sz w:val="24"/>
          <w:szCs w:val="24"/>
        </w:rPr>
        <w:t>. [video] Available at: https://www.youtube.com/watch?v=mQ2fvTvtzBM [Accessed 9 Dec. 2019].</w:t>
      </w:r>
    </w:p>
    <w:p w14:paraId="27B9F8C1" w14:textId="5C75FEAF" w:rsidR="1D3B3A99" w:rsidRDefault="1D3B3A99" w:rsidP="1D3B3A99">
      <w:pPr>
        <w:rPr>
          <w:rFonts w:eastAsiaTheme="minorEastAsia"/>
          <w:sz w:val="24"/>
          <w:szCs w:val="24"/>
        </w:rPr>
      </w:pPr>
      <w:r w:rsidRPr="1D3B3A99">
        <w:rPr>
          <w:rFonts w:eastAsiaTheme="minorEastAsia"/>
          <w:sz w:val="24"/>
          <w:szCs w:val="24"/>
        </w:rPr>
        <w:t xml:space="preserve">Bass, H. (2017). </w:t>
      </w:r>
      <w:r w:rsidRPr="1D3B3A99">
        <w:rPr>
          <w:rFonts w:eastAsiaTheme="minorEastAsia"/>
          <w:i/>
          <w:iCs/>
          <w:sz w:val="24"/>
          <w:szCs w:val="24"/>
        </w:rPr>
        <w:t>What is Silica and Why is it Dangerous?</w:t>
      </w:r>
      <w:r w:rsidRPr="1D3B3A99">
        <w:rPr>
          <w:rFonts w:eastAsiaTheme="minorEastAsia"/>
          <w:sz w:val="24"/>
          <w:szCs w:val="24"/>
        </w:rPr>
        <w:t>. [online] Concentra. Available at: https://www.concentra.com/resource-center/articles/what-is-silica-and-why-is-it-dangerous/ [Accessed 1 Dec. 2019].</w:t>
      </w:r>
    </w:p>
    <w:p w14:paraId="04864E23" w14:textId="4736A65A" w:rsidR="1D3B3A99" w:rsidRDefault="1D3B3A99" w:rsidP="1D3B3A99">
      <w:pPr>
        <w:rPr>
          <w:rFonts w:eastAsiaTheme="minorEastAsia"/>
          <w:sz w:val="24"/>
          <w:szCs w:val="24"/>
        </w:rPr>
      </w:pPr>
      <w:r w:rsidRPr="1D3B3A99">
        <w:rPr>
          <w:rFonts w:eastAsiaTheme="minorEastAsia"/>
          <w:sz w:val="24"/>
          <w:szCs w:val="24"/>
        </w:rPr>
        <w:t xml:space="preserve">Glassallianceeurope.eu. (2019). </w:t>
      </w:r>
      <w:r w:rsidRPr="1D3B3A99">
        <w:rPr>
          <w:rFonts w:eastAsiaTheme="minorEastAsia"/>
          <w:i/>
          <w:iCs/>
          <w:sz w:val="24"/>
          <w:szCs w:val="24"/>
        </w:rPr>
        <w:t>Glass Sustainability &amp; the Environment - Glass Alliance Europe</w:t>
      </w:r>
      <w:r w:rsidRPr="1D3B3A99">
        <w:rPr>
          <w:rFonts w:eastAsiaTheme="minorEastAsia"/>
          <w:sz w:val="24"/>
          <w:szCs w:val="24"/>
        </w:rPr>
        <w:t>. [online] Available at: https://www.glassallianceeurope.eu/en/environment [Accessed 17 Dec. 2019].</w:t>
      </w:r>
    </w:p>
    <w:p w14:paraId="766EAAEC" w14:textId="15F1C2F5" w:rsidR="1D3B3A99" w:rsidRDefault="1D3B3A99" w:rsidP="1D3B3A99">
      <w:pPr>
        <w:rPr>
          <w:rFonts w:eastAsiaTheme="minorEastAsia"/>
          <w:sz w:val="24"/>
          <w:szCs w:val="24"/>
        </w:rPr>
      </w:pPr>
      <w:r w:rsidRPr="1D3B3A99">
        <w:rPr>
          <w:rFonts w:eastAsiaTheme="minorEastAsia"/>
          <w:sz w:val="24"/>
          <w:szCs w:val="24"/>
        </w:rPr>
        <w:t xml:space="preserve">Howard, B. (2018). </w:t>
      </w:r>
      <w:r w:rsidRPr="1D3B3A99">
        <w:rPr>
          <w:rFonts w:eastAsiaTheme="minorEastAsia"/>
          <w:i/>
          <w:iCs/>
          <w:sz w:val="24"/>
          <w:szCs w:val="24"/>
        </w:rPr>
        <w:t>5 Recycling Myths Busted</w:t>
      </w:r>
      <w:r w:rsidRPr="1D3B3A99">
        <w:rPr>
          <w:rFonts w:eastAsiaTheme="minorEastAsia"/>
          <w:sz w:val="24"/>
          <w:szCs w:val="24"/>
        </w:rPr>
        <w:t>. [online] National Geographic. Available at: https://www.nationalgeographic.com/environment/2018/10/5-recycling-myths-busted-plastic/ [Accessed 27 Nov. 2019].</w:t>
      </w:r>
    </w:p>
    <w:p w14:paraId="7892770A" w14:textId="4F57B420" w:rsidR="1D3B3A99" w:rsidRDefault="1D3B3A99" w:rsidP="1D3B3A99">
      <w:pPr>
        <w:rPr>
          <w:rFonts w:eastAsiaTheme="minorEastAsia"/>
          <w:sz w:val="24"/>
          <w:szCs w:val="24"/>
        </w:rPr>
      </w:pPr>
      <w:r w:rsidRPr="1D3B3A99">
        <w:rPr>
          <w:rFonts w:eastAsiaTheme="minorEastAsia"/>
          <w:sz w:val="24"/>
          <w:szCs w:val="24"/>
        </w:rPr>
        <w:t xml:space="preserve">The British Academy - The Future of the Corporation (2019). </w:t>
      </w:r>
      <w:r w:rsidRPr="1D3B3A99">
        <w:rPr>
          <w:rFonts w:eastAsiaTheme="minorEastAsia"/>
          <w:i/>
          <w:iCs/>
          <w:sz w:val="24"/>
          <w:szCs w:val="24"/>
        </w:rPr>
        <w:t>How to deliver framework to the Future of the Corporation</w:t>
      </w:r>
      <w:r w:rsidRPr="1D3B3A99">
        <w:rPr>
          <w:rFonts w:eastAsiaTheme="minorEastAsia"/>
          <w:sz w:val="24"/>
          <w:szCs w:val="24"/>
        </w:rPr>
        <w:t>. Principles for Purposeful Business. [online] The British Academy. Available at: https://www.thebritishacademy.ac.uk/publications/future-of-the-corporation-principles-for-purposeful-business?from=homepage [Accessed 27 Nov. 2019].</w:t>
      </w:r>
    </w:p>
    <w:p w14:paraId="32697A3F" w14:textId="22FE8297" w:rsidR="1D3B3A99" w:rsidRDefault="1D3B3A99" w:rsidP="1D3B3A99">
      <w:pPr>
        <w:ind w:left="120" w:hanging="120"/>
        <w:rPr>
          <w:rFonts w:eastAsiaTheme="minorEastAsia"/>
          <w:sz w:val="24"/>
          <w:szCs w:val="24"/>
        </w:rPr>
      </w:pPr>
      <w:r w:rsidRPr="1D3B3A99">
        <w:rPr>
          <w:rFonts w:eastAsiaTheme="minorEastAsia"/>
          <w:sz w:val="24"/>
          <w:szCs w:val="24"/>
        </w:rPr>
        <w:t xml:space="preserve">Jack, S. (2019). UK 'has particularly extreme form of capitalism'. </w:t>
      </w:r>
      <w:r w:rsidRPr="1D3B3A99">
        <w:rPr>
          <w:rFonts w:eastAsiaTheme="minorEastAsia"/>
          <w:i/>
          <w:iCs/>
          <w:sz w:val="24"/>
          <w:szCs w:val="24"/>
        </w:rPr>
        <w:t>BBC News</w:t>
      </w:r>
      <w:r w:rsidRPr="1D3B3A99">
        <w:rPr>
          <w:rFonts w:eastAsiaTheme="minorEastAsia"/>
          <w:sz w:val="24"/>
          <w:szCs w:val="24"/>
        </w:rPr>
        <w:t>. [online] Available at: https://www.bbc.co.uk/news/business-50562518 [Accessed 17 Dec. 2019].</w:t>
      </w:r>
    </w:p>
    <w:p w14:paraId="4D5DC91B" w14:textId="0963119C" w:rsidR="1D3B3A99" w:rsidRDefault="1D3B3A99" w:rsidP="1D3B3A99">
      <w:pPr>
        <w:spacing w:before="240" w:after="0"/>
      </w:pPr>
      <w:r w:rsidRPr="1D3B3A99">
        <w:rPr>
          <w:rFonts w:ascii="Calibri Light" w:eastAsia="Calibri Light" w:hAnsi="Calibri Light" w:cs="Calibri Light"/>
          <w:color w:val="2F5496" w:themeColor="accent1" w:themeShade="BF"/>
          <w:sz w:val="32"/>
          <w:szCs w:val="32"/>
        </w:rPr>
        <w:t>Atodiadau</w:t>
      </w:r>
    </w:p>
    <w:p w14:paraId="7B6AC3E6" w14:textId="344FD37B" w:rsidR="1D3B3A99" w:rsidRDefault="1D3B3A99" w:rsidP="1D3B3A99">
      <w:pPr>
        <w:rPr>
          <w:rFonts w:ascii="Calibri Light" w:eastAsia="Calibri Light" w:hAnsi="Calibri Light" w:cs="Calibri Light"/>
          <w:sz w:val="26"/>
          <w:szCs w:val="26"/>
        </w:rPr>
      </w:pPr>
      <w:r w:rsidRPr="1D3B3A99">
        <w:rPr>
          <w:rFonts w:ascii="Calibri Light" w:eastAsia="Calibri Light" w:hAnsi="Calibri Light" w:cs="Calibri Light"/>
          <w:sz w:val="26"/>
          <w:szCs w:val="26"/>
        </w:rPr>
        <w:t>Atodiad A – Gwybodaeth am gynnyrch phaent gwydr</w:t>
      </w:r>
    </w:p>
    <w:p w14:paraId="03232CB2" w14:textId="58D11604" w:rsidR="1D3B3A99" w:rsidRDefault="1D3B3A99" w:rsidP="1D3B3A99">
      <w:pPr>
        <w:spacing w:before="40" w:after="0"/>
        <w:rPr>
          <w:rFonts w:ascii="Calibri" w:eastAsia="Calibri" w:hAnsi="Calibri" w:cs="Calibri"/>
        </w:rPr>
      </w:pPr>
      <w:r w:rsidRPr="1D3B3A99">
        <w:rPr>
          <w:rFonts w:ascii="Calibri" w:eastAsia="Calibri" w:hAnsi="Calibri" w:cs="Calibri"/>
        </w:rPr>
        <w:t>Source: https://www.creativeglassguild.co.uk/prod/reusche-glass-paint-tracing-black-best</w:t>
      </w:r>
    </w:p>
    <w:p w14:paraId="3AEB1299" w14:textId="1EB60C0A" w:rsidR="1D3B3A99" w:rsidRDefault="1D3B3A99" w:rsidP="1D3B3A99"/>
    <w:p w14:paraId="66FFF70E" w14:textId="57A8C182" w:rsidR="1D3B3A99" w:rsidRDefault="1D3B3A99" w:rsidP="1D3B3A99">
      <w:pPr>
        <w:spacing w:before="40" w:after="0"/>
        <w:rPr>
          <w:rFonts w:ascii="Calibri Light" w:eastAsia="Calibri Light" w:hAnsi="Calibri Light" w:cs="Calibri Light"/>
          <w:color w:val="1F3763" w:themeColor="accent1" w:themeShade="7F"/>
          <w:sz w:val="45"/>
          <w:szCs w:val="45"/>
        </w:rPr>
      </w:pPr>
      <w:r w:rsidRPr="1D3B3A99">
        <w:rPr>
          <w:rFonts w:ascii="Calibri Light" w:eastAsia="Calibri Light" w:hAnsi="Calibri Light" w:cs="Calibri Light"/>
          <w:b/>
          <w:bCs/>
          <w:color w:val="1F3763" w:themeColor="accent1" w:themeShade="7F"/>
          <w:sz w:val="45"/>
          <w:szCs w:val="45"/>
        </w:rPr>
        <w:t>Product information</w:t>
      </w:r>
    </w:p>
    <w:p w14:paraId="37E33C05" w14:textId="7EF75C3F" w:rsidR="1D3B3A99" w:rsidRDefault="1D3B3A99" w:rsidP="1D3B3A99">
      <w:pPr>
        <w:spacing w:line="300" w:lineRule="exact"/>
        <w:rPr>
          <w:rFonts w:eastAsiaTheme="minorEastAsia"/>
          <w:sz w:val="24"/>
          <w:szCs w:val="24"/>
        </w:rPr>
      </w:pPr>
      <w:r w:rsidRPr="1D3B3A99">
        <w:rPr>
          <w:rFonts w:eastAsiaTheme="minorEastAsia"/>
          <w:b/>
          <w:bCs/>
          <w:sz w:val="24"/>
          <w:szCs w:val="24"/>
        </w:rPr>
        <w:t>Reusche Glass Paint - Tracing Black Best</w:t>
      </w:r>
    </w:p>
    <w:p w14:paraId="21D93C11" w14:textId="6C34AD5B" w:rsidR="1D3B3A99" w:rsidRDefault="1D3B3A99" w:rsidP="1D3B3A99">
      <w:pPr>
        <w:rPr>
          <w:rFonts w:eastAsiaTheme="minorEastAsia"/>
          <w:sz w:val="24"/>
          <w:szCs w:val="24"/>
        </w:rPr>
      </w:pPr>
      <w:r w:rsidRPr="1D3B3A99">
        <w:rPr>
          <w:rFonts w:eastAsiaTheme="minorEastAsia"/>
          <w:b/>
          <w:bCs/>
          <w:sz w:val="24"/>
          <w:szCs w:val="24"/>
        </w:rPr>
        <w:t>STOCK DUE BEGINNING OF NOVEMBER</w:t>
      </w:r>
    </w:p>
    <w:p w14:paraId="3D2507AD" w14:textId="1CF392A3" w:rsidR="1D3B3A99" w:rsidRDefault="1D3B3A99" w:rsidP="1D3B3A99">
      <w:pPr>
        <w:rPr>
          <w:rFonts w:eastAsiaTheme="minorEastAsia"/>
          <w:sz w:val="24"/>
          <w:szCs w:val="24"/>
        </w:rPr>
      </w:pPr>
      <w:r w:rsidRPr="1D3B3A99">
        <w:rPr>
          <w:rFonts w:eastAsiaTheme="minorEastAsia"/>
          <w:b/>
          <w:bCs/>
          <w:sz w:val="24"/>
          <w:szCs w:val="24"/>
        </w:rPr>
        <w:t xml:space="preserve"> </w:t>
      </w:r>
    </w:p>
    <w:p w14:paraId="03DE1CA3" w14:textId="07E32FFF" w:rsidR="1D3B3A99" w:rsidRDefault="1D3B3A99" w:rsidP="1D3B3A99">
      <w:pPr>
        <w:rPr>
          <w:rFonts w:eastAsiaTheme="minorEastAsia"/>
          <w:sz w:val="24"/>
          <w:szCs w:val="24"/>
        </w:rPr>
      </w:pPr>
      <w:r w:rsidRPr="1D3B3A99">
        <w:rPr>
          <w:rFonts w:eastAsiaTheme="minorEastAsia"/>
          <w:b/>
          <w:bCs/>
          <w:sz w:val="24"/>
          <w:szCs w:val="24"/>
        </w:rPr>
        <w:t xml:space="preserve">Our most popular trace paint, rich black, mix with water and fire at approx. 650-680°C (temp may vary depending on your kiln). Picture is of fired sample. </w:t>
      </w:r>
    </w:p>
    <w:p w14:paraId="7DEAA09C" w14:textId="7FC3A2BB" w:rsidR="1D3B3A99" w:rsidRDefault="1D3B3A99" w:rsidP="1D3B3A99">
      <w:pPr>
        <w:rPr>
          <w:rFonts w:eastAsiaTheme="minorEastAsia"/>
          <w:sz w:val="24"/>
          <w:szCs w:val="24"/>
        </w:rPr>
      </w:pPr>
      <w:r w:rsidRPr="1D3B3A99">
        <w:rPr>
          <w:rFonts w:eastAsiaTheme="minorEastAsia"/>
          <w:b/>
          <w:bCs/>
          <w:sz w:val="24"/>
          <w:szCs w:val="24"/>
        </w:rPr>
        <w:t>Available in 1oz bag or a money saving 8oz bag (use the drop down list to select your size)</w:t>
      </w:r>
    </w:p>
    <w:p w14:paraId="0EFB53DB" w14:textId="113144EF" w:rsidR="1D3B3A99" w:rsidRDefault="1D3B3A99" w:rsidP="1D3B3A99">
      <w:pPr>
        <w:rPr>
          <w:rFonts w:eastAsiaTheme="minorEastAsia"/>
          <w:sz w:val="24"/>
          <w:szCs w:val="24"/>
        </w:rPr>
      </w:pPr>
      <w:r w:rsidRPr="1D3B3A99">
        <w:rPr>
          <w:rFonts w:eastAsiaTheme="minorEastAsia"/>
          <w:b/>
          <w:bCs/>
          <w:sz w:val="24"/>
          <w:szCs w:val="24"/>
        </w:rPr>
        <w:lastRenderedPageBreak/>
        <w:t>Made by Reusche for traditional stained glass techniques.</w:t>
      </w:r>
    </w:p>
    <w:p w14:paraId="48400AA0" w14:textId="1BFF812F" w:rsidR="1D3B3A99" w:rsidRDefault="1D3B3A99" w:rsidP="1D3B3A99">
      <w:pPr>
        <w:rPr>
          <w:rFonts w:eastAsiaTheme="minorEastAsia"/>
          <w:sz w:val="24"/>
          <w:szCs w:val="24"/>
        </w:rPr>
      </w:pPr>
      <w:r w:rsidRPr="1D3B3A99">
        <w:rPr>
          <w:rFonts w:eastAsiaTheme="minorEastAsia"/>
          <w:b/>
          <w:bCs/>
          <w:sz w:val="24"/>
          <w:szCs w:val="24"/>
        </w:rPr>
        <w:t>WARNING: This is a ceramic material containing toxic substances. Do not use on food bearing surfaces or items that will come into contact with children. May be harmful if swallowed. Keep out of reach of children. Contains Alumina, Borates, Silica, Quartz, Titanium, Compounds of Cadmium, Cobalt, Insol Chromium, Iron, Manganese, Insol. Nickel, Inorg. Lead &amp; Zirconium. Take care when handling, avoid dust inhalation and prolonged contact with skin. Wear an approved dust mask for toxic dusts and wash hands after use and before eating, drinking or smoking. Over exposure may cause sterility or damage to the reproductive system, birth defects or harm to developing foetus, central nervous system depression or injury, numbness or weakness to the extremities, systemic damage. In case of emergency contact a doctor immediately.</w:t>
      </w:r>
    </w:p>
    <w:p w14:paraId="67427076" w14:textId="6BF9FCA0" w:rsidR="1D3B3A99" w:rsidRDefault="1D3B3A99" w:rsidP="1D3B3A99">
      <w:r>
        <w:br/>
      </w:r>
    </w:p>
    <w:p w14:paraId="17BADF1F" w14:textId="0455F917" w:rsidR="1D3B3A99" w:rsidRDefault="1D3B3A99" w:rsidP="1D3B3A99">
      <w:r>
        <w:br/>
      </w:r>
    </w:p>
    <w:p w14:paraId="4D8991C9" w14:textId="3A5939FE" w:rsidR="1D3B3A99" w:rsidRDefault="1D3B3A99" w:rsidP="1D3B3A99">
      <w:pPr>
        <w:spacing w:line="480" w:lineRule="auto"/>
        <w:jc w:val="both"/>
      </w:pPr>
      <w:r>
        <w:br/>
      </w:r>
    </w:p>
    <w:p w14:paraId="4B8B4C3C" w14:textId="44885982" w:rsidR="1D3B3A99" w:rsidRDefault="1D3B3A99" w:rsidP="1D3B3A99">
      <w:r>
        <w:br/>
      </w:r>
    </w:p>
    <w:p w14:paraId="6ADE871B" w14:textId="114A21BA" w:rsidR="1D3B3A99" w:rsidRDefault="1D3B3A99" w:rsidP="1D3B3A99">
      <w:pPr>
        <w:rPr>
          <w:rFonts w:ascii="Calibri" w:eastAsia="Calibri" w:hAnsi="Calibri" w:cs="Calibri"/>
        </w:rPr>
      </w:pPr>
    </w:p>
    <w:p w14:paraId="065BBF87" w14:textId="0A47C839" w:rsidR="1D3B3A99" w:rsidRDefault="1D3B3A99" w:rsidP="1D3B3A99">
      <w:pPr>
        <w:rPr>
          <w:rFonts w:ascii="Calibri" w:eastAsia="Calibri" w:hAnsi="Calibri" w:cs="Calibri"/>
        </w:rPr>
      </w:pPr>
    </w:p>
    <w:p w14:paraId="048B8890" w14:textId="29417B75" w:rsidR="78DAC983" w:rsidRDefault="78DAC983">
      <w:r w:rsidRPr="78DAC983">
        <w:rPr>
          <w:rFonts w:ascii="Calibri" w:eastAsia="Calibri" w:hAnsi="Calibri" w:cs="Calibri"/>
        </w:rPr>
        <w:t xml:space="preserve"> </w:t>
      </w:r>
    </w:p>
    <w:p w14:paraId="724DA038" w14:textId="59C1DBD1" w:rsidR="78DAC983" w:rsidRDefault="78DAC983">
      <w:r w:rsidRPr="78DAC983">
        <w:rPr>
          <w:rFonts w:ascii="Calibri" w:eastAsia="Calibri" w:hAnsi="Calibri" w:cs="Calibri"/>
        </w:rPr>
        <w:t xml:space="preserve"> </w:t>
      </w:r>
    </w:p>
    <w:p w14:paraId="1150CA48" w14:textId="7CAC5856" w:rsidR="78DAC983" w:rsidRDefault="78DAC983">
      <w:r w:rsidRPr="78DAC983">
        <w:rPr>
          <w:rFonts w:ascii="Calibri" w:eastAsia="Calibri" w:hAnsi="Calibri" w:cs="Calibri"/>
        </w:rPr>
        <w:t xml:space="preserve"> </w:t>
      </w:r>
    </w:p>
    <w:p w14:paraId="5D4D04B2" w14:textId="1CC2A6EC" w:rsidR="78DAC983" w:rsidRDefault="78DAC983">
      <w:r w:rsidRPr="78DAC983">
        <w:rPr>
          <w:rFonts w:ascii="Calibri" w:eastAsia="Calibri" w:hAnsi="Calibri" w:cs="Calibri"/>
        </w:rPr>
        <w:t xml:space="preserve"> </w:t>
      </w:r>
    </w:p>
    <w:p w14:paraId="77AFCF20" w14:textId="702C82D0" w:rsidR="78DAC983" w:rsidRDefault="78DAC983">
      <w:r w:rsidRPr="78DAC983">
        <w:rPr>
          <w:rFonts w:ascii="Calibri" w:eastAsia="Calibri" w:hAnsi="Calibri" w:cs="Calibri"/>
        </w:rPr>
        <w:t xml:space="preserve"> </w:t>
      </w:r>
    </w:p>
    <w:p w14:paraId="08B31207" w14:textId="69D959BA" w:rsidR="78DAC983" w:rsidRDefault="78DAC983">
      <w:r w:rsidRPr="78DAC983">
        <w:rPr>
          <w:rFonts w:ascii="Calibri" w:eastAsia="Calibri" w:hAnsi="Calibri" w:cs="Calibri"/>
        </w:rPr>
        <w:t xml:space="preserve"> </w:t>
      </w:r>
    </w:p>
    <w:p w14:paraId="2931ADC7" w14:textId="6BF26103" w:rsidR="78DAC983" w:rsidRDefault="78DAC983">
      <w:r w:rsidRPr="78DAC983">
        <w:rPr>
          <w:rFonts w:ascii="Calibri" w:eastAsia="Calibri" w:hAnsi="Calibri" w:cs="Calibri"/>
        </w:rPr>
        <w:t xml:space="preserve"> </w:t>
      </w:r>
    </w:p>
    <w:p w14:paraId="0046B210" w14:textId="7602131D" w:rsidR="78DAC983" w:rsidRDefault="78DAC983">
      <w:r w:rsidRPr="78DAC983">
        <w:rPr>
          <w:rFonts w:ascii="Calibri" w:eastAsia="Calibri" w:hAnsi="Calibri" w:cs="Calibri"/>
        </w:rPr>
        <w:t xml:space="preserve"> </w:t>
      </w:r>
    </w:p>
    <w:p w14:paraId="34643D34" w14:textId="2CC01E77" w:rsidR="78DAC983" w:rsidRDefault="78DAC983" w:rsidP="78DAC983">
      <w:pPr>
        <w:rPr>
          <w:rFonts w:ascii="Calibri" w:eastAsia="Calibri" w:hAnsi="Calibri" w:cs="Calibri"/>
        </w:rPr>
      </w:pPr>
    </w:p>
    <w:p w14:paraId="1955D850" w14:textId="06529394" w:rsidR="78DAC983" w:rsidRDefault="78DAC983" w:rsidP="78DAC983"/>
    <w:sectPr w:rsidR="78DAC98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1EBB66"/>
    <w:rsid w:val="00307FF4"/>
    <w:rsid w:val="00782142"/>
    <w:rsid w:val="011EBB66"/>
    <w:rsid w:val="1D3B3A99"/>
    <w:rsid w:val="78DAC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D38F2"/>
  <w15:chartTrackingRefBased/>
  <w15:docId w15:val="{3CA02D3E-2E97-40A5-91A1-343A78DBC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07FF4"/>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07FF4"/>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2839</Words>
  <Characters>16187</Characters>
  <Application>Microsoft Office Word</Application>
  <DocSecurity>0</DocSecurity>
  <Lines>134</Lines>
  <Paragraphs>37</Paragraphs>
  <ScaleCrop>false</ScaleCrop>
  <Company/>
  <LinksUpToDate>false</LinksUpToDate>
  <CharactersWithSpaces>18989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Morgan (1706444)</dc:creator>
  <cp:keywords/>
  <dc:description/>
  <cp:lastModifiedBy>Gwenllian Beynon</cp:lastModifiedBy>
  <cp:revision>2</cp:revision>
  <dcterms:created xsi:type="dcterms:W3CDTF">2019-12-23T18:19:00Z</dcterms:created>
  <dcterms:modified xsi:type="dcterms:W3CDTF">2019-12-23T18:19:00Z</dcterms:modified>
</cp:coreProperties>
</file>