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608175</wp:posOffset>
            </wp:positionH>
            <wp:positionV relativeFrom="paragraph">
              <wp:posOffset>348574</wp:posOffset>
            </wp:positionV>
            <wp:extent cx="4514850" cy="1495425"/>
            <wp:effectExtent b="0" l="0" r="0" t="0"/>
            <wp:wrapSquare wrapText="bothSides" distB="114300" distT="114300" distL="114300" distR="11430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4514850" cy="1495425"/>
                    </a:xfrm>
                    <a:prstGeom prst="rect"/>
                    <a:ln/>
                  </pic:spPr>
                </pic:pic>
              </a:graphicData>
            </a:graphic>
          </wp:anchor>
        </w:drawing>
      </w:r>
    </w:p>
    <w:p w:rsidR="00000000" w:rsidDel="00000000" w:rsidP="00000000" w:rsidRDefault="00000000" w:rsidRPr="00000000" w14:paraId="00000002">
      <w:pPr>
        <w:spacing w:line="360" w:lineRule="auto"/>
        <w:rPr/>
      </w:pPr>
      <w:r w:rsidDel="00000000" w:rsidR="00000000" w:rsidRPr="00000000">
        <w:rPr>
          <w:rtl w:val="0"/>
        </w:rPr>
      </w:r>
    </w:p>
    <w:p w:rsidR="00000000" w:rsidDel="00000000" w:rsidP="00000000" w:rsidRDefault="00000000" w:rsidRPr="00000000" w14:paraId="00000003">
      <w:pPr>
        <w:spacing w:line="360" w:lineRule="auto"/>
        <w:rPr/>
      </w:pPr>
      <w:r w:rsidDel="00000000" w:rsidR="00000000" w:rsidRPr="00000000">
        <w:rPr>
          <w:rtl w:val="0"/>
        </w:rPr>
      </w:r>
    </w:p>
    <w:p w:rsidR="00000000" w:rsidDel="00000000" w:rsidP="00000000" w:rsidRDefault="00000000" w:rsidRPr="00000000" w14:paraId="00000004">
      <w:pPr>
        <w:spacing w:line="360" w:lineRule="auto"/>
        <w:rPr/>
      </w:pPr>
      <w:r w:rsidDel="00000000" w:rsidR="00000000" w:rsidRPr="00000000">
        <w:rPr>
          <w:rtl w:val="0"/>
        </w:rPr>
      </w:r>
    </w:p>
    <w:p w:rsidR="00000000" w:rsidDel="00000000" w:rsidP="00000000" w:rsidRDefault="00000000" w:rsidRPr="00000000" w14:paraId="00000005">
      <w:pPr>
        <w:spacing w:line="360" w:lineRule="auto"/>
        <w:rPr/>
      </w:pPr>
      <w:r w:rsidDel="00000000" w:rsidR="00000000" w:rsidRPr="00000000">
        <w:rPr>
          <w:rtl w:val="0"/>
        </w:rPr>
      </w:r>
    </w:p>
    <w:p w:rsidR="00000000" w:rsidDel="00000000" w:rsidP="00000000" w:rsidRDefault="00000000" w:rsidRPr="00000000" w14:paraId="00000006">
      <w:pPr>
        <w:spacing w:line="360" w:lineRule="auto"/>
        <w:rPr/>
      </w:pPr>
      <w:r w:rsidDel="00000000" w:rsidR="00000000" w:rsidRPr="00000000">
        <w:rPr>
          <w:rtl w:val="0"/>
        </w:rPr>
      </w:r>
    </w:p>
    <w:p w:rsidR="00000000" w:rsidDel="00000000" w:rsidP="00000000" w:rsidRDefault="00000000" w:rsidRPr="00000000" w14:paraId="00000007">
      <w:pPr>
        <w:spacing w:line="360" w:lineRule="auto"/>
        <w:rPr/>
      </w:pPr>
      <w:r w:rsidDel="00000000" w:rsidR="00000000" w:rsidRPr="00000000">
        <w:rPr>
          <w:rtl w:val="0"/>
        </w:rPr>
      </w:r>
    </w:p>
    <w:p w:rsidR="00000000" w:rsidDel="00000000" w:rsidP="00000000" w:rsidRDefault="00000000" w:rsidRPr="00000000" w14:paraId="00000008">
      <w:pPr>
        <w:spacing w:line="360" w:lineRule="auto"/>
        <w:rPr/>
      </w:pPr>
      <w:r w:rsidDel="00000000" w:rsidR="00000000" w:rsidRPr="00000000">
        <w:rPr>
          <w:rtl w:val="0"/>
        </w:rPr>
      </w:r>
    </w:p>
    <w:p w:rsidR="00000000" w:rsidDel="00000000" w:rsidP="00000000" w:rsidRDefault="00000000" w:rsidRPr="00000000" w14:paraId="00000009">
      <w:pPr>
        <w:spacing w:line="360" w:lineRule="auto"/>
        <w:rPr/>
      </w:pPr>
      <w:r w:rsidDel="00000000" w:rsidR="00000000" w:rsidRPr="00000000">
        <w:rPr>
          <w:rtl w:val="0"/>
        </w:rPr>
      </w:r>
    </w:p>
    <w:p w:rsidR="00000000" w:rsidDel="00000000" w:rsidP="00000000" w:rsidRDefault="00000000" w:rsidRPr="00000000" w14:paraId="0000000A">
      <w:pPr>
        <w:spacing w:line="360" w:lineRule="auto"/>
        <w:rPr/>
      </w:pPr>
      <w:r w:rsidDel="00000000" w:rsidR="00000000" w:rsidRPr="00000000">
        <w:rPr>
          <w:rtl w:val="0"/>
        </w:rPr>
      </w:r>
    </w:p>
    <w:p w:rsidR="00000000" w:rsidDel="00000000" w:rsidP="00000000" w:rsidRDefault="00000000" w:rsidRPr="00000000" w14:paraId="0000000B">
      <w:pPr>
        <w:spacing w:line="360" w:lineRule="auto"/>
        <w:rPr/>
      </w:pPr>
      <w:r w:rsidDel="00000000" w:rsidR="00000000" w:rsidRPr="00000000">
        <w:rPr>
          <w:rtl w:val="0"/>
        </w:rPr>
      </w:r>
    </w:p>
    <w:p w:rsidR="00000000" w:rsidDel="00000000" w:rsidP="00000000" w:rsidRDefault="00000000" w:rsidRPr="00000000" w14:paraId="0000000C">
      <w:pPr>
        <w:spacing w:line="360" w:lineRule="auto"/>
        <w:rPr/>
      </w:pPr>
      <w:r w:rsidDel="00000000" w:rsidR="00000000" w:rsidRPr="00000000">
        <w:rPr>
          <w:rtl w:val="0"/>
        </w:rPr>
      </w:r>
    </w:p>
    <w:p w:rsidR="00000000" w:rsidDel="00000000" w:rsidP="00000000" w:rsidRDefault="00000000" w:rsidRPr="00000000" w14:paraId="0000000D">
      <w:pPr>
        <w:spacing w:line="360" w:lineRule="auto"/>
        <w:rPr/>
      </w:pPr>
      <w:r w:rsidDel="00000000" w:rsidR="00000000" w:rsidRPr="00000000">
        <w:rPr>
          <w:rtl w:val="0"/>
        </w:rPr>
      </w:r>
    </w:p>
    <w:p w:rsidR="00000000" w:rsidDel="00000000" w:rsidP="00000000" w:rsidRDefault="00000000" w:rsidRPr="00000000" w14:paraId="0000000E">
      <w:pPr>
        <w:spacing w:line="360" w:lineRule="auto"/>
        <w:rPr/>
      </w:pPr>
      <w:r w:rsidDel="00000000" w:rsidR="00000000" w:rsidRPr="00000000">
        <w:rPr>
          <w:rtl w:val="0"/>
        </w:rPr>
      </w:r>
    </w:p>
    <w:p w:rsidR="00000000" w:rsidDel="00000000" w:rsidP="00000000" w:rsidRDefault="00000000" w:rsidRPr="00000000" w14:paraId="0000000F">
      <w:pPr>
        <w:spacing w:line="360" w:lineRule="auto"/>
        <w:jc w:val="center"/>
        <w:rPr>
          <w:sz w:val="28"/>
          <w:szCs w:val="28"/>
        </w:rPr>
      </w:pPr>
      <w:r w:rsidDel="00000000" w:rsidR="00000000" w:rsidRPr="00000000">
        <w:rPr>
          <w:b w:val="1"/>
          <w:sz w:val="28"/>
          <w:szCs w:val="28"/>
          <w:rtl w:val="0"/>
        </w:rPr>
        <w:t xml:space="preserve">Module</w:t>
      </w:r>
      <w:r w:rsidDel="00000000" w:rsidR="00000000" w:rsidRPr="00000000">
        <w:rPr>
          <w:sz w:val="28"/>
          <w:szCs w:val="28"/>
          <w:rtl w:val="0"/>
        </w:rPr>
        <w:t xml:space="preserve">: ECAD6007 - Who am I teaching?                                                                                </w:t>
      </w:r>
      <w:r w:rsidDel="00000000" w:rsidR="00000000" w:rsidRPr="00000000">
        <w:rPr>
          <w:b w:val="1"/>
          <w:sz w:val="28"/>
          <w:szCs w:val="28"/>
          <w:rtl w:val="0"/>
        </w:rPr>
        <w:t xml:space="preserve">Student Number</w:t>
      </w:r>
      <w:r w:rsidDel="00000000" w:rsidR="00000000" w:rsidRPr="00000000">
        <w:rPr>
          <w:sz w:val="28"/>
          <w:szCs w:val="28"/>
          <w:rtl w:val="0"/>
        </w:rPr>
        <w:t xml:space="preserve">: 2104988     </w:t>
      </w:r>
    </w:p>
    <w:p w:rsidR="00000000" w:rsidDel="00000000" w:rsidP="00000000" w:rsidRDefault="00000000" w:rsidRPr="00000000" w14:paraId="00000010">
      <w:pPr>
        <w:spacing w:line="360" w:lineRule="auto"/>
        <w:jc w:val="center"/>
        <w:rPr>
          <w:sz w:val="28"/>
          <w:szCs w:val="28"/>
        </w:rPr>
      </w:pPr>
      <w:r w:rsidDel="00000000" w:rsidR="00000000" w:rsidRPr="00000000">
        <w:rPr>
          <w:b w:val="1"/>
          <w:sz w:val="28"/>
          <w:szCs w:val="28"/>
          <w:rtl w:val="0"/>
        </w:rPr>
        <w:t xml:space="preserve">Assignment Title</w:t>
      </w:r>
      <w:r w:rsidDel="00000000" w:rsidR="00000000" w:rsidRPr="00000000">
        <w:rPr>
          <w:sz w:val="28"/>
          <w:szCs w:val="28"/>
          <w:rtl w:val="0"/>
        </w:rPr>
        <w:t xml:space="preserve">: A critical evaluation and learning steps focusing on a case study of an individual learner or a group of learners, based on an observed critical incident.                           </w:t>
      </w:r>
    </w:p>
    <w:p w:rsidR="00000000" w:rsidDel="00000000" w:rsidP="00000000" w:rsidRDefault="00000000" w:rsidRPr="00000000" w14:paraId="00000011">
      <w:pPr>
        <w:spacing w:line="360" w:lineRule="auto"/>
        <w:jc w:val="center"/>
        <w:rPr/>
      </w:pPr>
      <w:r w:rsidDel="00000000" w:rsidR="00000000" w:rsidRPr="00000000">
        <w:rPr>
          <w:b w:val="1"/>
          <w:sz w:val="28"/>
          <w:szCs w:val="28"/>
          <w:rtl w:val="0"/>
        </w:rPr>
        <w:t xml:space="preserve">Word count</w:t>
      </w:r>
      <w:r w:rsidDel="00000000" w:rsidR="00000000" w:rsidRPr="00000000">
        <w:rPr>
          <w:sz w:val="28"/>
          <w:szCs w:val="28"/>
          <w:rtl w:val="0"/>
        </w:rPr>
        <w:t xml:space="preserve">: 4000 with equivalent 1000 words in Appendices</w:t>
      </w:r>
      <w:r w:rsidDel="00000000" w:rsidR="00000000" w:rsidRPr="00000000">
        <w:rPr>
          <w:rtl w:val="0"/>
        </w:rPr>
      </w:r>
    </w:p>
    <w:p w:rsidR="00000000" w:rsidDel="00000000" w:rsidP="00000000" w:rsidRDefault="00000000" w:rsidRPr="00000000" w14:paraId="00000012">
      <w:pPr>
        <w:spacing w:line="360" w:lineRule="auto"/>
        <w:rPr/>
      </w:pPr>
      <w:r w:rsidDel="00000000" w:rsidR="00000000" w:rsidRPr="00000000">
        <w:rPr>
          <w:rtl w:val="0"/>
        </w:rPr>
      </w:r>
    </w:p>
    <w:p w:rsidR="00000000" w:rsidDel="00000000" w:rsidP="00000000" w:rsidRDefault="00000000" w:rsidRPr="00000000" w14:paraId="00000013">
      <w:pPr>
        <w:spacing w:line="360" w:lineRule="auto"/>
        <w:rPr/>
      </w:pPr>
      <w:r w:rsidDel="00000000" w:rsidR="00000000" w:rsidRPr="00000000">
        <w:rPr>
          <w:rtl w:val="0"/>
        </w:rPr>
      </w:r>
    </w:p>
    <w:p w:rsidR="00000000" w:rsidDel="00000000" w:rsidP="00000000" w:rsidRDefault="00000000" w:rsidRPr="00000000" w14:paraId="00000014">
      <w:pPr>
        <w:spacing w:line="360" w:lineRule="auto"/>
        <w:rPr/>
      </w:pPr>
      <w:r w:rsidDel="00000000" w:rsidR="00000000" w:rsidRPr="00000000">
        <w:rPr>
          <w:rtl w:val="0"/>
        </w:rPr>
      </w:r>
    </w:p>
    <w:p w:rsidR="00000000" w:rsidDel="00000000" w:rsidP="00000000" w:rsidRDefault="00000000" w:rsidRPr="00000000" w14:paraId="00000015">
      <w:pPr>
        <w:spacing w:line="360" w:lineRule="auto"/>
        <w:rPr/>
      </w:pPr>
      <w:r w:rsidDel="00000000" w:rsidR="00000000" w:rsidRPr="00000000">
        <w:rPr>
          <w:rtl w:val="0"/>
        </w:rPr>
      </w:r>
    </w:p>
    <w:p w:rsidR="00000000" w:rsidDel="00000000" w:rsidP="00000000" w:rsidRDefault="00000000" w:rsidRPr="00000000" w14:paraId="00000016">
      <w:pPr>
        <w:spacing w:line="360" w:lineRule="auto"/>
        <w:rPr/>
      </w:pPr>
      <w:r w:rsidDel="00000000" w:rsidR="00000000" w:rsidRPr="00000000">
        <w:rPr>
          <w:rtl w:val="0"/>
        </w:rPr>
      </w:r>
    </w:p>
    <w:p w:rsidR="00000000" w:rsidDel="00000000" w:rsidP="00000000" w:rsidRDefault="00000000" w:rsidRPr="00000000" w14:paraId="00000017">
      <w:pPr>
        <w:spacing w:line="360" w:lineRule="auto"/>
        <w:rPr/>
      </w:pPr>
      <w:r w:rsidDel="00000000" w:rsidR="00000000" w:rsidRPr="00000000">
        <w:rPr>
          <w:rtl w:val="0"/>
        </w:rPr>
      </w:r>
    </w:p>
    <w:p w:rsidR="00000000" w:rsidDel="00000000" w:rsidP="00000000" w:rsidRDefault="00000000" w:rsidRPr="00000000" w14:paraId="00000018">
      <w:pPr>
        <w:spacing w:line="360" w:lineRule="auto"/>
        <w:rPr/>
      </w:pPr>
      <w:r w:rsidDel="00000000" w:rsidR="00000000" w:rsidRPr="00000000">
        <w:rPr>
          <w:rtl w:val="0"/>
        </w:rPr>
      </w:r>
    </w:p>
    <w:p w:rsidR="00000000" w:rsidDel="00000000" w:rsidP="00000000" w:rsidRDefault="00000000" w:rsidRPr="00000000" w14:paraId="00000019">
      <w:pPr>
        <w:spacing w:line="360" w:lineRule="auto"/>
        <w:rPr/>
      </w:pPr>
      <w:r w:rsidDel="00000000" w:rsidR="00000000" w:rsidRPr="00000000">
        <w:rPr>
          <w:rtl w:val="0"/>
        </w:rPr>
      </w:r>
    </w:p>
    <w:p w:rsidR="00000000" w:rsidDel="00000000" w:rsidP="00000000" w:rsidRDefault="00000000" w:rsidRPr="00000000" w14:paraId="0000001A">
      <w:pPr>
        <w:spacing w:line="360" w:lineRule="auto"/>
        <w:rPr/>
      </w:pPr>
      <w:r w:rsidDel="00000000" w:rsidR="00000000" w:rsidRPr="00000000">
        <w:rPr>
          <w:rtl w:val="0"/>
        </w:rPr>
      </w:r>
    </w:p>
    <w:p w:rsidR="00000000" w:rsidDel="00000000" w:rsidP="00000000" w:rsidRDefault="00000000" w:rsidRPr="00000000" w14:paraId="0000001B">
      <w:pPr>
        <w:spacing w:line="360" w:lineRule="auto"/>
        <w:rPr/>
      </w:pPr>
      <w:r w:rsidDel="00000000" w:rsidR="00000000" w:rsidRPr="00000000">
        <w:rPr>
          <w:rtl w:val="0"/>
        </w:rPr>
      </w:r>
    </w:p>
    <w:p w:rsidR="00000000" w:rsidDel="00000000" w:rsidP="00000000" w:rsidRDefault="00000000" w:rsidRPr="00000000" w14:paraId="0000001C">
      <w:pPr>
        <w:spacing w:line="360" w:lineRule="auto"/>
        <w:rPr/>
      </w:pPr>
      <w:r w:rsidDel="00000000" w:rsidR="00000000" w:rsidRPr="00000000">
        <w:rPr>
          <w:rtl w:val="0"/>
        </w:rPr>
      </w:r>
    </w:p>
    <w:p w:rsidR="00000000" w:rsidDel="00000000" w:rsidP="00000000" w:rsidRDefault="00000000" w:rsidRPr="00000000" w14:paraId="0000001D">
      <w:pPr>
        <w:spacing w:line="360" w:lineRule="auto"/>
        <w:rPr/>
      </w:pPr>
      <w:r w:rsidDel="00000000" w:rsidR="00000000" w:rsidRPr="00000000">
        <w:rPr>
          <w:rtl w:val="0"/>
        </w:rPr>
      </w:r>
    </w:p>
    <w:p w:rsidR="00000000" w:rsidDel="00000000" w:rsidP="00000000" w:rsidRDefault="00000000" w:rsidRPr="00000000" w14:paraId="0000001E">
      <w:pPr>
        <w:spacing w:line="360" w:lineRule="auto"/>
        <w:rPr/>
      </w:pPr>
      <w:r w:rsidDel="00000000" w:rsidR="00000000" w:rsidRPr="00000000">
        <w:rPr>
          <w:rtl w:val="0"/>
        </w:rPr>
      </w:r>
    </w:p>
    <w:p w:rsidR="00000000" w:rsidDel="00000000" w:rsidP="00000000" w:rsidRDefault="00000000" w:rsidRPr="00000000" w14:paraId="0000001F">
      <w:pPr>
        <w:spacing w:line="360" w:lineRule="auto"/>
        <w:rPr/>
      </w:pPr>
      <w:r w:rsidDel="00000000" w:rsidR="00000000" w:rsidRPr="00000000">
        <w:rPr>
          <w:rtl w:val="0"/>
        </w:rPr>
      </w:r>
    </w:p>
    <w:p w:rsidR="00000000" w:rsidDel="00000000" w:rsidP="00000000" w:rsidRDefault="00000000" w:rsidRPr="00000000" w14:paraId="00000020">
      <w:pPr>
        <w:spacing w:line="360" w:lineRule="auto"/>
        <w:rPr/>
      </w:pPr>
      <w:r w:rsidDel="00000000" w:rsidR="00000000" w:rsidRPr="00000000">
        <w:rPr>
          <w:rtl w:val="0"/>
        </w:rPr>
      </w:r>
    </w:p>
    <w:p w:rsidR="00000000" w:rsidDel="00000000" w:rsidP="00000000" w:rsidRDefault="00000000" w:rsidRPr="00000000" w14:paraId="00000021">
      <w:pPr>
        <w:spacing w:line="360" w:lineRule="auto"/>
        <w:rPr/>
      </w:pPr>
      <w:r w:rsidDel="00000000" w:rsidR="00000000" w:rsidRPr="00000000">
        <w:rPr>
          <w:rtl w:val="0"/>
        </w:rPr>
      </w:r>
    </w:p>
    <w:p w:rsidR="00000000" w:rsidDel="00000000" w:rsidP="00000000" w:rsidRDefault="00000000" w:rsidRPr="00000000" w14:paraId="00000022">
      <w:pPr>
        <w:spacing w:line="360" w:lineRule="auto"/>
        <w:jc w:val="center"/>
        <w:rPr>
          <w:sz w:val="24"/>
          <w:szCs w:val="24"/>
          <w:u w:val="single"/>
        </w:rPr>
      </w:pPr>
      <w:r w:rsidDel="00000000" w:rsidR="00000000" w:rsidRPr="00000000">
        <w:rPr>
          <w:sz w:val="24"/>
          <w:szCs w:val="24"/>
          <w:u w:val="single"/>
          <w:rtl w:val="0"/>
        </w:rPr>
        <w:t xml:space="preserve">A critical evaluation and learning steps focusing on a case study of an individual learner or a group of learners, based on an observed critical incident. </w:t>
      </w:r>
    </w:p>
    <w:p w:rsidR="00000000" w:rsidDel="00000000" w:rsidP="00000000" w:rsidRDefault="00000000" w:rsidRPr="00000000" w14:paraId="00000023">
      <w:pPr>
        <w:spacing w:line="360" w:lineRule="auto"/>
        <w:rPr>
          <w:sz w:val="24"/>
          <w:szCs w:val="24"/>
        </w:rPr>
      </w:pPr>
      <w:r w:rsidDel="00000000" w:rsidR="00000000" w:rsidRPr="00000000">
        <w:rPr>
          <w:rtl w:val="0"/>
        </w:rPr>
      </w:r>
    </w:p>
    <w:p w:rsidR="00000000" w:rsidDel="00000000" w:rsidP="00000000" w:rsidRDefault="00000000" w:rsidRPr="00000000" w14:paraId="00000024">
      <w:pPr>
        <w:spacing w:line="360" w:lineRule="auto"/>
        <w:rPr>
          <w:sz w:val="24"/>
          <w:szCs w:val="24"/>
          <w:u w:val="single"/>
        </w:rPr>
      </w:pPr>
      <w:r w:rsidDel="00000000" w:rsidR="00000000" w:rsidRPr="00000000">
        <w:rPr>
          <w:sz w:val="24"/>
          <w:szCs w:val="24"/>
          <w:u w:val="single"/>
          <w:rtl w:val="0"/>
        </w:rPr>
        <w:t xml:space="preserve">Introduction</w:t>
      </w:r>
    </w:p>
    <w:p w:rsidR="00000000" w:rsidDel="00000000" w:rsidP="00000000" w:rsidRDefault="00000000" w:rsidRPr="00000000" w14:paraId="00000025">
      <w:pPr>
        <w:spacing w:line="360" w:lineRule="auto"/>
        <w:rPr>
          <w:sz w:val="24"/>
          <w:szCs w:val="24"/>
          <w:u w:val="single"/>
        </w:rPr>
      </w:pPr>
      <w:r w:rsidDel="00000000" w:rsidR="00000000" w:rsidRPr="00000000">
        <w:rPr>
          <w:rtl w:val="0"/>
        </w:rPr>
      </w:r>
    </w:p>
    <w:p w:rsidR="00000000" w:rsidDel="00000000" w:rsidP="00000000" w:rsidRDefault="00000000" w:rsidRPr="00000000" w14:paraId="00000026">
      <w:pPr>
        <w:spacing w:line="360" w:lineRule="auto"/>
        <w:rPr>
          <w:sz w:val="24"/>
          <w:szCs w:val="24"/>
        </w:rPr>
      </w:pPr>
      <w:r w:rsidDel="00000000" w:rsidR="00000000" w:rsidRPr="00000000">
        <w:rPr>
          <w:sz w:val="24"/>
          <w:szCs w:val="24"/>
          <w:rtl w:val="0"/>
        </w:rPr>
        <w:t xml:space="preserve">Teaching practitioners often utilise different skill sets and practices. From punctuality to pedagogy, teachers are well equipped for the classroom. An important skill includes the use of their</w:t>
      </w:r>
      <w:r w:rsidDel="00000000" w:rsidR="00000000" w:rsidRPr="00000000">
        <w:rPr>
          <w:sz w:val="24"/>
          <w:szCs w:val="24"/>
          <w:rtl w:val="0"/>
        </w:rPr>
        <w:t xml:space="preserve"> professional judgement and reflection</w:t>
      </w:r>
      <w:r w:rsidDel="00000000" w:rsidR="00000000" w:rsidRPr="00000000">
        <w:rPr>
          <w:sz w:val="24"/>
          <w:szCs w:val="24"/>
          <w:rtl w:val="0"/>
        </w:rPr>
        <w:t xml:space="preserve">. David Tripp explains that the role of the critical incident and the reflection placed upon it is crucial in becoming a well-rounded and effective </w:t>
      </w:r>
      <w:r w:rsidDel="00000000" w:rsidR="00000000" w:rsidRPr="00000000">
        <w:rPr>
          <w:sz w:val="24"/>
          <w:szCs w:val="24"/>
          <w:rtl w:val="0"/>
        </w:rPr>
        <w:t xml:space="preserve">teacher, emphasising </w:t>
      </w:r>
      <w:r w:rsidDel="00000000" w:rsidR="00000000" w:rsidRPr="00000000">
        <w:rPr>
          <w:sz w:val="24"/>
          <w:szCs w:val="24"/>
          <w:rtl w:val="0"/>
        </w:rPr>
        <w:t xml:space="preserve">the importance of reflection and learning from past experience</w:t>
      </w:r>
      <w:r w:rsidDel="00000000" w:rsidR="00000000" w:rsidRPr="00000000">
        <w:rPr>
          <w:sz w:val="24"/>
          <w:szCs w:val="24"/>
          <w:rtl w:val="0"/>
        </w:rPr>
        <w:t xml:space="preserve">s (Tripp, 1993, p.5)</w:t>
      </w:r>
      <w:r w:rsidDel="00000000" w:rsidR="00000000" w:rsidRPr="00000000">
        <w:rPr>
          <w:sz w:val="24"/>
          <w:szCs w:val="24"/>
          <w:rtl w:val="0"/>
        </w:rPr>
        <w:t xml:space="preserve">. This assignment will use this concept of reflection to critically evaluate and identify the next steps of teaching based on a case study of observation within the classroom. In order to do so, it is important to define what is a critical incident and for this I will consider </w:t>
      </w:r>
      <w:r w:rsidDel="00000000" w:rsidR="00000000" w:rsidRPr="00000000">
        <w:rPr>
          <w:sz w:val="24"/>
          <w:szCs w:val="24"/>
          <w:rtl w:val="0"/>
        </w:rPr>
        <w:t xml:space="preserve">Tripp’s</w:t>
      </w:r>
      <w:r w:rsidDel="00000000" w:rsidR="00000000" w:rsidRPr="00000000">
        <w:rPr>
          <w:sz w:val="24"/>
          <w:szCs w:val="24"/>
          <w:rtl w:val="0"/>
        </w:rPr>
        <w:t xml:space="preserve"> critical incident methodology, alongside other theorists such as Brookfield and Gibbs to fully consider reflection as a process of professional judgement. Tripp explains a critical incident as “the significance of an event. It is the value judgement we make and the basis of that judgement is the significance we attach to the meaning of the incident” </w:t>
      </w:r>
      <w:r w:rsidDel="00000000" w:rsidR="00000000" w:rsidRPr="00000000">
        <w:rPr>
          <w:sz w:val="24"/>
          <w:szCs w:val="24"/>
          <w:rtl w:val="0"/>
        </w:rPr>
        <w:t xml:space="preserve">(Tripp, 1993, P.8). </w:t>
      </w:r>
      <w:r w:rsidDel="00000000" w:rsidR="00000000" w:rsidRPr="00000000">
        <w:rPr>
          <w:sz w:val="24"/>
          <w:szCs w:val="24"/>
          <w:rtl w:val="0"/>
        </w:rPr>
        <w:t xml:space="preserve">The difference between practitioners and experts within a field rely on careful considerations we make through reflection. (Tripp, 1993, pp. 125-126)</w:t>
      </w:r>
    </w:p>
    <w:p w:rsidR="00000000" w:rsidDel="00000000" w:rsidP="00000000" w:rsidRDefault="00000000" w:rsidRPr="00000000" w14:paraId="00000027">
      <w:pPr>
        <w:spacing w:line="360" w:lineRule="auto"/>
        <w:rPr>
          <w:sz w:val="24"/>
          <w:szCs w:val="24"/>
          <w:highlight w:val="magenta"/>
          <w:u w:val="single"/>
        </w:rPr>
      </w:pPr>
      <w:r w:rsidDel="00000000" w:rsidR="00000000" w:rsidRPr="00000000">
        <w:rPr>
          <w:sz w:val="24"/>
          <w:szCs w:val="24"/>
          <w:rtl w:val="0"/>
        </w:rPr>
        <w:tab/>
        <w:t xml:space="preserve">This leads us to question why critical incidents are significant and what they can do for professions like teaching. </w:t>
      </w:r>
      <w:r w:rsidDel="00000000" w:rsidR="00000000" w:rsidRPr="00000000">
        <w:rPr>
          <w:sz w:val="23"/>
          <w:szCs w:val="23"/>
          <w:highlight w:val="white"/>
          <w:rtl w:val="0"/>
        </w:rPr>
        <w:t xml:space="preserve">Although on the surface it has significance by focusing our attention on factors such as independent learning</w:t>
      </w:r>
      <w:r w:rsidDel="00000000" w:rsidR="00000000" w:rsidRPr="00000000">
        <w:rPr>
          <w:sz w:val="26"/>
          <w:szCs w:val="26"/>
          <w:rtl w:val="0"/>
        </w:rPr>
        <w:t xml:space="preserve">,</w:t>
      </w:r>
      <w:r w:rsidDel="00000000" w:rsidR="00000000" w:rsidRPr="00000000">
        <w:rPr>
          <w:sz w:val="24"/>
          <w:szCs w:val="24"/>
          <w:rtl w:val="0"/>
        </w:rPr>
        <w:t xml:space="preserve"> considering literature relating to Piaget’s constructivism and Vygostky’s and Bruner’s concepts on social-constructivism enable us to answer such questions further. Additionally, key terminology including ’critical’, ‘incident’, and ‘reflection’ will be used throughout this evaluation; however, the phrase ‘critical incident’ is not meant in the negative sense, rather it is simply understanding the significance of an event. Finally, this work will present personal observations and how the incidents allow us to reflect on our own methods and practices identifying key values within Wales’ 2022 reformed curriculum, including the four purposes and professional teaching standards.</w:t>
      </w:r>
      <w:r w:rsidDel="00000000" w:rsidR="00000000" w:rsidRPr="00000000">
        <w:rPr>
          <w:rtl w:val="0"/>
        </w:rPr>
      </w:r>
    </w:p>
    <w:p w:rsidR="00000000" w:rsidDel="00000000" w:rsidP="00000000" w:rsidRDefault="00000000" w:rsidRPr="00000000" w14:paraId="00000028">
      <w:pPr>
        <w:spacing w:line="360" w:lineRule="auto"/>
        <w:rPr>
          <w:sz w:val="24"/>
          <w:szCs w:val="24"/>
          <w:highlight w:val="magenta"/>
          <w:u w:val="single"/>
        </w:rPr>
      </w:pPr>
      <w:r w:rsidDel="00000000" w:rsidR="00000000" w:rsidRPr="00000000">
        <w:rPr>
          <w:rtl w:val="0"/>
        </w:rPr>
      </w:r>
    </w:p>
    <w:p w:rsidR="00000000" w:rsidDel="00000000" w:rsidP="00000000" w:rsidRDefault="00000000" w:rsidRPr="00000000" w14:paraId="00000029">
      <w:pPr>
        <w:spacing w:line="360" w:lineRule="auto"/>
        <w:rPr>
          <w:sz w:val="24"/>
          <w:szCs w:val="24"/>
          <w:u w:val="single"/>
        </w:rPr>
      </w:pPr>
      <w:r w:rsidDel="00000000" w:rsidR="00000000" w:rsidRPr="00000000">
        <w:rPr>
          <w:sz w:val="24"/>
          <w:szCs w:val="24"/>
          <w:u w:val="single"/>
          <w:rtl w:val="0"/>
        </w:rPr>
        <w:t xml:space="preserve">The Role of Critical Reflection</w:t>
      </w:r>
    </w:p>
    <w:p w:rsidR="00000000" w:rsidDel="00000000" w:rsidP="00000000" w:rsidRDefault="00000000" w:rsidRPr="00000000" w14:paraId="0000002A">
      <w:pPr>
        <w:spacing w:line="360" w:lineRule="auto"/>
        <w:rPr>
          <w:sz w:val="24"/>
          <w:szCs w:val="24"/>
          <w:u w:val="single"/>
        </w:rPr>
      </w:pPr>
      <w:r w:rsidDel="00000000" w:rsidR="00000000" w:rsidRPr="00000000">
        <w:rPr>
          <w:rtl w:val="0"/>
        </w:rPr>
      </w:r>
    </w:p>
    <w:p w:rsidR="00000000" w:rsidDel="00000000" w:rsidP="00000000" w:rsidRDefault="00000000" w:rsidRPr="00000000" w14:paraId="0000002B">
      <w:pPr>
        <w:spacing w:line="360" w:lineRule="auto"/>
        <w:rPr>
          <w:sz w:val="24"/>
          <w:szCs w:val="24"/>
          <w:highlight w:val="magenta"/>
          <w:u w:val="single"/>
        </w:rPr>
      </w:pPr>
      <w:r w:rsidDel="00000000" w:rsidR="00000000" w:rsidRPr="00000000">
        <w:rPr>
          <w:sz w:val="24"/>
          <w:szCs w:val="24"/>
          <w:rtl w:val="0"/>
        </w:rPr>
        <w:t xml:space="preserve">Reflection is crucial in the role of teaching. It provides the ability to assess a situation by having the time and means to learn from a previous experience. Simply put, “Reflection is an important human activity in which people recapture their experience, think about it, mull it over and evaluate it”, (Boad, Keough and Walker, 1985, p.19) The reflective roles of theorists help us to understand </w:t>
      </w:r>
      <w:r w:rsidDel="00000000" w:rsidR="00000000" w:rsidRPr="00000000">
        <w:rPr>
          <w:sz w:val="24"/>
          <w:szCs w:val="24"/>
          <w:rtl w:val="0"/>
        </w:rPr>
        <w:t xml:space="preserve">how practitioners</w:t>
      </w:r>
      <w:r w:rsidDel="00000000" w:rsidR="00000000" w:rsidRPr="00000000">
        <w:rPr>
          <w:sz w:val="24"/>
          <w:szCs w:val="24"/>
          <w:rtl w:val="0"/>
        </w:rPr>
        <w:t xml:space="preserve"> may develop their practices to enhance their methods, thus teachers must develop the ability to reflect critically on their work. In order to do so, research suggests that such development comes from participating in critical reflection through collaboration and self evaluation. (Hodkinson and Harvard, 1994, p. 6) Critical reflection becomes prominent as we explore Wales’ new curriculum reform, and the uses of the four purposes. These include ambitious, capable learners, enterprising, creative contributors, healthy and confident individuals, and ethical, informed citizens, all </w:t>
      </w:r>
      <w:r w:rsidDel="00000000" w:rsidR="00000000" w:rsidRPr="00000000">
        <w:rPr>
          <w:sz w:val="24"/>
          <w:szCs w:val="24"/>
          <w:rtl w:val="0"/>
        </w:rPr>
        <w:t xml:space="preserve">of which derive</w:t>
      </w:r>
      <w:r w:rsidDel="00000000" w:rsidR="00000000" w:rsidRPr="00000000">
        <w:rPr>
          <w:sz w:val="24"/>
          <w:szCs w:val="24"/>
          <w:rtl w:val="0"/>
        </w:rPr>
        <w:t xml:space="preserve"> from Donaldson’s findings in 2015 on child development and effective learning (Donaldson, 2015, </w:t>
      </w:r>
      <w:r w:rsidDel="00000000" w:rsidR="00000000" w:rsidRPr="00000000">
        <w:rPr>
          <w:sz w:val="24"/>
          <w:szCs w:val="24"/>
          <w:rtl w:val="0"/>
        </w:rPr>
        <w:t xml:space="preserve">pp. 29-30)</w:t>
      </w:r>
      <w:r w:rsidDel="00000000" w:rsidR="00000000" w:rsidRPr="00000000">
        <w:rPr>
          <w:sz w:val="24"/>
          <w:szCs w:val="24"/>
          <w:rtl w:val="0"/>
        </w:rPr>
        <w:t xml:space="preserve">. The curriculum puts emphasis on an </w:t>
      </w:r>
      <w:r w:rsidDel="00000000" w:rsidR="00000000" w:rsidRPr="00000000">
        <w:rPr>
          <w:sz w:val="24"/>
          <w:szCs w:val="24"/>
          <w:rtl w:val="0"/>
        </w:rPr>
        <w:t xml:space="preserve"> educational system</w:t>
      </w:r>
      <w:r w:rsidDel="00000000" w:rsidR="00000000" w:rsidRPr="00000000">
        <w:rPr>
          <w:sz w:val="24"/>
          <w:szCs w:val="24"/>
          <w:rtl w:val="0"/>
        </w:rPr>
        <w:t xml:space="preserve"> that encourages well-balanced experiences, exploring all areas of learning for both educational and life skills. The curriculum refers to these </w:t>
      </w:r>
      <w:r w:rsidDel="00000000" w:rsidR="00000000" w:rsidRPr="00000000">
        <w:rPr>
          <w:sz w:val="24"/>
          <w:szCs w:val="24"/>
          <w:rtl w:val="0"/>
        </w:rPr>
        <w:t xml:space="preserve">areas of learning and experiences (AoLE’s</w:t>
      </w:r>
      <w:r w:rsidDel="00000000" w:rsidR="00000000" w:rsidRPr="00000000">
        <w:rPr>
          <w:sz w:val="24"/>
          <w:szCs w:val="24"/>
          <w:rtl w:val="0"/>
        </w:rPr>
        <w:t xml:space="preserve">) and includes maths and </w:t>
      </w:r>
      <w:r w:rsidDel="00000000" w:rsidR="00000000" w:rsidRPr="00000000">
        <w:rPr>
          <w:sz w:val="24"/>
          <w:szCs w:val="24"/>
          <w:rtl w:val="0"/>
        </w:rPr>
        <w:t xml:space="preserve">num</w:t>
      </w:r>
      <w:r w:rsidDel="00000000" w:rsidR="00000000" w:rsidRPr="00000000">
        <w:rPr>
          <w:sz w:val="24"/>
          <w:szCs w:val="24"/>
          <w:rtl w:val="0"/>
        </w:rPr>
        <w:t xml:space="preserve">eracy, literacy, language and communication, health and wellbeing, humanities and science and technology. (Welsh Government, 2019) Additionally, the role of reflection increases the teachers ability to perform in a manner that adheres to the professional teaching standards of Pedagogy, Leadership, Professional Learning, Innovation and Collaboration, all of which directly link to personal teaching values. (Welsh Government, 2019) This assignment will continue to use the details of the strands in relation to reflection and findings. </w:t>
      </w:r>
      <w:r w:rsidDel="00000000" w:rsidR="00000000" w:rsidRPr="00000000">
        <w:rPr>
          <w:rtl w:val="0"/>
        </w:rPr>
      </w:r>
    </w:p>
    <w:p w:rsidR="00000000" w:rsidDel="00000000" w:rsidP="00000000" w:rsidRDefault="00000000" w:rsidRPr="00000000" w14:paraId="0000002C">
      <w:pPr>
        <w:spacing w:line="360" w:lineRule="auto"/>
        <w:rPr>
          <w:sz w:val="24"/>
          <w:szCs w:val="24"/>
          <w:highlight w:val="magenta"/>
          <w:u w:val="single"/>
        </w:rPr>
      </w:pPr>
      <w:r w:rsidDel="00000000" w:rsidR="00000000" w:rsidRPr="00000000">
        <w:rPr>
          <w:rtl w:val="0"/>
        </w:rPr>
      </w:r>
    </w:p>
    <w:p w:rsidR="00000000" w:rsidDel="00000000" w:rsidP="00000000" w:rsidRDefault="00000000" w:rsidRPr="00000000" w14:paraId="0000002D">
      <w:pPr>
        <w:spacing w:line="360" w:lineRule="auto"/>
        <w:rPr>
          <w:sz w:val="24"/>
          <w:szCs w:val="24"/>
          <w:u w:val="single"/>
        </w:rPr>
      </w:pPr>
      <w:r w:rsidDel="00000000" w:rsidR="00000000" w:rsidRPr="00000000">
        <w:rPr>
          <w:sz w:val="24"/>
          <w:szCs w:val="24"/>
          <w:u w:val="single"/>
          <w:rtl w:val="0"/>
        </w:rPr>
        <w:t xml:space="preserve">Observations/Findings</w:t>
      </w:r>
    </w:p>
    <w:p w:rsidR="00000000" w:rsidDel="00000000" w:rsidP="00000000" w:rsidRDefault="00000000" w:rsidRPr="00000000" w14:paraId="0000002E">
      <w:pPr>
        <w:spacing w:line="360" w:lineRule="auto"/>
        <w:rPr>
          <w:sz w:val="24"/>
          <w:szCs w:val="24"/>
          <w:u w:val="single"/>
        </w:rPr>
      </w:pPr>
      <w:r w:rsidDel="00000000" w:rsidR="00000000" w:rsidRPr="00000000">
        <w:rPr>
          <w:rtl w:val="0"/>
        </w:rPr>
      </w:r>
    </w:p>
    <w:p w:rsidR="00000000" w:rsidDel="00000000" w:rsidP="00000000" w:rsidRDefault="00000000" w:rsidRPr="00000000" w14:paraId="0000002F">
      <w:pPr>
        <w:spacing w:line="360" w:lineRule="auto"/>
        <w:rPr>
          <w:sz w:val="24"/>
          <w:szCs w:val="24"/>
        </w:rPr>
      </w:pPr>
      <w:r w:rsidDel="00000000" w:rsidR="00000000" w:rsidRPr="00000000">
        <w:rPr>
          <w:sz w:val="24"/>
          <w:szCs w:val="24"/>
          <w:rtl w:val="0"/>
        </w:rPr>
        <w:t xml:space="preserve">Due to the nature of observations, the following research and context will adhere to BERA guidelines, in particular, ‘researchers should recognise the entitlement of both institutions and individual participants to privacy, and should accord them their rights to confidentiality and anonymity’, (BERA, 2018, p.21). Therefore, those mentioned within my observations and any context or background knowledge relating to the school will be anonymised. </w:t>
      </w:r>
    </w:p>
    <w:p w:rsidR="00000000" w:rsidDel="00000000" w:rsidP="00000000" w:rsidRDefault="00000000" w:rsidRPr="00000000" w14:paraId="00000030">
      <w:pPr>
        <w:spacing w:line="360" w:lineRule="auto"/>
        <w:rPr>
          <w:sz w:val="24"/>
          <w:szCs w:val="24"/>
        </w:rPr>
      </w:pPr>
      <w:r w:rsidDel="00000000" w:rsidR="00000000" w:rsidRPr="00000000">
        <w:rPr>
          <w:sz w:val="24"/>
          <w:szCs w:val="24"/>
          <w:rtl w:val="0"/>
        </w:rPr>
        <w:tab/>
        <w:t xml:space="preserve">This observation took place in an English medium primary school. This is a large school with a total of 481 pupils with 72 part-time students included within the nursery. The school is sectioned into 16 single-year classes, also including 2 of the nursery groups. (Estyn, 2018, p.1) In relation to a 2018 Estyn report on the overall wellbeing of the school, it found that “pupils behaviours are consistently good throughout the school” and also explained that “they know who they can ask for help with work or any other issues that may arise”. (Estyn, 2018, p. 5) As part of the Welsh Government's scheme around 21% of pupils are eligible for free school meals, making this slightly higher than the national average of around 19%. (Estyn, 2018, p. 1) </w:t>
      </w:r>
    </w:p>
    <w:p w:rsidR="00000000" w:rsidDel="00000000" w:rsidP="00000000" w:rsidRDefault="00000000" w:rsidRPr="00000000" w14:paraId="00000031">
      <w:pPr>
        <w:spacing w:line="360" w:lineRule="auto"/>
        <w:rPr>
          <w:sz w:val="24"/>
          <w:szCs w:val="24"/>
        </w:rPr>
      </w:pPr>
      <w:r w:rsidDel="00000000" w:rsidR="00000000" w:rsidRPr="00000000">
        <w:rPr>
          <w:sz w:val="24"/>
          <w:szCs w:val="24"/>
          <w:rtl w:val="0"/>
        </w:rPr>
        <w:tab/>
        <w:t xml:space="preserve">My observations lasted two days and my role as an observer was to gather any information on the classroom setting and to identify three critical incidents of significance, therefore, I only witnessed a snippet of school life. This was an important process as it allowed me to learn and to understand behaviour, educational development and classroom strategies further. </w:t>
      </w:r>
      <w:r w:rsidDel="00000000" w:rsidR="00000000" w:rsidRPr="00000000">
        <w:rPr>
          <w:sz w:val="23"/>
          <w:szCs w:val="23"/>
          <w:highlight w:val="white"/>
          <w:rtl w:val="0"/>
        </w:rPr>
        <w:t xml:space="preserve">Throughout my time here, a great deal of the lessons regarded assessing the children in numeracy, literacy and language skills</w:t>
      </w:r>
      <w:r w:rsidDel="00000000" w:rsidR="00000000" w:rsidRPr="00000000">
        <w:rPr>
          <w:sz w:val="26"/>
          <w:szCs w:val="26"/>
          <w:rtl w:val="0"/>
        </w:rPr>
        <w:t xml:space="preserve">.</w:t>
      </w:r>
      <w:r w:rsidDel="00000000" w:rsidR="00000000" w:rsidRPr="00000000">
        <w:rPr>
          <w:sz w:val="24"/>
          <w:szCs w:val="24"/>
          <w:rtl w:val="0"/>
        </w:rPr>
        <w:t xml:space="preserve"> This particular group was slightly below the average of progression step 2-3 which raised concerns for the classroom teacher. Much of the discussions we had regarded the student’s reading scores, the work of previous year 5 and 6 classrooms and the resources available for the remainder of this term. (See figures A and B) This incident also took place within a classroom of around 30 generally well-behaved students, and the student was located on a table according to ability.</w:t>
      </w:r>
    </w:p>
    <w:p w:rsidR="00000000" w:rsidDel="00000000" w:rsidP="00000000" w:rsidRDefault="00000000" w:rsidRPr="00000000" w14:paraId="00000032">
      <w:pPr>
        <w:spacing w:line="360" w:lineRule="auto"/>
        <w:ind w:firstLine="720"/>
        <w:rPr>
          <w:sz w:val="24"/>
          <w:szCs w:val="24"/>
        </w:rPr>
      </w:pPr>
      <w:r w:rsidDel="00000000" w:rsidR="00000000" w:rsidRPr="00000000">
        <w:rPr>
          <w:sz w:val="24"/>
          <w:szCs w:val="24"/>
          <w:rtl w:val="0"/>
        </w:rPr>
        <w:t xml:space="preserve">For clarity, evidence of all three critical incidents recorded are present below (See Figures C, D, and E) This incident took place within an Art lesson inspired by the book ‘The Dot’ by Peter H. Reynolds. (See Figure F) The teacher began the lesson with clear learning objectives, and included a youtube video of a book reading for the class. The learning objectives of this lesson included creating a personal version of a series of circles starting from a dot which was also inspired by the artist Wallace Kadinsky (See Figure E). The teacher also included a group demonstration whereby the students learned  how to achieve their end g</w:t>
      </w:r>
      <w:r w:rsidDel="00000000" w:rsidR="00000000" w:rsidRPr="00000000">
        <w:rPr>
          <w:sz w:val="24"/>
          <w:szCs w:val="24"/>
          <w:rtl w:val="0"/>
        </w:rPr>
        <w:t xml:space="preserve">oal. Thi</w:t>
      </w:r>
      <w:r w:rsidDel="00000000" w:rsidR="00000000" w:rsidRPr="00000000">
        <w:rPr>
          <w:sz w:val="24"/>
          <w:szCs w:val="24"/>
          <w:rtl w:val="0"/>
        </w:rPr>
        <w:t xml:space="preserve">s set out positive and helpful expectations for the students. </w:t>
      </w:r>
    </w:p>
    <w:p w:rsidR="00000000" w:rsidDel="00000000" w:rsidP="00000000" w:rsidRDefault="00000000" w:rsidRPr="00000000" w14:paraId="00000033">
      <w:pPr>
        <w:spacing w:line="360" w:lineRule="auto"/>
        <w:rPr>
          <w:sz w:val="24"/>
          <w:szCs w:val="24"/>
          <w:u w:val="single"/>
        </w:rPr>
      </w:pPr>
      <w:r w:rsidDel="00000000" w:rsidR="00000000" w:rsidRPr="00000000">
        <w:rPr>
          <w:rtl w:val="0"/>
        </w:rPr>
      </w:r>
    </w:p>
    <w:p w:rsidR="00000000" w:rsidDel="00000000" w:rsidP="00000000" w:rsidRDefault="00000000" w:rsidRPr="00000000" w14:paraId="00000034">
      <w:pPr>
        <w:spacing w:line="360" w:lineRule="auto"/>
        <w:rPr>
          <w:sz w:val="24"/>
          <w:szCs w:val="24"/>
          <w:u w:val="single"/>
        </w:rPr>
      </w:pPr>
      <w:r w:rsidDel="00000000" w:rsidR="00000000" w:rsidRPr="00000000">
        <w:rPr>
          <w:sz w:val="24"/>
          <w:szCs w:val="24"/>
          <w:u w:val="single"/>
          <w:rtl w:val="0"/>
        </w:rPr>
        <w:t xml:space="preserve">The Critical Incident</w:t>
      </w:r>
    </w:p>
    <w:p w:rsidR="00000000" w:rsidDel="00000000" w:rsidP="00000000" w:rsidRDefault="00000000" w:rsidRPr="00000000" w14:paraId="00000035">
      <w:pPr>
        <w:spacing w:line="360" w:lineRule="auto"/>
        <w:rPr>
          <w:sz w:val="24"/>
          <w:szCs w:val="24"/>
          <w:u w:val="single"/>
        </w:rPr>
      </w:pPr>
      <w:r w:rsidDel="00000000" w:rsidR="00000000" w:rsidRPr="00000000">
        <w:rPr>
          <w:rtl w:val="0"/>
        </w:rPr>
      </w:r>
    </w:p>
    <w:p w:rsidR="00000000" w:rsidDel="00000000" w:rsidP="00000000" w:rsidRDefault="00000000" w:rsidRPr="00000000" w14:paraId="00000036">
      <w:pPr>
        <w:spacing w:line="360" w:lineRule="auto"/>
        <w:rPr>
          <w:sz w:val="24"/>
          <w:szCs w:val="24"/>
        </w:rPr>
      </w:pPr>
      <w:r w:rsidDel="00000000" w:rsidR="00000000" w:rsidRPr="00000000">
        <w:rPr>
          <w:sz w:val="24"/>
          <w:szCs w:val="24"/>
          <w:rtl w:val="0"/>
        </w:rPr>
        <w:t xml:space="preserve">The incident started with a student struggling with the task of painting with a brief. The student became increasingly frustrated when the painting did not look the way they had hoped and felt that they were doing the work wrong. The student asked on multiple occasions if they were able to start again on another page however, the teacher explained that there are no mistakes in Art and that they could change what they did not like with different techniques. Despite this, the student felt they were unable to do the task and decided to stop what they were doing, putting the Art book away in their </w:t>
      </w:r>
      <w:r w:rsidDel="00000000" w:rsidR="00000000" w:rsidRPr="00000000">
        <w:rPr>
          <w:sz w:val="24"/>
          <w:szCs w:val="24"/>
          <w:rtl w:val="0"/>
        </w:rPr>
        <w:t xml:space="preserve">drawer.</w:t>
      </w:r>
      <w:r w:rsidDel="00000000" w:rsidR="00000000" w:rsidRPr="00000000">
        <w:rPr>
          <w:sz w:val="24"/>
          <w:szCs w:val="24"/>
          <w:rtl w:val="0"/>
        </w:rPr>
        <w:t xml:space="preserve"> The teacher noticed this and decided to pick up the book explaining we do not give up on our work. The teacher then proceeded to help this student on a one-to-one level, demonstrated the task carefully again and explained that it is ok to become frustrated but to remember how to change this attitude for next time. The teacher put a clear emphasis on not giving up on something once it becomes too difficult, to</w:t>
      </w:r>
      <w:r w:rsidDel="00000000" w:rsidR="00000000" w:rsidRPr="00000000">
        <w:rPr>
          <w:sz w:val="24"/>
          <w:szCs w:val="24"/>
          <w:rtl w:val="0"/>
        </w:rPr>
        <w:t xml:space="preserve"> which t</w:t>
      </w:r>
      <w:r w:rsidDel="00000000" w:rsidR="00000000" w:rsidRPr="00000000">
        <w:rPr>
          <w:sz w:val="24"/>
          <w:szCs w:val="24"/>
          <w:rtl w:val="0"/>
        </w:rPr>
        <w:t xml:space="preserve">he student responded well. Once the teacher had applied deliberate</w:t>
      </w:r>
      <w:r w:rsidDel="00000000" w:rsidR="00000000" w:rsidRPr="00000000">
        <w:rPr>
          <w:sz w:val="24"/>
          <w:szCs w:val="24"/>
          <w:rtl w:val="0"/>
        </w:rPr>
        <w:t xml:space="preserve"> </w:t>
      </w:r>
      <w:r w:rsidDel="00000000" w:rsidR="00000000" w:rsidRPr="00000000">
        <w:rPr>
          <w:sz w:val="24"/>
          <w:szCs w:val="24"/>
          <w:rtl w:val="0"/>
        </w:rPr>
        <w:t xml:space="preserve">pedagogical methods, the student was able to find their confidence and continue their work. This student created a meaningful piece of art especially through following the teacher’s i</w:t>
      </w:r>
      <w:r w:rsidDel="00000000" w:rsidR="00000000" w:rsidRPr="00000000">
        <w:rPr>
          <w:sz w:val="24"/>
          <w:szCs w:val="24"/>
          <w:rtl w:val="0"/>
        </w:rPr>
        <w:t xml:space="preserve">ntervention.</w:t>
      </w:r>
      <w:r w:rsidDel="00000000" w:rsidR="00000000" w:rsidRPr="00000000">
        <w:rPr>
          <w:sz w:val="24"/>
          <w:szCs w:val="24"/>
          <w:rtl w:val="0"/>
        </w:rPr>
        <w:t xml:space="preserve"> </w:t>
      </w:r>
    </w:p>
    <w:p w:rsidR="00000000" w:rsidDel="00000000" w:rsidP="00000000" w:rsidRDefault="00000000" w:rsidRPr="00000000" w14:paraId="00000037">
      <w:pPr>
        <w:spacing w:line="360" w:lineRule="auto"/>
        <w:ind w:firstLine="720"/>
        <w:rPr>
          <w:sz w:val="24"/>
          <w:szCs w:val="24"/>
        </w:rPr>
      </w:pPr>
      <w:r w:rsidDel="00000000" w:rsidR="00000000" w:rsidRPr="00000000">
        <w:rPr>
          <w:sz w:val="24"/>
          <w:szCs w:val="24"/>
          <w:rtl w:val="0"/>
        </w:rPr>
        <w:t xml:space="preserve">As a means of reflection and rewarding, the teacher used the end of the lesson to present a ‘bracelet rewards system’. These </w:t>
      </w:r>
      <w:r w:rsidDel="00000000" w:rsidR="00000000" w:rsidRPr="00000000">
        <w:rPr>
          <w:sz w:val="24"/>
          <w:szCs w:val="24"/>
          <w:rtl w:val="0"/>
        </w:rPr>
        <w:t xml:space="preserve">re</w:t>
      </w:r>
      <w:r w:rsidDel="00000000" w:rsidR="00000000" w:rsidRPr="00000000">
        <w:rPr>
          <w:sz w:val="24"/>
          <w:szCs w:val="24"/>
          <w:rtl w:val="0"/>
        </w:rPr>
        <w:t xml:space="preserve">wards included those who either created a ‘masterpiece’, were a ‘great creative thinker’ or were the ‘most improved’. In understanding the struggle this particular student faced in their lesson, the teacher provided the ‘most improved’ bracelet reward to them as they were able to overcome their difficulties and try again.This reiterated the teachers main points of perseverance and positive attitudes.</w:t>
      </w:r>
    </w:p>
    <w:p w:rsidR="00000000" w:rsidDel="00000000" w:rsidP="00000000" w:rsidRDefault="00000000" w:rsidRPr="00000000" w14:paraId="00000038">
      <w:pPr>
        <w:spacing w:line="360" w:lineRule="auto"/>
        <w:rPr>
          <w:sz w:val="24"/>
          <w:szCs w:val="24"/>
        </w:rPr>
      </w:pPr>
      <w:r w:rsidDel="00000000" w:rsidR="00000000" w:rsidRPr="00000000">
        <w:rPr>
          <w:sz w:val="24"/>
          <w:szCs w:val="24"/>
          <w:rtl w:val="0"/>
        </w:rPr>
        <w:tab/>
        <w:t xml:space="preserve">Following the incident, I asked this teacher what methods they felt were necessary in helping this student proceed with their work, with which they responded that children often need clear, individual motivation and demonstration to relate personally to them. </w:t>
      </w:r>
    </w:p>
    <w:p w:rsidR="00000000" w:rsidDel="00000000" w:rsidP="00000000" w:rsidRDefault="00000000" w:rsidRPr="00000000" w14:paraId="00000039">
      <w:pPr>
        <w:spacing w:line="360" w:lineRule="auto"/>
        <w:ind w:firstLine="720"/>
        <w:rPr>
          <w:sz w:val="24"/>
          <w:szCs w:val="24"/>
        </w:rPr>
      </w:pPr>
      <w:r w:rsidDel="00000000" w:rsidR="00000000" w:rsidRPr="00000000">
        <w:rPr>
          <w:sz w:val="24"/>
          <w:szCs w:val="24"/>
          <w:rtl w:val="0"/>
        </w:rPr>
        <w:t xml:space="preserve">When we consider the four purposes, this incident has great significance. With the area of ‘ambitious and capable learners’, the incident aligns with a number of strands including setting themselves a high standard, encouraging enjoyment in challenge and creating problem solving individuals who are questioning all aspects of education and life (Donaldson, 2015, pp. 29-30).  It also encourages the purpose of enterprising, creative contributors and identifies the strands of thinking creatively to reframe problems, and taking measured risks (Donaldson, 2015, pp. 29-30). Finally, there are a range of professional standards that this incident represents. These include Collaboration, where the teacher displays a clear understanding of enabling improvement encouraging the student to continue their work. This incident also includes pedagogy that relates to differentiation, progression in learning and sustained effort and resilience in learners, providing the motivation of a task. Ultimately the incident provides a range of considerations, and its relations to the reformed curriculum in Wales provides evidence of effective teaching and how this can impact the learner significantly. It should be noted that educational and independent development is impacted greatly by both inner thought processes of a student and their surrounding </w:t>
      </w:r>
      <w:r w:rsidDel="00000000" w:rsidR="00000000" w:rsidRPr="00000000">
        <w:rPr>
          <w:sz w:val="24"/>
          <w:szCs w:val="24"/>
          <w:rtl w:val="0"/>
        </w:rPr>
        <w:t xml:space="preserve">envirnoment</w:t>
      </w:r>
      <w:r w:rsidDel="00000000" w:rsidR="00000000" w:rsidRPr="00000000">
        <w:rPr>
          <w:sz w:val="24"/>
          <w:szCs w:val="24"/>
          <w:rtl w:val="0"/>
        </w:rPr>
        <w:t xml:space="preserve">. </w:t>
      </w:r>
    </w:p>
    <w:p w:rsidR="00000000" w:rsidDel="00000000" w:rsidP="00000000" w:rsidRDefault="00000000" w:rsidRPr="00000000" w14:paraId="0000003A">
      <w:pPr>
        <w:spacing w:line="360" w:lineRule="auto"/>
        <w:rPr>
          <w:sz w:val="24"/>
          <w:szCs w:val="24"/>
          <w:highlight w:val="magenta"/>
        </w:rPr>
      </w:pPr>
      <w:r w:rsidDel="00000000" w:rsidR="00000000" w:rsidRPr="00000000">
        <w:rPr>
          <w:rtl w:val="0"/>
        </w:rPr>
      </w:r>
    </w:p>
    <w:p w:rsidR="00000000" w:rsidDel="00000000" w:rsidP="00000000" w:rsidRDefault="00000000" w:rsidRPr="00000000" w14:paraId="0000003B">
      <w:pPr>
        <w:spacing w:line="360" w:lineRule="auto"/>
        <w:rPr>
          <w:sz w:val="24"/>
          <w:szCs w:val="24"/>
          <w:u w:val="single"/>
        </w:rPr>
      </w:pPr>
      <w:r w:rsidDel="00000000" w:rsidR="00000000" w:rsidRPr="00000000">
        <w:rPr>
          <w:sz w:val="24"/>
          <w:szCs w:val="24"/>
          <w:u w:val="single"/>
          <w:rtl w:val="0"/>
        </w:rPr>
        <w:t xml:space="preserve">Literature Review - Further Understandings</w:t>
      </w:r>
    </w:p>
    <w:p w:rsidR="00000000" w:rsidDel="00000000" w:rsidP="00000000" w:rsidRDefault="00000000" w:rsidRPr="00000000" w14:paraId="0000003C">
      <w:pPr>
        <w:spacing w:line="360" w:lineRule="auto"/>
        <w:rPr>
          <w:sz w:val="24"/>
          <w:szCs w:val="24"/>
          <w:u w:val="single"/>
        </w:rPr>
      </w:pPr>
      <w:r w:rsidDel="00000000" w:rsidR="00000000" w:rsidRPr="00000000">
        <w:rPr>
          <w:rtl w:val="0"/>
        </w:rPr>
      </w:r>
    </w:p>
    <w:p w:rsidR="00000000" w:rsidDel="00000000" w:rsidP="00000000" w:rsidRDefault="00000000" w:rsidRPr="00000000" w14:paraId="0000003D">
      <w:pPr>
        <w:spacing w:line="360" w:lineRule="auto"/>
        <w:rPr>
          <w:sz w:val="24"/>
          <w:szCs w:val="24"/>
        </w:rPr>
      </w:pPr>
      <w:r w:rsidDel="00000000" w:rsidR="00000000" w:rsidRPr="00000000">
        <w:rPr>
          <w:sz w:val="24"/>
          <w:szCs w:val="24"/>
          <w:rtl w:val="0"/>
        </w:rPr>
        <w:t xml:space="preserve">There are a range of theories exploring how </w:t>
      </w:r>
      <w:r w:rsidDel="00000000" w:rsidR="00000000" w:rsidRPr="00000000">
        <w:rPr>
          <w:sz w:val="24"/>
          <w:szCs w:val="24"/>
          <w:rtl w:val="0"/>
        </w:rPr>
        <w:t xml:space="preserve">teachers </w:t>
      </w:r>
      <w:r w:rsidDel="00000000" w:rsidR="00000000" w:rsidRPr="00000000">
        <w:rPr>
          <w:sz w:val="24"/>
          <w:szCs w:val="24"/>
          <w:rtl w:val="0"/>
        </w:rPr>
        <w:t xml:space="preserve">can ensure that the student is reaching all developmental potentials. In order to understand educational and individual development further, we must consider the educational environment alongside the fundamentals of an individual's inner development. L. S. Vygotsky explained that the psychological analysis of teaching can not be considered without the study of development in children. (Vygotsky, 1997, p. 29) Additionally, Vygotsky notes that the relationship between learning and development remains “methodologically unclear” due to the lack of research in the area. (Vygotsky, 1997, p. 29) Regarding our understanding on links to educational development, Vygotsky also explains the relationship between learning and development, which can be reduced to three theoretical positions:</w:t>
      </w:r>
      <w:r w:rsidDel="00000000" w:rsidR="00000000" w:rsidRPr="00000000">
        <w:rPr>
          <w:sz w:val="24"/>
          <w:szCs w:val="24"/>
          <w:rtl w:val="0"/>
        </w:rPr>
        <w:t xml:space="preserve"> which include,</w:t>
      </w:r>
      <w:r w:rsidDel="00000000" w:rsidR="00000000" w:rsidRPr="00000000">
        <w:rPr>
          <w:sz w:val="24"/>
          <w:szCs w:val="24"/>
          <w:rtl w:val="0"/>
        </w:rPr>
        <w:t xml:space="preserve"> a) an assumption that child development and learning are separate from one another, b) learning is development and c) that overcoming the previous two extremes combines learning and development as a singular entity. (Vygotsky 1997, pp. 29-30) This review will also focus on the constructivism theory of Jean Piaget and delve deeper into three main points. These points include, why independent development is crucial to educational development, how constructivism and social-constructivism impact the learner and their development, and understanding the strategies used by teaching practitioners to enhance development and pinpoint critical impacts on learning, including methods of scaffolding and meeting the needs of the individual learner. </w:t>
      </w:r>
    </w:p>
    <w:p w:rsidR="00000000" w:rsidDel="00000000" w:rsidP="00000000" w:rsidRDefault="00000000" w:rsidRPr="00000000" w14:paraId="0000003E">
      <w:pPr>
        <w:spacing w:line="360" w:lineRule="auto"/>
        <w:ind w:firstLine="720"/>
        <w:rPr>
          <w:sz w:val="24"/>
          <w:szCs w:val="24"/>
        </w:rPr>
      </w:pPr>
      <w:r w:rsidDel="00000000" w:rsidR="00000000" w:rsidRPr="00000000">
        <w:rPr>
          <w:sz w:val="24"/>
          <w:szCs w:val="24"/>
          <w:rtl w:val="0"/>
        </w:rPr>
        <w:t xml:space="preserve">Constructivist methods argue that learning and development are never experienced simultaneously and that the fundamentals of development or maturing are a precondition of learning rather than its result. (Vygotsky, 1997, p. 30) Piaget’s views on constructivism include the concept that knowledge is not involved in pre-existing reality, instead it is constructed through an individual's response to observations and experiences. (Petersen, T. E. 2012, p. 883) Regarding reactions and expectations, Piaget believed that to fully comprehend knowledge, we must study its development rather than its final product and that the study of children was simply a means of explaining the nature of human knowledge. (Kamii and Ewing, 1996, p. 260) Subsequently, analysing how this student was able to apply a constructed knowledge of how a task should be carried out and how this knowledge will result in the final product, all from prior knowledge and development represents the significance of the constructivist theory. However, it should be noted that there are a range of gaps or disadvantages in this literature. Piaget in particular lacks a certain level of research due to his early death and indicates the need for a modernised view on constructivism. In addition, understandings of constructivism should be considered further alongside the 2022 curriculum for Wales to analyse particular areas that have previously been ignored such as the concepts of balanced AoLE’s for all areas of learning. These areas also include the generalised view of development which expels possibilities of development within different or ability groups including those with Additional Learning Needs, (ALN). Therefore, we must create an unbiased view on certain findings present.</w:t>
      </w:r>
    </w:p>
    <w:p w:rsidR="00000000" w:rsidDel="00000000" w:rsidP="00000000" w:rsidRDefault="00000000" w:rsidRPr="00000000" w14:paraId="0000003F">
      <w:pPr>
        <w:spacing w:line="360" w:lineRule="auto"/>
        <w:ind w:firstLine="720"/>
        <w:rPr>
          <w:sz w:val="24"/>
          <w:szCs w:val="24"/>
        </w:rPr>
      </w:pPr>
      <w:r w:rsidDel="00000000" w:rsidR="00000000" w:rsidRPr="00000000">
        <w:rPr>
          <w:sz w:val="24"/>
          <w:szCs w:val="24"/>
          <w:rtl w:val="0"/>
        </w:rPr>
        <w:t xml:space="preserve">To further consider constructivism, Piaget’s theory on ‘concrete operations’ focuses on children aged between seven and eleven and is understood as the stage where children develop their organised and rational thinking (Halpern, 1965, p. 492).  According to Halpenny and Pettersen, Piaget’s ‘concrete operations’ describe the logical thinking of concrete or tangible objects and processes (Halpenny and Pettersen, 2014, p.120). When understanding what is meant by ‘concrete operations’, Oswalt explains that it is a mental operation, a way of thinking with the ability to accurately imagine the consequence of something happening before anything happens at all (Oswalt, 2010). Therefore, the idea of students becoming concerned about the possibility of ‘what-if’s’ in their education is a common notion (Oswalt, 2010, np). This </w:t>
      </w:r>
      <w:r w:rsidDel="00000000" w:rsidR="00000000" w:rsidRPr="00000000">
        <w:rPr>
          <w:sz w:val="24"/>
          <w:szCs w:val="24"/>
          <w:rtl w:val="0"/>
        </w:rPr>
        <w:t xml:space="preserve">student applied </w:t>
      </w:r>
      <w:r w:rsidDel="00000000" w:rsidR="00000000" w:rsidRPr="00000000">
        <w:rPr>
          <w:sz w:val="24"/>
          <w:szCs w:val="24"/>
          <w:rtl w:val="0"/>
        </w:rPr>
        <w:t xml:space="preserve">their individual understanding of the task and their ‘concrete operational’ thinking led them to believe they were wrong. Therefore, the idea of ‘concrete operations' is extremely relevant when we analyse this incident and begin to understand how the student thought, felt and reacted to their own educational development. However, we should also consider how the external environment of the classroom may have had an impact on this student's learning. Ultimately, constructivism can be considered further when we also consider social-constructivism.</w:t>
        <w:tab/>
      </w:r>
    </w:p>
    <w:p w:rsidR="00000000" w:rsidDel="00000000" w:rsidP="00000000" w:rsidRDefault="00000000" w:rsidRPr="00000000" w14:paraId="00000040">
      <w:pPr>
        <w:spacing w:line="360" w:lineRule="auto"/>
        <w:ind w:firstLine="720"/>
        <w:rPr>
          <w:sz w:val="24"/>
          <w:szCs w:val="24"/>
        </w:rPr>
      </w:pPr>
      <w:r w:rsidDel="00000000" w:rsidR="00000000" w:rsidRPr="00000000">
        <w:rPr>
          <w:sz w:val="24"/>
          <w:szCs w:val="24"/>
          <w:rtl w:val="0"/>
        </w:rPr>
        <w:t xml:space="preserve">Vygostky’s theories on social-constructivism demonstrate the significance of surrounding environments and determine that early educational development uses these external influences to enhance learning (Vygotsky, 1978, p. 84). Additionally, the work of Jerome Bruner relates closely to that of Vygostky in that it considers concepts within pedagogy and the impacts learners face in the educational setting (Bruner, 1964, p.14).</w:t>
      </w:r>
    </w:p>
    <w:p w:rsidR="00000000" w:rsidDel="00000000" w:rsidP="00000000" w:rsidRDefault="00000000" w:rsidRPr="00000000" w14:paraId="00000041">
      <w:pPr>
        <w:spacing w:line="360" w:lineRule="auto"/>
        <w:ind w:firstLine="720"/>
        <w:rPr>
          <w:sz w:val="24"/>
          <w:szCs w:val="24"/>
        </w:rPr>
      </w:pPr>
      <w:r w:rsidDel="00000000" w:rsidR="00000000" w:rsidRPr="00000000">
        <w:rPr>
          <w:sz w:val="24"/>
          <w:szCs w:val="24"/>
          <w:rtl w:val="0"/>
        </w:rPr>
        <w:t xml:space="preserve">There is a significance to understanding how students behave and learn in the educational environment as this is a specialised culture in which they are developing within. For instance, the student in this critical incident analysed the surrounding environment and created personal expectations of their work. Bruner explains that</w:t>
      </w:r>
    </w:p>
    <w:p w:rsidR="00000000" w:rsidDel="00000000" w:rsidP="00000000" w:rsidRDefault="00000000" w:rsidRPr="00000000" w14:paraId="00000042">
      <w:pPr>
        <w:spacing w:line="360" w:lineRule="auto"/>
        <w:ind w:firstLine="720"/>
        <w:rPr>
          <w:sz w:val="24"/>
          <w:szCs w:val="24"/>
        </w:rPr>
      </w:pPr>
      <w:r w:rsidDel="00000000" w:rsidR="00000000" w:rsidRPr="00000000">
        <w:rPr>
          <w:rtl w:val="0"/>
        </w:rPr>
      </w:r>
    </w:p>
    <w:p w:rsidR="00000000" w:rsidDel="00000000" w:rsidP="00000000" w:rsidRDefault="00000000" w:rsidRPr="00000000" w14:paraId="00000043">
      <w:pPr>
        <w:spacing w:line="360" w:lineRule="auto"/>
        <w:ind w:firstLine="720"/>
        <w:rPr>
          <w:sz w:val="24"/>
          <w:szCs w:val="24"/>
        </w:rPr>
      </w:pPr>
      <w:r w:rsidDel="00000000" w:rsidR="00000000" w:rsidRPr="00000000">
        <w:rPr>
          <w:sz w:val="24"/>
          <w:szCs w:val="24"/>
          <w:rtl w:val="0"/>
        </w:rPr>
        <w:t xml:space="preserve"> “What is significant about the growth of mind in the child is to what degree it depends upon the capacity but upon the unlocking of capacity by techniques that come from exposure to the specialised environment of a culture”. </w:t>
      </w:r>
    </w:p>
    <w:p w:rsidR="00000000" w:rsidDel="00000000" w:rsidP="00000000" w:rsidRDefault="00000000" w:rsidRPr="00000000" w14:paraId="00000044">
      <w:pPr>
        <w:spacing w:line="360" w:lineRule="auto"/>
        <w:ind w:firstLine="720"/>
        <w:rPr>
          <w:sz w:val="24"/>
          <w:szCs w:val="24"/>
        </w:rPr>
      </w:pPr>
      <w:r w:rsidDel="00000000" w:rsidR="00000000" w:rsidRPr="00000000">
        <w:rPr>
          <w:sz w:val="24"/>
          <w:szCs w:val="24"/>
          <w:rtl w:val="0"/>
        </w:rPr>
        <w:t xml:space="preserve">                                                                                          (Bruner, 1964, p.14)</w:t>
      </w:r>
    </w:p>
    <w:p w:rsidR="00000000" w:rsidDel="00000000" w:rsidP="00000000" w:rsidRDefault="00000000" w:rsidRPr="00000000" w14:paraId="00000045">
      <w:pPr>
        <w:spacing w:line="360" w:lineRule="auto"/>
        <w:ind w:firstLine="720"/>
        <w:rPr>
          <w:sz w:val="24"/>
          <w:szCs w:val="24"/>
        </w:rPr>
      </w:pPr>
      <w:r w:rsidDel="00000000" w:rsidR="00000000" w:rsidRPr="00000000">
        <w:rPr>
          <w:rtl w:val="0"/>
        </w:rPr>
      </w:r>
    </w:p>
    <w:p w:rsidR="00000000" w:rsidDel="00000000" w:rsidP="00000000" w:rsidRDefault="00000000" w:rsidRPr="00000000" w14:paraId="00000046">
      <w:pPr>
        <w:spacing w:line="360" w:lineRule="auto"/>
        <w:ind w:firstLine="720"/>
        <w:rPr>
          <w:sz w:val="24"/>
          <w:szCs w:val="24"/>
        </w:rPr>
      </w:pPr>
      <w:r w:rsidDel="00000000" w:rsidR="00000000" w:rsidRPr="00000000">
        <w:rPr>
          <w:sz w:val="24"/>
          <w:szCs w:val="24"/>
          <w:rtl w:val="0"/>
        </w:rPr>
        <w:t xml:space="preserve">There is no doubt that collaboration enhances learning experiences, although in ages where learning is a delicate balance of understanding personal knowledge and understanding social impacts, certain problems can arise, as this incident indicates. These problems arise when a student becomes the peripheral in a task leading to feelings of exclusion impacting learning. (Smidt, 2011, p. 81) This leads us to believe that further pedagogies from practitioners plays a crucial role in changing the students mindset based on both constructivist and social constructivist theories. Thus, we should consider Vygotsky and Bruner’s theories on scaffolding to further analyse this incident. </w:t>
      </w:r>
    </w:p>
    <w:p w:rsidR="00000000" w:rsidDel="00000000" w:rsidP="00000000" w:rsidRDefault="00000000" w:rsidRPr="00000000" w14:paraId="00000047">
      <w:pPr>
        <w:spacing w:line="360" w:lineRule="auto"/>
        <w:ind w:firstLine="720"/>
        <w:rPr>
          <w:sz w:val="24"/>
          <w:szCs w:val="24"/>
        </w:rPr>
      </w:pPr>
      <w:r w:rsidDel="00000000" w:rsidR="00000000" w:rsidRPr="00000000">
        <w:rPr>
          <w:sz w:val="24"/>
          <w:szCs w:val="24"/>
          <w:rtl w:val="0"/>
        </w:rPr>
        <w:t xml:space="preserve">Vygotsky’s scaffolding refers to the act of students learning through the help of a more knowledgeable person (Shvarts and Bakker, 2019, p. 4). This means those with more skill and knowledge are the scaffold in which students are able to rely upon regarding their learning. The teaching method of scaffolding refers to the educational concept of ‘zone of proximal development’ also known as ‘ZPD’ and identifies where students must challenge their learning (Shvarts and Bakker, 2019, p. 4). In order for a student to acquire an accurate skill set for knowledge and development and enhance their independent learning, they must develop through their ZPD barrier (See Figure G). It is important to note that Bruner was highly influenced by Vygotsky’s work on scaffolding theory and created his own theoretical analyses on the subject. (Shvarts and Bakker, 2019, p. 4) Although scaffolding has become a popular method in developing teaching practices, Shvarts and Bakker explain that the term is becoming vague and polysemic, thus the meaning becoming generalised (Shvarts and Bakker, 2019, p. 4). Nevertheless, scaffolding is still relevant when reflecting upon classroom incidents. Many of the strategies implemented through scaffolding techniques are often implemented in the educational setting. For example, the layout of the classroom includes groups based on ability in learning. Other techniques include differentiation activities, for instance a range of resources adapted to skillset or a cross-curricular theme to adhere to a range of knowledge. Thus, this incident highlights an effective example of the theories proposed in this review as it displays encouraging scaffolding techniques in order to encourage the individual and ensure they would work through their ZPD barrier. Moreover, this is an example of enhanced independent learning, establishing the importance of both constructive and social-constructive learning.</w:t>
      </w:r>
    </w:p>
    <w:p w:rsidR="00000000" w:rsidDel="00000000" w:rsidP="00000000" w:rsidRDefault="00000000" w:rsidRPr="00000000" w14:paraId="00000048">
      <w:pPr>
        <w:spacing w:line="360" w:lineRule="auto"/>
        <w:ind w:firstLine="720"/>
        <w:rPr>
          <w:sz w:val="24"/>
          <w:szCs w:val="24"/>
          <w:highlight w:val="magenta"/>
          <w:u w:val="single"/>
        </w:rPr>
      </w:pPr>
      <w:r w:rsidDel="00000000" w:rsidR="00000000" w:rsidRPr="00000000">
        <w:rPr>
          <w:sz w:val="24"/>
          <w:szCs w:val="24"/>
          <w:rtl w:val="0"/>
        </w:rPr>
        <w:t xml:space="preserve">To conclude, this review has established that there is a wide range of concepts that greatly impact learning and development which include both internal and external factors. The use of independent development and collaboration became a defining point in this incident and represents the theories of Piaget, Vygotsky and Bruner, highlighting the complexity of independent and educational learning. When we consider Piaget’s constructivist theory and how ‘concrete operations’ impact development, we are able to identify barriers which can affect the learner. This includes Oswalt's concept of the ‘what if’ and using mental operations to determine a ‘final product’. Regarding social-constructivist theories, the work of Vygotsky and Bruner represents the importance of collaboration and the surrounding environment to the learner, determining the classroom setting creates a preconceived response to certain areas of learning. Finally, areas of learning for practitioners in collaborative and personalised techniques also enhance student learning. This refers to Vygostky’s scaffolding concept including methods of differentiations and individual teacher-led learning. Ultimately, it should be noted that this review considers only a small section of the theoretical works across education and areas of child and teacher development, further research provides a rich tapestry of considerations on bettering an individual's educational and personal development. </w:t>
      </w:r>
      <w:r w:rsidDel="00000000" w:rsidR="00000000" w:rsidRPr="00000000">
        <w:rPr>
          <w:rtl w:val="0"/>
        </w:rPr>
      </w:r>
    </w:p>
    <w:p w:rsidR="00000000" w:rsidDel="00000000" w:rsidP="00000000" w:rsidRDefault="00000000" w:rsidRPr="00000000" w14:paraId="00000049">
      <w:pPr>
        <w:spacing w:line="360" w:lineRule="auto"/>
        <w:rPr>
          <w:sz w:val="24"/>
          <w:szCs w:val="24"/>
          <w:u w:val="single"/>
        </w:rPr>
      </w:pPr>
      <w:r w:rsidDel="00000000" w:rsidR="00000000" w:rsidRPr="00000000">
        <w:rPr>
          <w:rtl w:val="0"/>
        </w:rPr>
      </w:r>
    </w:p>
    <w:p w:rsidR="00000000" w:rsidDel="00000000" w:rsidP="00000000" w:rsidRDefault="00000000" w:rsidRPr="00000000" w14:paraId="0000004A">
      <w:pPr>
        <w:spacing w:line="360" w:lineRule="auto"/>
        <w:rPr>
          <w:sz w:val="24"/>
          <w:szCs w:val="24"/>
          <w:u w:val="single"/>
        </w:rPr>
      </w:pPr>
      <w:r w:rsidDel="00000000" w:rsidR="00000000" w:rsidRPr="00000000">
        <w:rPr>
          <w:sz w:val="24"/>
          <w:szCs w:val="24"/>
          <w:u w:val="single"/>
          <w:rtl w:val="0"/>
        </w:rPr>
        <w:t xml:space="preserve">Reflection, Evaluation and the Next Steps</w:t>
      </w:r>
    </w:p>
    <w:p w:rsidR="00000000" w:rsidDel="00000000" w:rsidP="00000000" w:rsidRDefault="00000000" w:rsidRPr="00000000" w14:paraId="0000004B">
      <w:pPr>
        <w:spacing w:line="360" w:lineRule="auto"/>
        <w:rPr>
          <w:sz w:val="24"/>
          <w:szCs w:val="24"/>
          <w:u w:val="single"/>
        </w:rPr>
      </w:pPr>
      <w:r w:rsidDel="00000000" w:rsidR="00000000" w:rsidRPr="00000000">
        <w:rPr>
          <w:rtl w:val="0"/>
        </w:rPr>
      </w:r>
    </w:p>
    <w:p w:rsidR="00000000" w:rsidDel="00000000" w:rsidP="00000000" w:rsidRDefault="00000000" w:rsidRPr="00000000" w14:paraId="0000004C">
      <w:pPr>
        <w:spacing w:line="360" w:lineRule="auto"/>
        <w:rPr>
          <w:sz w:val="24"/>
          <w:szCs w:val="24"/>
        </w:rPr>
      </w:pPr>
      <w:r w:rsidDel="00000000" w:rsidR="00000000" w:rsidRPr="00000000">
        <w:rPr>
          <w:sz w:val="24"/>
          <w:szCs w:val="24"/>
          <w:rtl w:val="0"/>
        </w:rPr>
        <w:t xml:space="preserve">Reflection and evaluation are crucial when we consider how we teach, learn and observe. Bruster and Peterson highlight that those “who are unreflective are limited in their ability to make change” (Bruster and Peterson, 2013, p. 171). There have been a number of theorists who have studied reflection and its impacts within the educational field and have determined that these methods rely upon a system to fully determine emotions, knowledge and an ability to learn. Although the models of Kolb, Gibbs and Schon rely on the sequenced process of reflection, Brooksfield argues that there is a deeper emotional and intellectual connection within the process (Pendrey, 2022, p. 80). In order to fully understand this </w:t>
      </w:r>
      <w:r w:rsidDel="00000000" w:rsidR="00000000" w:rsidRPr="00000000">
        <w:rPr>
          <w:sz w:val="24"/>
          <w:szCs w:val="24"/>
          <w:rtl w:val="0"/>
        </w:rPr>
        <w:t xml:space="preserve">we have to consider</w:t>
      </w:r>
      <w:r w:rsidDel="00000000" w:rsidR="00000000" w:rsidRPr="00000000">
        <w:rPr>
          <w:sz w:val="24"/>
          <w:szCs w:val="24"/>
          <w:rtl w:val="0"/>
        </w:rPr>
        <w:t xml:space="preserve"> Gibbs’ reflective model in comparison. According to Pendrey, Gibbs’ reflective cycle encourages a systematic approach including phases of an experience or event. (Pendrey, 2022, p. 80) (See Figure H) This model represents a helpful and systematic approach to reflection and evaluation, however lacks the variety of viewpoints from all involved. Therefore, the critical incident in question resonates more with Brookfield’s reflective journey as it focuses on the processes of perception.</w:t>
      </w:r>
      <w:r w:rsidDel="00000000" w:rsidR="00000000" w:rsidRPr="00000000">
        <w:rPr>
          <w:sz w:val="24"/>
          <w:szCs w:val="24"/>
          <w:rtl w:val="0"/>
        </w:rPr>
        <w:t xml:space="preserve"> Brookfield highlights </w:t>
      </w:r>
      <w:r w:rsidDel="00000000" w:rsidR="00000000" w:rsidRPr="00000000">
        <w:rPr>
          <w:sz w:val="24"/>
          <w:szCs w:val="24"/>
          <w:rtl w:val="0"/>
        </w:rPr>
        <w:t xml:space="preserve">that these processes could be reflected upon with four levels of understanding. (MacPhail, 2011, p. 437)  T</w:t>
      </w:r>
      <w:r w:rsidDel="00000000" w:rsidR="00000000" w:rsidRPr="00000000">
        <w:rPr>
          <w:sz w:val="24"/>
          <w:szCs w:val="24"/>
          <w:rtl w:val="0"/>
        </w:rPr>
        <w:t xml:space="preserve">hese reflective perspectives include self, “understanding our personal autobiographies'', students,“seeing things through our students' eyes”, peers, “understanding the experiences of our colleagues” and finally scholarship, “creating and researching theoretical literature” </w:t>
      </w:r>
      <w:r w:rsidDel="00000000" w:rsidR="00000000" w:rsidRPr="00000000">
        <w:rPr>
          <w:sz w:val="24"/>
          <w:szCs w:val="24"/>
          <w:rtl w:val="0"/>
        </w:rPr>
        <w:t xml:space="preserve">(Brookfield, 2017, pp. 63-75). (See Figure I) The act of perception can undoubtedly help both the learner and the teacher, as Pendrey states, “we use our inquisitive lens in our daily practice, often without even knowing or taking time to think about it”. (Pendrey, 2022, p. 70) Thus, Brookfield’s model creates an accessible approach to reflection and evaluation, one that can be considered even whilst the event is taking place. </w:t>
      </w:r>
      <w:r w:rsidDel="00000000" w:rsidR="00000000" w:rsidRPr="00000000">
        <w:rPr>
          <w:sz w:val="24"/>
          <w:szCs w:val="24"/>
          <w:highlight w:val="white"/>
          <w:rtl w:val="0"/>
        </w:rPr>
        <w:t xml:space="preserve">Whilst this model has its advantages, there are drawbacks to it that often arise</w:t>
      </w:r>
      <w:r w:rsidDel="00000000" w:rsidR="00000000" w:rsidRPr="00000000">
        <w:rPr>
          <w:sz w:val="24"/>
          <w:szCs w:val="24"/>
          <w:rtl w:val="0"/>
        </w:rPr>
        <w:t xml:space="preserve">.</w:t>
      </w:r>
      <w:r w:rsidDel="00000000" w:rsidR="00000000" w:rsidRPr="00000000">
        <w:rPr>
          <w:sz w:val="24"/>
          <w:szCs w:val="24"/>
          <w:rtl w:val="0"/>
        </w:rPr>
        <w:t xml:space="preserve"> It can be difficult to create an accurate account of an incident through certain perspectives. A range of factors  including environment and personal attitude can introduce these effects. (Brookfield, 2017, p. 225) Brookfield mentions that there are some risks in the critically reflective process, especially involving an approach such as this one. He explains that processes or systematic approaches such as the four lenses or Gibb’s six-stage cycle can present the misunderstanding that reflection is fairly straightforward. Brookfields argues that it is a complex process that requires a range of personal and intellectual development to provide effective considerations. (Brookfield, 2017, p. 225). Furthermore, the concept of perceptions introduces the issue of ‘exorcising personal demons’ that may create a barrier to unbiased reflection and evaluation. (Brookfield, 2017, pp. 225-226) Ultimately, any reflective model should be considered with </w:t>
      </w:r>
      <w:r w:rsidDel="00000000" w:rsidR="00000000" w:rsidRPr="00000000">
        <w:rPr>
          <w:sz w:val="24"/>
          <w:szCs w:val="24"/>
          <w:rtl w:val="0"/>
        </w:rPr>
        <w:t xml:space="preserve">both the benefits and risks they present. </w:t>
      </w:r>
      <w:r w:rsidDel="00000000" w:rsidR="00000000" w:rsidRPr="00000000">
        <w:rPr>
          <w:rtl w:val="0"/>
        </w:rPr>
      </w:r>
    </w:p>
    <w:p w:rsidR="00000000" w:rsidDel="00000000" w:rsidP="00000000" w:rsidRDefault="00000000" w:rsidRPr="00000000" w14:paraId="0000004D">
      <w:pPr>
        <w:spacing w:line="360" w:lineRule="auto"/>
        <w:ind w:firstLine="720"/>
        <w:rPr>
          <w:sz w:val="24"/>
          <w:szCs w:val="24"/>
        </w:rPr>
      </w:pPr>
      <w:r w:rsidDel="00000000" w:rsidR="00000000" w:rsidRPr="00000000">
        <w:rPr>
          <w:sz w:val="24"/>
          <w:szCs w:val="24"/>
          <w:rtl w:val="0"/>
        </w:rPr>
        <w:t xml:space="preserve">Regarding the approaches of the practitioner, it is important that we include values that represent certain styles of teaching. Reflection and evaluation that include the pedagogical strands of blended learning experiences, progression in learning, managing the learning environment and differentiation are critical in addressing methods and strategies that can help the student for future reference (Welsh Government, 2019). Upon my observations I found that my perception of values as a teacher included more than only developing knowledge and included values such as perspective and empathy in order to truly observe through all four lenses in my own reflections. These reflective strategies are also influential when we consider final evaluations of an incident, and understanding what will change in the future. This leads to a development in future teaching and how we may adapt something to better it for those involved. </w:t>
      </w:r>
    </w:p>
    <w:p w:rsidR="00000000" w:rsidDel="00000000" w:rsidP="00000000" w:rsidRDefault="00000000" w:rsidRPr="00000000" w14:paraId="0000004E">
      <w:pPr>
        <w:spacing w:line="360" w:lineRule="auto"/>
        <w:ind w:left="0" w:firstLine="720"/>
        <w:rPr>
          <w:sz w:val="24"/>
          <w:szCs w:val="24"/>
        </w:rPr>
      </w:pPr>
      <w:r w:rsidDel="00000000" w:rsidR="00000000" w:rsidRPr="00000000">
        <w:rPr>
          <w:sz w:val="24"/>
          <w:szCs w:val="24"/>
          <w:rtl w:val="0"/>
        </w:rPr>
        <w:t xml:space="preserve">In conclusion, reflection and evaluation and its role within teaching and learning highlight the action of reconsidering an event with different perspectives, allowing for development and improvement. Although there are a number of reflections that relate closely to practices within the educational setting, including that of Gibbs, Kolb and Schon, Brookfields fundamental use of incorporating a range of viewpoints and perspectives provide clear evidence of effective reflective teaching. Additionally, we must consider both benefits and risks to the reflective models presented and although systematic approaches often provide a clear step-by-step instruction on effective reflection, it often lacks the variety of perspectives and complexity that are observed in critical incidents. It should be noted that any personal barriers can also affect the perspective narrative. Finally, the evaluations and outcomes of a reflective process present an array of pedagogical considerations and provide concepts that can adapt future teaching methodology and strategies. Thus, reflection and evaluation are of great importance in both observational and practical areas and represent the distinct strategies needed to improve both teaching and learning. </w:t>
      </w:r>
    </w:p>
    <w:p w:rsidR="00000000" w:rsidDel="00000000" w:rsidP="00000000" w:rsidRDefault="00000000" w:rsidRPr="00000000" w14:paraId="0000004F">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50">
      <w:pPr>
        <w:spacing w:line="360" w:lineRule="auto"/>
        <w:rPr>
          <w:sz w:val="24"/>
          <w:szCs w:val="24"/>
          <w:u w:val="single"/>
        </w:rPr>
      </w:pPr>
      <w:r w:rsidDel="00000000" w:rsidR="00000000" w:rsidRPr="00000000">
        <w:rPr>
          <w:sz w:val="24"/>
          <w:szCs w:val="24"/>
          <w:u w:val="single"/>
          <w:rtl w:val="0"/>
        </w:rPr>
        <w:t xml:space="preserve">Conclusions</w:t>
      </w:r>
    </w:p>
    <w:p w:rsidR="00000000" w:rsidDel="00000000" w:rsidP="00000000" w:rsidRDefault="00000000" w:rsidRPr="00000000" w14:paraId="00000051">
      <w:pPr>
        <w:spacing w:line="360" w:lineRule="auto"/>
        <w:rPr>
          <w:sz w:val="24"/>
          <w:szCs w:val="24"/>
          <w:u w:val="single"/>
        </w:rPr>
      </w:pPr>
      <w:r w:rsidDel="00000000" w:rsidR="00000000" w:rsidRPr="00000000">
        <w:rPr>
          <w:rtl w:val="0"/>
        </w:rPr>
      </w:r>
    </w:p>
    <w:p w:rsidR="00000000" w:rsidDel="00000000" w:rsidP="00000000" w:rsidRDefault="00000000" w:rsidRPr="00000000" w14:paraId="00000052">
      <w:pPr>
        <w:spacing w:line="360" w:lineRule="auto"/>
        <w:rPr>
          <w:sz w:val="24"/>
          <w:szCs w:val="24"/>
        </w:rPr>
      </w:pPr>
      <w:r w:rsidDel="00000000" w:rsidR="00000000" w:rsidRPr="00000000">
        <w:rPr>
          <w:sz w:val="24"/>
          <w:szCs w:val="24"/>
          <w:rtl w:val="0"/>
        </w:rPr>
        <w:t xml:space="preserve">In conclusion, this research allows for a range of findings relating to the topic of the observation and reflection and further considerations within the field. This observation focuses heavily</w:t>
      </w:r>
      <w:r w:rsidDel="00000000" w:rsidR="00000000" w:rsidRPr="00000000">
        <w:rPr>
          <w:sz w:val="24"/>
          <w:szCs w:val="24"/>
          <w:rtl w:val="0"/>
        </w:rPr>
        <w:t xml:space="preserve"> </w:t>
      </w:r>
      <w:r w:rsidDel="00000000" w:rsidR="00000000" w:rsidRPr="00000000">
        <w:rPr>
          <w:sz w:val="24"/>
          <w:szCs w:val="24"/>
          <w:rtl w:val="0"/>
        </w:rPr>
        <w:t xml:space="preserve">on the impact of independent, individual and educational development within the classroom and how certain factors have an immediate effect on the learner. Since this </w:t>
      </w:r>
      <w:r w:rsidDel="00000000" w:rsidR="00000000" w:rsidRPr="00000000">
        <w:rPr>
          <w:sz w:val="24"/>
          <w:szCs w:val="24"/>
          <w:rtl w:val="0"/>
        </w:rPr>
        <w:t xml:space="preserve">incident takes</w:t>
      </w:r>
      <w:r w:rsidDel="00000000" w:rsidR="00000000" w:rsidRPr="00000000">
        <w:rPr>
          <w:sz w:val="24"/>
          <w:szCs w:val="24"/>
          <w:rtl w:val="0"/>
        </w:rPr>
        <w:t xml:space="preserve"> place in a larger school that incorporates many elements of the shifting curriculum and legislations within Wales, it is interesting to see these practices taking place to improve the education of students is having a positive impact on learning. When we consider the curriculum, the introduction of the four purposes, curated from the findings of Donaldson in 2015, and the use of the professional teaching standards which include a reformation of pedagogical influences means that this particular observation took place within a safe space, one that encourages challenge and growth. This is important when we consider the further literature within this incident. The literature linking Piaget's constructivism and ‘concrete operations’ alongside Vygostsky’s and Bruners understandings within social-constructivism and scaffolding teaching techniques allows us to truly understand the processes of this student and how they are learning in this observation. This allows us to understand how both internal and external influences can adapt and affect the form of learning taking place and how the addition of the surrounding environment can alter the initial reaction whether it be positive or negative. There are clear advantages to understanding this literature and it highlights the teaching methods of the classroom teacher in this incident but also allows for personal understanding in reflection and evaluation that can be used in my own teaching practices in the future. However, with impactful literature and research comes gaps in theories. These include the lack of research in areas of constructivism, likely due to the early death of Piaget alongside the outdated works which allow for modernised viewpoints. Additionally, the generalised view of development does not allow for those who develop differently, certain areas should be considered such as ALN and the reformed concept of ‘age not stage’ in Wales curriculum (Welsh Government, 2019). The concept of reflection and Tripp’s reflective methodology is crucial when understanding observations and the role of teaching. The reflective models of theorists such as Gibbs, Kolb and Schon identify the systematic relationship between an incident that has taken place and the advantage of looking back and understanding it further. However, it is Brookfield ‘s model of the four lenses that allows us to understand our specific critical incident further as it allows for both the practitioner and myself to look at the event with a range of perspectives. Finally, </w:t>
      </w:r>
      <w:r w:rsidDel="00000000" w:rsidR="00000000" w:rsidRPr="00000000">
        <w:rPr>
          <w:sz w:val="24"/>
          <w:szCs w:val="24"/>
          <w:rtl w:val="0"/>
        </w:rPr>
        <w:t xml:space="preserve">i</w:t>
      </w:r>
      <w:r w:rsidDel="00000000" w:rsidR="00000000" w:rsidRPr="00000000">
        <w:rPr>
          <w:sz w:val="24"/>
          <w:szCs w:val="24"/>
          <w:rtl w:val="0"/>
        </w:rPr>
        <w:t xml:space="preserve">t allows for us to truly understand the steps needed to improve on both learning and teaching. This model also considers pedagogical and professional standards further in highlighting the most valued standards of teaching practitioners to truly identify a students experience. Ultimately this research has evaluated and analysed a specific case study to develop further concepts and considerations on the role of reflection and the learning steps necessary. </w:t>
      </w:r>
    </w:p>
    <w:p w:rsidR="00000000" w:rsidDel="00000000" w:rsidP="00000000" w:rsidRDefault="00000000" w:rsidRPr="00000000" w14:paraId="00000053">
      <w:pPr>
        <w:spacing w:line="360" w:lineRule="auto"/>
        <w:rPr>
          <w:sz w:val="24"/>
          <w:szCs w:val="24"/>
        </w:rPr>
      </w:pPr>
      <w:r w:rsidDel="00000000" w:rsidR="00000000" w:rsidRPr="00000000">
        <w:rPr>
          <w:rtl w:val="0"/>
        </w:rPr>
      </w:r>
    </w:p>
    <w:p w:rsidR="00000000" w:rsidDel="00000000" w:rsidP="00000000" w:rsidRDefault="00000000" w:rsidRPr="00000000" w14:paraId="00000054">
      <w:pPr>
        <w:spacing w:line="360" w:lineRule="auto"/>
        <w:rPr>
          <w:sz w:val="24"/>
          <w:szCs w:val="24"/>
        </w:rPr>
      </w:pPr>
      <w:r w:rsidDel="00000000" w:rsidR="00000000" w:rsidRPr="00000000">
        <w:rPr>
          <w:rtl w:val="0"/>
        </w:rPr>
      </w:r>
    </w:p>
    <w:p w:rsidR="00000000" w:rsidDel="00000000" w:rsidP="00000000" w:rsidRDefault="00000000" w:rsidRPr="00000000" w14:paraId="00000055">
      <w:pPr>
        <w:spacing w:line="360" w:lineRule="auto"/>
        <w:rPr>
          <w:sz w:val="24"/>
          <w:szCs w:val="24"/>
          <w:highlight w:val="red"/>
        </w:rPr>
      </w:pPr>
      <w:r w:rsidDel="00000000" w:rsidR="00000000" w:rsidRPr="00000000">
        <w:rPr>
          <w:rtl w:val="0"/>
        </w:rPr>
      </w:r>
    </w:p>
    <w:p w:rsidR="00000000" w:rsidDel="00000000" w:rsidP="00000000" w:rsidRDefault="00000000" w:rsidRPr="00000000" w14:paraId="00000056">
      <w:pPr>
        <w:ind w:left="0" w:firstLine="0"/>
        <w:rPr>
          <w:sz w:val="24"/>
          <w:szCs w:val="24"/>
          <w:highlight w:val="red"/>
        </w:rPr>
      </w:pPr>
      <w:r w:rsidDel="00000000" w:rsidR="00000000" w:rsidRPr="00000000">
        <w:rPr>
          <w:rtl w:val="0"/>
        </w:rPr>
      </w:r>
    </w:p>
    <w:p w:rsidR="00000000" w:rsidDel="00000000" w:rsidP="00000000" w:rsidRDefault="00000000" w:rsidRPr="00000000" w14:paraId="00000057">
      <w:pPr>
        <w:rPr>
          <w:sz w:val="24"/>
          <w:szCs w:val="24"/>
          <w:u w:val="single"/>
        </w:rPr>
      </w:pPr>
      <w:r w:rsidDel="00000000" w:rsidR="00000000" w:rsidRPr="00000000">
        <w:rPr>
          <w:rtl w:val="0"/>
        </w:rPr>
      </w:r>
    </w:p>
    <w:p w:rsidR="00000000" w:rsidDel="00000000" w:rsidP="00000000" w:rsidRDefault="00000000" w:rsidRPr="00000000" w14:paraId="00000058">
      <w:pPr>
        <w:rPr>
          <w:sz w:val="24"/>
          <w:szCs w:val="24"/>
          <w:u w:val="single"/>
        </w:rPr>
      </w:pPr>
      <w:r w:rsidDel="00000000" w:rsidR="00000000" w:rsidRPr="00000000">
        <w:rPr>
          <w:rtl w:val="0"/>
        </w:rPr>
      </w:r>
    </w:p>
    <w:p w:rsidR="00000000" w:rsidDel="00000000" w:rsidP="00000000" w:rsidRDefault="00000000" w:rsidRPr="00000000" w14:paraId="00000059">
      <w:pPr>
        <w:rPr>
          <w:sz w:val="24"/>
          <w:szCs w:val="24"/>
          <w:u w:val="single"/>
        </w:rPr>
      </w:pPr>
      <w:r w:rsidDel="00000000" w:rsidR="00000000" w:rsidRPr="00000000">
        <w:rPr>
          <w:rtl w:val="0"/>
        </w:rPr>
      </w:r>
    </w:p>
    <w:p w:rsidR="00000000" w:rsidDel="00000000" w:rsidP="00000000" w:rsidRDefault="00000000" w:rsidRPr="00000000" w14:paraId="0000005A">
      <w:pPr>
        <w:rPr>
          <w:sz w:val="24"/>
          <w:szCs w:val="24"/>
          <w:u w:val="single"/>
        </w:rPr>
      </w:pPr>
      <w:r w:rsidDel="00000000" w:rsidR="00000000" w:rsidRPr="00000000">
        <w:rPr>
          <w:rtl w:val="0"/>
        </w:rPr>
      </w:r>
    </w:p>
    <w:p w:rsidR="00000000" w:rsidDel="00000000" w:rsidP="00000000" w:rsidRDefault="00000000" w:rsidRPr="00000000" w14:paraId="0000005B">
      <w:pPr>
        <w:rPr>
          <w:sz w:val="24"/>
          <w:szCs w:val="24"/>
          <w:u w:val="single"/>
        </w:rPr>
      </w:pPr>
      <w:r w:rsidDel="00000000" w:rsidR="00000000" w:rsidRPr="00000000">
        <w:rPr>
          <w:rtl w:val="0"/>
        </w:rPr>
      </w:r>
    </w:p>
    <w:p w:rsidR="00000000" w:rsidDel="00000000" w:rsidP="00000000" w:rsidRDefault="00000000" w:rsidRPr="00000000" w14:paraId="0000005C">
      <w:pPr>
        <w:rPr>
          <w:sz w:val="24"/>
          <w:szCs w:val="24"/>
          <w:u w:val="single"/>
        </w:rPr>
      </w:pPr>
      <w:r w:rsidDel="00000000" w:rsidR="00000000" w:rsidRPr="00000000">
        <w:rPr>
          <w:rtl w:val="0"/>
        </w:rPr>
      </w:r>
    </w:p>
    <w:p w:rsidR="00000000" w:rsidDel="00000000" w:rsidP="00000000" w:rsidRDefault="00000000" w:rsidRPr="00000000" w14:paraId="0000005D">
      <w:pPr>
        <w:rPr>
          <w:sz w:val="24"/>
          <w:szCs w:val="24"/>
          <w:u w:val="single"/>
        </w:rPr>
      </w:pPr>
      <w:r w:rsidDel="00000000" w:rsidR="00000000" w:rsidRPr="00000000">
        <w:rPr>
          <w:rtl w:val="0"/>
        </w:rPr>
      </w:r>
    </w:p>
    <w:p w:rsidR="00000000" w:rsidDel="00000000" w:rsidP="00000000" w:rsidRDefault="00000000" w:rsidRPr="00000000" w14:paraId="0000005E">
      <w:pPr>
        <w:rPr>
          <w:sz w:val="24"/>
          <w:szCs w:val="24"/>
          <w:u w:val="single"/>
        </w:rPr>
      </w:pPr>
      <w:r w:rsidDel="00000000" w:rsidR="00000000" w:rsidRPr="00000000">
        <w:rPr>
          <w:rtl w:val="0"/>
        </w:rPr>
      </w:r>
    </w:p>
    <w:p w:rsidR="00000000" w:rsidDel="00000000" w:rsidP="00000000" w:rsidRDefault="00000000" w:rsidRPr="00000000" w14:paraId="0000005F">
      <w:pPr>
        <w:rPr>
          <w:sz w:val="24"/>
          <w:szCs w:val="24"/>
          <w:u w:val="single"/>
        </w:rPr>
      </w:pPr>
      <w:r w:rsidDel="00000000" w:rsidR="00000000" w:rsidRPr="00000000">
        <w:rPr>
          <w:rtl w:val="0"/>
        </w:rPr>
      </w:r>
    </w:p>
    <w:p w:rsidR="00000000" w:rsidDel="00000000" w:rsidP="00000000" w:rsidRDefault="00000000" w:rsidRPr="00000000" w14:paraId="00000060">
      <w:pPr>
        <w:rPr>
          <w:sz w:val="24"/>
          <w:szCs w:val="24"/>
          <w:u w:val="single"/>
        </w:rPr>
      </w:pPr>
      <w:r w:rsidDel="00000000" w:rsidR="00000000" w:rsidRPr="00000000">
        <w:rPr>
          <w:rtl w:val="0"/>
        </w:rPr>
      </w:r>
    </w:p>
    <w:p w:rsidR="00000000" w:rsidDel="00000000" w:rsidP="00000000" w:rsidRDefault="00000000" w:rsidRPr="00000000" w14:paraId="00000061">
      <w:pPr>
        <w:rPr>
          <w:sz w:val="24"/>
          <w:szCs w:val="24"/>
          <w:u w:val="single"/>
        </w:rPr>
      </w:pPr>
      <w:r w:rsidDel="00000000" w:rsidR="00000000" w:rsidRPr="00000000">
        <w:rPr>
          <w:rtl w:val="0"/>
        </w:rPr>
      </w:r>
    </w:p>
    <w:p w:rsidR="00000000" w:rsidDel="00000000" w:rsidP="00000000" w:rsidRDefault="00000000" w:rsidRPr="00000000" w14:paraId="00000062">
      <w:pPr>
        <w:rPr>
          <w:sz w:val="24"/>
          <w:szCs w:val="24"/>
          <w:u w:val="single"/>
        </w:rPr>
      </w:pPr>
      <w:r w:rsidDel="00000000" w:rsidR="00000000" w:rsidRPr="00000000">
        <w:rPr>
          <w:rtl w:val="0"/>
        </w:rPr>
      </w:r>
    </w:p>
    <w:p w:rsidR="00000000" w:rsidDel="00000000" w:rsidP="00000000" w:rsidRDefault="00000000" w:rsidRPr="00000000" w14:paraId="00000063">
      <w:pPr>
        <w:rPr>
          <w:sz w:val="24"/>
          <w:szCs w:val="24"/>
          <w:u w:val="single"/>
        </w:rPr>
      </w:pPr>
      <w:r w:rsidDel="00000000" w:rsidR="00000000" w:rsidRPr="00000000">
        <w:rPr>
          <w:rtl w:val="0"/>
        </w:rPr>
      </w:r>
    </w:p>
    <w:p w:rsidR="00000000" w:rsidDel="00000000" w:rsidP="00000000" w:rsidRDefault="00000000" w:rsidRPr="00000000" w14:paraId="00000064">
      <w:pPr>
        <w:rPr>
          <w:sz w:val="24"/>
          <w:szCs w:val="24"/>
          <w:u w:val="single"/>
        </w:rPr>
      </w:pPr>
      <w:r w:rsidDel="00000000" w:rsidR="00000000" w:rsidRPr="00000000">
        <w:rPr>
          <w:rtl w:val="0"/>
        </w:rPr>
      </w:r>
    </w:p>
    <w:p w:rsidR="00000000" w:rsidDel="00000000" w:rsidP="00000000" w:rsidRDefault="00000000" w:rsidRPr="00000000" w14:paraId="00000065">
      <w:pPr>
        <w:rPr>
          <w:sz w:val="24"/>
          <w:szCs w:val="24"/>
          <w:u w:val="single"/>
        </w:rPr>
      </w:pPr>
      <w:r w:rsidDel="00000000" w:rsidR="00000000" w:rsidRPr="00000000">
        <w:rPr>
          <w:sz w:val="24"/>
          <w:szCs w:val="24"/>
          <w:u w:val="single"/>
          <w:rtl w:val="0"/>
        </w:rPr>
        <w:t xml:space="preserve">Reference List</w:t>
      </w:r>
    </w:p>
    <w:p w:rsidR="00000000" w:rsidDel="00000000" w:rsidP="00000000" w:rsidRDefault="00000000" w:rsidRPr="00000000" w14:paraId="00000066">
      <w:pPr>
        <w:rPr>
          <w:sz w:val="24"/>
          <w:szCs w:val="24"/>
          <w:u w:val="single"/>
        </w:rPr>
      </w:pPr>
      <w:r w:rsidDel="00000000" w:rsidR="00000000" w:rsidRPr="00000000">
        <w:rPr>
          <w:rtl w:val="0"/>
        </w:rPr>
      </w:r>
    </w:p>
    <w:p w:rsidR="00000000" w:rsidDel="00000000" w:rsidP="00000000" w:rsidRDefault="00000000" w:rsidRPr="00000000" w14:paraId="00000067">
      <w:pPr>
        <w:rPr>
          <w:sz w:val="24"/>
          <w:szCs w:val="24"/>
        </w:rPr>
      </w:pPr>
      <w:r w:rsidDel="00000000" w:rsidR="00000000" w:rsidRPr="00000000">
        <w:rPr>
          <w:sz w:val="24"/>
          <w:szCs w:val="24"/>
          <w:rtl w:val="0"/>
        </w:rPr>
        <w:t xml:space="preserve">Boud, D., Keogh, R. and Walker, D. (1985) </w:t>
      </w:r>
      <w:r w:rsidDel="00000000" w:rsidR="00000000" w:rsidRPr="00000000">
        <w:rPr>
          <w:i w:val="1"/>
          <w:sz w:val="24"/>
          <w:szCs w:val="24"/>
          <w:rtl w:val="0"/>
        </w:rPr>
        <w:t xml:space="preserve">Reflection: Turning Experience into Learning</w:t>
      </w:r>
      <w:r w:rsidDel="00000000" w:rsidR="00000000" w:rsidRPr="00000000">
        <w:rPr>
          <w:sz w:val="24"/>
          <w:szCs w:val="24"/>
          <w:rtl w:val="0"/>
        </w:rPr>
        <w:t xml:space="preserve">, London, Kogan Page Ltd. </w:t>
      </w:r>
    </w:p>
    <w:p w:rsidR="00000000" w:rsidDel="00000000" w:rsidP="00000000" w:rsidRDefault="00000000" w:rsidRPr="00000000" w14:paraId="00000068">
      <w:pPr>
        <w:rPr>
          <w:sz w:val="24"/>
          <w:szCs w:val="24"/>
        </w:rPr>
      </w:pPr>
      <w:r w:rsidDel="00000000" w:rsidR="00000000" w:rsidRPr="00000000">
        <w:rPr>
          <w:rtl w:val="0"/>
        </w:rPr>
      </w:r>
    </w:p>
    <w:p w:rsidR="00000000" w:rsidDel="00000000" w:rsidP="00000000" w:rsidRDefault="00000000" w:rsidRPr="00000000" w14:paraId="00000069">
      <w:pPr>
        <w:rPr>
          <w:sz w:val="24"/>
          <w:szCs w:val="24"/>
        </w:rPr>
      </w:pPr>
      <w:r w:rsidDel="00000000" w:rsidR="00000000" w:rsidRPr="00000000">
        <w:rPr>
          <w:sz w:val="24"/>
          <w:szCs w:val="24"/>
          <w:rtl w:val="0"/>
        </w:rPr>
        <w:t xml:space="preserve">British Educational Research Association (BERA), (2018) </w:t>
      </w:r>
      <w:r w:rsidDel="00000000" w:rsidR="00000000" w:rsidRPr="00000000">
        <w:rPr>
          <w:i w:val="1"/>
          <w:sz w:val="24"/>
          <w:szCs w:val="24"/>
          <w:rtl w:val="0"/>
        </w:rPr>
        <w:t xml:space="preserve">Ethical Guidelines for Educational Research</w:t>
      </w:r>
      <w:r w:rsidDel="00000000" w:rsidR="00000000" w:rsidRPr="00000000">
        <w:rPr>
          <w:sz w:val="24"/>
          <w:szCs w:val="24"/>
          <w:rtl w:val="0"/>
        </w:rPr>
        <w:t xml:space="preserve">, [PDF] fourth edition. Available at: BERA-Ethical-Guidelines-for-Educational-Research_4thEdn_2018 (1).pdf (Accessed: 3 November 2022)  </w:t>
      </w:r>
    </w:p>
    <w:p w:rsidR="00000000" w:rsidDel="00000000" w:rsidP="00000000" w:rsidRDefault="00000000" w:rsidRPr="00000000" w14:paraId="0000006A">
      <w:pPr>
        <w:rPr>
          <w:sz w:val="24"/>
          <w:szCs w:val="24"/>
        </w:rPr>
      </w:pPr>
      <w:r w:rsidDel="00000000" w:rsidR="00000000" w:rsidRPr="00000000">
        <w:rPr>
          <w:rtl w:val="0"/>
        </w:rPr>
      </w:r>
    </w:p>
    <w:p w:rsidR="00000000" w:rsidDel="00000000" w:rsidP="00000000" w:rsidRDefault="00000000" w:rsidRPr="00000000" w14:paraId="0000006B">
      <w:pPr>
        <w:rPr>
          <w:sz w:val="24"/>
          <w:szCs w:val="24"/>
        </w:rPr>
      </w:pPr>
      <w:r w:rsidDel="00000000" w:rsidR="00000000" w:rsidRPr="00000000">
        <w:rPr>
          <w:sz w:val="24"/>
          <w:szCs w:val="24"/>
          <w:rtl w:val="0"/>
        </w:rPr>
        <w:t xml:space="preserve">Brookfield, S.  D. (2017) </w:t>
      </w:r>
      <w:r w:rsidDel="00000000" w:rsidR="00000000" w:rsidRPr="00000000">
        <w:rPr>
          <w:i w:val="1"/>
          <w:sz w:val="24"/>
          <w:szCs w:val="24"/>
          <w:rtl w:val="0"/>
        </w:rPr>
        <w:t xml:space="preserve">Becoming a Critically Reflective Teacher</w:t>
      </w:r>
      <w:r w:rsidDel="00000000" w:rsidR="00000000" w:rsidRPr="00000000">
        <w:rPr>
          <w:sz w:val="24"/>
          <w:szCs w:val="24"/>
          <w:rtl w:val="0"/>
        </w:rPr>
        <w:t xml:space="preserve">, Jossy-Bass: A Wiley Brand, Second Edition. </w:t>
      </w:r>
    </w:p>
    <w:p w:rsidR="00000000" w:rsidDel="00000000" w:rsidP="00000000" w:rsidRDefault="00000000" w:rsidRPr="00000000" w14:paraId="0000006C">
      <w:pPr>
        <w:rPr>
          <w:sz w:val="24"/>
          <w:szCs w:val="24"/>
        </w:rPr>
      </w:pPr>
      <w:r w:rsidDel="00000000" w:rsidR="00000000" w:rsidRPr="00000000">
        <w:rPr>
          <w:rtl w:val="0"/>
        </w:rPr>
      </w:r>
    </w:p>
    <w:p w:rsidR="00000000" w:rsidDel="00000000" w:rsidP="00000000" w:rsidRDefault="00000000" w:rsidRPr="00000000" w14:paraId="0000006D">
      <w:pPr>
        <w:rPr>
          <w:sz w:val="24"/>
          <w:szCs w:val="24"/>
        </w:rPr>
      </w:pPr>
      <w:r w:rsidDel="00000000" w:rsidR="00000000" w:rsidRPr="00000000">
        <w:rPr>
          <w:sz w:val="24"/>
          <w:szCs w:val="24"/>
          <w:rtl w:val="0"/>
        </w:rPr>
        <w:t xml:space="preserve">Bruner, J. S. (1964) ‘</w:t>
      </w:r>
      <w:r w:rsidDel="00000000" w:rsidR="00000000" w:rsidRPr="00000000">
        <w:rPr>
          <w:sz w:val="24"/>
          <w:szCs w:val="24"/>
          <w:rtl w:val="0"/>
        </w:rPr>
        <w:t xml:space="preserve">The Course of Cognitive Growth’, American Psychologist,</w:t>
      </w:r>
      <w:r w:rsidDel="00000000" w:rsidR="00000000" w:rsidRPr="00000000">
        <w:rPr>
          <w:sz w:val="24"/>
          <w:szCs w:val="24"/>
          <w:rtl w:val="0"/>
        </w:rPr>
        <w:t xml:space="preserve"> 19 (1), 1-15</w:t>
      </w:r>
    </w:p>
    <w:p w:rsidR="00000000" w:rsidDel="00000000" w:rsidP="00000000" w:rsidRDefault="00000000" w:rsidRPr="00000000" w14:paraId="0000006E">
      <w:pPr>
        <w:rPr>
          <w:sz w:val="24"/>
          <w:szCs w:val="24"/>
        </w:rPr>
      </w:pPr>
      <w:r w:rsidDel="00000000" w:rsidR="00000000" w:rsidRPr="00000000">
        <w:rPr>
          <w:rtl w:val="0"/>
        </w:rPr>
      </w:r>
    </w:p>
    <w:p w:rsidR="00000000" w:rsidDel="00000000" w:rsidP="00000000" w:rsidRDefault="00000000" w:rsidRPr="00000000" w14:paraId="0000006F">
      <w:pPr>
        <w:rPr>
          <w:sz w:val="24"/>
          <w:szCs w:val="24"/>
        </w:rPr>
      </w:pPr>
      <w:r w:rsidDel="00000000" w:rsidR="00000000" w:rsidRPr="00000000">
        <w:rPr>
          <w:sz w:val="24"/>
          <w:szCs w:val="24"/>
          <w:rtl w:val="0"/>
        </w:rPr>
        <w:t xml:space="preserve">Bruster B. G. and Peterson, B. R. (2013) ‘Using Critical Incidents in Teaching to Promote Reflective Practice’, Taylor and Francis Online, 14 (2) 293-312</w:t>
      </w:r>
    </w:p>
    <w:p w:rsidR="00000000" w:rsidDel="00000000" w:rsidP="00000000" w:rsidRDefault="00000000" w:rsidRPr="00000000" w14:paraId="00000070">
      <w:pPr>
        <w:rPr>
          <w:sz w:val="24"/>
          <w:szCs w:val="24"/>
        </w:rPr>
      </w:pPr>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sz w:val="24"/>
          <w:szCs w:val="24"/>
          <w:rtl w:val="0"/>
        </w:rPr>
        <w:t xml:space="preserve">Donaldson, G. (2015) </w:t>
      </w:r>
      <w:r w:rsidDel="00000000" w:rsidR="00000000" w:rsidRPr="00000000">
        <w:rPr>
          <w:i w:val="1"/>
          <w:sz w:val="24"/>
          <w:szCs w:val="24"/>
          <w:rtl w:val="0"/>
        </w:rPr>
        <w:t xml:space="preserve">Successful Futures: Independent Review of Curriculum and Assessment Arrangements in Wales</w:t>
      </w:r>
      <w:r w:rsidDel="00000000" w:rsidR="00000000" w:rsidRPr="00000000">
        <w:rPr>
          <w:sz w:val="24"/>
          <w:szCs w:val="24"/>
          <w:rtl w:val="0"/>
        </w:rPr>
        <w:t xml:space="preserve">, [PDF] Available at: </w:t>
      </w:r>
      <w:hyperlink r:id="rId7">
        <w:r w:rsidDel="00000000" w:rsidR="00000000" w:rsidRPr="00000000">
          <w:rPr>
            <w:color w:val="1155cc"/>
            <w:sz w:val="24"/>
            <w:szCs w:val="24"/>
            <w:u w:val="single"/>
            <w:rtl w:val="0"/>
          </w:rPr>
          <w:t xml:space="preserve">successful-futures.pdf (gov.wales)</w:t>
        </w:r>
      </w:hyperlink>
      <w:r w:rsidDel="00000000" w:rsidR="00000000" w:rsidRPr="00000000">
        <w:rPr>
          <w:sz w:val="24"/>
          <w:szCs w:val="24"/>
          <w:rtl w:val="0"/>
        </w:rPr>
        <w:t xml:space="preserve"> (Accessed: 07 October 2022) </w:t>
      </w:r>
    </w:p>
    <w:p w:rsidR="00000000" w:rsidDel="00000000" w:rsidP="00000000" w:rsidRDefault="00000000" w:rsidRPr="00000000" w14:paraId="00000072">
      <w:pPr>
        <w:rPr>
          <w:sz w:val="24"/>
          <w:szCs w:val="24"/>
        </w:rPr>
      </w:pPr>
      <w:r w:rsidDel="00000000" w:rsidR="00000000" w:rsidRPr="00000000">
        <w:rPr>
          <w:rtl w:val="0"/>
        </w:rPr>
      </w:r>
    </w:p>
    <w:p w:rsidR="00000000" w:rsidDel="00000000" w:rsidP="00000000" w:rsidRDefault="00000000" w:rsidRPr="00000000" w14:paraId="00000073">
      <w:pPr>
        <w:rPr>
          <w:sz w:val="24"/>
          <w:szCs w:val="24"/>
        </w:rPr>
      </w:pPr>
      <w:r w:rsidDel="00000000" w:rsidR="00000000" w:rsidRPr="00000000">
        <w:rPr>
          <w:sz w:val="24"/>
          <w:szCs w:val="24"/>
          <w:rtl w:val="0"/>
        </w:rPr>
        <w:t xml:space="preserve">Estyn (2018) </w:t>
      </w:r>
      <w:r w:rsidDel="00000000" w:rsidR="00000000" w:rsidRPr="00000000">
        <w:rPr>
          <w:sz w:val="24"/>
          <w:szCs w:val="24"/>
          <w:highlight w:val="black"/>
          <w:rtl w:val="0"/>
        </w:rPr>
        <w:t xml:space="preserve">Pontarddulais Primary School Report</w:t>
      </w:r>
      <w:r w:rsidDel="00000000" w:rsidR="00000000" w:rsidRPr="00000000">
        <w:rPr>
          <w:sz w:val="24"/>
          <w:szCs w:val="24"/>
          <w:rtl w:val="0"/>
        </w:rPr>
        <w:t xml:space="preserve">. Available at: </w:t>
      </w:r>
      <w:r w:rsidDel="00000000" w:rsidR="00000000" w:rsidRPr="00000000">
        <w:rPr>
          <w:sz w:val="24"/>
          <w:szCs w:val="24"/>
          <w:highlight w:val="black"/>
          <w:rtl w:val="0"/>
        </w:rPr>
        <w:t xml:space="preserve">https://primarysite-prod-sorted.s3.amazonaws.com/pontarddu</w:t>
      </w:r>
      <w:r w:rsidDel="00000000" w:rsidR="00000000" w:rsidRPr="00000000">
        <w:rPr>
          <w:sz w:val="24"/>
          <w:szCs w:val="24"/>
          <w:highlight w:val="black"/>
          <w:rtl w:val="0"/>
        </w:rPr>
        <w:t xml:space="preserve">lais-primary/UploadedDocument/b066256de6c949b3b975e556ea2366b0/pontarddulais-primary-school.pdf</w:t>
      </w:r>
      <w:r w:rsidDel="00000000" w:rsidR="00000000" w:rsidRPr="00000000">
        <w:rPr>
          <w:sz w:val="24"/>
          <w:szCs w:val="24"/>
          <w:rtl w:val="0"/>
        </w:rPr>
        <w:t xml:space="preserve"> (Accessed 7th October 2022)</w:t>
      </w:r>
      <w:r w:rsidDel="00000000" w:rsidR="00000000" w:rsidRPr="00000000">
        <w:rPr>
          <w:rtl w:val="0"/>
        </w:rPr>
      </w:r>
    </w:p>
    <w:p w:rsidR="00000000" w:rsidDel="00000000" w:rsidP="00000000" w:rsidRDefault="00000000" w:rsidRPr="00000000" w14:paraId="00000074">
      <w:pPr>
        <w:rPr>
          <w:sz w:val="24"/>
          <w:szCs w:val="24"/>
        </w:rPr>
      </w:pPr>
      <w:r w:rsidDel="00000000" w:rsidR="00000000" w:rsidRPr="00000000">
        <w:rPr>
          <w:rtl w:val="0"/>
        </w:rPr>
      </w:r>
    </w:p>
    <w:p w:rsidR="00000000" w:rsidDel="00000000" w:rsidP="00000000" w:rsidRDefault="00000000" w:rsidRPr="00000000" w14:paraId="00000075">
      <w:pPr>
        <w:rPr>
          <w:sz w:val="24"/>
          <w:szCs w:val="24"/>
        </w:rPr>
      </w:pPr>
      <w:r w:rsidDel="00000000" w:rsidR="00000000" w:rsidRPr="00000000">
        <w:rPr>
          <w:sz w:val="24"/>
          <w:szCs w:val="24"/>
          <w:rtl w:val="0"/>
        </w:rPr>
        <w:t xml:space="preserve">Gibbs G. (1998)</w:t>
      </w:r>
      <w:r w:rsidDel="00000000" w:rsidR="00000000" w:rsidRPr="00000000">
        <w:rPr>
          <w:i w:val="1"/>
          <w:sz w:val="24"/>
          <w:szCs w:val="24"/>
          <w:rtl w:val="0"/>
        </w:rPr>
        <w:t xml:space="preserve"> Learning by Doing: A Guide to Teaching and Learning through Reflective Practice</w:t>
      </w:r>
      <w:r w:rsidDel="00000000" w:rsidR="00000000" w:rsidRPr="00000000">
        <w:rPr>
          <w:sz w:val="24"/>
          <w:szCs w:val="24"/>
          <w:rtl w:val="0"/>
        </w:rPr>
        <w:t xml:space="preserve">, Routledge: David Fulton Press.</w:t>
      </w:r>
    </w:p>
    <w:p w:rsidR="00000000" w:rsidDel="00000000" w:rsidP="00000000" w:rsidRDefault="00000000" w:rsidRPr="00000000" w14:paraId="00000076">
      <w:pPr>
        <w:rPr>
          <w:sz w:val="24"/>
          <w:szCs w:val="24"/>
        </w:rPr>
      </w:pPr>
      <w:r w:rsidDel="00000000" w:rsidR="00000000" w:rsidRPr="00000000">
        <w:rPr>
          <w:rtl w:val="0"/>
        </w:rPr>
      </w:r>
    </w:p>
    <w:p w:rsidR="00000000" w:rsidDel="00000000" w:rsidP="00000000" w:rsidRDefault="00000000" w:rsidRPr="00000000" w14:paraId="00000077">
      <w:pPr>
        <w:rPr>
          <w:sz w:val="24"/>
          <w:szCs w:val="24"/>
        </w:rPr>
      </w:pPr>
      <w:r w:rsidDel="00000000" w:rsidR="00000000" w:rsidRPr="00000000">
        <w:rPr>
          <w:sz w:val="24"/>
          <w:szCs w:val="24"/>
          <w:rtl w:val="0"/>
        </w:rPr>
        <w:t xml:space="preserve">Halpenny, A. M. and Pettersen, J. (2014) </w:t>
      </w:r>
      <w:r w:rsidDel="00000000" w:rsidR="00000000" w:rsidRPr="00000000">
        <w:rPr>
          <w:i w:val="1"/>
          <w:sz w:val="24"/>
          <w:szCs w:val="24"/>
          <w:rtl w:val="0"/>
        </w:rPr>
        <w:t xml:space="preserve">Introducing Piaget: A guide for practitioners and students in early years education,</w:t>
      </w:r>
      <w:r w:rsidDel="00000000" w:rsidR="00000000" w:rsidRPr="00000000">
        <w:rPr>
          <w:sz w:val="24"/>
          <w:szCs w:val="24"/>
          <w:rtl w:val="0"/>
        </w:rPr>
        <w:t xml:space="preserve"> Routledge: Taylor and Francis Group.</w:t>
      </w:r>
    </w:p>
    <w:p w:rsidR="00000000" w:rsidDel="00000000" w:rsidP="00000000" w:rsidRDefault="00000000" w:rsidRPr="00000000" w14:paraId="00000078">
      <w:pPr>
        <w:rPr>
          <w:sz w:val="24"/>
          <w:szCs w:val="24"/>
        </w:rPr>
      </w:pPr>
      <w:r w:rsidDel="00000000" w:rsidR="00000000" w:rsidRPr="00000000">
        <w:rPr>
          <w:rtl w:val="0"/>
        </w:rPr>
      </w:r>
    </w:p>
    <w:p w:rsidR="00000000" w:rsidDel="00000000" w:rsidP="00000000" w:rsidRDefault="00000000" w:rsidRPr="00000000" w14:paraId="00000079">
      <w:pPr>
        <w:rPr>
          <w:sz w:val="24"/>
          <w:szCs w:val="24"/>
        </w:rPr>
      </w:pPr>
      <w:r w:rsidDel="00000000" w:rsidR="00000000" w:rsidRPr="00000000">
        <w:rPr>
          <w:sz w:val="24"/>
          <w:szCs w:val="24"/>
          <w:rtl w:val="0"/>
        </w:rPr>
        <w:t xml:space="preserve">Halpern, E. (1965) ‘The Effects of Incompatibility between Perception and Logic in Piaget’s Stage of Concrete Operations’, Child Development, 36 (2) 491-497</w:t>
      </w:r>
    </w:p>
    <w:p w:rsidR="00000000" w:rsidDel="00000000" w:rsidP="00000000" w:rsidRDefault="00000000" w:rsidRPr="00000000" w14:paraId="0000007A">
      <w:pPr>
        <w:rPr>
          <w:sz w:val="24"/>
          <w:szCs w:val="24"/>
        </w:rPr>
      </w:pPr>
      <w:r w:rsidDel="00000000" w:rsidR="00000000" w:rsidRPr="00000000">
        <w:rPr>
          <w:rtl w:val="0"/>
        </w:rPr>
      </w:r>
    </w:p>
    <w:p w:rsidR="00000000" w:rsidDel="00000000" w:rsidP="00000000" w:rsidRDefault="00000000" w:rsidRPr="00000000" w14:paraId="0000007B">
      <w:pPr>
        <w:rPr>
          <w:sz w:val="24"/>
          <w:szCs w:val="24"/>
        </w:rPr>
      </w:pPr>
      <w:r w:rsidDel="00000000" w:rsidR="00000000" w:rsidRPr="00000000">
        <w:rPr>
          <w:sz w:val="24"/>
          <w:szCs w:val="24"/>
          <w:rtl w:val="0"/>
        </w:rPr>
        <w:t xml:space="preserve">Harvard, G. and Hodkinson, P. (1994)</w:t>
      </w:r>
      <w:r w:rsidDel="00000000" w:rsidR="00000000" w:rsidRPr="00000000">
        <w:rPr>
          <w:i w:val="1"/>
          <w:sz w:val="24"/>
          <w:szCs w:val="24"/>
          <w:rtl w:val="0"/>
        </w:rPr>
        <w:t xml:space="preserve"> Action and Reflection in Teaching Education</w:t>
      </w:r>
      <w:r w:rsidDel="00000000" w:rsidR="00000000" w:rsidRPr="00000000">
        <w:rPr>
          <w:sz w:val="24"/>
          <w:szCs w:val="24"/>
          <w:rtl w:val="0"/>
        </w:rPr>
        <w:t xml:space="preserve">, Ablex Publishing Corporation</w:t>
      </w:r>
    </w:p>
    <w:p w:rsidR="00000000" w:rsidDel="00000000" w:rsidP="00000000" w:rsidRDefault="00000000" w:rsidRPr="00000000" w14:paraId="0000007C">
      <w:pPr>
        <w:rPr>
          <w:sz w:val="24"/>
          <w:szCs w:val="24"/>
        </w:rPr>
      </w:pPr>
      <w:r w:rsidDel="00000000" w:rsidR="00000000" w:rsidRPr="00000000">
        <w:rPr>
          <w:rtl w:val="0"/>
        </w:rPr>
      </w:r>
    </w:p>
    <w:p w:rsidR="00000000" w:rsidDel="00000000" w:rsidP="00000000" w:rsidRDefault="00000000" w:rsidRPr="00000000" w14:paraId="0000007D">
      <w:pPr>
        <w:rPr>
          <w:sz w:val="24"/>
          <w:szCs w:val="24"/>
        </w:rPr>
      </w:pPr>
      <w:r w:rsidDel="00000000" w:rsidR="00000000" w:rsidRPr="00000000">
        <w:rPr>
          <w:sz w:val="24"/>
          <w:szCs w:val="24"/>
          <w:rtl w:val="0"/>
        </w:rPr>
        <w:t xml:space="preserve">Kamii, C and Ewing, J.K., (1996) ‘</w:t>
      </w:r>
      <w:r w:rsidDel="00000000" w:rsidR="00000000" w:rsidRPr="00000000">
        <w:rPr>
          <w:sz w:val="24"/>
          <w:szCs w:val="24"/>
          <w:rtl w:val="0"/>
        </w:rPr>
        <w:t xml:space="preserve">Basing Teaching on Piaget’s Constructivism’</w:t>
      </w:r>
      <w:r w:rsidDel="00000000" w:rsidR="00000000" w:rsidRPr="00000000">
        <w:rPr>
          <w:sz w:val="24"/>
          <w:szCs w:val="24"/>
          <w:rtl w:val="0"/>
        </w:rPr>
        <w:t xml:space="preserve">, Childhood Education.  72 (5), p.260-264</w:t>
      </w:r>
    </w:p>
    <w:p w:rsidR="00000000" w:rsidDel="00000000" w:rsidP="00000000" w:rsidRDefault="00000000" w:rsidRPr="00000000" w14:paraId="0000007E">
      <w:pPr>
        <w:rPr>
          <w:sz w:val="24"/>
          <w:szCs w:val="24"/>
        </w:rPr>
      </w:pPr>
      <w:r w:rsidDel="00000000" w:rsidR="00000000" w:rsidRPr="00000000">
        <w:rPr>
          <w:rtl w:val="0"/>
        </w:rPr>
      </w:r>
    </w:p>
    <w:p w:rsidR="00000000" w:rsidDel="00000000" w:rsidP="00000000" w:rsidRDefault="00000000" w:rsidRPr="00000000" w14:paraId="0000007F">
      <w:pPr>
        <w:rPr>
          <w:sz w:val="24"/>
          <w:szCs w:val="24"/>
        </w:rPr>
      </w:pPr>
      <w:r w:rsidDel="00000000" w:rsidR="00000000" w:rsidRPr="00000000">
        <w:rPr>
          <w:sz w:val="24"/>
          <w:szCs w:val="24"/>
          <w:rtl w:val="0"/>
        </w:rPr>
        <w:t xml:space="preserve">MacPhail, A. (2011)</w:t>
      </w:r>
      <w:r w:rsidDel="00000000" w:rsidR="00000000" w:rsidRPr="00000000">
        <w:rPr>
          <w:sz w:val="24"/>
          <w:szCs w:val="24"/>
          <w:rtl w:val="0"/>
        </w:rPr>
        <w:t xml:space="preserve"> ‘Professional Learning as a Physical Education Teacher Educator’</w:t>
      </w:r>
      <w:r w:rsidDel="00000000" w:rsidR="00000000" w:rsidRPr="00000000">
        <w:rPr>
          <w:i w:val="1"/>
          <w:sz w:val="24"/>
          <w:szCs w:val="24"/>
          <w:rtl w:val="0"/>
        </w:rPr>
        <w:t xml:space="preserve">,</w:t>
      </w:r>
      <w:r w:rsidDel="00000000" w:rsidR="00000000" w:rsidRPr="00000000">
        <w:rPr>
          <w:sz w:val="24"/>
          <w:szCs w:val="24"/>
          <w:rtl w:val="0"/>
        </w:rPr>
        <w:t xml:space="preserve"> Department of Physical Education and Sport Sciences, 16 (4), 435-451</w:t>
      </w:r>
    </w:p>
    <w:p w:rsidR="00000000" w:rsidDel="00000000" w:rsidP="00000000" w:rsidRDefault="00000000" w:rsidRPr="00000000" w14:paraId="00000080">
      <w:pPr>
        <w:rPr>
          <w:sz w:val="24"/>
          <w:szCs w:val="24"/>
        </w:rPr>
      </w:pPr>
      <w:r w:rsidDel="00000000" w:rsidR="00000000" w:rsidRPr="00000000">
        <w:rPr>
          <w:rtl w:val="0"/>
        </w:rPr>
      </w:r>
    </w:p>
    <w:p w:rsidR="00000000" w:rsidDel="00000000" w:rsidP="00000000" w:rsidRDefault="00000000" w:rsidRPr="00000000" w14:paraId="00000081">
      <w:pPr>
        <w:rPr>
          <w:sz w:val="24"/>
          <w:szCs w:val="24"/>
        </w:rPr>
      </w:pPr>
      <w:r w:rsidDel="00000000" w:rsidR="00000000" w:rsidRPr="00000000">
        <w:rPr>
          <w:sz w:val="24"/>
          <w:szCs w:val="24"/>
          <w:rtl w:val="0"/>
        </w:rPr>
        <w:t xml:space="preserve">Oswalt, A. (2010) </w:t>
      </w:r>
      <w:r w:rsidDel="00000000" w:rsidR="00000000" w:rsidRPr="00000000">
        <w:rPr>
          <w:i w:val="1"/>
          <w:sz w:val="24"/>
          <w:szCs w:val="24"/>
          <w:rtl w:val="0"/>
        </w:rPr>
        <w:t xml:space="preserve">Cognitive Development: Piaget’s Concrete Operations, MentalHelp.net</w:t>
      </w:r>
      <w:r w:rsidDel="00000000" w:rsidR="00000000" w:rsidRPr="00000000">
        <w:rPr>
          <w:sz w:val="24"/>
          <w:szCs w:val="24"/>
          <w:rtl w:val="0"/>
        </w:rPr>
        <w:t xml:space="preserve">, [Website] Available at: </w:t>
      </w:r>
      <w:hyperlink r:id="rId8">
        <w:r w:rsidDel="00000000" w:rsidR="00000000" w:rsidRPr="00000000">
          <w:rPr>
            <w:color w:val="1155cc"/>
            <w:sz w:val="24"/>
            <w:szCs w:val="24"/>
            <w:u w:val="single"/>
            <w:rtl w:val="0"/>
          </w:rPr>
          <w:t xml:space="preserve">Cognitive Development: Piaget’s Concrete Operations (mentalhelp.net)</w:t>
        </w:r>
      </w:hyperlink>
      <w:r w:rsidDel="00000000" w:rsidR="00000000" w:rsidRPr="00000000">
        <w:rPr>
          <w:sz w:val="24"/>
          <w:szCs w:val="24"/>
          <w:rtl w:val="0"/>
        </w:rPr>
        <w:t xml:space="preserve"> (Accessed: 30 October 2022) </w:t>
      </w:r>
    </w:p>
    <w:p w:rsidR="00000000" w:rsidDel="00000000" w:rsidP="00000000" w:rsidRDefault="00000000" w:rsidRPr="00000000" w14:paraId="00000082">
      <w:pPr>
        <w:rPr>
          <w:sz w:val="24"/>
          <w:szCs w:val="24"/>
        </w:rPr>
      </w:pPr>
      <w:r w:rsidDel="00000000" w:rsidR="00000000" w:rsidRPr="00000000">
        <w:rPr>
          <w:rtl w:val="0"/>
        </w:rPr>
      </w:r>
    </w:p>
    <w:p w:rsidR="00000000" w:rsidDel="00000000" w:rsidP="00000000" w:rsidRDefault="00000000" w:rsidRPr="00000000" w14:paraId="00000083">
      <w:pPr>
        <w:rPr>
          <w:sz w:val="24"/>
          <w:szCs w:val="24"/>
        </w:rPr>
      </w:pPr>
      <w:r w:rsidDel="00000000" w:rsidR="00000000" w:rsidRPr="00000000">
        <w:rPr>
          <w:sz w:val="24"/>
          <w:szCs w:val="24"/>
          <w:rtl w:val="0"/>
        </w:rPr>
        <w:t xml:space="preserve">Peterson, T. E. (2012) ‘</w:t>
      </w:r>
      <w:r w:rsidDel="00000000" w:rsidR="00000000" w:rsidRPr="00000000">
        <w:rPr>
          <w:sz w:val="24"/>
          <w:szCs w:val="24"/>
          <w:rtl w:val="0"/>
        </w:rPr>
        <w:t xml:space="preserve">Constructivist Pedagogy and Symbolism: Vico, Cassier, Piaget, Bateson’</w:t>
      </w:r>
      <w:r w:rsidDel="00000000" w:rsidR="00000000" w:rsidRPr="00000000">
        <w:rPr>
          <w:sz w:val="24"/>
          <w:szCs w:val="24"/>
          <w:rtl w:val="0"/>
        </w:rPr>
        <w:t xml:space="preserve">, Educational Philosophy and Theory, 8 (44), 878-889</w:t>
      </w:r>
    </w:p>
    <w:p w:rsidR="00000000" w:rsidDel="00000000" w:rsidP="00000000" w:rsidRDefault="00000000" w:rsidRPr="00000000" w14:paraId="00000084">
      <w:pPr>
        <w:rPr>
          <w:sz w:val="24"/>
          <w:szCs w:val="24"/>
        </w:rPr>
      </w:pPr>
      <w:r w:rsidDel="00000000" w:rsidR="00000000" w:rsidRPr="00000000">
        <w:rPr>
          <w:rtl w:val="0"/>
        </w:rPr>
      </w:r>
    </w:p>
    <w:p w:rsidR="00000000" w:rsidDel="00000000" w:rsidP="00000000" w:rsidRDefault="00000000" w:rsidRPr="00000000" w14:paraId="00000085">
      <w:pPr>
        <w:rPr>
          <w:sz w:val="24"/>
          <w:szCs w:val="24"/>
        </w:rPr>
      </w:pPr>
      <w:r w:rsidDel="00000000" w:rsidR="00000000" w:rsidRPr="00000000">
        <w:rPr>
          <w:sz w:val="24"/>
          <w:szCs w:val="24"/>
          <w:rtl w:val="0"/>
        </w:rPr>
        <w:t xml:space="preserve">Shvarts, A. and Bakker, A. (2019)</w:t>
      </w:r>
      <w:r w:rsidDel="00000000" w:rsidR="00000000" w:rsidRPr="00000000">
        <w:rPr>
          <w:sz w:val="24"/>
          <w:szCs w:val="24"/>
          <w:rtl w:val="0"/>
        </w:rPr>
        <w:t xml:space="preserve"> ‘The Early History of the Scaffolding Metaphor: Bernstein, Luria, Vygotsky and Before’</w:t>
      </w:r>
      <w:r w:rsidDel="00000000" w:rsidR="00000000" w:rsidRPr="00000000">
        <w:rPr>
          <w:sz w:val="24"/>
          <w:szCs w:val="24"/>
          <w:rtl w:val="0"/>
        </w:rPr>
        <w:t xml:space="preserve">, Mind, Culture and Activity, 26 (1), 4-23</w:t>
      </w:r>
    </w:p>
    <w:p w:rsidR="00000000" w:rsidDel="00000000" w:rsidP="00000000" w:rsidRDefault="00000000" w:rsidRPr="00000000" w14:paraId="00000086">
      <w:pPr>
        <w:rPr>
          <w:sz w:val="24"/>
          <w:szCs w:val="24"/>
        </w:rPr>
      </w:pPr>
      <w:r w:rsidDel="00000000" w:rsidR="00000000" w:rsidRPr="00000000">
        <w:rPr>
          <w:rtl w:val="0"/>
        </w:rPr>
      </w:r>
    </w:p>
    <w:p w:rsidR="00000000" w:rsidDel="00000000" w:rsidP="00000000" w:rsidRDefault="00000000" w:rsidRPr="00000000" w14:paraId="00000087">
      <w:pPr>
        <w:rPr>
          <w:sz w:val="24"/>
          <w:szCs w:val="24"/>
        </w:rPr>
      </w:pPr>
      <w:r w:rsidDel="00000000" w:rsidR="00000000" w:rsidRPr="00000000">
        <w:rPr>
          <w:sz w:val="24"/>
          <w:szCs w:val="24"/>
          <w:rtl w:val="0"/>
        </w:rPr>
        <w:t xml:space="preserve">Smidt, S. (2011) Introducing Bruner: A Guide for Practitioners and Students in Early Years Education, Roughtledt: Taylor and Francis Group.</w:t>
      </w:r>
    </w:p>
    <w:p w:rsidR="00000000" w:rsidDel="00000000" w:rsidP="00000000" w:rsidRDefault="00000000" w:rsidRPr="00000000" w14:paraId="00000088">
      <w:pPr>
        <w:rPr>
          <w:sz w:val="24"/>
          <w:szCs w:val="24"/>
        </w:rPr>
      </w:pPr>
      <w:r w:rsidDel="00000000" w:rsidR="00000000" w:rsidRPr="00000000">
        <w:rPr>
          <w:rtl w:val="0"/>
        </w:rPr>
      </w:r>
    </w:p>
    <w:p w:rsidR="00000000" w:rsidDel="00000000" w:rsidP="00000000" w:rsidRDefault="00000000" w:rsidRPr="00000000" w14:paraId="00000089">
      <w:pPr>
        <w:rPr>
          <w:sz w:val="24"/>
          <w:szCs w:val="24"/>
        </w:rPr>
      </w:pPr>
      <w:r w:rsidDel="00000000" w:rsidR="00000000" w:rsidRPr="00000000">
        <w:rPr>
          <w:sz w:val="24"/>
          <w:szCs w:val="24"/>
          <w:rtl w:val="0"/>
        </w:rPr>
        <w:t xml:space="preserve">Tripp, D. (2011) </w:t>
      </w:r>
      <w:r w:rsidDel="00000000" w:rsidR="00000000" w:rsidRPr="00000000">
        <w:rPr>
          <w:i w:val="1"/>
          <w:sz w:val="24"/>
          <w:szCs w:val="24"/>
          <w:rtl w:val="0"/>
        </w:rPr>
        <w:t xml:space="preserve">Critical Incident in Teaching (Classic Edition): Developing Professional Judgement. </w:t>
      </w:r>
      <w:r w:rsidDel="00000000" w:rsidR="00000000" w:rsidRPr="00000000">
        <w:rPr>
          <w:sz w:val="24"/>
          <w:szCs w:val="24"/>
          <w:rtl w:val="0"/>
        </w:rPr>
        <w:t xml:space="preserve">Routledge: Taylor &amp; Francis Group.</w:t>
      </w:r>
    </w:p>
    <w:p w:rsidR="00000000" w:rsidDel="00000000" w:rsidP="00000000" w:rsidRDefault="00000000" w:rsidRPr="00000000" w14:paraId="0000008A">
      <w:pPr>
        <w:rPr>
          <w:sz w:val="24"/>
          <w:szCs w:val="24"/>
        </w:rPr>
      </w:pPr>
      <w:r w:rsidDel="00000000" w:rsidR="00000000" w:rsidRPr="00000000">
        <w:rPr>
          <w:rtl w:val="0"/>
        </w:rPr>
      </w:r>
    </w:p>
    <w:p w:rsidR="00000000" w:rsidDel="00000000" w:rsidP="00000000" w:rsidRDefault="00000000" w:rsidRPr="00000000" w14:paraId="0000008B">
      <w:pPr>
        <w:rPr>
          <w:sz w:val="24"/>
          <w:szCs w:val="24"/>
        </w:rPr>
      </w:pPr>
      <w:r w:rsidDel="00000000" w:rsidR="00000000" w:rsidRPr="00000000">
        <w:rPr>
          <w:sz w:val="24"/>
          <w:szCs w:val="24"/>
          <w:rtl w:val="0"/>
        </w:rPr>
        <w:t xml:space="preserve">Vygotsky, L. S. Cole, M. John-Steiner, V. Scribner, S. Souberman, E. 1978, </w:t>
      </w:r>
      <w:r w:rsidDel="00000000" w:rsidR="00000000" w:rsidRPr="00000000">
        <w:rPr>
          <w:i w:val="1"/>
          <w:sz w:val="24"/>
          <w:szCs w:val="24"/>
          <w:rtl w:val="0"/>
        </w:rPr>
        <w:t xml:space="preserve">Mind in Society: Development of Higher Psychological Processes</w:t>
      </w:r>
      <w:r w:rsidDel="00000000" w:rsidR="00000000" w:rsidRPr="00000000">
        <w:rPr>
          <w:sz w:val="24"/>
          <w:szCs w:val="24"/>
          <w:rtl w:val="0"/>
        </w:rPr>
        <w:t xml:space="preserve">, Harvard University Press, First Edition. </w:t>
      </w:r>
    </w:p>
    <w:p w:rsidR="00000000" w:rsidDel="00000000" w:rsidP="00000000" w:rsidRDefault="00000000" w:rsidRPr="00000000" w14:paraId="0000008C">
      <w:pPr>
        <w:rPr>
          <w:sz w:val="24"/>
          <w:szCs w:val="24"/>
        </w:rPr>
      </w:pPr>
      <w:r w:rsidDel="00000000" w:rsidR="00000000" w:rsidRPr="00000000">
        <w:rPr>
          <w:rtl w:val="0"/>
        </w:rPr>
      </w:r>
    </w:p>
    <w:p w:rsidR="00000000" w:rsidDel="00000000" w:rsidP="00000000" w:rsidRDefault="00000000" w:rsidRPr="00000000" w14:paraId="0000008D">
      <w:pPr>
        <w:rPr>
          <w:sz w:val="24"/>
          <w:szCs w:val="24"/>
        </w:rPr>
      </w:pPr>
      <w:r w:rsidDel="00000000" w:rsidR="00000000" w:rsidRPr="00000000">
        <w:rPr>
          <w:sz w:val="24"/>
          <w:szCs w:val="24"/>
          <w:rtl w:val="0"/>
        </w:rPr>
        <w:t xml:space="preserve">Vygotsky, L. S. (1997) </w:t>
      </w:r>
      <w:r w:rsidDel="00000000" w:rsidR="00000000" w:rsidRPr="00000000">
        <w:rPr>
          <w:i w:val="1"/>
          <w:sz w:val="24"/>
          <w:szCs w:val="24"/>
          <w:rtl w:val="0"/>
        </w:rPr>
        <w:t xml:space="preserve">Readings on the Development of Children: Interaction Between Learning and Development</w:t>
      </w:r>
      <w:r w:rsidDel="00000000" w:rsidR="00000000" w:rsidRPr="00000000">
        <w:rPr>
          <w:sz w:val="24"/>
          <w:szCs w:val="24"/>
          <w:rtl w:val="0"/>
        </w:rPr>
        <w:t xml:space="preserve">, W. H. Freeman Company, Second Edition. </w:t>
      </w:r>
    </w:p>
    <w:p w:rsidR="00000000" w:rsidDel="00000000" w:rsidP="00000000" w:rsidRDefault="00000000" w:rsidRPr="00000000" w14:paraId="0000008E">
      <w:pPr>
        <w:rPr>
          <w:sz w:val="24"/>
          <w:szCs w:val="24"/>
        </w:rPr>
      </w:pPr>
      <w:r w:rsidDel="00000000" w:rsidR="00000000" w:rsidRPr="00000000">
        <w:rPr>
          <w:rtl w:val="0"/>
        </w:rPr>
      </w:r>
    </w:p>
    <w:p w:rsidR="00000000" w:rsidDel="00000000" w:rsidP="00000000" w:rsidRDefault="00000000" w:rsidRPr="00000000" w14:paraId="0000008F">
      <w:pPr>
        <w:rPr>
          <w:sz w:val="24"/>
          <w:szCs w:val="24"/>
        </w:rPr>
      </w:pPr>
      <w:r w:rsidDel="00000000" w:rsidR="00000000" w:rsidRPr="00000000">
        <w:rPr>
          <w:sz w:val="24"/>
          <w:szCs w:val="24"/>
          <w:rtl w:val="0"/>
        </w:rPr>
        <w:t xml:space="preserve">Welsh Government, (2019) </w:t>
      </w:r>
      <w:r w:rsidDel="00000000" w:rsidR="00000000" w:rsidRPr="00000000">
        <w:rPr>
          <w:i w:val="1"/>
          <w:sz w:val="24"/>
          <w:szCs w:val="24"/>
          <w:rtl w:val="0"/>
        </w:rPr>
        <w:t xml:space="preserve">An introduction to the Professional Standards for Teaching and Leadership</w:t>
      </w:r>
      <w:r w:rsidDel="00000000" w:rsidR="00000000" w:rsidRPr="00000000">
        <w:rPr>
          <w:sz w:val="24"/>
          <w:szCs w:val="24"/>
          <w:rtl w:val="0"/>
        </w:rPr>
        <w:t xml:space="preserve">, [PDF] Available at: </w:t>
      </w:r>
      <w:hyperlink r:id="rId9">
        <w:r w:rsidDel="00000000" w:rsidR="00000000" w:rsidRPr="00000000">
          <w:rPr>
            <w:color w:val="1155cc"/>
            <w:sz w:val="24"/>
            <w:szCs w:val="24"/>
            <w:u w:val="single"/>
            <w:rtl w:val="0"/>
          </w:rPr>
          <w:t xml:space="preserve">an-introduction-to-the-professional-standards-for-teaching-and-leadership.pdf (gov.wales)</w:t>
        </w:r>
      </w:hyperlink>
      <w:r w:rsidDel="00000000" w:rsidR="00000000" w:rsidRPr="00000000">
        <w:rPr>
          <w:sz w:val="24"/>
          <w:szCs w:val="24"/>
          <w:rtl w:val="0"/>
        </w:rPr>
        <w:t xml:space="preserve"> (Accessed: 7 October 2022) </w:t>
      </w:r>
    </w:p>
    <w:p w:rsidR="00000000" w:rsidDel="00000000" w:rsidP="00000000" w:rsidRDefault="00000000" w:rsidRPr="00000000" w14:paraId="00000090">
      <w:pPr>
        <w:rPr>
          <w:sz w:val="24"/>
          <w:szCs w:val="24"/>
        </w:rPr>
      </w:pPr>
      <w:r w:rsidDel="00000000" w:rsidR="00000000" w:rsidRPr="00000000">
        <w:rPr>
          <w:rtl w:val="0"/>
        </w:rPr>
      </w:r>
    </w:p>
    <w:p w:rsidR="00000000" w:rsidDel="00000000" w:rsidP="00000000" w:rsidRDefault="00000000" w:rsidRPr="00000000" w14:paraId="00000091">
      <w:pPr>
        <w:rPr>
          <w:sz w:val="24"/>
          <w:szCs w:val="24"/>
        </w:rPr>
      </w:pPr>
      <w:r w:rsidDel="00000000" w:rsidR="00000000" w:rsidRPr="00000000">
        <w:rPr>
          <w:sz w:val="24"/>
          <w:szCs w:val="24"/>
          <w:rtl w:val="0"/>
        </w:rPr>
        <w:t xml:space="preserve">Wood, D. (1998), </w:t>
      </w:r>
      <w:r w:rsidDel="00000000" w:rsidR="00000000" w:rsidRPr="00000000">
        <w:rPr>
          <w:i w:val="1"/>
          <w:sz w:val="24"/>
          <w:szCs w:val="24"/>
          <w:rtl w:val="0"/>
        </w:rPr>
        <w:t xml:space="preserve">How Children Think and Learn</w:t>
      </w:r>
      <w:r w:rsidDel="00000000" w:rsidR="00000000" w:rsidRPr="00000000">
        <w:rPr>
          <w:sz w:val="24"/>
          <w:szCs w:val="24"/>
          <w:rtl w:val="0"/>
        </w:rPr>
        <w:t xml:space="preserve">, Blackwell Press. Second Edition.</w:t>
      </w:r>
    </w:p>
    <w:p w:rsidR="00000000" w:rsidDel="00000000" w:rsidP="00000000" w:rsidRDefault="00000000" w:rsidRPr="00000000" w14:paraId="00000092">
      <w:pPr>
        <w:rPr>
          <w:sz w:val="24"/>
          <w:szCs w:val="24"/>
        </w:rPr>
      </w:pPr>
      <w:r w:rsidDel="00000000" w:rsidR="00000000" w:rsidRPr="00000000">
        <w:rPr>
          <w:rtl w:val="0"/>
        </w:rPr>
      </w:r>
    </w:p>
    <w:p w:rsidR="00000000" w:rsidDel="00000000" w:rsidP="00000000" w:rsidRDefault="00000000" w:rsidRPr="00000000" w14:paraId="00000093">
      <w:pPr>
        <w:rPr>
          <w:sz w:val="24"/>
          <w:szCs w:val="24"/>
          <w:u w:val="single"/>
        </w:rPr>
      </w:pPr>
      <w:r w:rsidDel="00000000" w:rsidR="00000000" w:rsidRPr="00000000">
        <w:rPr>
          <w:rtl w:val="0"/>
        </w:rPr>
      </w:r>
    </w:p>
    <w:sectPr>
      <w:headerReference r:id="rId10" w:type="default"/>
      <w:headerReference r:id="rId11" w:type="first"/>
      <w:footerReference r:id="rId12" w:type="default"/>
      <w:footerReference r:id="rId13" w:type="first"/>
      <w:pgSz w:h="16834" w:w="11909" w:orient="portrait"/>
      <w:pgMar w:bottom="1440" w:top="1440" w:left="1440" w:right="1440" w:header="720.0000000000001" w:footer="720.0000000000001"/>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5">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7">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4">
    <w:pPr>
      <w:rPr/>
    </w:pPr>
    <w:r w:rsidDel="00000000" w:rsidR="00000000" w:rsidRPr="00000000">
      <w:rPr>
        <w:rtl w:val="0"/>
      </w:rPr>
      <w:t xml:space="preserve">ECAD6007 : Who am I teaching?                                                                                2104988                                             </w:t>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6">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eader" Target="header2.xml"/><Relationship Id="rId10" Type="http://schemas.openxmlformats.org/officeDocument/2006/relationships/header" Target="header1.xml"/><Relationship Id="rId13" Type="http://schemas.openxmlformats.org/officeDocument/2006/relationships/footer" Target="footer2.xml"/><Relationship Id="rId12" Type="http://schemas.openxmlformats.org/officeDocument/2006/relationships/footer" Target="foot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hwb.gov.wales/api/storage/932d8940-56f5-4660-aa85-afb4e87560a9/an-introduction-to-the-professional-standards-for-teaching-and-leadership.pdf" TargetMode="Externa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gov.wales/sites/default/files/publications/2018-03/successful-futures.pdf" TargetMode="External"/><Relationship Id="rId8" Type="http://schemas.openxmlformats.org/officeDocument/2006/relationships/hyperlink" Target="https://www.mentalhelp.net/cognitive-development/piagets-concrete-oper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