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28F9" w:rsidRPr="00EB78E2" w:rsidRDefault="000309EA" w:rsidP="00EB78E2">
      <w:pPr>
        <w:spacing w:line="240" w:lineRule="auto"/>
        <w:jc w:val="center"/>
        <w:rPr>
          <w:rFonts w:ascii="Times New Roman" w:hAnsi="Times New Roman" w:cs="Times New Roman"/>
          <w:sz w:val="24"/>
          <w:szCs w:val="24"/>
        </w:rPr>
      </w:pPr>
      <w:r w:rsidRPr="00EB78E2">
        <w:rPr>
          <w:rFonts w:ascii="Times New Roman" w:hAnsi="Times New Roman" w:cs="Times New Roman"/>
          <w:sz w:val="24"/>
          <w:szCs w:val="24"/>
        </w:rPr>
        <w:t>An exploration of how Rives’ “Religion in the Roman Empire” Chapter 2 analyses the religious approaches to envying the neighbour both internally and in relation to neighbouring poleis.</w:t>
      </w:r>
    </w:p>
    <w:p w:rsidR="00B80DAD" w:rsidRPr="00EB78E2" w:rsidRDefault="00B80DAD" w:rsidP="00EB78E2">
      <w:pPr>
        <w:spacing w:line="240" w:lineRule="auto"/>
        <w:rPr>
          <w:rFonts w:ascii="Times New Roman" w:hAnsi="Times New Roman" w:cs="Times New Roman"/>
          <w:sz w:val="24"/>
          <w:szCs w:val="24"/>
        </w:rPr>
      </w:pPr>
    </w:p>
    <w:p w:rsidR="000309EA" w:rsidRPr="00EB78E2" w:rsidRDefault="000309EA" w:rsidP="00EB78E2">
      <w:pPr>
        <w:spacing w:line="240" w:lineRule="auto"/>
        <w:rPr>
          <w:rFonts w:ascii="Times New Roman" w:hAnsi="Times New Roman" w:cs="Times New Roman"/>
          <w:sz w:val="24"/>
          <w:szCs w:val="24"/>
        </w:rPr>
      </w:pPr>
      <w:r w:rsidRPr="00EB78E2">
        <w:rPr>
          <w:rFonts w:ascii="Times New Roman" w:hAnsi="Times New Roman" w:cs="Times New Roman"/>
          <w:sz w:val="24"/>
          <w:szCs w:val="24"/>
        </w:rPr>
        <w:t xml:space="preserve">To discuss the relation of envy to the neighbouring poleis it is first important to define what is meant by religion in the case of this essay. </w:t>
      </w:r>
      <w:r w:rsidR="0052023A" w:rsidRPr="00EB78E2">
        <w:rPr>
          <w:rFonts w:ascii="Times New Roman" w:hAnsi="Times New Roman" w:cs="Times New Roman"/>
          <w:sz w:val="24"/>
          <w:szCs w:val="24"/>
        </w:rPr>
        <w:t>In Rives, it comments that it is difficult to define religion the closest definition we can achieve is one that is always evolving and changing as what is accepted as religious activity changes</w:t>
      </w:r>
      <w:r w:rsidR="0052023A" w:rsidRPr="00EB78E2">
        <w:rPr>
          <w:rStyle w:val="FootnoteReference"/>
          <w:rFonts w:ascii="Times New Roman" w:hAnsi="Times New Roman" w:cs="Times New Roman"/>
          <w:sz w:val="24"/>
          <w:szCs w:val="24"/>
        </w:rPr>
        <w:footnoteReference w:id="1"/>
      </w:r>
      <w:r w:rsidR="00E4598F" w:rsidRPr="00EB78E2">
        <w:rPr>
          <w:rFonts w:ascii="Times New Roman" w:hAnsi="Times New Roman" w:cs="Times New Roman"/>
          <w:sz w:val="24"/>
          <w:szCs w:val="24"/>
        </w:rPr>
        <w:t>. For the purpose of clarification, Rives notes that the term cult applies to the Graeco-roman religion however it is important to note it does not exist in the same way as the modern day definition with the negative connotations, for this essay the use of cult both public and private will be used in accordance with the definition set out in Rives 1</w:t>
      </w:r>
      <w:r w:rsidR="00E4598F" w:rsidRPr="00EB78E2">
        <w:rPr>
          <w:rStyle w:val="FootnoteReference"/>
          <w:rFonts w:ascii="Times New Roman" w:hAnsi="Times New Roman" w:cs="Times New Roman"/>
          <w:sz w:val="24"/>
          <w:szCs w:val="24"/>
        </w:rPr>
        <w:footnoteReference w:id="2"/>
      </w:r>
      <w:r w:rsidR="00E4598F" w:rsidRPr="00EB78E2">
        <w:rPr>
          <w:rFonts w:ascii="Times New Roman" w:hAnsi="Times New Roman" w:cs="Times New Roman"/>
          <w:sz w:val="24"/>
          <w:szCs w:val="24"/>
        </w:rPr>
        <w:t>.</w:t>
      </w:r>
      <w:r w:rsidR="0052023A" w:rsidRPr="00EB78E2">
        <w:rPr>
          <w:rFonts w:ascii="Times New Roman" w:hAnsi="Times New Roman" w:cs="Times New Roman"/>
          <w:sz w:val="24"/>
          <w:szCs w:val="24"/>
        </w:rPr>
        <w:t xml:space="preserve"> </w:t>
      </w:r>
      <w:r w:rsidR="00E4598F" w:rsidRPr="00EB78E2">
        <w:rPr>
          <w:rFonts w:ascii="Times New Roman" w:hAnsi="Times New Roman" w:cs="Times New Roman"/>
          <w:sz w:val="24"/>
          <w:szCs w:val="24"/>
        </w:rPr>
        <w:t>Furthermore,</w:t>
      </w:r>
      <w:r w:rsidR="0052023A" w:rsidRPr="00EB78E2">
        <w:rPr>
          <w:rFonts w:ascii="Times New Roman" w:hAnsi="Times New Roman" w:cs="Times New Roman"/>
          <w:sz w:val="24"/>
          <w:szCs w:val="24"/>
        </w:rPr>
        <w:t xml:space="preserve"> it is </w:t>
      </w:r>
      <w:r w:rsidRPr="00EB78E2">
        <w:rPr>
          <w:rFonts w:ascii="Times New Roman" w:hAnsi="Times New Roman" w:cs="Times New Roman"/>
          <w:sz w:val="24"/>
          <w:szCs w:val="24"/>
        </w:rPr>
        <w:t>n</w:t>
      </w:r>
      <w:r w:rsidR="0052023A" w:rsidRPr="00EB78E2">
        <w:rPr>
          <w:rFonts w:ascii="Times New Roman" w:hAnsi="Times New Roman" w:cs="Times New Roman"/>
          <w:sz w:val="24"/>
          <w:szCs w:val="24"/>
        </w:rPr>
        <w:t>ecessary to focus on what this essay will mean by regional religion, in</w:t>
      </w:r>
      <w:r w:rsidRPr="00EB78E2">
        <w:rPr>
          <w:rFonts w:ascii="Times New Roman" w:hAnsi="Times New Roman" w:cs="Times New Roman"/>
          <w:sz w:val="24"/>
          <w:szCs w:val="24"/>
        </w:rPr>
        <w:t xml:space="preserve"> this instance, it refers to the cult practises specific or common to the area in question. These can be influenced by numerous factors, including but not limited to the effect of trade and the integration of tradesmen and slaves into the poleis community and expansion of the empire through invasion and conquering of neighbouring nations</w:t>
      </w:r>
      <w:r w:rsidR="0052023A" w:rsidRPr="00EB78E2">
        <w:rPr>
          <w:rStyle w:val="FootnoteReference"/>
          <w:rFonts w:ascii="Times New Roman" w:hAnsi="Times New Roman" w:cs="Times New Roman"/>
          <w:sz w:val="24"/>
          <w:szCs w:val="24"/>
        </w:rPr>
        <w:footnoteReference w:id="3"/>
      </w:r>
      <w:r w:rsidRPr="00EB78E2">
        <w:rPr>
          <w:rFonts w:ascii="Times New Roman" w:hAnsi="Times New Roman" w:cs="Times New Roman"/>
          <w:sz w:val="24"/>
          <w:szCs w:val="24"/>
        </w:rPr>
        <w:t>.</w:t>
      </w:r>
      <w:r w:rsidR="0052023A" w:rsidRPr="00EB78E2">
        <w:rPr>
          <w:rFonts w:ascii="Times New Roman" w:hAnsi="Times New Roman" w:cs="Times New Roman"/>
          <w:sz w:val="24"/>
          <w:szCs w:val="24"/>
        </w:rPr>
        <w:t xml:space="preserve"> </w:t>
      </w:r>
    </w:p>
    <w:p w:rsidR="0052023A" w:rsidRPr="00EB78E2" w:rsidRDefault="0052023A" w:rsidP="00EB78E2">
      <w:pPr>
        <w:pStyle w:val="paragraph"/>
        <w:spacing w:before="0" w:beforeAutospacing="0" w:after="0" w:afterAutospacing="0"/>
        <w:textAlignment w:val="baseline"/>
        <w:rPr>
          <w:color w:val="000000"/>
        </w:rPr>
      </w:pPr>
      <w:r w:rsidRPr="00EB78E2">
        <w:rPr>
          <w:rStyle w:val="normaltextrun"/>
          <w:color w:val="000000"/>
        </w:rPr>
        <w:t xml:space="preserve">The focus of </w:t>
      </w:r>
      <w:r w:rsidRPr="00EB78E2">
        <w:rPr>
          <w:rStyle w:val="normaltextrun"/>
          <w:color w:val="000000"/>
        </w:rPr>
        <w:t>Rives</w:t>
      </w:r>
      <w:r w:rsidRPr="00EB78E2">
        <w:rPr>
          <w:rStyle w:val="normaltextrun"/>
          <w:color w:val="000000"/>
        </w:rPr>
        <w:t xml:space="preserve"> chapter</w:t>
      </w:r>
      <w:r w:rsidRPr="00EB78E2">
        <w:rPr>
          <w:rStyle w:val="normaltextrun"/>
          <w:color w:val="000000"/>
        </w:rPr>
        <w:t xml:space="preserve"> 2</w:t>
      </w:r>
      <w:r w:rsidRPr="00EB78E2">
        <w:rPr>
          <w:rStyle w:val="normaltextrun"/>
          <w:color w:val="000000"/>
        </w:rPr>
        <w:t xml:space="preserve"> is the differences between cult in different regions of the Roman Empire and how there were some key similarities between them</w:t>
      </w:r>
      <w:r w:rsidRPr="00EB78E2">
        <w:rPr>
          <w:rStyle w:val="FootnoteReference"/>
          <w:color w:val="000000"/>
        </w:rPr>
        <w:footnoteReference w:id="4"/>
      </w:r>
      <w:r w:rsidRPr="00EB78E2">
        <w:rPr>
          <w:rStyle w:val="normaltextrun"/>
          <w:color w:val="000000"/>
        </w:rPr>
        <w:t>. The differences included how some city states or areas would personify landmarks such as mountains and call them “mother” and attribute the deity epithets</w:t>
      </w:r>
      <w:r w:rsidRPr="00EB78E2">
        <w:rPr>
          <w:rStyle w:val="FootnoteReference"/>
          <w:color w:val="000000"/>
        </w:rPr>
        <w:footnoteReference w:id="5"/>
      </w:r>
      <w:r w:rsidRPr="00EB78E2">
        <w:rPr>
          <w:rStyle w:val="normaltextrun"/>
          <w:color w:val="000000"/>
        </w:rPr>
        <w:t>. The chapter states this was a common occurrence for the weather as well</w:t>
      </w:r>
      <w:r w:rsidRPr="00EB78E2">
        <w:rPr>
          <w:rStyle w:val="FootnoteReference"/>
          <w:color w:val="000000"/>
        </w:rPr>
        <w:footnoteReference w:id="6"/>
      </w:r>
      <w:r w:rsidRPr="00EB78E2">
        <w:rPr>
          <w:rStyle w:val="normaltextrun"/>
          <w:color w:val="000000"/>
        </w:rPr>
        <w:t xml:space="preserve">. In addition to this the chapter highlights that as the empire expanded the typical cult practices underwent change to include more cultures and peoples. While this is said it also stated that there was a difference between continuity with adaptations with the times and straight up change. From what I have read I </w:t>
      </w:r>
      <w:r w:rsidR="00E4598F" w:rsidRPr="00EB78E2">
        <w:rPr>
          <w:rStyle w:val="normaltextrun"/>
          <w:color w:val="000000"/>
        </w:rPr>
        <w:t>concluded</w:t>
      </w:r>
      <w:r w:rsidRPr="00EB78E2">
        <w:rPr>
          <w:rStyle w:val="normaltextrun"/>
          <w:color w:val="000000"/>
        </w:rPr>
        <w:t xml:space="preserve"> that although something changed, it didn’t simply stop and become something else, aspects of it altered to make the core concepts more uniform across various aspects of the empire. The author also mentions the idea that all aspects of the Empire (regardless of their deity) developed the idea that human transgressions were punishable by the </w:t>
      </w:r>
      <w:r w:rsidR="00E4598F" w:rsidRPr="00EB78E2">
        <w:rPr>
          <w:rStyle w:val="normaltextrun"/>
          <w:color w:val="000000"/>
        </w:rPr>
        <w:t>divine,</w:t>
      </w:r>
      <w:r w:rsidRPr="00EB78E2">
        <w:rPr>
          <w:rStyle w:val="normaltextrun"/>
          <w:color w:val="000000"/>
        </w:rPr>
        <w:t xml:space="preserve"> but these concepts were more developed outside of the centre of the Empire than in the common tradition</w:t>
      </w:r>
      <w:r w:rsidR="00717695" w:rsidRPr="00EB78E2">
        <w:rPr>
          <w:rStyle w:val="FootnoteReference"/>
          <w:color w:val="000000"/>
        </w:rPr>
        <w:footnoteReference w:id="7"/>
      </w:r>
      <w:r w:rsidRPr="00EB78E2">
        <w:rPr>
          <w:rStyle w:val="normaltextrun"/>
          <w:color w:val="000000"/>
        </w:rPr>
        <w:t>.</w:t>
      </w:r>
      <w:r w:rsidRPr="00EB78E2">
        <w:rPr>
          <w:rStyle w:val="eop"/>
          <w:color w:val="000000"/>
        </w:rPr>
        <w:t> </w:t>
      </w:r>
    </w:p>
    <w:p w:rsidR="00717695" w:rsidRPr="00EB78E2" w:rsidRDefault="00717695" w:rsidP="00EB78E2">
      <w:pPr>
        <w:spacing w:line="240" w:lineRule="auto"/>
        <w:rPr>
          <w:rFonts w:ascii="Times New Roman" w:hAnsi="Times New Roman" w:cs="Times New Roman"/>
          <w:sz w:val="24"/>
          <w:szCs w:val="24"/>
        </w:rPr>
      </w:pPr>
    </w:p>
    <w:p w:rsidR="000309EA" w:rsidRPr="00EB78E2" w:rsidRDefault="00717695" w:rsidP="00EB78E2">
      <w:pPr>
        <w:spacing w:line="240" w:lineRule="auto"/>
        <w:rPr>
          <w:rFonts w:ascii="Times New Roman" w:hAnsi="Times New Roman" w:cs="Times New Roman"/>
          <w:sz w:val="24"/>
          <w:szCs w:val="24"/>
        </w:rPr>
      </w:pPr>
      <w:r w:rsidRPr="00EB78E2">
        <w:rPr>
          <w:rFonts w:ascii="Times New Roman" w:hAnsi="Times New Roman" w:cs="Times New Roman"/>
          <w:sz w:val="24"/>
          <w:szCs w:val="24"/>
        </w:rPr>
        <w:t>With regards to the idea of e</w:t>
      </w:r>
      <w:r w:rsidR="000309EA" w:rsidRPr="00EB78E2">
        <w:rPr>
          <w:rFonts w:ascii="Times New Roman" w:hAnsi="Times New Roman" w:cs="Times New Roman"/>
          <w:sz w:val="24"/>
          <w:szCs w:val="24"/>
        </w:rPr>
        <w:t>nvying the neighbour</w:t>
      </w:r>
      <w:r w:rsidRPr="00EB78E2">
        <w:rPr>
          <w:rFonts w:ascii="Times New Roman" w:hAnsi="Times New Roman" w:cs="Times New Roman"/>
          <w:sz w:val="24"/>
          <w:szCs w:val="24"/>
        </w:rPr>
        <w:t xml:space="preserve"> it</w:t>
      </w:r>
      <w:r w:rsidR="000309EA" w:rsidRPr="00EB78E2">
        <w:rPr>
          <w:rFonts w:ascii="Times New Roman" w:hAnsi="Times New Roman" w:cs="Times New Roman"/>
          <w:sz w:val="24"/>
          <w:szCs w:val="24"/>
        </w:rPr>
        <w:t xml:space="preserve"> </w:t>
      </w:r>
      <w:r w:rsidR="00707857" w:rsidRPr="00EB78E2">
        <w:rPr>
          <w:rFonts w:ascii="Times New Roman" w:hAnsi="Times New Roman" w:cs="Times New Roman"/>
          <w:sz w:val="24"/>
          <w:szCs w:val="24"/>
        </w:rPr>
        <w:t xml:space="preserve">can be looked at from the inside of a specific polis and in relation to a neighbouring polis. To begin this essay will analyse the specific poleis </w:t>
      </w:r>
      <w:r w:rsidR="00927A1E" w:rsidRPr="00EB78E2">
        <w:rPr>
          <w:rFonts w:ascii="Times New Roman" w:hAnsi="Times New Roman" w:cs="Times New Roman"/>
          <w:sz w:val="24"/>
          <w:szCs w:val="24"/>
        </w:rPr>
        <w:t xml:space="preserve">utilisation of patron deities. What this means is the </w:t>
      </w:r>
      <w:r w:rsidR="00327B40" w:rsidRPr="00EB78E2">
        <w:rPr>
          <w:rFonts w:ascii="Times New Roman" w:hAnsi="Times New Roman" w:cs="Times New Roman"/>
          <w:sz w:val="24"/>
          <w:szCs w:val="24"/>
        </w:rPr>
        <w:t>deity</w:t>
      </w:r>
      <w:r w:rsidR="00927A1E" w:rsidRPr="00EB78E2">
        <w:rPr>
          <w:rFonts w:ascii="Times New Roman" w:hAnsi="Times New Roman" w:cs="Times New Roman"/>
          <w:sz w:val="24"/>
          <w:szCs w:val="24"/>
        </w:rPr>
        <w:t xml:space="preserve"> believed by the public cult to have ties to, or with the anthropomorphis</w:t>
      </w:r>
      <w:r w:rsidR="00327B40" w:rsidRPr="00EB78E2">
        <w:rPr>
          <w:rFonts w:ascii="Times New Roman" w:hAnsi="Times New Roman" w:cs="Times New Roman"/>
          <w:sz w:val="24"/>
          <w:szCs w:val="24"/>
        </w:rPr>
        <w:t>ing</w:t>
      </w:r>
      <w:r w:rsidR="00927A1E" w:rsidRPr="00EB78E2">
        <w:rPr>
          <w:rFonts w:ascii="Times New Roman" w:hAnsi="Times New Roman" w:cs="Times New Roman"/>
          <w:sz w:val="24"/>
          <w:szCs w:val="24"/>
        </w:rPr>
        <w:t xml:space="preserve"> of the deity in question, a personal interest in the polis</w:t>
      </w:r>
      <w:r w:rsidR="0052023A" w:rsidRPr="00EB78E2">
        <w:rPr>
          <w:rStyle w:val="FootnoteReference"/>
          <w:rFonts w:ascii="Times New Roman" w:hAnsi="Times New Roman" w:cs="Times New Roman"/>
          <w:sz w:val="24"/>
          <w:szCs w:val="24"/>
        </w:rPr>
        <w:footnoteReference w:id="8"/>
      </w:r>
      <w:r w:rsidR="00927A1E" w:rsidRPr="00EB78E2">
        <w:rPr>
          <w:rFonts w:ascii="Times New Roman" w:hAnsi="Times New Roman" w:cs="Times New Roman"/>
          <w:sz w:val="24"/>
          <w:szCs w:val="24"/>
        </w:rPr>
        <w:t>. For example, Athena and Athens</w:t>
      </w:r>
      <w:r w:rsidR="00327B40" w:rsidRPr="00EB78E2">
        <w:rPr>
          <w:rFonts w:ascii="Times New Roman" w:hAnsi="Times New Roman" w:cs="Times New Roman"/>
          <w:sz w:val="24"/>
          <w:szCs w:val="24"/>
        </w:rPr>
        <w:t>. The patron deity is believed by the public cult to function very much as the primary support or beneficiary of the people within its borders as well as providing protection to the polis in times of crisis from what can be believed by the public cult as instances of divine wrath, this can include natural disasters, as well as in times of war if the polis is under invasion from a neighbouring city state.</w:t>
      </w:r>
      <w:r w:rsidRPr="00EB78E2">
        <w:rPr>
          <w:rFonts w:ascii="Times New Roman" w:hAnsi="Times New Roman" w:cs="Times New Roman"/>
          <w:sz w:val="24"/>
          <w:szCs w:val="24"/>
        </w:rPr>
        <w:t xml:space="preserve"> During a </w:t>
      </w:r>
      <w:r w:rsidRPr="00EB78E2">
        <w:rPr>
          <w:rFonts w:ascii="Times New Roman" w:hAnsi="Times New Roman" w:cs="Times New Roman"/>
          <w:sz w:val="24"/>
          <w:szCs w:val="24"/>
        </w:rPr>
        <w:lastRenderedPageBreak/>
        <w:t>class discussion, the topic of divine wrath was discussed. The key point that was raised was the idea of suppliants, the interesting aspect of this was that although the people seemed to fear incurring the wrath of the divine, even in their literature, it is presented as something that could be avoided with prayer and supplication of the ‘tainted’ or ‘unclean’ individual in the temple of the deity they have offended.</w:t>
      </w:r>
    </w:p>
    <w:p w:rsidR="003E220E" w:rsidRPr="00EB78E2" w:rsidRDefault="003E220E" w:rsidP="00EB78E2">
      <w:pPr>
        <w:spacing w:line="240" w:lineRule="auto"/>
        <w:rPr>
          <w:rFonts w:ascii="Times New Roman" w:hAnsi="Times New Roman" w:cs="Times New Roman"/>
          <w:sz w:val="24"/>
          <w:szCs w:val="24"/>
        </w:rPr>
      </w:pPr>
      <w:r w:rsidRPr="00EB78E2">
        <w:rPr>
          <w:rFonts w:ascii="Times New Roman" w:hAnsi="Times New Roman" w:cs="Times New Roman"/>
          <w:sz w:val="24"/>
          <w:szCs w:val="24"/>
        </w:rPr>
        <w:t>The patron deity along with the core deities revered by the public cult were often chosen in the private cult of the individual depending upon the needs or wants of the individual</w:t>
      </w:r>
      <w:r w:rsidR="0052023A" w:rsidRPr="00EB78E2">
        <w:rPr>
          <w:rStyle w:val="FootnoteReference"/>
          <w:rFonts w:ascii="Times New Roman" w:hAnsi="Times New Roman" w:cs="Times New Roman"/>
          <w:sz w:val="24"/>
          <w:szCs w:val="24"/>
        </w:rPr>
        <w:footnoteReference w:id="9"/>
      </w:r>
      <w:r w:rsidRPr="00EB78E2">
        <w:rPr>
          <w:rFonts w:ascii="Times New Roman" w:hAnsi="Times New Roman" w:cs="Times New Roman"/>
          <w:sz w:val="24"/>
          <w:szCs w:val="24"/>
        </w:rPr>
        <w:t xml:space="preserve">. Whether the offerings were satisfactory in the eyes of the deity and whether the request was granted would be viewed as a reflection on the piety of the person making the offering. </w:t>
      </w:r>
      <w:r w:rsidR="00717695" w:rsidRPr="00EB78E2">
        <w:rPr>
          <w:rFonts w:ascii="Times New Roman" w:hAnsi="Times New Roman" w:cs="Times New Roman"/>
          <w:sz w:val="24"/>
          <w:szCs w:val="24"/>
        </w:rPr>
        <w:t xml:space="preserve">The discussion in class on what made a pious individual changed my thought process in approaching that idea, initially I would have defined it in a manner of an individual that lived strictly by the teachings of the religion, however during this discussion I came to realise this idea was more applicable to modern monotheistic religions with scriptures as opposed to the </w:t>
      </w:r>
      <w:r w:rsidR="00E4598F" w:rsidRPr="00EB78E2">
        <w:rPr>
          <w:rFonts w:ascii="Times New Roman" w:hAnsi="Times New Roman" w:cs="Times New Roman"/>
          <w:sz w:val="24"/>
          <w:szCs w:val="24"/>
        </w:rPr>
        <w:t>Graeco</w:t>
      </w:r>
      <w:r w:rsidR="00717695" w:rsidRPr="00EB78E2">
        <w:rPr>
          <w:rFonts w:ascii="Times New Roman" w:hAnsi="Times New Roman" w:cs="Times New Roman"/>
          <w:sz w:val="24"/>
          <w:szCs w:val="24"/>
        </w:rPr>
        <w:t>-roman cult. Rives states the empire was in constant growth with Greek cities being founded across the empire as its borders grew</w:t>
      </w:r>
      <w:r w:rsidR="00E4598F" w:rsidRPr="00EB78E2">
        <w:rPr>
          <w:rStyle w:val="FootnoteReference"/>
          <w:rFonts w:ascii="Times New Roman" w:hAnsi="Times New Roman" w:cs="Times New Roman"/>
          <w:sz w:val="24"/>
          <w:szCs w:val="24"/>
        </w:rPr>
        <w:footnoteReference w:id="10"/>
      </w:r>
      <w:r w:rsidR="00717695" w:rsidRPr="00EB78E2">
        <w:rPr>
          <w:rFonts w:ascii="Times New Roman" w:hAnsi="Times New Roman" w:cs="Times New Roman"/>
          <w:sz w:val="24"/>
          <w:szCs w:val="24"/>
        </w:rPr>
        <w:t xml:space="preserve">, so maintaining a </w:t>
      </w:r>
      <w:r w:rsidR="00E4598F" w:rsidRPr="00EB78E2">
        <w:rPr>
          <w:rFonts w:ascii="Times New Roman" w:hAnsi="Times New Roman" w:cs="Times New Roman"/>
          <w:sz w:val="24"/>
          <w:szCs w:val="24"/>
        </w:rPr>
        <w:t>consistent</w:t>
      </w:r>
      <w:r w:rsidR="00717695" w:rsidRPr="00EB78E2">
        <w:rPr>
          <w:rFonts w:ascii="Times New Roman" w:hAnsi="Times New Roman" w:cs="Times New Roman"/>
          <w:sz w:val="24"/>
          <w:szCs w:val="24"/>
        </w:rPr>
        <w:t xml:space="preserve"> religion would have been difficult at best.</w:t>
      </w:r>
      <w:r w:rsidR="00E4598F" w:rsidRPr="00EB78E2">
        <w:rPr>
          <w:rFonts w:ascii="Times New Roman" w:hAnsi="Times New Roman" w:cs="Times New Roman"/>
          <w:sz w:val="24"/>
          <w:szCs w:val="24"/>
        </w:rPr>
        <w:t xml:space="preserve"> Instead it appears that the empire elite almost expected there to be different variations of their cult but would only involve themselves if any of their practises became distasteful such as human sacrifice or threatened to incur the wrath of the divine and damage the empire</w:t>
      </w:r>
      <w:r w:rsidR="00E4598F" w:rsidRPr="00EB78E2">
        <w:rPr>
          <w:rStyle w:val="FootnoteReference"/>
          <w:rFonts w:ascii="Times New Roman" w:hAnsi="Times New Roman" w:cs="Times New Roman"/>
          <w:sz w:val="24"/>
          <w:szCs w:val="24"/>
        </w:rPr>
        <w:footnoteReference w:id="11"/>
      </w:r>
      <w:r w:rsidR="00E4598F" w:rsidRPr="00EB78E2">
        <w:rPr>
          <w:rFonts w:ascii="Times New Roman" w:hAnsi="Times New Roman" w:cs="Times New Roman"/>
          <w:sz w:val="24"/>
          <w:szCs w:val="24"/>
        </w:rPr>
        <w:t>. In terms of the individuals envy of the neighbour, the individual could pray to their deities for wealth, health or success if they believed it would benefit them and if they saw others with these things and were envious of it. However, that’s not to say the deities would necessarily respond. In this case to an extent the envy of a neighbour in the private cult would be considered part of ordinary life.</w:t>
      </w:r>
    </w:p>
    <w:p w:rsidR="003E220E" w:rsidRPr="00EB78E2" w:rsidRDefault="003E220E" w:rsidP="00EB78E2">
      <w:pPr>
        <w:spacing w:line="240" w:lineRule="auto"/>
        <w:rPr>
          <w:rFonts w:ascii="Times New Roman" w:hAnsi="Times New Roman" w:cs="Times New Roman"/>
          <w:sz w:val="24"/>
          <w:szCs w:val="24"/>
        </w:rPr>
      </w:pPr>
      <w:r w:rsidRPr="00EB78E2">
        <w:rPr>
          <w:rFonts w:ascii="Times New Roman" w:hAnsi="Times New Roman" w:cs="Times New Roman"/>
          <w:sz w:val="24"/>
          <w:szCs w:val="24"/>
        </w:rPr>
        <w:t>With relation to the piety of the individual this also expands into the military sphere in which the commanders would make sacrifices to the deities of war or battle strategy depending upon the scenario they are in and t</w:t>
      </w:r>
      <w:r w:rsidR="001B0764" w:rsidRPr="00EB78E2">
        <w:rPr>
          <w:rFonts w:ascii="Times New Roman" w:hAnsi="Times New Roman" w:cs="Times New Roman"/>
          <w:sz w:val="24"/>
          <w:szCs w:val="24"/>
        </w:rPr>
        <w:t>he outcomes and their interpretations would affect the fate of the entire army. Using this logic</w:t>
      </w:r>
      <w:r w:rsidR="00E4598F" w:rsidRPr="00EB78E2">
        <w:rPr>
          <w:rFonts w:ascii="Times New Roman" w:hAnsi="Times New Roman" w:cs="Times New Roman"/>
          <w:sz w:val="24"/>
          <w:szCs w:val="24"/>
        </w:rPr>
        <w:t>,</w:t>
      </w:r>
      <w:r w:rsidR="001B0764" w:rsidRPr="00EB78E2">
        <w:rPr>
          <w:rFonts w:ascii="Times New Roman" w:hAnsi="Times New Roman" w:cs="Times New Roman"/>
          <w:sz w:val="24"/>
          <w:szCs w:val="24"/>
        </w:rPr>
        <w:t xml:space="preserve"> it is arguable that the more pious the commander the more favourable the deities would be to their cause. This does however beg the issue of </w:t>
      </w:r>
      <w:r w:rsidR="00E4598F" w:rsidRPr="00EB78E2">
        <w:rPr>
          <w:rFonts w:ascii="Times New Roman" w:hAnsi="Times New Roman" w:cs="Times New Roman"/>
          <w:sz w:val="24"/>
          <w:szCs w:val="24"/>
        </w:rPr>
        <w:t>interpretation;</w:t>
      </w:r>
      <w:r w:rsidR="001B0764" w:rsidRPr="00EB78E2">
        <w:rPr>
          <w:rFonts w:ascii="Times New Roman" w:hAnsi="Times New Roman" w:cs="Times New Roman"/>
          <w:sz w:val="24"/>
          <w:szCs w:val="24"/>
        </w:rPr>
        <w:t xml:space="preserve"> this issue is common in the civilian sphere of individual offerings and requests.</w:t>
      </w:r>
    </w:p>
    <w:p w:rsidR="003E0B4C" w:rsidRPr="00EB78E2" w:rsidRDefault="003E0B4C" w:rsidP="00EB78E2">
      <w:pPr>
        <w:pStyle w:val="paragraph"/>
        <w:spacing w:before="0" w:beforeAutospacing="0" w:after="0" w:afterAutospacing="0"/>
        <w:textAlignment w:val="baseline"/>
        <w:rPr>
          <w:color w:val="000000"/>
        </w:rPr>
      </w:pPr>
      <w:r w:rsidRPr="00EB78E2">
        <w:t xml:space="preserve">Focusing on the military sphere it is important to highlight the importance of divination in the roman religion.  From my reading of Warrior chapter 2 </w:t>
      </w:r>
      <w:r w:rsidRPr="00EB78E2">
        <w:rPr>
          <w:rStyle w:val="normaltextrun"/>
          <w:color w:val="000000"/>
        </w:rPr>
        <w:t xml:space="preserve">I have deduced that the importance of divination comes from a </w:t>
      </w:r>
      <w:r w:rsidR="00E4598F" w:rsidRPr="00EB78E2">
        <w:rPr>
          <w:rStyle w:val="normaltextrun"/>
          <w:color w:val="000000"/>
        </w:rPr>
        <w:t>long-standing</w:t>
      </w:r>
      <w:r w:rsidRPr="00EB78E2">
        <w:rPr>
          <w:rStyle w:val="normaltextrun"/>
          <w:color w:val="000000"/>
        </w:rPr>
        <w:t xml:space="preserve"> origin of tradition</w:t>
      </w:r>
      <w:r w:rsidR="0052023A" w:rsidRPr="00EB78E2">
        <w:rPr>
          <w:rStyle w:val="FootnoteReference"/>
          <w:color w:val="000000"/>
        </w:rPr>
        <w:footnoteReference w:id="12"/>
      </w:r>
      <w:r w:rsidRPr="00EB78E2">
        <w:rPr>
          <w:rStyle w:val="normaltextrun"/>
          <w:color w:val="000000"/>
        </w:rPr>
        <w:t xml:space="preserve">. If the myth of Romulus and Remus is to be believed in the sense that the founder of Rome was decided through a sign from the </w:t>
      </w:r>
      <w:r w:rsidR="00E4598F" w:rsidRPr="00EB78E2">
        <w:rPr>
          <w:rStyle w:val="normaltextrun"/>
          <w:color w:val="000000"/>
        </w:rPr>
        <w:t>divine,</w:t>
      </w:r>
      <w:r w:rsidRPr="00EB78E2">
        <w:rPr>
          <w:rStyle w:val="normaltextrun"/>
          <w:color w:val="000000"/>
        </w:rPr>
        <w:t xml:space="preserve"> then it would make a logical place for the continuation of divination within the public cult</w:t>
      </w:r>
      <w:r w:rsidR="0052023A" w:rsidRPr="00EB78E2">
        <w:rPr>
          <w:rStyle w:val="FootnoteReference"/>
          <w:color w:val="000000"/>
        </w:rPr>
        <w:footnoteReference w:id="13"/>
      </w:r>
      <w:r w:rsidRPr="00EB78E2">
        <w:rPr>
          <w:rStyle w:val="normaltextrun"/>
          <w:color w:val="000000"/>
        </w:rPr>
        <w:t>. In the sense that if their founder was decided in that manner, then the divine will respond to matters of importance that will affect the state and wider empire</w:t>
      </w:r>
      <w:r w:rsidR="0052023A" w:rsidRPr="00EB78E2">
        <w:rPr>
          <w:rStyle w:val="FootnoteReference"/>
          <w:color w:val="000000"/>
        </w:rPr>
        <w:footnoteReference w:id="14"/>
      </w:r>
      <w:r w:rsidRPr="00EB78E2">
        <w:rPr>
          <w:rStyle w:val="normaltextrun"/>
          <w:color w:val="000000"/>
        </w:rPr>
        <w:t>. From this chapter I learned the origin of divination in the Roman Empire and combined with my reading of Rives chapter 1 I have learned the applications of it in the Roman Empire public cult</w:t>
      </w:r>
      <w:r w:rsidR="00717695" w:rsidRPr="00EB78E2">
        <w:rPr>
          <w:rStyle w:val="FootnoteReference"/>
          <w:color w:val="000000"/>
        </w:rPr>
        <w:footnoteReference w:id="15"/>
      </w:r>
      <w:r w:rsidR="0052023A" w:rsidRPr="00EB78E2">
        <w:rPr>
          <w:rStyle w:val="normaltextrun"/>
          <w:color w:val="000000"/>
        </w:rPr>
        <w:t>.</w:t>
      </w:r>
      <w:r w:rsidRPr="00EB78E2">
        <w:rPr>
          <w:rStyle w:val="eop"/>
          <w:color w:val="000000"/>
        </w:rPr>
        <w:t> </w:t>
      </w:r>
      <w:r w:rsidR="00717695" w:rsidRPr="00EB78E2">
        <w:rPr>
          <w:rStyle w:val="eop"/>
          <w:color w:val="000000"/>
        </w:rPr>
        <w:t xml:space="preserve">The relevance of this is that invasion is the </w:t>
      </w:r>
      <w:r w:rsidR="00E4598F" w:rsidRPr="00EB78E2">
        <w:rPr>
          <w:rStyle w:val="eop"/>
          <w:color w:val="000000"/>
        </w:rPr>
        <w:t>simplest</w:t>
      </w:r>
      <w:r w:rsidR="00717695" w:rsidRPr="00EB78E2">
        <w:rPr>
          <w:rStyle w:val="eop"/>
          <w:color w:val="000000"/>
        </w:rPr>
        <w:t xml:space="preserve"> expression of envy of a neighbour, this would </w:t>
      </w:r>
      <w:r w:rsidR="00E4598F" w:rsidRPr="00EB78E2">
        <w:rPr>
          <w:rStyle w:val="eop"/>
          <w:color w:val="000000"/>
        </w:rPr>
        <w:t>be</w:t>
      </w:r>
      <w:r w:rsidR="00717695" w:rsidRPr="00EB78E2">
        <w:rPr>
          <w:rStyle w:val="eop"/>
          <w:color w:val="000000"/>
        </w:rPr>
        <w:t xml:space="preserve"> a way for the city state to take places of strategic importance or simply defeat a potentially threatening opponent, the reliance of divination and the commanders wish to act in accordance with the wishes of the divine make this expression of envy a somewhat </w:t>
      </w:r>
      <w:r w:rsidR="00717695" w:rsidRPr="00EB78E2">
        <w:rPr>
          <w:rStyle w:val="eop"/>
          <w:color w:val="000000"/>
        </w:rPr>
        <w:lastRenderedPageBreak/>
        <w:t xml:space="preserve">religious activity that was a part of a large portion of the time periods individuals ordinary life. </w:t>
      </w:r>
    </w:p>
    <w:p w:rsidR="003E0B4C" w:rsidRPr="00EB78E2" w:rsidRDefault="003E0B4C" w:rsidP="00EB78E2">
      <w:pPr>
        <w:spacing w:line="240" w:lineRule="auto"/>
        <w:rPr>
          <w:rFonts w:ascii="Times New Roman" w:hAnsi="Times New Roman" w:cs="Times New Roman"/>
          <w:sz w:val="24"/>
          <w:szCs w:val="24"/>
        </w:rPr>
      </w:pPr>
    </w:p>
    <w:p w:rsidR="00E4598F" w:rsidRPr="00EB78E2" w:rsidRDefault="00E4598F" w:rsidP="00EB78E2">
      <w:pPr>
        <w:spacing w:line="240" w:lineRule="auto"/>
        <w:rPr>
          <w:rFonts w:ascii="Times New Roman" w:hAnsi="Times New Roman" w:cs="Times New Roman"/>
          <w:sz w:val="24"/>
          <w:szCs w:val="24"/>
        </w:rPr>
      </w:pPr>
      <w:r w:rsidRPr="00EB78E2">
        <w:rPr>
          <w:rFonts w:ascii="Times New Roman" w:hAnsi="Times New Roman" w:cs="Times New Roman"/>
          <w:sz w:val="24"/>
          <w:szCs w:val="24"/>
        </w:rPr>
        <w:t xml:space="preserve">To conclude, this essay has looked at how Rives chapter 2 of “Religion in the Roman Empire” analyses religious approaches to </w:t>
      </w:r>
      <w:r w:rsidRPr="00EB78E2">
        <w:rPr>
          <w:rFonts w:ascii="Times New Roman" w:hAnsi="Times New Roman" w:cs="Times New Roman"/>
          <w:sz w:val="24"/>
          <w:szCs w:val="24"/>
        </w:rPr>
        <w:t xml:space="preserve">envying the neighbour both internally and in relation to neighbouring poleis. </w:t>
      </w:r>
      <w:r w:rsidRPr="00EB78E2">
        <w:rPr>
          <w:rFonts w:ascii="Times New Roman" w:hAnsi="Times New Roman" w:cs="Times New Roman"/>
          <w:sz w:val="24"/>
          <w:szCs w:val="24"/>
        </w:rPr>
        <w:t xml:space="preserve">It has also explored the extent to which these scenarios constitute what can be considered a part of ordinary religious life. The conclusions drawn from the reading of these texts </w:t>
      </w:r>
      <w:r w:rsidR="00EB78E2" w:rsidRPr="00EB78E2">
        <w:rPr>
          <w:rFonts w:ascii="Times New Roman" w:hAnsi="Times New Roman" w:cs="Times New Roman"/>
          <w:sz w:val="24"/>
          <w:szCs w:val="24"/>
        </w:rPr>
        <w:t>supplemented</w:t>
      </w:r>
      <w:r w:rsidRPr="00EB78E2">
        <w:rPr>
          <w:rFonts w:ascii="Times New Roman" w:hAnsi="Times New Roman" w:cs="Times New Roman"/>
          <w:sz w:val="24"/>
          <w:szCs w:val="24"/>
        </w:rPr>
        <w:t xml:space="preserve"> by the discussions had in class are that in most instances, envy of a neighbouring individual or of a </w:t>
      </w:r>
      <w:r w:rsidR="00EB78E2" w:rsidRPr="00EB78E2">
        <w:rPr>
          <w:rFonts w:ascii="Times New Roman" w:hAnsi="Times New Roman" w:cs="Times New Roman"/>
          <w:sz w:val="24"/>
          <w:szCs w:val="24"/>
        </w:rPr>
        <w:t>city state had practises in place to improve the life of the individual being envious and while not necessarily having a direct causation effect it was a part of the ordinary religious life.</w:t>
      </w:r>
    </w:p>
    <w:p w:rsidR="00E4598F" w:rsidRPr="00EB78E2" w:rsidRDefault="00E4598F"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line="240" w:lineRule="auto"/>
        <w:rPr>
          <w:rFonts w:ascii="Times New Roman" w:hAnsi="Times New Roman" w:cs="Times New Roman"/>
          <w:sz w:val="24"/>
          <w:szCs w:val="24"/>
        </w:rPr>
      </w:pPr>
    </w:p>
    <w:p w:rsidR="00EB78E2" w:rsidRPr="00EB78E2" w:rsidRDefault="00EB78E2" w:rsidP="00EB78E2">
      <w:pPr>
        <w:spacing w:after="180" w:line="240" w:lineRule="auto"/>
        <w:ind w:left="450" w:hanging="450"/>
        <w:rPr>
          <w:rFonts w:ascii="Times New Roman" w:hAnsi="Times New Roman" w:cs="Times New Roman"/>
          <w:b/>
          <w:sz w:val="24"/>
          <w:szCs w:val="24"/>
          <w:u w:val="single"/>
        </w:rPr>
      </w:pPr>
      <w:r w:rsidRPr="00EB78E2">
        <w:rPr>
          <w:rFonts w:ascii="Times New Roman" w:hAnsi="Times New Roman" w:cs="Times New Roman"/>
          <w:b/>
          <w:sz w:val="24"/>
          <w:szCs w:val="24"/>
          <w:u w:val="single"/>
        </w:rPr>
        <w:lastRenderedPageBreak/>
        <w:t>Bibliography</w:t>
      </w:r>
      <w:bookmarkStart w:id="0" w:name="_GoBack"/>
      <w:bookmarkEnd w:id="0"/>
    </w:p>
    <w:p w:rsidR="00EB78E2" w:rsidRPr="00EB78E2" w:rsidRDefault="00EB78E2" w:rsidP="00EB78E2">
      <w:pPr>
        <w:spacing w:after="180" w:line="240" w:lineRule="auto"/>
        <w:ind w:left="450" w:hanging="450"/>
        <w:rPr>
          <w:rFonts w:ascii="Times New Roman" w:eastAsia="Times New Roman" w:hAnsi="Times New Roman" w:cs="Times New Roman"/>
          <w:color w:val="000000"/>
          <w:sz w:val="24"/>
          <w:szCs w:val="24"/>
          <w:lang w:eastAsia="en-GB"/>
        </w:rPr>
      </w:pPr>
      <w:r w:rsidRPr="00EB78E2">
        <w:rPr>
          <w:rFonts w:ascii="Times New Roman" w:eastAsia="Times New Roman" w:hAnsi="Times New Roman" w:cs="Times New Roman"/>
          <w:color w:val="000000"/>
          <w:sz w:val="24"/>
          <w:szCs w:val="24"/>
          <w:lang w:eastAsia="en-GB"/>
        </w:rPr>
        <w:t xml:space="preserve">Rives, J. (2007). </w:t>
      </w:r>
      <w:r w:rsidRPr="00EB78E2">
        <w:rPr>
          <w:rFonts w:ascii="Times New Roman" w:eastAsia="Times New Roman" w:hAnsi="Times New Roman" w:cs="Times New Roman"/>
          <w:i/>
          <w:iCs/>
          <w:color w:val="000000"/>
          <w:sz w:val="24"/>
          <w:szCs w:val="24"/>
          <w:lang w:eastAsia="en-GB"/>
        </w:rPr>
        <w:t>Religion in the Roman Empire</w:t>
      </w:r>
      <w:r w:rsidRPr="00EB78E2">
        <w:rPr>
          <w:rFonts w:ascii="Times New Roman" w:eastAsia="Times New Roman" w:hAnsi="Times New Roman" w:cs="Times New Roman"/>
          <w:color w:val="000000"/>
          <w:sz w:val="24"/>
          <w:szCs w:val="24"/>
          <w:lang w:eastAsia="en-GB"/>
        </w:rPr>
        <w:t>. Malden, MA: Blackwell.</w:t>
      </w:r>
    </w:p>
    <w:p w:rsidR="00EB78E2" w:rsidRPr="00EB78E2" w:rsidRDefault="00EB78E2" w:rsidP="00EB78E2">
      <w:pPr>
        <w:spacing w:after="180" w:line="240" w:lineRule="auto"/>
        <w:ind w:left="450" w:hanging="450"/>
        <w:rPr>
          <w:rFonts w:ascii="Times New Roman" w:eastAsia="Times New Roman" w:hAnsi="Times New Roman" w:cs="Times New Roman"/>
          <w:color w:val="000000"/>
          <w:sz w:val="24"/>
          <w:szCs w:val="24"/>
          <w:lang w:eastAsia="en-GB"/>
        </w:rPr>
      </w:pPr>
      <w:r w:rsidRPr="00EB78E2">
        <w:rPr>
          <w:rFonts w:ascii="Times New Roman" w:eastAsia="Times New Roman" w:hAnsi="Times New Roman" w:cs="Times New Roman"/>
          <w:color w:val="000000"/>
          <w:sz w:val="24"/>
          <w:szCs w:val="24"/>
          <w:lang w:eastAsia="en-GB"/>
        </w:rPr>
        <w:t xml:space="preserve">Warrior, V. (2002). </w:t>
      </w:r>
      <w:r w:rsidRPr="00EB78E2">
        <w:rPr>
          <w:rFonts w:ascii="Times New Roman" w:eastAsia="Times New Roman" w:hAnsi="Times New Roman" w:cs="Times New Roman"/>
          <w:i/>
          <w:iCs/>
          <w:color w:val="000000"/>
          <w:sz w:val="24"/>
          <w:szCs w:val="24"/>
          <w:lang w:eastAsia="en-GB"/>
        </w:rPr>
        <w:t>Roman religion</w:t>
      </w:r>
      <w:r w:rsidRPr="00EB78E2">
        <w:rPr>
          <w:rFonts w:ascii="Times New Roman" w:eastAsia="Times New Roman" w:hAnsi="Times New Roman" w:cs="Times New Roman"/>
          <w:color w:val="000000"/>
          <w:sz w:val="24"/>
          <w:szCs w:val="24"/>
          <w:lang w:eastAsia="en-GB"/>
        </w:rPr>
        <w:t>. Newburyport (Ma.): Focus.</w:t>
      </w:r>
    </w:p>
    <w:p w:rsidR="00EB78E2" w:rsidRPr="00EB78E2" w:rsidRDefault="00EB78E2" w:rsidP="00EB78E2">
      <w:pPr>
        <w:spacing w:line="240" w:lineRule="auto"/>
        <w:rPr>
          <w:rFonts w:ascii="Times New Roman" w:hAnsi="Times New Roman" w:cs="Times New Roman"/>
          <w:sz w:val="24"/>
          <w:szCs w:val="24"/>
        </w:rPr>
      </w:pPr>
    </w:p>
    <w:sectPr w:rsidR="00EB78E2" w:rsidRPr="00EB78E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24F9" w:rsidRDefault="001924F9" w:rsidP="0052023A">
      <w:pPr>
        <w:spacing w:after="0" w:line="240" w:lineRule="auto"/>
      </w:pPr>
      <w:r>
        <w:separator/>
      </w:r>
    </w:p>
  </w:endnote>
  <w:endnote w:type="continuationSeparator" w:id="0">
    <w:p w:rsidR="001924F9" w:rsidRDefault="001924F9" w:rsidP="00520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24F9" w:rsidRDefault="001924F9" w:rsidP="0052023A">
      <w:pPr>
        <w:spacing w:after="0" w:line="240" w:lineRule="auto"/>
      </w:pPr>
      <w:r>
        <w:separator/>
      </w:r>
    </w:p>
  </w:footnote>
  <w:footnote w:type="continuationSeparator" w:id="0">
    <w:p w:rsidR="001924F9" w:rsidRDefault="001924F9" w:rsidP="0052023A">
      <w:pPr>
        <w:spacing w:after="0" w:line="240" w:lineRule="auto"/>
      </w:pPr>
      <w:r>
        <w:continuationSeparator/>
      </w:r>
    </w:p>
  </w:footnote>
  <w:footnote w:id="1">
    <w:p w:rsidR="0052023A" w:rsidRPr="00EB78E2" w:rsidRDefault="0052023A">
      <w:pPr>
        <w:pStyle w:val="FootnoteText"/>
        <w:rPr>
          <w:rFonts w:ascii="Times New Roman" w:hAnsi="Times New Roman" w:cs="Times New Roman"/>
        </w:rPr>
      </w:pPr>
      <w:r w:rsidRPr="00EB78E2">
        <w:rPr>
          <w:rStyle w:val="FootnoteReference"/>
          <w:rFonts w:ascii="Times New Roman" w:hAnsi="Times New Roman" w:cs="Times New Roman"/>
        </w:rPr>
        <w:footnoteRef/>
      </w:r>
      <w:r w:rsidRPr="00EB78E2">
        <w:rPr>
          <w:rFonts w:ascii="Times New Roman" w:hAnsi="Times New Roman" w:cs="Times New Roman"/>
        </w:rPr>
        <w:t xml:space="preserve"> </w:t>
      </w:r>
      <w:r w:rsidR="00EB78E2" w:rsidRPr="00EB78E2">
        <w:rPr>
          <w:rStyle w:val="selectable"/>
          <w:rFonts w:ascii="Times New Roman" w:hAnsi="Times New Roman" w:cs="Times New Roman"/>
        </w:rPr>
        <w:t>(Rives, 2007)</w:t>
      </w:r>
    </w:p>
  </w:footnote>
  <w:footnote w:id="2">
    <w:p w:rsidR="00E4598F" w:rsidRPr="00EB78E2" w:rsidRDefault="00E4598F">
      <w:pPr>
        <w:pStyle w:val="FootnoteText"/>
        <w:rPr>
          <w:rFonts w:ascii="Times New Roman" w:hAnsi="Times New Roman" w:cs="Times New Roman"/>
        </w:rPr>
      </w:pPr>
      <w:r w:rsidRPr="00EB78E2">
        <w:rPr>
          <w:rStyle w:val="FootnoteReference"/>
          <w:rFonts w:ascii="Times New Roman" w:hAnsi="Times New Roman" w:cs="Times New Roman"/>
        </w:rPr>
        <w:footnoteRef/>
      </w:r>
      <w:r w:rsidRPr="00EB78E2">
        <w:rPr>
          <w:rFonts w:ascii="Times New Roman" w:hAnsi="Times New Roman" w:cs="Times New Roman"/>
        </w:rPr>
        <w:t xml:space="preserve"> </w:t>
      </w:r>
      <w:r w:rsidR="00EB78E2" w:rsidRPr="00EB78E2">
        <w:rPr>
          <w:rStyle w:val="selectable"/>
          <w:rFonts w:ascii="Times New Roman" w:hAnsi="Times New Roman" w:cs="Times New Roman"/>
        </w:rPr>
        <w:t>(Rives, 2007)</w:t>
      </w:r>
    </w:p>
  </w:footnote>
  <w:footnote w:id="3">
    <w:p w:rsidR="0052023A" w:rsidRPr="00EB78E2" w:rsidRDefault="0052023A">
      <w:pPr>
        <w:pStyle w:val="FootnoteText"/>
        <w:rPr>
          <w:rFonts w:ascii="Times New Roman" w:hAnsi="Times New Roman" w:cs="Times New Roman"/>
        </w:rPr>
      </w:pPr>
      <w:r w:rsidRPr="00EB78E2">
        <w:rPr>
          <w:rStyle w:val="FootnoteReference"/>
          <w:rFonts w:ascii="Times New Roman" w:hAnsi="Times New Roman" w:cs="Times New Roman"/>
        </w:rPr>
        <w:footnoteRef/>
      </w:r>
      <w:r w:rsidRPr="00EB78E2">
        <w:rPr>
          <w:rFonts w:ascii="Times New Roman" w:hAnsi="Times New Roman" w:cs="Times New Roman"/>
        </w:rPr>
        <w:t xml:space="preserve"> </w:t>
      </w:r>
      <w:r w:rsidR="00EB78E2" w:rsidRPr="00EB78E2">
        <w:rPr>
          <w:rStyle w:val="selectable"/>
          <w:rFonts w:ascii="Times New Roman" w:hAnsi="Times New Roman" w:cs="Times New Roman"/>
        </w:rPr>
        <w:t>(Rives, 2007)</w:t>
      </w:r>
    </w:p>
  </w:footnote>
  <w:footnote w:id="4">
    <w:p w:rsidR="0052023A" w:rsidRPr="00EB78E2" w:rsidRDefault="0052023A">
      <w:pPr>
        <w:pStyle w:val="FootnoteText"/>
        <w:rPr>
          <w:rFonts w:ascii="Times New Roman" w:hAnsi="Times New Roman" w:cs="Times New Roman"/>
        </w:rPr>
      </w:pPr>
      <w:r w:rsidRPr="00EB78E2">
        <w:rPr>
          <w:rStyle w:val="FootnoteReference"/>
          <w:rFonts w:ascii="Times New Roman" w:hAnsi="Times New Roman" w:cs="Times New Roman"/>
        </w:rPr>
        <w:footnoteRef/>
      </w:r>
      <w:r w:rsidRPr="00EB78E2">
        <w:rPr>
          <w:rFonts w:ascii="Times New Roman" w:hAnsi="Times New Roman" w:cs="Times New Roman"/>
        </w:rPr>
        <w:t xml:space="preserve"> </w:t>
      </w:r>
      <w:r w:rsidR="00EB78E2" w:rsidRPr="00EB78E2">
        <w:rPr>
          <w:rStyle w:val="selectable"/>
          <w:rFonts w:ascii="Times New Roman" w:hAnsi="Times New Roman" w:cs="Times New Roman"/>
        </w:rPr>
        <w:t>(Rives, 2007)</w:t>
      </w:r>
    </w:p>
  </w:footnote>
  <w:footnote w:id="5">
    <w:p w:rsidR="0052023A" w:rsidRPr="00EB78E2" w:rsidRDefault="0052023A">
      <w:pPr>
        <w:pStyle w:val="FootnoteText"/>
        <w:rPr>
          <w:rFonts w:ascii="Times New Roman" w:hAnsi="Times New Roman" w:cs="Times New Roman"/>
        </w:rPr>
      </w:pPr>
      <w:r w:rsidRPr="00EB78E2">
        <w:rPr>
          <w:rStyle w:val="FootnoteReference"/>
          <w:rFonts w:ascii="Times New Roman" w:hAnsi="Times New Roman" w:cs="Times New Roman"/>
        </w:rPr>
        <w:footnoteRef/>
      </w:r>
      <w:r w:rsidRPr="00EB78E2">
        <w:rPr>
          <w:rFonts w:ascii="Times New Roman" w:hAnsi="Times New Roman" w:cs="Times New Roman"/>
        </w:rPr>
        <w:t xml:space="preserve"> </w:t>
      </w:r>
      <w:r w:rsidR="00EB78E2" w:rsidRPr="00EB78E2">
        <w:rPr>
          <w:rStyle w:val="selectable"/>
          <w:rFonts w:ascii="Times New Roman" w:hAnsi="Times New Roman" w:cs="Times New Roman"/>
        </w:rPr>
        <w:t>(Rives, 2007)</w:t>
      </w:r>
    </w:p>
  </w:footnote>
  <w:footnote w:id="6">
    <w:p w:rsidR="0052023A" w:rsidRPr="00EB78E2" w:rsidRDefault="0052023A">
      <w:pPr>
        <w:pStyle w:val="FootnoteText"/>
        <w:rPr>
          <w:rFonts w:ascii="Times New Roman" w:hAnsi="Times New Roman" w:cs="Times New Roman"/>
        </w:rPr>
      </w:pPr>
      <w:r w:rsidRPr="00EB78E2">
        <w:rPr>
          <w:rStyle w:val="FootnoteReference"/>
          <w:rFonts w:ascii="Times New Roman" w:hAnsi="Times New Roman" w:cs="Times New Roman"/>
        </w:rPr>
        <w:footnoteRef/>
      </w:r>
      <w:r w:rsidRPr="00EB78E2">
        <w:rPr>
          <w:rFonts w:ascii="Times New Roman" w:hAnsi="Times New Roman" w:cs="Times New Roman"/>
        </w:rPr>
        <w:t xml:space="preserve"> </w:t>
      </w:r>
      <w:r w:rsidR="00EB78E2" w:rsidRPr="00EB78E2">
        <w:rPr>
          <w:rStyle w:val="selectable"/>
          <w:rFonts w:ascii="Times New Roman" w:hAnsi="Times New Roman" w:cs="Times New Roman"/>
        </w:rPr>
        <w:t>(Rives, 2007)</w:t>
      </w:r>
    </w:p>
  </w:footnote>
  <w:footnote w:id="7">
    <w:p w:rsidR="00717695" w:rsidRPr="00EB78E2" w:rsidRDefault="00717695">
      <w:pPr>
        <w:pStyle w:val="FootnoteText"/>
        <w:rPr>
          <w:rFonts w:ascii="Times New Roman" w:hAnsi="Times New Roman" w:cs="Times New Roman"/>
        </w:rPr>
      </w:pPr>
      <w:r w:rsidRPr="00EB78E2">
        <w:rPr>
          <w:rStyle w:val="FootnoteReference"/>
          <w:rFonts w:ascii="Times New Roman" w:hAnsi="Times New Roman" w:cs="Times New Roman"/>
        </w:rPr>
        <w:footnoteRef/>
      </w:r>
      <w:r w:rsidRPr="00EB78E2">
        <w:rPr>
          <w:rFonts w:ascii="Times New Roman" w:hAnsi="Times New Roman" w:cs="Times New Roman"/>
        </w:rPr>
        <w:t xml:space="preserve"> </w:t>
      </w:r>
      <w:r w:rsidR="00EB78E2" w:rsidRPr="00EB78E2">
        <w:rPr>
          <w:rStyle w:val="selectable"/>
          <w:rFonts w:ascii="Times New Roman" w:hAnsi="Times New Roman" w:cs="Times New Roman"/>
        </w:rPr>
        <w:t>(Rives, 2007)</w:t>
      </w:r>
    </w:p>
  </w:footnote>
  <w:footnote w:id="8">
    <w:p w:rsidR="0052023A" w:rsidRPr="00EB78E2" w:rsidRDefault="0052023A">
      <w:pPr>
        <w:pStyle w:val="FootnoteText"/>
        <w:rPr>
          <w:rFonts w:ascii="Times New Roman" w:hAnsi="Times New Roman" w:cs="Times New Roman"/>
        </w:rPr>
      </w:pPr>
      <w:r w:rsidRPr="00EB78E2">
        <w:rPr>
          <w:rStyle w:val="FootnoteReference"/>
          <w:rFonts w:ascii="Times New Roman" w:hAnsi="Times New Roman" w:cs="Times New Roman"/>
        </w:rPr>
        <w:footnoteRef/>
      </w:r>
      <w:r w:rsidRPr="00EB78E2">
        <w:rPr>
          <w:rFonts w:ascii="Times New Roman" w:hAnsi="Times New Roman" w:cs="Times New Roman"/>
        </w:rPr>
        <w:t xml:space="preserve"> </w:t>
      </w:r>
      <w:r w:rsidR="00EB78E2" w:rsidRPr="00EB78E2">
        <w:rPr>
          <w:rStyle w:val="selectable"/>
          <w:rFonts w:ascii="Times New Roman" w:hAnsi="Times New Roman" w:cs="Times New Roman"/>
        </w:rPr>
        <w:t>(Rives, 2007)</w:t>
      </w:r>
    </w:p>
  </w:footnote>
  <w:footnote w:id="9">
    <w:p w:rsidR="0052023A" w:rsidRPr="00EB78E2" w:rsidRDefault="0052023A">
      <w:pPr>
        <w:pStyle w:val="FootnoteText"/>
        <w:rPr>
          <w:rFonts w:ascii="Times New Roman" w:hAnsi="Times New Roman" w:cs="Times New Roman"/>
        </w:rPr>
      </w:pPr>
      <w:r w:rsidRPr="00EB78E2">
        <w:rPr>
          <w:rStyle w:val="FootnoteReference"/>
          <w:rFonts w:ascii="Times New Roman" w:hAnsi="Times New Roman" w:cs="Times New Roman"/>
        </w:rPr>
        <w:footnoteRef/>
      </w:r>
      <w:r w:rsidRPr="00EB78E2">
        <w:rPr>
          <w:rFonts w:ascii="Times New Roman" w:hAnsi="Times New Roman" w:cs="Times New Roman"/>
        </w:rPr>
        <w:t xml:space="preserve"> </w:t>
      </w:r>
      <w:r w:rsidR="00EB78E2" w:rsidRPr="00EB78E2">
        <w:rPr>
          <w:rStyle w:val="selectable"/>
          <w:rFonts w:ascii="Times New Roman" w:hAnsi="Times New Roman" w:cs="Times New Roman"/>
        </w:rPr>
        <w:t>(Rives, 2007)</w:t>
      </w:r>
    </w:p>
  </w:footnote>
  <w:footnote w:id="10">
    <w:p w:rsidR="00E4598F" w:rsidRPr="00EB78E2" w:rsidRDefault="00E4598F">
      <w:pPr>
        <w:pStyle w:val="FootnoteText"/>
        <w:rPr>
          <w:rFonts w:ascii="Times New Roman" w:hAnsi="Times New Roman" w:cs="Times New Roman"/>
        </w:rPr>
      </w:pPr>
      <w:r w:rsidRPr="00EB78E2">
        <w:rPr>
          <w:rStyle w:val="FootnoteReference"/>
          <w:rFonts w:ascii="Times New Roman" w:hAnsi="Times New Roman" w:cs="Times New Roman"/>
        </w:rPr>
        <w:footnoteRef/>
      </w:r>
      <w:r w:rsidRPr="00EB78E2">
        <w:rPr>
          <w:rFonts w:ascii="Times New Roman" w:hAnsi="Times New Roman" w:cs="Times New Roman"/>
        </w:rPr>
        <w:t xml:space="preserve"> </w:t>
      </w:r>
      <w:r w:rsidR="00EB78E2" w:rsidRPr="00EB78E2">
        <w:rPr>
          <w:rStyle w:val="selectable"/>
          <w:rFonts w:ascii="Times New Roman" w:hAnsi="Times New Roman" w:cs="Times New Roman"/>
        </w:rPr>
        <w:t>(Rives, 2007)</w:t>
      </w:r>
    </w:p>
  </w:footnote>
  <w:footnote w:id="11">
    <w:p w:rsidR="00E4598F" w:rsidRPr="00EB78E2" w:rsidRDefault="00E4598F">
      <w:pPr>
        <w:pStyle w:val="FootnoteText"/>
        <w:rPr>
          <w:rFonts w:ascii="Times New Roman" w:hAnsi="Times New Roman" w:cs="Times New Roman"/>
        </w:rPr>
      </w:pPr>
      <w:r w:rsidRPr="00EB78E2">
        <w:rPr>
          <w:rStyle w:val="FootnoteReference"/>
          <w:rFonts w:ascii="Times New Roman" w:hAnsi="Times New Roman" w:cs="Times New Roman"/>
        </w:rPr>
        <w:footnoteRef/>
      </w:r>
      <w:r w:rsidRPr="00EB78E2">
        <w:rPr>
          <w:rFonts w:ascii="Times New Roman" w:hAnsi="Times New Roman" w:cs="Times New Roman"/>
        </w:rPr>
        <w:t xml:space="preserve"> </w:t>
      </w:r>
      <w:r w:rsidR="00EB78E2" w:rsidRPr="00EB78E2">
        <w:rPr>
          <w:rStyle w:val="selectable"/>
          <w:rFonts w:ascii="Times New Roman" w:hAnsi="Times New Roman" w:cs="Times New Roman"/>
        </w:rPr>
        <w:t>(Rives, 2007)</w:t>
      </w:r>
    </w:p>
  </w:footnote>
  <w:footnote w:id="12">
    <w:p w:rsidR="0052023A" w:rsidRPr="00EB78E2" w:rsidRDefault="0052023A">
      <w:pPr>
        <w:pStyle w:val="FootnoteText"/>
        <w:rPr>
          <w:rFonts w:ascii="Times New Roman" w:hAnsi="Times New Roman" w:cs="Times New Roman"/>
        </w:rPr>
      </w:pPr>
      <w:r w:rsidRPr="00EB78E2">
        <w:rPr>
          <w:rStyle w:val="FootnoteReference"/>
          <w:rFonts w:ascii="Times New Roman" w:hAnsi="Times New Roman" w:cs="Times New Roman"/>
        </w:rPr>
        <w:footnoteRef/>
      </w:r>
      <w:r w:rsidRPr="00EB78E2">
        <w:rPr>
          <w:rFonts w:ascii="Times New Roman" w:hAnsi="Times New Roman" w:cs="Times New Roman"/>
        </w:rPr>
        <w:t xml:space="preserve"> </w:t>
      </w:r>
      <w:r w:rsidR="00EB78E2" w:rsidRPr="00EB78E2">
        <w:rPr>
          <w:rFonts w:ascii="Times New Roman" w:hAnsi="Times New Roman" w:cs="Times New Roman"/>
        </w:rPr>
        <w:t>(Warrior, 2002)</w:t>
      </w:r>
    </w:p>
  </w:footnote>
  <w:footnote w:id="13">
    <w:p w:rsidR="0052023A" w:rsidRPr="00EB78E2" w:rsidRDefault="0052023A">
      <w:pPr>
        <w:pStyle w:val="FootnoteText"/>
        <w:rPr>
          <w:rFonts w:ascii="Times New Roman" w:hAnsi="Times New Roman" w:cs="Times New Roman"/>
        </w:rPr>
      </w:pPr>
      <w:r w:rsidRPr="00EB78E2">
        <w:rPr>
          <w:rStyle w:val="FootnoteReference"/>
          <w:rFonts w:ascii="Times New Roman" w:hAnsi="Times New Roman" w:cs="Times New Roman"/>
        </w:rPr>
        <w:footnoteRef/>
      </w:r>
      <w:r w:rsidRPr="00EB78E2">
        <w:rPr>
          <w:rFonts w:ascii="Times New Roman" w:hAnsi="Times New Roman" w:cs="Times New Roman"/>
        </w:rPr>
        <w:t xml:space="preserve"> </w:t>
      </w:r>
      <w:r w:rsidR="00EB78E2" w:rsidRPr="00EB78E2">
        <w:rPr>
          <w:rFonts w:ascii="Times New Roman" w:hAnsi="Times New Roman" w:cs="Times New Roman"/>
        </w:rPr>
        <w:t>(Warrior, 2002)</w:t>
      </w:r>
    </w:p>
  </w:footnote>
  <w:footnote w:id="14">
    <w:p w:rsidR="0052023A" w:rsidRPr="00EB78E2" w:rsidRDefault="0052023A">
      <w:pPr>
        <w:pStyle w:val="FootnoteText"/>
        <w:rPr>
          <w:rFonts w:ascii="Times New Roman" w:hAnsi="Times New Roman" w:cs="Times New Roman"/>
        </w:rPr>
      </w:pPr>
      <w:r w:rsidRPr="00EB78E2">
        <w:rPr>
          <w:rStyle w:val="FootnoteReference"/>
          <w:rFonts w:ascii="Times New Roman" w:hAnsi="Times New Roman" w:cs="Times New Roman"/>
        </w:rPr>
        <w:footnoteRef/>
      </w:r>
      <w:r w:rsidRPr="00EB78E2">
        <w:rPr>
          <w:rFonts w:ascii="Times New Roman" w:hAnsi="Times New Roman" w:cs="Times New Roman"/>
        </w:rPr>
        <w:t xml:space="preserve"> </w:t>
      </w:r>
      <w:r w:rsidR="00EB78E2" w:rsidRPr="00EB78E2">
        <w:rPr>
          <w:rFonts w:ascii="Times New Roman" w:hAnsi="Times New Roman" w:cs="Times New Roman"/>
        </w:rPr>
        <w:t>(Warrior, 2002)</w:t>
      </w:r>
    </w:p>
  </w:footnote>
  <w:footnote w:id="15">
    <w:p w:rsidR="00717695" w:rsidRPr="00EB78E2" w:rsidRDefault="00717695">
      <w:pPr>
        <w:pStyle w:val="FootnoteText"/>
        <w:rPr>
          <w:rFonts w:ascii="Times New Roman" w:hAnsi="Times New Roman" w:cs="Times New Roman"/>
        </w:rPr>
      </w:pPr>
      <w:r w:rsidRPr="00EB78E2">
        <w:rPr>
          <w:rStyle w:val="FootnoteReference"/>
          <w:rFonts w:ascii="Times New Roman" w:hAnsi="Times New Roman" w:cs="Times New Roman"/>
        </w:rPr>
        <w:footnoteRef/>
      </w:r>
      <w:r w:rsidRPr="00EB78E2">
        <w:rPr>
          <w:rFonts w:ascii="Times New Roman" w:hAnsi="Times New Roman" w:cs="Times New Roman"/>
        </w:rPr>
        <w:t xml:space="preserve"> </w:t>
      </w:r>
      <w:r w:rsidR="00EB78E2" w:rsidRPr="00EB78E2">
        <w:rPr>
          <w:rStyle w:val="selectable"/>
          <w:rFonts w:ascii="Times New Roman" w:hAnsi="Times New Roman" w:cs="Times New Roman"/>
        </w:rPr>
        <w:t>(Rives, 2007)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58ED" w:rsidRDefault="002958ED">
    <w:pPr>
      <w:pStyle w:val="Header"/>
    </w:pPr>
    <w:r>
      <w:t>Tamara Bowie</w:t>
    </w:r>
    <w:r>
      <w:tab/>
      <w:t>Final Exam</w:t>
    </w:r>
    <w:r>
      <w:tab/>
      <w:t>1601293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9EA"/>
    <w:rsid w:val="000309EA"/>
    <w:rsid w:val="001924F9"/>
    <w:rsid w:val="001B0764"/>
    <w:rsid w:val="002958ED"/>
    <w:rsid w:val="00327B40"/>
    <w:rsid w:val="003D4E09"/>
    <w:rsid w:val="003E0B4C"/>
    <w:rsid w:val="003E220E"/>
    <w:rsid w:val="0052023A"/>
    <w:rsid w:val="00707857"/>
    <w:rsid w:val="00717695"/>
    <w:rsid w:val="00927A1E"/>
    <w:rsid w:val="00A04E83"/>
    <w:rsid w:val="00B80DAD"/>
    <w:rsid w:val="00E4598F"/>
    <w:rsid w:val="00EB7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2032E"/>
  <w15:chartTrackingRefBased/>
  <w15:docId w15:val="{840508EA-C14E-418E-A122-6250CA5D1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EB78E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E0B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E0B4C"/>
  </w:style>
  <w:style w:type="character" w:customStyle="1" w:styleId="eop">
    <w:name w:val="eop"/>
    <w:basedOn w:val="DefaultParagraphFont"/>
    <w:rsid w:val="003E0B4C"/>
  </w:style>
  <w:style w:type="paragraph" w:styleId="FootnoteText">
    <w:name w:val="footnote text"/>
    <w:basedOn w:val="Normal"/>
    <w:link w:val="FootnoteTextChar"/>
    <w:uiPriority w:val="99"/>
    <w:semiHidden/>
    <w:unhideWhenUsed/>
    <w:rsid w:val="005202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023A"/>
    <w:rPr>
      <w:sz w:val="20"/>
      <w:szCs w:val="20"/>
    </w:rPr>
  </w:style>
  <w:style w:type="character" w:styleId="FootnoteReference">
    <w:name w:val="footnote reference"/>
    <w:basedOn w:val="DefaultParagraphFont"/>
    <w:uiPriority w:val="99"/>
    <w:semiHidden/>
    <w:unhideWhenUsed/>
    <w:rsid w:val="0052023A"/>
    <w:rPr>
      <w:vertAlign w:val="superscript"/>
    </w:rPr>
  </w:style>
  <w:style w:type="character" w:customStyle="1" w:styleId="Heading2Char">
    <w:name w:val="Heading 2 Char"/>
    <w:basedOn w:val="DefaultParagraphFont"/>
    <w:link w:val="Heading2"/>
    <w:uiPriority w:val="9"/>
    <w:rsid w:val="00EB78E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B78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EB78E2"/>
  </w:style>
  <w:style w:type="paragraph" w:styleId="Header">
    <w:name w:val="header"/>
    <w:basedOn w:val="Normal"/>
    <w:link w:val="HeaderChar"/>
    <w:uiPriority w:val="99"/>
    <w:unhideWhenUsed/>
    <w:rsid w:val="002958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58ED"/>
  </w:style>
  <w:style w:type="paragraph" w:styleId="Footer">
    <w:name w:val="footer"/>
    <w:basedOn w:val="Normal"/>
    <w:link w:val="FooterChar"/>
    <w:uiPriority w:val="99"/>
    <w:unhideWhenUsed/>
    <w:rsid w:val="002958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58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466765">
      <w:bodyDiv w:val="1"/>
      <w:marLeft w:val="0"/>
      <w:marRight w:val="0"/>
      <w:marTop w:val="0"/>
      <w:marBottom w:val="0"/>
      <w:divBdr>
        <w:top w:val="none" w:sz="0" w:space="0" w:color="auto"/>
        <w:left w:val="none" w:sz="0" w:space="0" w:color="auto"/>
        <w:bottom w:val="none" w:sz="0" w:space="0" w:color="auto"/>
        <w:right w:val="none" w:sz="0" w:space="0" w:color="auto"/>
      </w:divBdr>
    </w:div>
    <w:div w:id="1291546256">
      <w:bodyDiv w:val="1"/>
      <w:marLeft w:val="0"/>
      <w:marRight w:val="0"/>
      <w:marTop w:val="0"/>
      <w:marBottom w:val="0"/>
      <w:divBdr>
        <w:top w:val="none" w:sz="0" w:space="0" w:color="auto"/>
        <w:left w:val="none" w:sz="0" w:space="0" w:color="auto"/>
        <w:bottom w:val="none" w:sz="0" w:space="0" w:color="auto"/>
        <w:right w:val="none" w:sz="0" w:space="0" w:color="auto"/>
      </w:divBdr>
    </w:div>
    <w:div w:id="1767656044">
      <w:bodyDiv w:val="1"/>
      <w:marLeft w:val="0"/>
      <w:marRight w:val="0"/>
      <w:marTop w:val="0"/>
      <w:marBottom w:val="0"/>
      <w:divBdr>
        <w:top w:val="none" w:sz="0" w:space="0" w:color="auto"/>
        <w:left w:val="none" w:sz="0" w:space="0" w:color="auto"/>
        <w:bottom w:val="none" w:sz="0" w:space="0" w:color="auto"/>
        <w:right w:val="none" w:sz="0" w:space="0" w:color="auto"/>
      </w:divBdr>
    </w:div>
    <w:div w:id="196013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DA116-AFF1-4125-8129-B7466BD0C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4</Pages>
  <Words>1208</Words>
  <Characters>6886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Bowie</dc:creator>
  <cp:keywords/>
  <dc:description/>
  <cp:lastModifiedBy>Tammy Bowie</cp:lastModifiedBy>
  <cp:revision>3</cp:revision>
  <dcterms:created xsi:type="dcterms:W3CDTF">2018-01-19T11:07:00Z</dcterms:created>
  <dcterms:modified xsi:type="dcterms:W3CDTF">2018-01-19T15:20:00Z</dcterms:modified>
</cp:coreProperties>
</file>