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207F3" w14:textId="77777777" w:rsidR="000D5019" w:rsidRDefault="000D5019" w:rsidP="003A287D">
      <w:pPr>
        <w:spacing w:line="360" w:lineRule="auto"/>
        <w:rPr>
          <w:rFonts w:ascii="Times New Roman" w:hAnsi="Times New Roman" w:cs="Times New Roman"/>
          <w:sz w:val="28"/>
          <w:szCs w:val="28"/>
          <w:lang w:val="ru-RU"/>
        </w:rPr>
      </w:pPr>
    </w:p>
    <w:p w14:paraId="035D57C9" w14:textId="77777777" w:rsidR="003A287D" w:rsidRDefault="003A287D" w:rsidP="003A287D">
      <w:pPr>
        <w:spacing w:line="360" w:lineRule="auto"/>
        <w:rPr>
          <w:rFonts w:ascii="Times New Roman" w:hAnsi="Times New Roman" w:cs="Times New Roman"/>
          <w:sz w:val="28"/>
          <w:szCs w:val="28"/>
          <w:lang w:val="ru-RU"/>
        </w:rPr>
      </w:pPr>
    </w:p>
    <w:p w14:paraId="4A394000" w14:textId="77777777" w:rsidR="003A287D" w:rsidRDefault="003A287D" w:rsidP="003A287D">
      <w:pPr>
        <w:spacing w:line="360" w:lineRule="auto"/>
        <w:rPr>
          <w:rFonts w:ascii="Times New Roman" w:hAnsi="Times New Roman" w:cs="Times New Roman"/>
          <w:sz w:val="28"/>
          <w:szCs w:val="28"/>
          <w:lang w:val="ru-RU"/>
        </w:rPr>
      </w:pPr>
    </w:p>
    <w:p w14:paraId="21F0A267" w14:textId="77777777" w:rsidR="003A287D" w:rsidRDefault="003A287D" w:rsidP="003A287D">
      <w:pPr>
        <w:spacing w:line="360" w:lineRule="auto"/>
        <w:rPr>
          <w:rFonts w:ascii="Times New Roman" w:hAnsi="Times New Roman" w:cs="Times New Roman"/>
          <w:sz w:val="28"/>
          <w:szCs w:val="28"/>
          <w:lang w:val="ru-RU"/>
        </w:rPr>
      </w:pPr>
    </w:p>
    <w:p w14:paraId="4CF6EF1F" w14:textId="77777777" w:rsidR="003A287D" w:rsidRDefault="003A287D" w:rsidP="003A287D">
      <w:pPr>
        <w:spacing w:line="360" w:lineRule="auto"/>
        <w:rPr>
          <w:rFonts w:ascii="Times New Roman" w:hAnsi="Times New Roman" w:cs="Times New Roman"/>
          <w:sz w:val="28"/>
          <w:szCs w:val="28"/>
          <w:lang w:val="ru-RU"/>
        </w:rPr>
      </w:pPr>
    </w:p>
    <w:p w14:paraId="17C573AC" w14:textId="77777777" w:rsidR="003A287D" w:rsidRDefault="003A287D" w:rsidP="003A287D">
      <w:pPr>
        <w:spacing w:line="360" w:lineRule="auto"/>
        <w:rPr>
          <w:rFonts w:ascii="Times New Roman" w:hAnsi="Times New Roman" w:cs="Times New Roman"/>
          <w:sz w:val="28"/>
          <w:szCs w:val="28"/>
          <w:lang w:val="ru-RU"/>
        </w:rPr>
      </w:pPr>
    </w:p>
    <w:p w14:paraId="6A01BB32" w14:textId="77777777" w:rsidR="003A287D" w:rsidRDefault="003A287D" w:rsidP="003A287D">
      <w:pPr>
        <w:spacing w:line="360" w:lineRule="auto"/>
        <w:rPr>
          <w:rFonts w:ascii="Times New Roman" w:hAnsi="Times New Roman" w:cs="Times New Roman"/>
          <w:sz w:val="28"/>
          <w:szCs w:val="28"/>
          <w:lang w:val="ru-RU"/>
        </w:rPr>
      </w:pPr>
    </w:p>
    <w:p w14:paraId="7E6A3D57" w14:textId="77777777" w:rsidR="003A287D" w:rsidRDefault="003A287D" w:rsidP="003A287D">
      <w:pPr>
        <w:spacing w:line="360" w:lineRule="auto"/>
        <w:rPr>
          <w:rFonts w:ascii="Times New Roman" w:hAnsi="Times New Roman" w:cs="Times New Roman"/>
          <w:sz w:val="28"/>
          <w:szCs w:val="28"/>
          <w:lang w:val="ru-RU"/>
        </w:rPr>
      </w:pPr>
    </w:p>
    <w:p w14:paraId="3A7556B5" w14:textId="77777777" w:rsidR="003A287D" w:rsidRPr="003A287D" w:rsidRDefault="003A287D" w:rsidP="003A287D">
      <w:pPr>
        <w:spacing w:line="360" w:lineRule="auto"/>
        <w:rPr>
          <w:rFonts w:ascii="Times New Roman" w:hAnsi="Times New Roman" w:cs="Times New Roman"/>
          <w:sz w:val="28"/>
          <w:szCs w:val="28"/>
          <w:lang w:val="en-GB"/>
        </w:rPr>
      </w:pPr>
    </w:p>
    <w:p w14:paraId="1474DF7A" w14:textId="77777777" w:rsidR="003A287D" w:rsidRDefault="003A287D" w:rsidP="003A287D">
      <w:pPr>
        <w:spacing w:line="360" w:lineRule="auto"/>
        <w:rPr>
          <w:rFonts w:ascii="Times New Roman" w:hAnsi="Times New Roman" w:cs="Times New Roman"/>
          <w:sz w:val="28"/>
          <w:szCs w:val="28"/>
          <w:lang w:val="ru-RU"/>
        </w:rPr>
      </w:pPr>
    </w:p>
    <w:p w14:paraId="24705671" w14:textId="409C4B54" w:rsidR="003A287D" w:rsidRPr="00473AAE" w:rsidRDefault="003A287D" w:rsidP="003A287D">
      <w:pPr>
        <w:spacing w:line="36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Image Commentary: </w:t>
      </w:r>
      <w:r w:rsidR="007F034D">
        <w:rPr>
          <w:rFonts w:ascii="Times New Roman" w:hAnsi="Times New Roman" w:cs="Times New Roman"/>
          <w:sz w:val="28"/>
          <w:szCs w:val="28"/>
          <w:lang w:val="en-GB"/>
        </w:rPr>
        <w:t>Joust of the Sun and the Moon in ‘</w:t>
      </w:r>
      <w:r>
        <w:rPr>
          <w:rFonts w:ascii="Times New Roman" w:hAnsi="Times New Roman" w:cs="Times New Roman"/>
          <w:sz w:val="28"/>
          <w:szCs w:val="28"/>
          <w:lang w:val="en-GB"/>
        </w:rPr>
        <w:t>Aurora Consurgens</w:t>
      </w:r>
      <w:r w:rsidR="007F034D">
        <w:rPr>
          <w:rFonts w:ascii="Times New Roman" w:hAnsi="Times New Roman" w:cs="Times New Roman"/>
          <w:sz w:val="28"/>
          <w:szCs w:val="28"/>
          <w:lang w:val="en-GB"/>
        </w:rPr>
        <w:t>’</w:t>
      </w:r>
    </w:p>
    <w:p w14:paraId="04B0F942" w14:textId="77777777" w:rsidR="003A287D" w:rsidRPr="00473AAE" w:rsidRDefault="003A287D" w:rsidP="003A287D">
      <w:pPr>
        <w:spacing w:line="360" w:lineRule="auto"/>
        <w:jc w:val="center"/>
        <w:rPr>
          <w:rFonts w:ascii="Times New Roman" w:hAnsi="Times New Roman" w:cs="Times New Roman"/>
          <w:sz w:val="28"/>
          <w:szCs w:val="28"/>
          <w:lang w:val="en-GB"/>
        </w:rPr>
      </w:pPr>
      <w:r w:rsidRPr="00473AAE">
        <w:rPr>
          <w:rFonts w:ascii="Times New Roman" w:hAnsi="Times New Roman" w:cs="Times New Roman"/>
          <w:sz w:val="28"/>
          <w:szCs w:val="28"/>
          <w:lang w:val="en-GB"/>
        </w:rPr>
        <w:t>Lolita Kviatkovska</w:t>
      </w:r>
    </w:p>
    <w:p w14:paraId="1457020A" w14:textId="77777777" w:rsidR="003A287D" w:rsidRPr="00473AAE" w:rsidRDefault="003A287D" w:rsidP="003A287D">
      <w:pPr>
        <w:spacing w:line="360" w:lineRule="auto"/>
        <w:jc w:val="center"/>
        <w:rPr>
          <w:rFonts w:ascii="Times New Roman" w:hAnsi="Times New Roman" w:cs="Times New Roman"/>
          <w:sz w:val="28"/>
          <w:szCs w:val="28"/>
          <w:lang w:val="en-GB"/>
        </w:rPr>
      </w:pPr>
      <w:r w:rsidRPr="00473AAE">
        <w:rPr>
          <w:rFonts w:ascii="Times New Roman" w:hAnsi="Times New Roman" w:cs="Times New Roman"/>
          <w:sz w:val="28"/>
          <w:szCs w:val="28"/>
          <w:lang w:val="en-GB"/>
        </w:rPr>
        <w:t>University of Wales Trinity Saint David</w:t>
      </w:r>
    </w:p>
    <w:p w14:paraId="492B7D3D" w14:textId="77777777" w:rsidR="003A287D" w:rsidRDefault="003A287D">
      <w:pPr>
        <w:rPr>
          <w:rFonts w:ascii="Times New Roman" w:hAnsi="Times New Roman" w:cs="Times New Roman"/>
          <w:sz w:val="28"/>
          <w:szCs w:val="28"/>
          <w:lang w:val="en-GB"/>
        </w:rPr>
      </w:pPr>
    </w:p>
    <w:p w14:paraId="3C94C9ED" w14:textId="77777777" w:rsidR="003A287D" w:rsidRDefault="003A287D">
      <w:pPr>
        <w:rPr>
          <w:rFonts w:ascii="Times New Roman" w:hAnsi="Times New Roman" w:cs="Times New Roman"/>
          <w:sz w:val="28"/>
          <w:szCs w:val="28"/>
          <w:lang w:val="en-GB"/>
        </w:rPr>
      </w:pPr>
    </w:p>
    <w:p w14:paraId="0654EA91" w14:textId="77777777" w:rsidR="003A287D" w:rsidRDefault="003A287D">
      <w:pPr>
        <w:rPr>
          <w:rFonts w:ascii="Times New Roman" w:hAnsi="Times New Roman" w:cs="Times New Roman"/>
          <w:sz w:val="28"/>
          <w:szCs w:val="28"/>
          <w:lang w:val="en-GB"/>
        </w:rPr>
      </w:pPr>
    </w:p>
    <w:p w14:paraId="52257C0A" w14:textId="77777777" w:rsidR="003A287D" w:rsidRDefault="003A287D">
      <w:pPr>
        <w:rPr>
          <w:rFonts w:ascii="Times New Roman" w:hAnsi="Times New Roman" w:cs="Times New Roman"/>
          <w:sz w:val="28"/>
          <w:szCs w:val="28"/>
          <w:lang w:val="en-GB"/>
        </w:rPr>
      </w:pPr>
    </w:p>
    <w:p w14:paraId="3F74A7EB" w14:textId="77777777" w:rsidR="003A287D" w:rsidRDefault="003A287D">
      <w:pPr>
        <w:rPr>
          <w:rFonts w:ascii="Times New Roman" w:hAnsi="Times New Roman" w:cs="Times New Roman"/>
          <w:sz w:val="28"/>
          <w:szCs w:val="28"/>
          <w:lang w:val="en-GB"/>
        </w:rPr>
      </w:pPr>
    </w:p>
    <w:p w14:paraId="28B40F24" w14:textId="77777777" w:rsidR="003A287D" w:rsidRDefault="003A287D">
      <w:pPr>
        <w:rPr>
          <w:rFonts w:ascii="Times New Roman" w:hAnsi="Times New Roman" w:cs="Times New Roman"/>
          <w:sz w:val="28"/>
          <w:szCs w:val="28"/>
          <w:lang w:val="en-GB"/>
        </w:rPr>
      </w:pPr>
    </w:p>
    <w:p w14:paraId="36641080" w14:textId="77777777" w:rsidR="003A287D" w:rsidRDefault="003A287D">
      <w:pPr>
        <w:rPr>
          <w:rFonts w:ascii="Times New Roman" w:hAnsi="Times New Roman" w:cs="Times New Roman"/>
          <w:sz w:val="28"/>
          <w:szCs w:val="28"/>
          <w:lang w:val="en-GB"/>
        </w:rPr>
      </w:pPr>
    </w:p>
    <w:p w14:paraId="38ACB18A" w14:textId="77777777" w:rsidR="003A287D" w:rsidRDefault="003A287D">
      <w:pPr>
        <w:rPr>
          <w:rFonts w:ascii="Times New Roman" w:hAnsi="Times New Roman" w:cs="Times New Roman"/>
          <w:sz w:val="28"/>
          <w:szCs w:val="28"/>
          <w:lang w:val="en-GB"/>
        </w:rPr>
      </w:pPr>
    </w:p>
    <w:p w14:paraId="7E661DD9" w14:textId="77777777" w:rsidR="003A287D" w:rsidRDefault="003A287D">
      <w:pPr>
        <w:rPr>
          <w:rFonts w:ascii="Times New Roman" w:hAnsi="Times New Roman" w:cs="Times New Roman"/>
          <w:sz w:val="28"/>
          <w:szCs w:val="28"/>
          <w:lang w:val="en-GB"/>
        </w:rPr>
      </w:pPr>
    </w:p>
    <w:p w14:paraId="0191F985" w14:textId="77777777" w:rsidR="003A287D" w:rsidRDefault="003A287D">
      <w:pPr>
        <w:rPr>
          <w:rFonts w:ascii="Times New Roman" w:hAnsi="Times New Roman" w:cs="Times New Roman"/>
          <w:sz w:val="28"/>
          <w:szCs w:val="28"/>
          <w:lang w:val="en-GB"/>
        </w:rPr>
      </w:pPr>
    </w:p>
    <w:p w14:paraId="3E95FA05" w14:textId="77777777" w:rsidR="003A287D" w:rsidRDefault="003A287D" w:rsidP="003A287D">
      <w:pPr>
        <w:rPr>
          <w:rFonts w:ascii="Times New Roman" w:hAnsi="Times New Roman" w:cs="Times New Roman"/>
          <w:sz w:val="28"/>
          <w:szCs w:val="28"/>
          <w:lang w:val="en-GB"/>
        </w:rPr>
      </w:pPr>
    </w:p>
    <w:p w14:paraId="26B7B662" w14:textId="3E5E79FC" w:rsidR="008B1F19" w:rsidRDefault="008B1F19" w:rsidP="008B1F19">
      <w:pPr>
        <w:spacing w:line="360" w:lineRule="auto"/>
        <w:ind w:firstLine="720"/>
        <w:rPr>
          <w:rFonts w:ascii="Times New Roman" w:hAnsi="Times New Roman" w:cs="Times New Roman"/>
          <w:sz w:val="28"/>
          <w:szCs w:val="28"/>
        </w:rPr>
      </w:pPr>
      <w:r w:rsidRPr="000637DF">
        <w:rPr>
          <w:rFonts w:ascii="Times New Roman" w:hAnsi="Times New Roman" w:cs="Times New Roman"/>
          <w:sz w:val="28"/>
          <w:szCs w:val="28"/>
        </w:rPr>
        <w:lastRenderedPageBreak/>
        <w:t>I acknowledge the use</w:t>
      </w:r>
      <w:r>
        <w:rPr>
          <w:rFonts w:ascii="Times New Roman" w:hAnsi="Times New Roman" w:cs="Times New Roman"/>
          <w:sz w:val="28"/>
          <w:szCs w:val="28"/>
        </w:rPr>
        <w:t xml:space="preserve"> of</w:t>
      </w:r>
      <w:r w:rsidRPr="000637DF">
        <w:rPr>
          <w:rFonts w:ascii="Times New Roman" w:hAnsi="Times New Roman" w:cs="Times New Roman"/>
          <w:sz w:val="28"/>
          <w:szCs w:val="28"/>
        </w:rPr>
        <w:t xml:space="preserve"> Grammarly (https://www.grammarly.com/) on </w:t>
      </w:r>
      <w:r>
        <w:rPr>
          <w:rFonts w:ascii="Times New Roman" w:hAnsi="Times New Roman" w:cs="Times New Roman"/>
          <w:sz w:val="28"/>
          <w:szCs w:val="28"/>
        </w:rPr>
        <w:t>25</w:t>
      </w:r>
      <w:r w:rsidRPr="000637DF">
        <w:rPr>
          <w:rFonts w:ascii="Times New Roman" w:hAnsi="Times New Roman" w:cs="Times New Roman"/>
          <w:sz w:val="28"/>
          <w:szCs w:val="28"/>
        </w:rPr>
        <w:t xml:space="preserve"> </w:t>
      </w:r>
      <w:r>
        <w:rPr>
          <w:rFonts w:ascii="Times New Roman" w:hAnsi="Times New Roman" w:cs="Times New Roman"/>
          <w:sz w:val="28"/>
          <w:szCs w:val="28"/>
        </w:rPr>
        <w:t>December</w:t>
      </w:r>
      <w:r w:rsidRPr="000637DF">
        <w:rPr>
          <w:rFonts w:ascii="Times New Roman" w:hAnsi="Times New Roman" w:cs="Times New Roman"/>
          <w:sz w:val="28"/>
          <w:szCs w:val="28"/>
        </w:rPr>
        <w:t xml:space="preserve"> 202</w:t>
      </w:r>
      <w:r>
        <w:rPr>
          <w:rFonts w:ascii="Times New Roman" w:hAnsi="Times New Roman" w:cs="Times New Roman"/>
          <w:sz w:val="28"/>
          <w:szCs w:val="28"/>
        </w:rPr>
        <w:t xml:space="preserve">5 </w:t>
      </w:r>
      <w:r w:rsidRPr="000637DF">
        <w:rPr>
          <w:rFonts w:ascii="Times New Roman" w:hAnsi="Times New Roman" w:cs="Times New Roman"/>
          <w:sz w:val="28"/>
          <w:szCs w:val="28"/>
        </w:rPr>
        <w:t xml:space="preserve">to </w:t>
      </w:r>
      <w:r>
        <w:rPr>
          <w:rFonts w:ascii="Times New Roman" w:hAnsi="Times New Roman" w:cs="Times New Roman"/>
          <w:sz w:val="28"/>
          <w:szCs w:val="28"/>
        </w:rPr>
        <w:t xml:space="preserve">check my work </w:t>
      </w:r>
      <w:r w:rsidRPr="000637DF">
        <w:rPr>
          <w:rFonts w:ascii="Times New Roman" w:hAnsi="Times New Roman" w:cs="Times New Roman"/>
          <w:sz w:val="28"/>
          <w:szCs w:val="28"/>
        </w:rPr>
        <w:t xml:space="preserve">using the prompt: </w:t>
      </w:r>
    </w:p>
    <w:p w14:paraId="70DCA318" w14:textId="77777777" w:rsidR="008B1F19" w:rsidRPr="000637DF" w:rsidRDefault="008B1F19" w:rsidP="008B1F19">
      <w:pPr>
        <w:pStyle w:val="ListParagraph"/>
        <w:numPr>
          <w:ilvl w:val="0"/>
          <w:numId w:val="1"/>
        </w:numPr>
        <w:spacing w:line="360" w:lineRule="auto"/>
        <w:rPr>
          <w:rFonts w:ascii="Times New Roman" w:hAnsi="Times New Roman" w:cs="Times New Roman"/>
          <w:sz w:val="28"/>
          <w:szCs w:val="28"/>
        </w:rPr>
      </w:pPr>
      <w:r w:rsidRPr="000637DF">
        <w:rPr>
          <w:rFonts w:ascii="Times New Roman" w:hAnsi="Times New Roman" w:cs="Times New Roman"/>
          <w:sz w:val="28"/>
          <w:szCs w:val="28"/>
        </w:rPr>
        <w:t xml:space="preserve">Please check the following text for readability, grammar and syntax. </w:t>
      </w:r>
    </w:p>
    <w:p w14:paraId="5B69B339" w14:textId="52E61D2C" w:rsidR="008B1F19" w:rsidRDefault="008B1F19" w:rsidP="008B1F19">
      <w:pPr>
        <w:spacing w:line="360" w:lineRule="auto"/>
        <w:ind w:firstLine="720"/>
        <w:rPr>
          <w:rFonts w:ascii="Times New Roman" w:hAnsi="Times New Roman" w:cs="Times New Roman"/>
          <w:sz w:val="28"/>
          <w:szCs w:val="28"/>
        </w:rPr>
      </w:pPr>
      <w:r w:rsidRPr="000637DF">
        <w:rPr>
          <w:rFonts w:ascii="Times New Roman" w:hAnsi="Times New Roman" w:cs="Times New Roman"/>
          <w:sz w:val="28"/>
          <w:szCs w:val="28"/>
        </w:rPr>
        <w:t xml:space="preserve">I acknowledge the use of ChatGPT (https://chatgpt.com/) on </w:t>
      </w:r>
      <w:r>
        <w:rPr>
          <w:rFonts w:ascii="Times New Roman" w:hAnsi="Times New Roman" w:cs="Times New Roman"/>
          <w:sz w:val="28"/>
          <w:szCs w:val="28"/>
        </w:rPr>
        <w:t>25 December</w:t>
      </w:r>
      <w:r w:rsidRPr="000637DF">
        <w:rPr>
          <w:rFonts w:ascii="Times New Roman" w:hAnsi="Times New Roman" w:cs="Times New Roman"/>
          <w:sz w:val="28"/>
          <w:szCs w:val="28"/>
        </w:rPr>
        <w:t xml:space="preserve"> 202</w:t>
      </w:r>
      <w:r>
        <w:rPr>
          <w:rFonts w:ascii="Times New Roman" w:hAnsi="Times New Roman" w:cs="Times New Roman"/>
          <w:sz w:val="28"/>
          <w:szCs w:val="28"/>
        </w:rPr>
        <w:t>5</w:t>
      </w:r>
      <w:r w:rsidRPr="000637DF">
        <w:rPr>
          <w:rFonts w:ascii="Times New Roman" w:hAnsi="Times New Roman" w:cs="Times New Roman"/>
          <w:sz w:val="28"/>
          <w:szCs w:val="28"/>
        </w:rPr>
        <w:t xml:space="preserve"> to support my research using the prompts: </w:t>
      </w:r>
    </w:p>
    <w:p w14:paraId="010D73F1" w14:textId="696E8DF7" w:rsidR="008B1F19" w:rsidRDefault="008B1F19" w:rsidP="008B1F19">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 xml:space="preserve">Were knightly tournaments </w:t>
      </w:r>
      <w:proofErr w:type="gramStart"/>
      <w:r>
        <w:rPr>
          <w:rFonts w:ascii="Times New Roman" w:hAnsi="Times New Roman" w:cs="Times New Roman"/>
          <w:sz w:val="28"/>
          <w:szCs w:val="28"/>
        </w:rPr>
        <w:t>actually time-limited</w:t>
      </w:r>
      <w:proofErr w:type="gramEnd"/>
      <w:r>
        <w:rPr>
          <w:rFonts w:ascii="Times New Roman" w:hAnsi="Times New Roman" w:cs="Times New Roman"/>
          <w:sz w:val="28"/>
          <w:szCs w:val="28"/>
        </w:rPr>
        <w:t>?</w:t>
      </w:r>
    </w:p>
    <w:p w14:paraId="4A06AD8D" w14:textId="77777777" w:rsidR="008B1F19" w:rsidRDefault="008B1F19" w:rsidP="008B1F19">
      <w:pPr>
        <w:spacing w:line="360" w:lineRule="auto"/>
        <w:rPr>
          <w:rFonts w:ascii="Times New Roman" w:hAnsi="Times New Roman" w:cs="Times New Roman"/>
          <w:sz w:val="28"/>
          <w:szCs w:val="28"/>
        </w:rPr>
      </w:pPr>
      <w:r w:rsidRPr="000637DF">
        <w:rPr>
          <w:rFonts w:ascii="Times New Roman" w:hAnsi="Times New Roman" w:cs="Times New Roman"/>
          <w:sz w:val="28"/>
          <w:szCs w:val="28"/>
        </w:rPr>
        <w:t xml:space="preserve">I confirm that I have not presented any </w:t>
      </w:r>
      <w:r>
        <w:rPr>
          <w:rFonts w:ascii="Times New Roman" w:hAnsi="Times New Roman" w:cs="Times New Roman"/>
          <w:sz w:val="28"/>
          <w:szCs w:val="28"/>
        </w:rPr>
        <w:t>AI-generated</w:t>
      </w:r>
      <w:r w:rsidRPr="000637DF">
        <w:rPr>
          <w:rFonts w:ascii="Times New Roman" w:hAnsi="Times New Roman" w:cs="Times New Roman"/>
          <w:sz w:val="28"/>
          <w:szCs w:val="28"/>
        </w:rPr>
        <w:t xml:space="preserve"> text as my own work. I confirm I have copies of my drafts, notes, and other resources I used before and after the use of AI tools</w:t>
      </w:r>
      <w:r>
        <w:rPr>
          <w:rFonts w:ascii="Times New Roman" w:hAnsi="Times New Roman" w:cs="Times New Roman"/>
          <w:sz w:val="28"/>
          <w:szCs w:val="28"/>
        </w:rPr>
        <w:t>,</w:t>
      </w:r>
      <w:r w:rsidRPr="000637DF">
        <w:rPr>
          <w:rFonts w:ascii="Times New Roman" w:hAnsi="Times New Roman" w:cs="Times New Roman"/>
          <w:sz w:val="28"/>
          <w:szCs w:val="28"/>
        </w:rPr>
        <w:t xml:space="preserve"> which I may be asked to provide in evidence. </w:t>
      </w:r>
    </w:p>
    <w:p w14:paraId="7D3CD7A8" w14:textId="77777777" w:rsidR="008B1F19" w:rsidRDefault="008B1F19" w:rsidP="008B1F19"/>
    <w:p w14:paraId="222A3547" w14:textId="77777777" w:rsidR="008B1F19" w:rsidRDefault="008B1F19" w:rsidP="008B1F19"/>
    <w:p w14:paraId="484AB856" w14:textId="77777777" w:rsidR="008B1F19" w:rsidRDefault="008B1F19" w:rsidP="008B1F19"/>
    <w:p w14:paraId="758EA962" w14:textId="77777777" w:rsidR="008B1F19" w:rsidRDefault="008B1F19" w:rsidP="008B1F19"/>
    <w:p w14:paraId="7D051540" w14:textId="77777777" w:rsidR="008B1F19" w:rsidRDefault="008B1F19" w:rsidP="008B1F19"/>
    <w:p w14:paraId="470D33CF" w14:textId="77777777" w:rsidR="008B1F19" w:rsidRDefault="008B1F19" w:rsidP="008B1F19"/>
    <w:p w14:paraId="608953E7" w14:textId="77777777" w:rsidR="008B1F19" w:rsidRDefault="008B1F19" w:rsidP="008B1F19"/>
    <w:p w14:paraId="0F64BE9B" w14:textId="77777777" w:rsidR="008B1F19" w:rsidRDefault="008B1F19" w:rsidP="008B1F19"/>
    <w:p w14:paraId="26F0F330" w14:textId="77777777" w:rsidR="008B1F19" w:rsidRDefault="008B1F19" w:rsidP="008B1F19"/>
    <w:p w14:paraId="04AE38BB" w14:textId="77777777" w:rsidR="008B1F19" w:rsidRDefault="008B1F19" w:rsidP="008B1F19"/>
    <w:p w14:paraId="2AC30B91" w14:textId="77777777" w:rsidR="008B1F19" w:rsidRDefault="008B1F19" w:rsidP="008B1F19"/>
    <w:p w14:paraId="179F84E8" w14:textId="77777777" w:rsidR="008B1F19" w:rsidRDefault="008B1F19" w:rsidP="008B1F19"/>
    <w:p w14:paraId="5DBA79D8" w14:textId="77777777" w:rsidR="008B1F19" w:rsidRDefault="008B1F19" w:rsidP="008B1F19"/>
    <w:p w14:paraId="7DC55BC2" w14:textId="77777777" w:rsidR="008B1F19" w:rsidRDefault="008B1F19" w:rsidP="008B1F19"/>
    <w:p w14:paraId="0EDD7D61" w14:textId="77777777" w:rsidR="008B1F19" w:rsidRPr="00757660" w:rsidRDefault="008B1F19" w:rsidP="008B1F19"/>
    <w:p w14:paraId="55E12AD6" w14:textId="77777777" w:rsidR="008B1F19" w:rsidRDefault="008B1F19" w:rsidP="008B1F19">
      <w:pPr>
        <w:rPr>
          <w:lang w:val="en-GB"/>
        </w:rPr>
      </w:pPr>
    </w:p>
    <w:p w14:paraId="3A3525A4" w14:textId="77777777" w:rsidR="008B1F19" w:rsidRDefault="008B1F19" w:rsidP="008B1F19">
      <w:pPr>
        <w:rPr>
          <w:lang w:val="en-GB"/>
        </w:rPr>
      </w:pPr>
    </w:p>
    <w:p w14:paraId="70451EB3" w14:textId="77777777" w:rsidR="008B1F19" w:rsidRDefault="008B1F19" w:rsidP="003A287D">
      <w:pPr>
        <w:rPr>
          <w:rFonts w:ascii="Times New Roman" w:hAnsi="Times New Roman" w:cs="Times New Roman"/>
          <w:sz w:val="28"/>
          <w:szCs w:val="28"/>
          <w:lang w:val="en-GB"/>
        </w:rPr>
      </w:pPr>
    </w:p>
    <w:p w14:paraId="626F2704" w14:textId="5EAA1935" w:rsidR="003A287D" w:rsidRDefault="003A287D" w:rsidP="003A287D">
      <w:pPr>
        <w:spacing w:line="36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lastRenderedPageBreak/>
        <w:t>Introduction</w:t>
      </w:r>
    </w:p>
    <w:p w14:paraId="0373C48D" w14:textId="64706D08" w:rsidR="003A287D" w:rsidRDefault="003A287D" w:rsidP="003A287D">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 xml:space="preserve">The illuminated scene of the joust between the </w:t>
      </w:r>
      <w:r w:rsidR="0027341C">
        <w:rPr>
          <w:rFonts w:ascii="Times New Roman" w:hAnsi="Times New Roman" w:cs="Times New Roman"/>
          <w:sz w:val="28"/>
          <w:szCs w:val="28"/>
          <w:lang w:val="en-GB"/>
        </w:rPr>
        <w:t>S</w:t>
      </w:r>
      <w:r>
        <w:rPr>
          <w:rFonts w:ascii="Times New Roman" w:hAnsi="Times New Roman" w:cs="Times New Roman"/>
          <w:sz w:val="28"/>
          <w:szCs w:val="28"/>
          <w:lang w:val="en-GB"/>
        </w:rPr>
        <w:t xml:space="preserve">un and the Moon from the alchemical treatise </w:t>
      </w:r>
      <w:r w:rsidR="00B22641">
        <w:rPr>
          <w:rFonts w:ascii="Times New Roman" w:hAnsi="Times New Roman" w:cs="Times New Roman"/>
          <w:sz w:val="28"/>
          <w:szCs w:val="28"/>
          <w:lang w:val="en-GB"/>
        </w:rPr>
        <w:t>‘</w:t>
      </w:r>
      <w:r>
        <w:rPr>
          <w:rFonts w:ascii="Times New Roman" w:hAnsi="Times New Roman" w:cs="Times New Roman"/>
          <w:sz w:val="28"/>
          <w:szCs w:val="28"/>
          <w:lang w:val="en-GB"/>
        </w:rPr>
        <w:t>Aurora Consurgens</w:t>
      </w:r>
      <w:r w:rsidR="00B22641">
        <w:rPr>
          <w:rFonts w:ascii="Times New Roman" w:hAnsi="Times New Roman" w:cs="Times New Roman"/>
          <w:sz w:val="28"/>
          <w:szCs w:val="28"/>
          <w:lang w:val="en-GB"/>
        </w:rPr>
        <w:t>’</w:t>
      </w:r>
      <w:r>
        <w:rPr>
          <w:rFonts w:ascii="Times New Roman" w:hAnsi="Times New Roman" w:cs="Times New Roman"/>
          <w:sz w:val="28"/>
          <w:szCs w:val="28"/>
          <w:lang w:val="en-GB"/>
        </w:rPr>
        <w:t xml:space="preserve"> showcases one of the most intense and conceptually complex images</w:t>
      </w:r>
      <w:r w:rsidRPr="003A287D">
        <w:rPr>
          <w:rFonts w:ascii="Times New Roman" w:hAnsi="Times New Roman" w:cs="Times New Roman"/>
          <w:sz w:val="28"/>
          <w:szCs w:val="28"/>
          <w:lang w:val="en-GB"/>
        </w:rPr>
        <w:t xml:space="preserve"> </w:t>
      </w:r>
      <w:r>
        <w:rPr>
          <w:rFonts w:ascii="Times New Roman" w:hAnsi="Times New Roman" w:cs="Times New Roman"/>
          <w:sz w:val="28"/>
          <w:szCs w:val="28"/>
          <w:lang w:val="en-GB"/>
        </w:rPr>
        <w:t>of late medieval alchemical tradition. Unlike other decorative miniatures or illustrations that directly clarify the text</w:t>
      </w:r>
      <w:r w:rsidR="0027341C">
        <w:rPr>
          <w:rFonts w:ascii="Times New Roman" w:hAnsi="Times New Roman" w:cs="Times New Roman"/>
          <w:sz w:val="28"/>
          <w:szCs w:val="28"/>
          <w:lang w:val="en-GB"/>
        </w:rPr>
        <w:t>, this picture is one that serves as an independent visual statement, uniting elements of chivalric culture, hermetic philosophy, mystical theology, and symbolic thinking. Its analysis demands an interdisciplinary approach, uniting art history, visual culture research, intellectual history of alchemy and analytical psychology.</w:t>
      </w:r>
    </w:p>
    <w:p w14:paraId="0BB615E1" w14:textId="37C473FA" w:rsidR="0027341C" w:rsidRDefault="0027341C" w:rsidP="003A287D">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 xml:space="preserve">The purpose of this essay is to show that the moment of joust between Sol and Luna is no mere allegory of an alchemical process but a well-structured visual model of </w:t>
      </w:r>
      <w:r w:rsidRPr="0027341C">
        <w:rPr>
          <w:rFonts w:ascii="Times New Roman" w:hAnsi="Times New Roman" w:cs="Times New Roman"/>
          <w:i/>
          <w:iCs/>
          <w:sz w:val="28"/>
          <w:szCs w:val="28"/>
          <w:lang w:val="en-GB"/>
        </w:rPr>
        <w:t>coniunctio oppositorum</w:t>
      </w:r>
      <w:r>
        <w:rPr>
          <w:rFonts w:ascii="Times New Roman" w:hAnsi="Times New Roman" w:cs="Times New Roman"/>
          <w:i/>
          <w:iCs/>
          <w:sz w:val="28"/>
          <w:szCs w:val="28"/>
          <w:lang w:val="en-GB"/>
        </w:rPr>
        <w:t xml:space="preserve">, </w:t>
      </w:r>
      <w:r w:rsidR="00B22641">
        <w:rPr>
          <w:rFonts w:ascii="Times New Roman" w:hAnsi="Times New Roman" w:cs="Times New Roman"/>
          <w:sz w:val="28"/>
          <w:szCs w:val="28"/>
          <w:lang w:val="en-GB"/>
        </w:rPr>
        <w:t xml:space="preserve">a central theological and psychological principle in alchemical philosophy, where the conflict is an essential condition of conjunction. </w:t>
      </w:r>
    </w:p>
    <w:p w14:paraId="13F6BA1F" w14:textId="3A73EFF4" w:rsidR="00B22641" w:rsidRDefault="00B22641" w:rsidP="003A287D">
      <w:pPr>
        <w:spacing w:line="360" w:lineRule="auto"/>
        <w:rPr>
          <w:rFonts w:ascii="Times New Roman" w:hAnsi="Times New Roman" w:cs="Times New Roman"/>
          <w:sz w:val="28"/>
          <w:szCs w:val="28"/>
          <w:lang w:val="ru-RU"/>
        </w:rPr>
      </w:pPr>
      <w:r>
        <w:rPr>
          <w:rFonts w:ascii="Times New Roman" w:hAnsi="Times New Roman" w:cs="Times New Roman"/>
          <w:sz w:val="28"/>
          <w:szCs w:val="28"/>
          <w:lang w:val="en-GB"/>
        </w:rPr>
        <w:tab/>
        <w:t xml:space="preserve">It is also important to highlight that the Jungian analysis is introduced here </w:t>
      </w:r>
      <w:r w:rsidR="00871FE6">
        <w:rPr>
          <w:rFonts w:ascii="Times New Roman" w:hAnsi="Times New Roman" w:cs="Times New Roman"/>
          <w:sz w:val="28"/>
          <w:szCs w:val="28"/>
          <w:lang w:val="en-GB"/>
        </w:rPr>
        <w:t xml:space="preserve">not just </w:t>
      </w:r>
      <w:r>
        <w:rPr>
          <w:rFonts w:ascii="Times New Roman" w:hAnsi="Times New Roman" w:cs="Times New Roman"/>
          <w:sz w:val="28"/>
          <w:szCs w:val="28"/>
          <w:lang w:val="en-GB"/>
        </w:rPr>
        <w:t>as a language that allows me to articulate the tensions and structures hidden within the material of ‘Aurora Consurgens’</w:t>
      </w:r>
      <w:r w:rsidR="00871FE6">
        <w:rPr>
          <w:rFonts w:ascii="Times New Roman" w:hAnsi="Times New Roman" w:cs="Times New Roman"/>
          <w:sz w:val="28"/>
          <w:szCs w:val="28"/>
          <w:lang w:val="en-GB"/>
        </w:rPr>
        <w:t xml:space="preserve">, but also because of my personal relation to the subject. The allegory offers a model of the union of opposites that can be applied beyond the historic-doctrinal context of alchemy, for it also appeals to the broader question of the subject’s capacity to withhold inner ambivalence. This logic is </w:t>
      </w:r>
      <w:r w:rsidR="00544F7A">
        <w:rPr>
          <w:rFonts w:ascii="Times New Roman" w:hAnsi="Times New Roman" w:cs="Times New Roman"/>
          <w:sz w:val="28"/>
          <w:szCs w:val="28"/>
          <w:lang w:val="en-GB"/>
        </w:rPr>
        <w:t>essential</w:t>
      </w:r>
      <w:r w:rsidR="00871FE6">
        <w:rPr>
          <w:rFonts w:ascii="Times New Roman" w:hAnsi="Times New Roman" w:cs="Times New Roman"/>
          <w:sz w:val="28"/>
          <w:szCs w:val="28"/>
          <w:lang w:val="en-GB"/>
        </w:rPr>
        <w:t xml:space="preserve"> both for </w:t>
      </w:r>
      <w:r w:rsidR="00544F7A">
        <w:rPr>
          <w:rFonts w:ascii="Times New Roman" w:hAnsi="Times New Roman" w:cs="Times New Roman"/>
          <w:sz w:val="28"/>
          <w:szCs w:val="28"/>
          <w:lang w:val="en-GB"/>
        </w:rPr>
        <w:t xml:space="preserve">understanding alchemical thinking in the late Middle Ages and for the modern analysis of subjectivity, in which the acknowledgement and retention of contradictory aspects of experience serve as </w:t>
      </w:r>
      <w:r w:rsidR="00871FE6">
        <w:rPr>
          <w:rFonts w:ascii="Times New Roman" w:hAnsi="Times New Roman" w:cs="Times New Roman"/>
          <w:sz w:val="28"/>
          <w:szCs w:val="28"/>
          <w:lang w:val="en-GB"/>
        </w:rPr>
        <w:t>a condition of wh</w:t>
      </w:r>
      <w:r w:rsidR="00544F7A">
        <w:rPr>
          <w:rFonts w:ascii="Times New Roman" w:hAnsi="Times New Roman" w:cs="Times New Roman"/>
          <w:sz w:val="28"/>
          <w:szCs w:val="28"/>
          <w:lang w:val="en-GB"/>
        </w:rPr>
        <w:t xml:space="preserve">oleness. </w:t>
      </w:r>
    </w:p>
    <w:p w14:paraId="032104BF" w14:textId="0A19A164" w:rsidR="000B392C" w:rsidRDefault="00D32A82" w:rsidP="000B392C">
      <w:pPr>
        <w:spacing w:line="360" w:lineRule="auto"/>
        <w:jc w:val="center"/>
        <w:rPr>
          <w:rFonts w:ascii="Times New Roman" w:hAnsi="Times New Roman" w:cs="Times New Roman"/>
          <w:sz w:val="28"/>
          <w:szCs w:val="28"/>
          <w:lang w:val="en-GB"/>
        </w:rPr>
      </w:pPr>
      <w:r w:rsidRPr="000B392C">
        <w:rPr>
          <w:rFonts w:ascii="Times New Roman" w:hAnsi="Times New Roman" w:cs="Times New Roman"/>
          <w:sz w:val="28"/>
          <w:szCs w:val="28"/>
          <w:lang w:val="en-GB"/>
        </w:rPr>
        <w:t xml:space="preserve">Scene </w:t>
      </w:r>
      <w:r w:rsidR="00FE70D1">
        <w:rPr>
          <w:rFonts w:ascii="Times New Roman" w:hAnsi="Times New Roman" w:cs="Times New Roman"/>
          <w:sz w:val="28"/>
          <w:szCs w:val="28"/>
          <w:lang w:val="en-GB"/>
        </w:rPr>
        <w:t>D</w:t>
      </w:r>
      <w:r w:rsidRPr="000B392C">
        <w:rPr>
          <w:rFonts w:ascii="Times New Roman" w:hAnsi="Times New Roman" w:cs="Times New Roman"/>
          <w:sz w:val="28"/>
          <w:szCs w:val="28"/>
          <w:lang w:val="en-GB"/>
        </w:rPr>
        <w:t>escription</w:t>
      </w:r>
    </w:p>
    <w:p w14:paraId="08C3C7CB" w14:textId="26ECDDAB" w:rsidR="00D32A82" w:rsidRDefault="000B392C" w:rsidP="000B392C">
      <w:pPr>
        <w:spacing w:line="360" w:lineRule="auto"/>
        <w:ind w:firstLine="720"/>
        <w:rPr>
          <w:rFonts w:ascii="Times New Roman" w:hAnsi="Times New Roman" w:cs="Times New Roman"/>
          <w:sz w:val="28"/>
          <w:szCs w:val="28"/>
          <w:lang w:val="en-GB"/>
        </w:rPr>
      </w:pPr>
      <w:r w:rsidRPr="000B392C">
        <w:rPr>
          <w:rFonts w:ascii="Times New Roman" w:hAnsi="Times New Roman" w:cs="Times New Roman"/>
          <w:sz w:val="28"/>
          <w:szCs w:val="28"/>
          <w:lang w:val="en-GB"/>
        </w:rPr>
        <w:lastRenderedPageBreak/>
        <w:t>The miniature depicts two chevaliers m</w:t>
      </w:r>
      <w:r>
        <w:rPr>
          <w:rFonts w:ascii="Times New Roman" w:hAnsi="Times New Roman" w:cs="Times New Roman"/>
          <w:sz w:val="28"/>
          <w:szCs w:val="28"/>
          <w:lang w:val="en-GB"/>
        </w:rPr>
        <w:t xml:space="preserve">oving towards each other </w:t>
      </w:r>
      <w:proofErr w:type="gramStart"/>
      <w:r>
        <w:rPr>
          <w:rFonts w:ascii="Times New Roman" w:hAnsi="Times New Roman" w:cs="Times New Roman"/>
          <w:sz w:val="28"/>
          <w:szCs w:val="28"/>
          <w:lang w:val="en-GB"/>
        </w:rPr>
        <w:t>at the moment</w:t>
      </w:r>
      <w:proofErr w:type="gramEnd"/>
      <w:r>
        <w:rPr>
          <w:rFonts w:ascii="Times New Roman" w:hAnsi="Times New Roman" w:cs="Times New Roman"/>
          <w:sz w:val="28"/>
          <w:szCs w:val="28"/>
          <w:lang w:val="en-GB"/>
        </w:rPr>
        <w:t xml:space="preserve"> of joust. On the left, we see a figure of </w:t>
      </w:r>
      <w:r w:rsidR="0088629D">
        <w:rPr>
          <w:rFonts w:ascii="Times New Roman" w:hAnsi="Times New Roman" w:cs="Times New Roman"/>
          <w:sz w:val="28"/>
          <w:szCs w:val="28"/>
          <w:lang w:val="en-GB"/>
        </w:rPr>
        <w:t>the Sun (</w:t>
      </w:r>
      <w:r>
        <w:rPr>
          <w:rFonts w:ascii="Times New Roman" w:hAnsi="Times New Roman" w:cs="Times New Roman"/>
          <w:sz w:val="28"/>
          <w:szCs w:val="28"/>
          <w:lang w:val="en-GB"/>
        </w:rPr>
        <w:t>Sol</w:t>
      </w:r>
      <w:r w:rsidR="0088629D">
        <w:rPr>
          <w:rFonts w:ascii="Times New Roman" w:hAnsi="Times New Roman" w:cs="Times New Roman"/>
          <w:sz w:val="28"/>
          <w:szCs w:val="28"/>
          <w:lang w:val="en-GB"/>
        </w:rPr>
        <w:t>)</w:t>
      </w:r>
      <w:r>
        <w:rPr>
          <w:rFonts w:ascii="Times New Roman" w:hAnsi="Times New Roman" w:cs="Times New Roman"/>
          <w:sz w:val="28"/>
          <w:szCs w:val="28"/>
          <w:lang w:val="en-GB"/>
        </w:rPr>
        <w:t xml:space="preserve"> represented as a fully armed knight. His body is covered </w:t>
      </w:r>
      <w:r w:rsidR="0088629D">
        <w:rPr>
          <w:rFonts w:ascii="Times New Roman" w:hAnsi="Times New Roman" w:cs="Times New Roman"/>
          <w:sz w:val="28"/>
          <w:szCs w:val="28"/>
          <w:lang w:val="en-GB"/>
        </w:rPr>
        <w:t>in armour, on which a blue cloak is worn</w:t>
      </w:r>
      <w:r>
        <w:rPr>
          <w:rFonts w:ascii="Times New Roman" w:hAnsi="Times New Roman" w:cs="Times New Roman"/>
          <w:sz w:val="28"/>
          <w:szCs w:val="28"/>
          <w:lang w:val="en-GB"/>
        </w:rPr>
        <w:t xml:space="preserve">; instead of a human face, the knight has a golden solar disc with rays. The Sun sits upon a lion – an animal traditionally associated with royalty, power and solar nature. </w:t>
      </w:r>
      <w:r w:rsidR="0088629D">
        <w:rPr>
          <w:rFonts w:ascii="Times New Roman" w:hAnsi="Times New Roman" w:cs="Times New Roman"/>
          <w:sz w:val="28"/>
          <w:szCs w:val="28"/>
          <w:lang w:val="en-GB"/>
        </w:rPr>
        <w:t xml:space="preserve">On the right, there is a figure of the Moon (Luna), naked, with a triple moon face, sitting atop a griffon – a hybrid creature uniting the body of a lion and wings and head of an eagle. </w:t>
      </w:r>
    </w:p>
    <w:p w14:paraId="5231B188" w14:textId="694AA125" w:rsidR="0088629D" w:rsidRDefault="0088629D" w:rsidP="000B392C">
      <w:pPr>
        <w:spacing w:line="360" w:lineRule="auto"/>
        <w:ind w:firstLine="720"/>
        <w:rPr>
          <w:rFonts w:ascii="Times New Roman" w:hAnsi="Times New Roman" w:cs="Times New Roman"/>
          <w:sz w:val="28"/>
          <w:szCs w:val="28"/>
          <w:lang w:val="en-GB"/>
        </w:rPr>
      </w:pPr>
      <w:r>
        <w:rPr>
          <w:rFonts w:ascii="Times New Roman" w:hAnsi="Times New Roman" w:cs="Times New Roman"/>
          <w:sz w:val="28"/>
          <w:szCs w:val="28"/>
          <w:lang w:val="en-GB"/>
        </w:rPr>
        <w:t xml:space="preserve">The composition of a scene is symmetrical and expressly conflictual: the lances are directed precisely at opponents, and the figures are locked in space without an opportunity of retreat. </w:t>
      </w:r>
      <w:r w:rsidR="00207947">
        <w:rPr>
          <w:rFonts w:ascii="Times New Roman" w:hAnsi="Times New Roman" w:cs="Times New Roman"/>
          <w:sz w:val="28"/>
          <w:szCs w:val="28"/>
          <w:lang w:val="en-GB"/>
        </w:rPr>
        <w:t xml:space="preserve">The absence of landscape </w:t>
      </w:r>
      <w:r w:rsidR="005C5F26">
        <w:rPr>
          <w:rFonts w:ascii="Times New Roman" w:hAnsi="Times New Roman" w:cs="Times New Roman"/>
          <w:sz w:val="28"/>
          <w:szCs w:val="28"/>
          <w:lang w:val="en-GB"/>
        </w:rPr>
        <w:t xml:space="preserve">detail or architectural background removes the scene from a specific earthly space and places it in a symbolic field. There are no spectators, no judges, and no signs of a tournament whatsoever; a combat takes place in an abstract field that points to its metaphysical nature rather than an actual event. </w:t>
      </w:r>
    </w:p>
    <w:p w14:paraId="31D819BE" w14:textId="3342087F" w:rsidR="005C5F26" w:rsidRDefault="004D3C78" w:rsidP="000B392C">
      <w:pPr>
        <w:spacing w:line="360" w:lineRule="auto"/>
        <w:ind w:firstLine="720"/>
        <w:rPr>
          <w:rFonts w:ascii="Times New Roman" w:hAnsi="Times New Roman" w:cs="Times New Roman"/>
          <w:sz w:val="28"/>
          <w:szCs w:val="28"/>
          <w:lang w:val="en-GB"/>
        </w:rPr>
      </w:pPr>
      <w:r>
        <w:rPr>
          <w:rFonts w:ascii="Times New Roman" w:hAnsi="Times New Roman" w:cs="Times New Roman"/>
          <w:sz w:val="28"/>
          <w:szCs w:val="28"/>
          <w:lang w:val="en-GB"/>
        </w:rPr>
        <w:t xml:space="preserve">Heraldic inversion has a special meaning: the shield of Sol is decorated with three moon faces, while the shield of Luna bears a solar disc. This visual reception is not a mere decoration but a key to interpreting the scene. Each figure bears a sign of its opposite, which visually articulates the principle of mutual implication of the opposing elements. At the very level </w:t>
      </w:r>
      <w:r w:rsidR="004D4480">
        <w:rPr>
          <w:rFonts w:ascii="Times New Roman" w:hAnsi="Times New Roman" w:cs="Times New Roman"/>
          <w:sz w:val="28"/>
          <w:szCs w:val="28"/>
          <w:lang w:val="en-GB"/>
        </w:rPr>
        <w:t xml:space="preserve">of composition, the image asserts the impossibility of net binary – Sol will never be purely Sol, and Luna will never be </w:t>
      </w:r>
      <w:r w:rsidR="00DA41E0">
        <w:rPr>
          <w:rFonts w:ascii="Times New Roman" w:hAnsi="Times New Roman" w:cs="Times New Roman"/>
          <w:sz w:val="28"/>
          <w:szCs w:val="28"/>
          <w:lang w:val="en-GB"/>
        </w:rPr>
        <w:t>purely</w:t>
      </w:r>
      <w:r w:rsidR="004D4480">
        <w:rPr>
          <w:rFonts w:ascii="Times New Roman" w:hAnsi="Times New Roman" w:cs="Times New Roman"/>
          <w:sz w:val="28"/>
          <w:szCs w:val="28"/>
          <w:lang w:val="en-GB"/>
        </w:rPr>
        <w:t xml:space="preserve"> Luna. </w:t>
      </w:r>
    </w:p>
    <w:p w14:paraId="357AD11A" w14:textId="13A38CCD" w:rsidR="00CE4E5F" w:rsidRDefault="00CE4E5F" w:rsidP="00CE4E5F">
      <w:pPr>
        <w:spacing w:line="36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Historical and </w:t>
      </w:r>
      <w:r w:rsidR="00FE70D1">
        <w:rPr>
          <w:rFonts w:ascii="Times New Roman" w:hAnsi="Times New Roman" w:cs="Times New Roman"/>
          <w:sz w:val="28"/>
          <w:szCs w:val="28"/>
          <w:lang w:val="en-GB"/>
        </w:rPr>
        <w:t>I</w:t>
      </w:r>
      <w:r>
        <w:rPr>
          <w:rFonts w:ascii="Times New Roman" w:hAnsi="Times New Roman" w:cs="Times New Roman"/>
          <w:sz w:val="28"/>
          <w:szCs w:val="28"/>
          <w:lang w:val="en-GB"/>
        </w:rPr>
        <w:t xml:space="preserve">ntellectual </w:t>
      </w:r>
      <w:r w:rsidR="00FE70D1">
        <w:rPr>
          <w:rFonts w:ascii="Times New Roman" w:hAnsi="Times New Roman" w:cs="Times New Roman"/>
          <w:sz w:val="28"/>
          <w:szCs w:val="28"/>
          <w:lang w:val="en-GB"/>
        </w:rPr>
        <w:t>C</w:t>
      </w:r>
      <w:r>
        <w:rPr>
          <w:rFonts w:ascii="Times New Roman" w:hAnsi="Times New Roman" w:cs="Times New Roman"/>
          <w:sz w:val="28"/>
          <w:szCs w:val="28"/>
          <w:lang w:val="en-GB"/>
        </w:rPr>
        <w:t>ontext</w:t>
      </w:r>
    </w:p>
    <w:p w14:paraId="6E5372E6" w14:textId="21EF5988" w:rsidR="00CE4E5F" w:rsidRDefault="00CE4E5F" w:rsidP="00CE4E5F">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00DA41E0">
        <w:rPr>
          <w:rFonts w:ascii="Times New Roman" w:hAnsi="Times New Roman" w:cs="Times New Roman"/>
          <w:sz w:val="28"/>
          <w:szCs w:val="28"/>
          <w:lang w:val="en-GB"/>
        </w:rPr>
        <w:t xml:space="preserve">‘Aurora Consurgens’ takes a special place in late medieval alchemical literature. Traditionally, this work is attributed to Thomas Aquinas. </w:t>
      </w:r>
      <w:proofErr w:type="gramStart"/>
      <w:r w:rsidR="00DA41E0">
        <w:rPr>
          <w:rFonts w:ascii="Times New Roman" w:hAnsi="Times New Roman" w:cs="Times New Roman"/>
          <w:sz w:val="28"/>
          <w:szCs w:val="28"/>
          <w:lang w:val="en-GB"/>
        </w:rPr>
        <w:t>In reality, it</w:t>
      </w:r>
      <w:proofErr w:type="gramEnd"/>
      <w:r w:rsidR="00DA41E0">
        <w:rPr>
          <w:rFonts w:ascii="Times New Roman" w:hAnsi="Times New Roman" w:cs="Times New Roman"/>
          <w:sz w:val="28"/>
          <w:szCs w:val="28"/>
          <w:lang w:val="en-GB"/>
        </w:rPr>
        <w:t xml:space="preserve"> is a compilation of texts, formed at the end of the fourteenth and the beginning of the fifteenth century, that unites biblical quotations, elements of Arabic </w:t>
      </w:r>
      <w:r w:rsidR="00DA41E0">
        <w:rPr>
          <w:rFonts w:ascii="Times New Roman" w:hAnsi="Times New Roman" w:cs="Times New Roman"/>
          <w:sz w:val="28"/>
          <w:szCs w:val="28"/>
          <w:lang w:val="en-GB"/>
        </w:rPr>
        <w:lastRenderedPageBreak/>
        <w:t>alchemy, and a language of mystical theology.</w:t>
      </w:r>
      <w:r w:rsidR="00DA41E0">
        <w:rPr>
          <w:rStyle w:val="FootnoteReference"/>
          <w:rFonts w:ascii="Times New Roman" w:hAnsi="Times New Roman" w:cs="Times New Roman"/>
          <w:sz w:val="28"/>
          <w:szCs w:val="28"/>
          <w:lang w:val="en-GB"/>
        </w:rPr>
        <w:footnoteReference w:id="1"/>
      </w:r>
      <w:r w:rsidR="00DA41E0">
        <w:rPr>
          <w:rFonts w:ascii="Times New Roman" w:hAnsi="Times New Roman" w:cs="Times New Roman"/>
          <w:sz w:val="28"/>
          <w:szCs w:val="28"/>
          <w:lang w:val="en-GB"/>
        </w:rPr>
        <w:t xml:space="preserve"> </w:t>
      </w:r>
      <w:r w:rsidR="00354DE8">
        <w:rPr>
          <w:rFonts w:ascii="Times New Roman" w:hAnsi="Times New Roman" w:cs="Times New Roman"/>
          <w:sz w:val="28"/>
          <w:szCs w:val="28"/>
          <w:lang w:val="en-GB"/>
        </w:rPr>
        <w:t xml:space="preserve">The central figure of the text is </w:t>
      </w:r>
      <w:r w:rsidR="00354DE8" w:rsidRPr="00354DE8">
        <w:rPr>
          <w:rFonts w:ascii="Times New Roman" w:hAnsi="Times New Roman" w:cs="Times New Roman"/>
          <w:i/>
          <w:iCs/>
          <w:sz w:val="28"/>
          <w:szCs w:val="28"/>
          <w:lang w:val="en-GB"/>
        </w:rPr>
        <w:t>Sapientia</w:t>
      </w:r>
      <w:r w:rsidR="00354DE8">
        <w:rPr>
          <w:rFonts w:ascii="Times New Roman" w:hAnsi="Times New Roman" w:cs="Times New Roman"/>
          <w:sz w:val="28"/>
          <w:szCs w:val="28"/>
          <w:lang w:val="en-GB"/>
        </w:rPr>
        <w:t xml:space="preserve"> – Divine Wisdom personified, which also identifies with the philosopher’s stone.</w:t>
      </w:r>
      <w:r w:rsidR="00084BEF">
        <w:rPr>
          <w:rStyle w:val="FootnoteReference"/>
          <w:rFonts w:ascii="Times New Roman" w:hAnsi="Times New Roman" w:cs="Times New Roman"/>
          <w:sz w:val="28"/>
          <w:szCs w:val="28"/>
          <w:lang w:val="en-GB"/>
        </w:rPr>
        <w:footnoteReference w:id="2"/>
      </w:r>
      <w:r w:rsidR="00354DE8">
        <w:rPr>
          <w:rFonts w:ascii="Times New Roman" w:hAnsi="Times New Roman" w:cs="Times New Roman"/>
          <w:sz w:val="28"/>
          <w:szCs w:val="28"/>
          <w:lang w:val="en-GB"/>
        </w:rPr>
        <w:t xml:space="preserve"> </w:t>
      </w:r>
    </w:p>
    <w:p w14:paraId="62BD201B" w14:textId="7123D190" w:rsidR="00354DE8" w:rsidRDefault="00354DE8" w:rsidP="00CE4E5F">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00621BD4">
        <w:rPr>
          <w:rFonts w:ascii="Times New Roman" w:hAnsi="Times New Roman" w:cs="Times New Roman"/>
          <w:sz w:val="28"/>
          <w:szCs w:val="28"/>
          <w:lang w:val="en-GB"/>
        </w:rPr>
        <w:t>William Christian highlights that ‘Aurora Consurgens’ marks a qualitatively new stage in the development of alchemical literature, in which alchemical processes are no longer described directly but are transferred into a symbolic-allegorical register.</w:t>
      </w:r>
      <w:r w:rsidR="00621BD4">
        <w:rPr>
          <w:rStyle w:val="FootnoteReference"/>
          <w:rFonts w:ascii="Times New Roman" w:hAnsi="Times New Roman" w:cs="Times New Roman"/>
          <w:sz w:val="28"/>
          <w:szCs w:val="28"/>
          <w:lang w:val="en-GB"/>
        </w:rPr>
        <w:footnoteReference w:id="3"/>
      </w:r>
      <w:r w:rsidR="00621BD4">
        <w:rPr>
          <w:rFonts w:ascii="Times New Roman" w:hAnsi="Times New Roman" w:cs="Times New Roman"/>
          <w:sz w:val="28"/>
          <w:szCs w:val="28"/>
          <w:lang w:val="en-GB"/>
        </w:rPr>
        <w:t xml:space="preserve"> In this process, visual imagery plays not a secondary but a structure-forming role. Illustrations of this treatise form an independent cycle, nonparallel to the textual sequence, demonstrating their conceptual autonomy. </w:t>
      </w:r>
    </w:p>
    <w:p w14:paraId="4AB33DB4" w14:textId="0B722831" w:rsidR="00621BD4" w:rsidRDefault="00621BD4" w:rsidP="00CE4E5F">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00564AE3">
        <w:rPr>
          <w:rFonts w:ascii="Times New Roman" w:hAnsi="Times New Roman" w:cs="Times New Roman"/>
          <w:sz w:val="28"/>
          <w:szCs w:val="28"/>
          <w:lang w:val="en-GB"/>
        </w:rPr>
        <w:t>The manuscript form of the source is crucial to the image analysis. An illuminated manuscript implies a special mode of reading and viewing it, during which the scene is not ‘deciphered’ at once, but directs a reader to the text and back. Barbara Obrist notes that alchemical pictures of the late Middle Ages function as visual discourse rather than as illustrations in the modern sense.</w:t>
      </w:r>
      <w:r w:rsidR="00564AE3">
        <w:rPr>
          <w:rStyle w:val="FootnoteReference"/>
          <w:rFonts w:ascii="Times New Roman" w:hAnsi="Times New Roman" w:cs="Times New Roman"/>
          <w:sz w:val="28"/>
          <w:szCs w:val="28"/>
          <w:lang w:val="en-GB"/>
        </w:rPr>
        <w:footnoteReference w:id="4"/>
      </w:r>
      <w:r w:rsidR="00564AE3">
        <w:rPr>
          <w:rFonts w:ascii="Times New Roman" w:hAnsi="Times New Roman" w:cs="Times New Roman"/>
          <w:sz w:val="28"/>
          <w:szCs w:val="28"/>
          <w:lang w:val="en-GB"/>
        </w:rPr>
        <w:t xml:space="preserve"> A miniature of the joust of Sol and Luna</w:t>
      </w:r>
      <w:r w:rsidR="00C31FD1">
        <w:rPr>
          <w:rFonts w:ascii="Times New Roman" w:hAnsi="Times New Roman" w:cs="Times New Roman"/>
          <w:sz w:val="28"/>
          <w:szCs w:val="28"/>
          <w:lang w:val="en-GB"/>
        </w:rPr>
        <w:t>, in this context, is a visual anchor that concentrates</w:t>
      </w:r>
      <w:r w:rsidR="00564AE3">
        <w:rPr>
          <w:rFonts w:ascii="Times New Roman" w:hAnsi="Times New Roman" w:cs="Times New Roman"/>
          <w:sz w:val="28"/>
          <w:szCs w:val="28"/>
          <w:lang w:val="en-GB"/>
        </w:rPr>
        <w:t xml:space="preserve"> the main oppositions</w:t>
      </w:r>
      <w:r w:rsidR="00C31FD1">
        <w:rPr>
          <w:rFonts w:ascii="Times New Roman" w:hAnsi="Times New Roman" w:cs="Times New Roman"/>
          <w:sz w:val="28"/>
          <w:szCs w:val="28"/>
          <w:lang w:val="en-GB"/>
        </w:rPr>
        <w:t xml:space="preserve"> of the treatise. </w:t>
      </w:r>
      <w:r w:rsidR="00564AE3">
        <w:rPr>
          <w:rFonts w:ascii="Times New Roman" w:hAnsi="Times New Roman" w:cs="Times New Roman"/>
          <w:sz w:val="28"/>
          <w:szCs w:val="28"/>
          <w:lang w:val="en-GB"/>
        </w:rPr>
        <w:t xml:space="preserve"> </w:t>
      </w:r>
    </w:p>
    <w:p w14:paraId="3FA9B948" w14:textId="77655501" w:rsidR="00A761DC" w:rsidRDefault="00A761DC" w:rsidP="00A761DC">
      <w:pPr>
        <w:spacing w:line="360" w:lineRule="auto"/>
        <w:jc w:val="center"/>
        <w:rPr>
          <w:rFonts w:ascii="Times New Roman" w:hAnsi="Times New Roman" w:cs="Times New Roman"/>
          <w:sz w:val="28"/>
          <w:szCs w:val="28"/>
          <w:lang w:val="en-FI"/>
        </w:rPr>
      </w:pPr>
      <w:r>
        <w:rPr>
          <w:rFonts w:ascii="Times New Roman" w:hAnsi="Times New Roman" w:cs="Times New Roman"/>
          <w:sz w:val="28"/>
          <w:szCs w:val="28"/>
          <w:lang w:val="en-FI"/>
        </w:rPr>
        <w:t xml:space="preserve">Alchemical </w:t>
      </w:r>
      <w:r w:rsidR="00FE70D1">
        <w:rPr>
          <w:rFonts w:ascii="Times New Roman" w:hAnsi="Times New Roman" w:cs="Times New Roman"/>
          <w:sz w:val="28"/>
          <w:szCs w:val="28"/>
          <w:lang w:val="en-FI"/>
        </w:rPr>
        <w:t>O</w:t>
      </w:r>
      <w:r>
        <w:rPr>
          <w:rFonts w:ascii="Times New Roman" w:hAnsi="Times New Roman" w:cs="Times New Roman"/>
          <w:sz w:val="28"/>
          <w:szCs w:val="28"/>
          <w:lang w:val="en-FI"/>
        </w:rPr>
        <w:t>ntology of Sol and Luna</w:t>
      </w:r>
    </w:p>
    <w:p w14:paraId="43FCD3B9" w14:textId="18355180" w:rsidR="00A761DC" w:rsidRDefault="00A761DC" w:rsidP="00A761DC">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 xml:space="preserve">In alchemical tradition, the Sun and the Moon are no mere symbols of celestial bodies but fundamental ontological principles. The Sun is associated with gold, sulphur, active, fixed and masculine elements; while the Moon is </w:t>
      </w:r>
      <w:r>
        <w:rPr>
          <w:rFonts w:ascii="Times New Roman" w:hAnsi="Times New Roman" w:cs="Times New Roman"/>
          <w:sz w:val="28"/>
          <w:szCs w:val="28"/>
          <w:lang w:val="en-FI"/>
        </w:rPr>
        <w:lastRenderedPageBreak/>
        <w:t>associated with silver, mercury, passive, volatile and feminine elements.</w:t>
      </w:r>
      <w:r>
        <w:rPr>
          <w:rStyle w:val="FootnoteReference"/>
          <w:rFonts w:ascii="Times New Roman" w:hAnsi="Times New Roman" w:cs="Times New Roman"/>
          <w:sz w:val="28"/>
          <w:szCs w:val="28"/>
          <w:lang w:val="en-FI"/>
        </w:rPr>
        <w:footnoteReference w:id="5"/>
      </w:r>
      <w:r>
        <w:rPr>
          <w:rFonts w:ascii="Times New Roman" w:hAnsi="Times New Roman" w:cs="Times New Roman"/>
          <w:sz w:val="28"/>
          <w:szCs w:val="28"/>
          <w:lang w:val="en-FI"/>
        </w:rPr>
        <w:t xml:space="preserve"> These matches emerged from the natural philosophy of Antiquity and Islamic alchemy, where the theory of sulphur and mercury served as a basis for understanding all matter.</w:t>
      </w:r>
      <w:r>
        <w:rPr>
          <w:rStyle w:val="FootnoteReference"/>
          <w:rFonts w:ascii="Times New Roman" w:hAnsi="Times New Roman" w:cs="Times New Roman"/>
          <w:sz w:val="28"/>
          <w:szCs w:val="28"/>
          <w:lang w:val="en-FI"/>
        </w:rPr>
        <w:footnoteReference w:id="6"/>
      </w:r>
      <w:r>
        <w:rPr>
          <w:rFonts w:ascii="Times New Roman" w:hAnsi="Times New Roman" w:cs="Times New Roman"/>
          <w:sz w:val="28"/>
          <w:szCs w:val="28"/>
          <w:lang w:val="en-FI"/>
        </w:rPr>
        <w:t xml:space="preserve"> </w:t>
      </w:r>
    </w:p>
    <w:p w14:paraId="6EBF652F" w14:textId="44795839" w:rsidR="00F32A18" w:rsidRDefault="00F32A18" w:rsidP="00A761DC">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 xml:space="preserve">It is also important to highlight that Sun and Moon in alchemy never existed as isolated substances. They are defined through their relation to each other exclusively. This is why </w:t>
      </w:r>
      <w:r w:rsidRPr="0027341C">
        <w:rPr>
          <w:rFonts w:ascii="Times New Roman" w:hAnsi="Times New Roman" w:cs="Times New Roman"/>
          <w:i/>
          <w:iCs/>
          <w:sz w:val="28"/>
          <w:szCs w:val="28"/>
          <w:lang w:val="en-GB"/>
        </w:rPr>
        <w:t>coniunctio oppositorum</w:t>
      </w:r>
      <w:r>
        <w:rPr>
          <w:rFonts w:ascii="Times New Roman" w:hAnsi="Times New Roman" w:cs="Times New Roman"/>
          <w:sz w:val="28"/>
          <w:szCs w:val="28"/>
          <w:lang w:val="en-FI"/>
        </w:rPr>
        <w:t xml:space="preserve"> becomes a key concept – a union of the opposites that results in the birth of </w:t>
      </w:r>
      <w:r w:rsidRPr="00F32A18">
        <w:rPr>
          <w:rFonts w:ascii="Times New Roman" w:hAnsi="Times New Roman" w:cs="Times New Roman"/>
          <w:i/>
          <w:iCs/>
          <w:sz w:val="28"/>
          <w:szCs w:val="28"/>
          <w:lang w:val="en-FI"/>
        </w:rPr>
        <w:t>tertium quid</w:t>
      </w:r>
      <w:r>
        <w:rPr>
          <w:rFonts w:ascii="Times New Roman" w:hAnsi="Times New Roman" w:cs="Times New Roman"/>
          <w:sz w:val="28"/>
          <w:szCs w:val="28"/>
          <w:lang w:val="en-FI"/>
        </w:rPr>
        <w:t>, the philosopher’s stone. In ‘Aurora Consurgens’, this process is described in terms of love, marriage, death, and rebirth, connecting alchemical discourse with mystical theology.</w:t>
      </w:r>
      <w:r>
        <w:rPr>
          <w:rStyle w:val="FootnoteReference"/>
          <w:rFonts w:ascii="Times New Roman" w:hAnsi="Times New Roman" w:cs="Times New Roman"/>
          <w:sz w:val="28"/>
          <w:szCs w:val="28"/>
          <w:lang w:val="en-FI"/>
        </w:rPr>
        <w:footnoteReference w:id="7"/>
      </w:r>
      <w:r>
        <w:rPr>
          <w:rFonts w:ascii="Times New Roman" w:hAnsi="Times New Roman" w:cs="Times New Roman"/>
          <w:sz w:val="28"/>
          <w:szCs w:val="28"/>
          <w:lang w:val="en-FI"/>
        </w:rPr>
        <w:t xml:space="preserve"> </w:t>
      </w:r>
    </w:p>
    <w:p w14:paraId="225E9D1E" w14:textId="0A1B08AF" w:rsidR="00F32A18" w:rsidRDefault="00F32A18" w:rsidP="00A761DC">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The joust scene visualises the initial phase of conjunction, the phase of conflict. In alchemical texts</w:t>
      </w:r>
      <w:r w:rsidR="00157C83">
        <w:rPr>
          <w:rFonts w:ascii="Times New Roman" w:hAnsi="Times New Roman" w:cs="Times New Roman"/>
          <w:sz w:val="28"/>
          <w:szCs w:val="28"/>
          <w:lang w:val="en-FI"/>
        </w:rPr>
        <w:t>,</w:t>
      </w:r>
      <w:r>
        <w:rPr>
          <w:rFonts w:ascii="Times New Roman" w:hAnsi="Times New Roman" w:cs="Times New Roman"/>
          <w:sz w:val="28"/>
          <w:szCs w:val="28"/>
          <w:lang w:val="en-FI"/>
        </w:rPr>
        <w:t xml:space="preserve"> th</w:t>
      </w:r>
      <w:r w:rsidR="008B0EED">
        <w:rPr>
          <w:rFonts w:ascii="Times New Roman" w:hAnsi="Times New Roman" w:cs="Times New Roman"/>
          <w:sz w:val="28"/>
          <w:szCs w:val="28"/>
          <w:lang w:val="en-FI"/>
        </w:rPr>
        <w:t>e result of</w:t>
      </w:r>
      <w:r>
        <w:rPr>
          <w:rFonts w:ascii="Times New Roman" w:hAnsi="Times New Roman" w:cs="Times New Roman"/>
          <w:sz w:val="28"/>
          <w:szCs w:val="28"/>
          <w:lang w:val="en-FI"/>
        </w:rPr>
        <w:t xml:space="preserve"> </w:t>
      </w:r>
      <w:r w:rsidR="008B0EED">
        <w:rPr>
          <w:rFonts w:ascii="Times New Roman" w:hAnsi="Times New Roman" w:cs="Times New Roman"/>
          <w:sz w:val="28"/>
          <w:szCs w:val="28"/>
          <w:lang w:val="en-FI"/>
        </w:rPr>
        <w:t xml:space="preserve">this </w:t>
      </w:r>
      <w:r>
        <w:rPr>
          <w:rFonts w:ascii="Times New Roman" w:hAnsi="Times New Roman" w:cs="Times New Roman"/>
          <w:sz w:val="28"/>
          <w:szCs w:val="28"/>
          <w:lang w:val="en-FI"/>
        </w:rPr>
        <w:t xml:space="preserve">stage is often described as </w:t>
      </w:r>
      <w:r w:rsidRPr="00F32A18">
        <w:rPr>
          <w:rFonts w:ascii="Times New Roman" w:hAnsi="Times New Roman" w:cs="Times New Roman"/>
          <w:i/>
          <w:iCs/>
          <w:sz w:val="28"/>
          <w:szCs w:val="28"/>
          <w:lang w:val="en-FI"/>
        </w:rPr>
        <w:t>nigredo</w:t>
      </w:r>
      <w:r w:rsidR="00157C83">
        <w:rPr>
          <w:rFonts w:ascii="Times New Roman" w:hAnsi="Times New Roman" w:cs="Times New Roman"/>
          <w:i/>
          <w:iCs/>
          <w:sz w:val="28"/>
          <w:szCs w:val="28"/>
          <w:lang w:val="en-FI"/>
        </w:rPr>
        <w:t xml:space="preserve">, </w:t>
      </w:r>
      <w:r w:rsidR="00157C83">
        <w:rPr>
          <w:rFonts w:ascii="Times New Roman" w:hAnsi="Times New Roman" w:cs="Times New Roman"/>
          <w:sz w:val="28"/>
          <w:szCs w:val="28"/>
          <w:lang w:val="en-FI"/>
        </w:rPr>
        <w:t>the moment of putrefaction, darkness and destruction.</w:t>
      </w:r>
      <w:r w:rsidR="00157C83">
        <w:rPr>
          <w:rStyle w:val="FootnoteReference"/>
          <w:rFonts w:ascii="Times New Roman" w:hAnsi="Times New Roman" w:cs="Times New Roman"/>
          <w:sz w:val="28"/>
          <w:szCs w:val="28"/>
          <w:lang w:val="en-FI"/>
        </w:rPr>
        <w:footnoteReference w:id="8"/>
      </w:r>
      <w:r w:rsidR="00157C83">
        <w:rPr>
          <w:rFonts w:ascii="Times New Roman" w:hAnsi="Times New Roman" w:cs="Times New Roman"/>
          <w:sz w:val="28"/>
          <w:szCs w:val="28"/>
          <w:lang w:val="en-FI"/>
        </w:rPr>
        <w:t xml:space="preserve"> But here, destruction is not a negative process but an essential condition for transformation. Bloodshed, violence</w:t>
      </w:r>
      <w:r w:rsidR="008B0EED">
        <w:rPr>
          <w:rFonts w:ascii="Times New Roman" w:hAnsi="Times New Roman" w:cs="Times New Roman"/>
          <w:sz w:val="28"/>
          <w:szCs w:val="28"/>
          <w:lang w:val="en-FI"/>
        </w:rPr>
        <w:t>, and combat in the alchemical imagination symbolise the</w:t>
      </w:r>
      <w:r w:rsidR="00157C83">
        <w:rPr>
          <w:rFonts w:ascii="Times New Roman" w:hAnsi="Times New Roman" w:cs="Times New Roman"/>
          <w:sz w:val="28"/>
          <w:szCs w:val="28"/>
          <w:lang w:val="en-FI"/>
        </w:rPr>
        <w:t xml:space="preserve"> disintegration of previous forms, without which no new form can emerge. </w:t>
      </w:r>
    </w:p>
    <w:p w14:paraId="17DAC4EF" w14:textId="77777777" w:rsidR="00E47CBF" w:rsidRDefault="00B767DA" w:rsidP="00E47CBF">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lastRenderedPageBreak/>
        <w:tab/>
        <w:t xml:space="preserve">We should interpret the aggressive dynamics of the scene precisely in this context. The combat is not directed </w:t>
      </w:r>
      <w:r w:rsidR="00E47CBF">
        <w:rPr>
          <w:rFonts w:ascii="Times New Roman" w:hAnsi="Times New Roman" w:cs="Times New Roman"/>
          <w:sz w:val="28"/>
          <w:szCs w:val="28"/>
          <w:lang w:val="en-FI"/>
        </w:rPr>
        <w:t xml:space="preserve">at the final destruction of the opponent but is a ritualised form of tension held within the </w:t>
      </w:r>
      <w:r>
        <w:rPr>
          <w:rFonts w:ascii="Times New Roman" w:hAnsi="Times New Roman" w:cs="Times New Roman"/>
          <w:sz w:val="28"/>
          <w:szCs w:val="28"/>
          <w:lang w:val="en-FI"/>
        </w:rPr>
        <w:t xml:space="preserve">symbolic order. Visually, it is expressed in the symmetry of the composition and the figures mirroring each other. </w:t>
      </w:r>
    </w:p>
    <w:p w14:paraId="18A661D8" w14:textId="0262F41E" w:rsidR="00E47CBF" w:rsidRPr="00E47CBF" w:rsidRDefault="00E47CBF" w:rsidP="00E47CBF">
      <w:pPr>
        <w:spacing w:line="360" w:lineRule="auto"/>
        <w:jc w:val="center"/>
        <w:rPr>
          <w:rFonts w:ascii="Times New Roman" w:hAnsi="Times New Roman" w:cs="Times New Roman"/>
          <w:sz w:val="28"/>
          <w:szCs w:val="28"/>
          <w:lang w:val="en-FI"/>
        </w:rPr>
      </w:pPr>
      <w:r>
        <w:rPr>
          <w:rFonts w:ascii="Times New Roman" w:hAnsi="Times New Roman" w:cs="Times New Roman"/>
          <w:sz w:val="28"/>
          <w:szCs w:val="28"/>
          <w:lang w:val="en-GB"/>
        </w:rPr>
        <w:t xml:space="preserve">Joust as a </w:t>
      </w:r>
      <w:r w:rsidR="00FE70D1">
        <w:rPr>
          <w:rFonts w:ascii="Times New Roman" w:hAnsi="Times New Roman" w:cs="Times New Roman"/>
          <w:sz w:val="28"/>
          <w:szCs w:val="28"/>
          <w:lang w:val="en-GB"/>
        </w:rPr>
        <w:t>C</w:t>
      </w:r>
      <w:r>
        <w:rPr>
          <w:rFonts w:ascii="Times New Roman" w:hAnsi="Times New Roman" w:cs="Times New Roman"/>
          <w:sz w:val="28"/>
          <w:szCs w:val="28"/>
          <w:lang w:val="en-GB"/>
        </w:rPr>
        <w:t xml:space="preserve">ultural </w:t>
      </w:r>
      <w:r w:rsidR="00FE70D1">
        <w:rPr>
          <w:rFonts w:ascii="Times New Roman" w:hAnsi="Times New Roman" w:cs="Times New Roman"/>
          <w:sz w:val="28"/>
          <w:szCs w:val="28"/>
          <w:lang w:val="en-GB"/>
        </w:rPr>
        <w:t>C</w:t>
      </w:r>
      <w:r>
        <w:rPr>
          <w:rFonts w:ascii="Times New Roman" w:hAnsi="Times New Roman" w:cs="Times New Roman"/>
          <w:sz w:val="28"/>
          <w:szCs w:val="28"/>
          <w:lang w:val="en-GB"/>
        </w:rPr>
        <w:t>ode</w:t>
      </w:r>
    </w:p>
    <w:p w14:paraId="6F77EA65" w14:textId="45329835" w:rsidR="00E47CBF" w:rsidRDefault="00E47CBF" w:rsidP="00E47CBF">
      <w:pPr>
        <w:spacing w:line="360" w:lineRule="auto"/>
        <w:ind w:firstLine="720"/>
        <w:rPr>
          <w:rFonts w:ascii="Times New Roman" w:hAnsi="Times New Roman" w:cs="Times New Roman"/>
          <w:sz w:val="28"/>
          <w:szCs w:val="28"/>
          <w:lang w:val="en-GB"/>
        </w:rPr>
      </w:pPr>
      <w:r>
        <w:rPr>
          <w:rFonts w:ascii="Times New Roman" w:hAnsi="Times New Roman" w:cs="Times New Roman"/>
          <w:sz w:val="28"/>
          <w:szCs w:val="28"/>
          <w:lang w:val="en-GB"/>
        </w:rPr>
        <w:t xml:space="preserve">It was not by accident that the author chose a jousting form to represent the conflict between the Sun and the Moon; this artistic decision requires the context of late medieval chivalric culture. In the fourteenth and fifteenth centuries, tournaments did not just serve as a military exercise or entertainment for the nobility; they were already a highly codified ritual, in which violence was carried out under strict rules and acquired symbolic meaning. Combat was a form of ordeal; the opponents entered direct encounter, not aiming to destroy each other but to demonstrate their valour, honour and the capacity to withstand the tension. </w:t>
      </w:r>
    </w:p>
    <w:p w14:paraId="215E3854" w14:textId="41C9BA3F" w:rsidR="00E47CBF" w:rsidRDefault="00E47CBF" w:rsidP="00E47CBF">
      <w:pPr>
        <w:spacing w:line="360" w:lineRule="auto"/>
        <w:ind w:firstLine="720"/>
        <w:rPr>
          <w:rFonts w:ascii="Times New Roman" w:hAnsi="Times New Roman" w:cs="Times New Roman"/>
          <w:sz w:val="28"/>
          <w:szCs w:val="28"/>
          <w:lang w:val="en-GB"/>
        </w:rPr>
      </w:pPr>
      <w:r>
        <w:rPr>
          <w:rFonts w:ascii="Times New Roman" w:hAnsi="Times New Roman" w:cs="Times New Roman"/>
          <w:sz w:val="28"/>
          <w:szCs w:val="28"/>
          <w:lang w:val="en-GB"/>
        </w:rPr>
        <w:t xml:space="preserve">This aspect of ritualised conflict makes a joust particularly suitable for the expression of </w:t>
      </w:r>
      <w:r w:rsidRPr="0027341C">
        <w:rPr>
          <w:rFonts w:ascii="Times New Roman" w:hAnsi="Times New Roman" w:cs="Times New Roman"/>
          <w:i/>
          <w:iCs/>
          <w:sz w:val="28"/>
          <w:szCs w:val="28"/>
          <w:lang w:val="en-GB"/>
        </w:rPr>
        <w:t>coniunctio oppositorum</w:t>
      </w:r>
      <w:r>
        <w:rPr>
          <w:rFonts w:ascii="Times New Roman" w:hAnsi="Times New Roman" w:cs="Times New Roman"/>
          <w:i/>
          <w:iCs/>
          <w:sz w:val="28"/>
          <w:szCs w:val="28"/>
          <w:lang w:val="en-GB"/>
        </w:rPr>
        <w:t xml:space="preserve">. </w:t>
      </w:r>
      <w:r w:rsidRPr="00E47CBF">
        <w:rPr>
          <w:rFonts w:ascii="Times New Roman" w:hAnsi="Times New Roman" w:cs="Times New Roman"/>
          <w:sz w:val="28"/>
          <w:szCs w:val="28"/>
          <w:lang w:val="en-GB"/>
        </w:rPr>
        <w:t xml:space="preserve">Unlike </w:t>
      </w:r>
      <w:r>
        <w:rPr>
          <w:rFonts w:ascii="Times New Roman" w:hAnsi="Times New Roman" w:cs="Times New Roman"/>
          <w:sz w:val="28"/>
          <w:szCs w:val="28"/>
          <w:lang w:val="en-GB"/>
        </w:rPr>
        <w:t xml:space="preserve">a chaotic battle or a murder scene, lanced combat implies symmetry, mutuality, and a timeframe. </w:t>
      </w:r>
      <w:r w:rsidR="00E64AED">
        <w:rPr>
          <w:rFonts w:ascii="Times New Roman" w:hAnsi="Times New Roman" w:cs="Times New Roman"/>
          <w:sz w:val="28"/>
          <w:szCs w:val="28"/>
          <w:lang w:val="en-GB"/>
        </w:rPr>
        <w:t>Opponents are equal, their movements mirror each other, and the outcome of their duel is already inscribed into the frame of the symbolic order. In this ‘Aurora Consurgens’ illustration</w:t>
      </w:r>
      <w:r w:rsidR="007717CC">
        <w:rPr>
          <w:rFonts w:ascii="Times New Roman" w:hAnsi="Times New Roman" w:cs="Times New Roman"/>
          <w:sz w:val="28"/>
          <w:szCs w:val="28"/>
          <w:lang w:val="en-GB"/>
        </w:rPr>
        <w:t xml:space="preserve">, these characteristics are transferred into an allegorical field: Sol and Luna are not the ethical opponents but equal forces whose encounter is crucial for the future transformation. </w:t>
      </w:r>
    </w:p>
    <w:p w14:paraId="05A97AAF" w14:textId="6F7F2CAB" w:rsidR="007717CC" w:rsidRDefault="007717CC" w:rsidP="00E47CBF">
      <w:pPr>
        <w:spacing w:line="360" w:lineRule="auto"/>
        <w:ind w:firstLine="720"/>
        <w:rPr>
          <w:rFonts w:ascii="Times New Roman" w:hAnsi="Times New Roman" w:cs="Times New Roman"/>
          <w:sz w:val="28"/>
          <w:szCs w:val="28"/>
          <w:lang w:val="en-GB"/>
        </w:rPr>
      </w:pPr>
      <w:r>
        <w:rPr>
          <w:rFonts w:ascii="Times New Roman" w:hAnsi="Times New Roman" w:cs="Times New Roman"/>
          <w:sz w:val="28"/>
          <w:szCs w:val="28"/>
          <w:lang w:val="en-GB"/>
        </w:rPr>
        <w:t xml:space="preserve">Thus, the visual code of a knightly duel allows the alchemical illustration to withhold the conflict, not diminishing it to destructive violence. Confrontation is not eliminated here but given a form – what fits the alchemical understanding of </w:t>
      </w:r>
      <w:r w:rsidR="00E52016">
        <w:rPr>
          <w:rFonts w:ascii="Times New Roman" w:hAnsi="Times New Roman" w:cs="Times New Roman"/>
          <w:sz w:val="28"/>
          <w:szCs w:val="28"/>
          <w:lang w:val="en-GB"/>
        </w:rPr>
        <w:t xml:space="preserve">contradiction as a productive state. In this sense, the joust </w:t>
      </w:r>
      <w:r w:rsidR="00E52016">
        <w:rPr>
          <w:rFonts w:ascii="Times New Roman" w:hAnsi="Times New Roman" w:cs="Times New Roman"/>
          <w:sz w:val="28"/>
          <w:szCs w:val="28"/>
          <w:lang w:val="en-GB"/>
        </w:rPr>
        <w:lastRenderedPageBreak/>
        <w:t xml:space="preserve">becomes a visual model of tense equilibrium, not a victory of one side over another. </w:t>
      </w:r>
    </w:p>
    <w:p w14:paraId="2276174B" w14:textId="798C55AD" w:rsidR="00E52016" w:rsidRDefault="00E52016" w:rsidP="00E52016">
      <w:pPr>
        <w:spacing w:line="36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Illustration as an </w:t>
      </w:r>
      <w:r w:rsidR="00FE70D1">
        <w:rPr>
          <w:rFonts w:ascii="Times New Roman" w:hAnsi="Times New Roman" w:cs="Times New Roman"/>
          <w:sz w:val="28"/>
          <w:szCs w:val="28"/>
          <w:lang w:val="en-GB"/>
        </w:rPr>
        <w:t>A</w:t>
      </w:r>
      <w:r>
        <w:rPr>
          <w:rFonts w:ascii="Times New Roman" w:hAnsi="Times New Roman" w:cs="Times New Roman"/>
          <w:sz w:val="28"/>
          <w:szCs w:val="28"/>
          <w:lang w:val="en-GB"/>
        </w:rPr>
        <w:t xml:space="preserve">utonomous </w:t>
      </w:r>
      <w:r w:rsidR="00FE70D1">
        <w:rPr>
          <w:rFonts w:ascii="Times New Roman" w:hAnsi="Times New Roman" w:cs="Times New Roman"/>
          <w:sz w:val="28"/>
          <w:szCs w:val="28"/>
          <w:lang w:val="en-GB"/>
        </w:rPr>
        <w:t>K</w:t>
      </w:r>
      <w:r>
        <w:rPr>
          <w:rFonts w:ascii="Times New Roman" w:hAnsi="Times New Roman" w:cs="Times New Roman"/>
          <w:sz w:val="28"/>
          <w:szCs w:val="28"/>
          <w:lang w:val="en-GB"/>
        </w:rPr>
        <w:t>nowledge</w:t>
      </w:r>
    </w:p>
    <w:p w14:paraId="3B268365" w14:textId="08F0FA7B" w:rsidR="00E52016" w:rsidRDefault="00E52016" w:rsidP="00E52016">
      <w:pPr>
        <w:spacing w:line="360" w:lineRule="auto"/>
        <w:rPr>
          <w:rFonts w:ascii="Times New Roman" w:hAnsi="Times New Roman" w:cs="Times New Roman"/>
          <w:sz w:val="28"/>
          <w:szCs w:val="28"/>
          <w:lang w:val="ru-RU"/>
        </w:rPr>
      </w:pPr>
      <w:r>
        <w:rPr>
          <w:rFonts w:ascii="Times New Roman" w:hAnsi="Times New Roman" w:cs="Times New Roman"/>
          <w:sz w:val="28"/>
          <w:szCs w:val="28"/>
          <w:lang w:val="en-GB"/>
        </w:rPr>
        <w:tab/>
      </w:r>
      <w:r w:rsidR="00C742E8">
        <w:rPr>
          <w:rFonts w:ascii="Times New Roman" w:hAnsi="Times New Roman" w:cs="Times New Roman"/>
          <w:sz w:val="28"/>
          <w:szCs w:val="28"/>
          <w:lang w:val="en-GB"/>
        </w:rPr>
        <w:t>Barbara Obrist highlights that the development of alchemical visuals in the late Middle Ages is connected to the shift in the status of an image as a medium of knowledge.</w:t>
      </w:r>
      <w:r w:rsidR="00C742E8">
        <w:rPr>
          <w:rStyle w:val="FootnoteReference"/>
          <w:rFonts w:ascii="Times New Roman" w:hAnsi="Times New Roman" w:cs="Times New Roman"/>
          <w:sz w:val="28"/>
          <w:szCs w:val="28"/>
          <w:lang w:val="en-GB"/>
        </w:rPr>
        <w:footnoteReference w:id="9"/>
      </w:r>
      <w:r w:rsidR="00C742E8">
        <w:rPr>
          <w:rFonts w:ascii="Times New Roman" w:hAnsi="Times New Roman" w:cs="Times New Roman"/>
          <w:sz w:val="28"/>
          <w:szCs w:val="28"/>
          <w:lang w:val="en-GB"/>
        </w:rPr>
        <w:t xml:space="preserve"> Illustrations are no longer auxiliary and begin to perform an independent cognitive function. In ‘Aurora Consurgens’</w:t>
      </w:r>
      <w:r w:rsidR="0087724E">
        <w:rPr>
          <w:rFonts w:ascii="Times New Roman" w:hAnsi="Times New Roman" w:cs="Times New Roman"/>
          <w:sz w:val="28"/>
          <w:szCs w:val="28"/>
          <w:lang w:val="en-GB"/>
        </w:rPr>
        <w:t>,</w:t>
      </w:r>
      <w:r w:rsidR="00C742E8">
        <w:rPr>
          <w:rFonts w:ascii="Times New Roman" w:hAnsi="Times New Roman" w:cs="Times New Roman"/>
          <w:sz w:val="28"/>
          <w:szCs w:val="28"/>
          <w:lang w:val="en-GB"/>
        </w:rPr>
        <w:t xml:space="preserve"> it is particularly notable: the visual cycle of the manuscript does not follow the linear logic of the text</w:t>
      </w:r>
      <w:r w:rsidR="0087724E">
        <w:rPr>
          <w:rFonts w:ascii="Times New Roman" w:hAnsi="Times New Roman" w:cs="Times New Roman"/>
          <w:sz w:val="28"/>
          <w:szCs w:val="28"/>
          <w:lang w:val="en-GB"/>
        </w:rPr>
        <w:t>. It cannot</w:t>
      </w:r>
      <w:r w:rsidR="00C742E8">
        <w:rPr>
          <w:rFonts w:ascii="Times New Roman" w:hAnsi="Times New Roman" w:cs="Times New Roman"/>
          <w:sz w:val="28"/>
          <w:szCs w:val="28"/>
          <w:lang w:val="en-GB"/>
        </w:rPr>
        <w:t xml:space="preserve"> be transferred back to the verbal form without losing its semantic density.</w:t>
      </w:r>
      <w:r w:rsidR="0087724E">
        <w:rPr>
          <w:rStyle w:val="FootnoteReference"/>
          <w:rFonts w:ascii="Times New Roman" w:hAnsi="Times New Roman" w:cs="Times New Roman"/>
          <w:sz w:val="28"/>
          <w:szCs w:val="28"/>
          <w:lang w:val="en-GB"/>
        </w:rPr>
        <w:footnoteReference w:id="10"/>
      </w:r>
      <w:r w:rsidR="00C742E8">
        <w:rPr>
          <w:rFonts w:ascii="Times New Roman" w:hAnsi="Times New Roman" w:cs="Times New Roman"/>
          <w:sz w:val="28"/>
          <w:szCs w:val="28"/>
          <w:lang w:val="en-GB"/>
        </w:rPr>
        <w:t xml:space="preserve"> </w:t>
      </w:r>
    </w:p>
    <w:p w14:paraId="0A230453" w14:textId="08A5BC21" w:rsidR="0087724E" w:rsidRDefault="0087724E" w:rsidP="00E52016">
      <w:pPr>
        <w:spacing w:line="360" w:lineRule="auto"/>
        <w:rPr>
          <w:rFonts w:ascii="Times New Roman" w:hAnsi="Times New Roman" w:cs="Times New Roman"/>
          <w:sz w:val="28"/>
          <w:szCs w:val="28"/>
          <w:lang w:val="en-FI"/>
        </w:rPr>
      </w:pPr>
      <w:r>
        <w:rPr>
          <w:rFonts w:ascii="Times New Roman" w:hAnsi="Times New Roman" w:cs="Times New Roman"/>
          <w:sz w:val="28"/>
          <w:szCs w:val="28"/>
          <w:lang w:val="ru-RU"/>
        </w:rPr>
        <w:tab/>
      </w:r>
      <w:r w:rsidR="00CA00FD">
        <w:rPr>
          <w:rFonts w:ascii="Times New Roman" w:hAnsi="Times New Roman" w:cs="Times New Roman"/>
          <w:sz w:val="28"/>
          <w:szCs w:val="28"/>
          <w:lang w:val="en-FI"/>
        </w:rPr>
        <w:t>This scene exists exactly like such an autonomous visual structure. It does not explain the alchemical process but constructs a space where a viewer confronts the opposites demonstrably. In this context, it is essential to note a medium of illuminated manuscript, which implies individual, slow, and repetitive reading. The viewer returns to the image, correlating it with the text, but gets no final interpretation.</w:t>
      </w:r>
    </w:p>
    <w:p w14:paraId="7AD51E2C" w14:textId="79CEA6EC" w:rsidR="00CA00FD" w:rsidRDefault="00CA00FD" w:rsidP="00E52016">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 xml:space="preserve">Persis Berlekamp </w:t>
      </w:r>
      <w:r w:rsidR="008F6709">
        <w:rPr>
          <w:rFonts w:ascii="Times New Roman" w:hAnsi="Times New Roman" w:cs="Times New Roman"/>
          <w:sz w:val="28"/>
          <w:szCs w:val="28"/>
          <w:lang w:val="en-FI"/>
        </w:rPr>
        <w:t>views such images as forms of visual argumentation, whose purpose is not to prove but to persuade. An alchemical miniature does not logically assert the veracity of the doctrine but creates a visual structure in which the conjunction of opposites is experienced as essential.</w:t>
      </w:r>
      <w:r w:rsidR="008F6709">
        <w:rPr>
          <w:rStyle w:val="FootnoteReference"/>
          <w:rFonts w:ascii="Times New Roman" w:hAnsi="Times New Roman" w:cs="Times New Roman"/>
          <w:sz w:val="28"/>
          <w:szCs w:val="28"/>
          <w:lang w:val="en-FI"/>
        </w:rPr>
        <w:footnoteReference w:id="11"/>
      </w:r>
      <w:r w:rsidR="008F6709">
        <w:rPr>
          <w:rFonts w:ascii="Times New Roman" w:hAnsi="Times New Roman" w:cs="Times New Roman"/>
          <w:sz w:val="28"/>
          <w:szCs w:val="28"/>
          <w:lang w:val="en-FI"/>
        </w:rPr>
        <w:t xml:space="preserve"> In </w:t>
      </w:r>
      <w:r w:rsidR="00BD64B5">
        <w:rPr>
          <w:rFonts w:ascii="Times New Roman" w:hAnsi="Times New Roman" w:cs="Times New Roman"/>
          <w:sz w:val="28"/>
          <w:szCs w:val="28"/>
          <w:lang w:val="en-FI"/>
        </w:rPr>
        <w:t xml:space="preserve">the case of </w:t>
      </w:r>
      <w:r w:rsidR="00BD64B5">
        <w:rPr>
          <w:rFonts w:ascii="Times New Roman" w:hAnsi="Times New Roman" w:cs="Times New Roman"/>
          <w:sz w:val="28"/>
          <w:szCs w:val="28"/>
          <w:lang w:val="en-FI"/>
        </w:rPr>
        <w:lastRenderedPageBreak/>
        <w:t xml:space="preserve">the duel of Sol and Luna, it is achieved through corporeality, movement and tension of the scene. </w:t>
      </w:r>
    </w:p>
    <w:p w14:paraId="7C82EE61" w14:textId="43DA7F76" w:rsidR="00BD64B5" w:rsidRDefault="00BD64B5" w:rsidP="00E52016">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Thus, illustration does not</w:t>
      </w:r>
      <w:r w:rsidRPr="00BD64B5">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merely convey </w:t>
      </w:r>
      <w:r>
        <w:rPr>
          <w:rFonts w:ascii="Times New Roman" w:hAnsi="Times New Roman" w:cs="Times New Roman"/>
          <w:sz w:val="28"/>
          <w:szCs w:val="28"/>
          <w:lang w:val="en-FI"/>
        </w:rPr>
        <w:t xml:space="preserve">information; it reshapes the way one thinks. It trains the ability to withhold from a conflict without resolving it prematurely – a crucial skill for both alchemical and analytical thinking. </w:t>
      </w:r>
    </w:p>
    <w:p w14:paraId="287DF790" w14:textId="3BEDEF7C" w:rsidR="00416ADB" w:rsidRDefault="00416ADB" w:rsidP="00416ADB">
      <w:pPr>
        <w:spacing w:line="360" w:lineRule="auto"/>
        <w:jc w:val="center"/>
        <w:rPr>
          <w:rFonts w:ascii="Times New Roman" w:hAnsi="Times New Roman" w:cs="Times New Roman"/>
          <w:sz w:val="28"/>
          <w:szCs w:val="28"/>
          <w:lang w:val="en-FI"/>
        </w:rPr>
      </w:pPr>
      <w:r>
        <w:rPr>
          <w:rFonts w:ascii="Times New Roman" w:hAnsi="Times New Roman" w:cs="Times New Roman"/>
          <w:sz w:val="28"/>
          <w:szCs w:val="28"/>
          <w:lang w:val="en-FI"/>
        </w:rPr>
        <w:t xml:space="preserve">Jungian </w:t>
      </w:r>
      <w:r w:rsidR="00FE70D1">
        <w:rPr>
          <w:rFonts w:ascii="Times New Roman" w:hAnsi="Times New Roman" w:cs="Times New Roman"/>
          <w:sz w:val="28"/>
          <w:szCs w:val="28"/>
          <w:lang w:val="en-FI"/>
        </w:rPr>
        <w:t>I</w:t>
      </w:r>
      <w:r>
        <w:rPr>
          <w:rFonts w:ascii="Times New Roman" w:hAnsi="Times New Roman" w:cs="Times New Roman"/>
          <w:sz w:val="28"/>
          <w:szCs w:val="28"/>
          <w:lang w:val="en-FI"/>
        </w:rPr>
        <w:t>nterpretation</w:t>
      </w:r>
    </w:p>
    <w:p w14:paraId="632DEADE" w14:textId="7D99AA2A" w:rsidR="00416ADB" w:rsidRDefault="00416ADB" w:rsidP="00416ADB">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 xml:space="preserve">In the analytical psychology of Carl Jung, </w:t>
      </w:r>
      <w:r w:rsidRPr="00416ADB">
        <w:rPr>
          <w:rFonts w:ascii="Times New Roman" w:hAnsi="Times New Roman" w:cs="Times New Roman"/>
          <w:i/>
          <w:iCs/>
          <w:sz w:val="28"/>
          <w:szCs w:val="28"/>
          <w:lang w:val="en-FI"/>
        </w:rPr>
        <w:t>coniunctio</w:t>
      </w:r>
      <w:r>
        <w:rPr>
          <w:rFonts w:ascii="Times New Roman" w:hAnsi="Times New Roman" w:cs="Times New Roman"/>
          <w:sz w:val="28"/>
          <w:szCs w:val="28"/>
          <w:lang w:val="en-FI"/>
        </w:rPr>
        <w:t xml:space="preserve"> is viewed as a sym</w:t>
      </w:r>
      <w:r w:rsidR="00455E98">
        <w:rPr>
          <w:rFonts w:ascii="Times New Roman" w:hAnsi="Times New Roman" w:cs="Times New Roman"/>
          <w:sz w:val="28"/>
          <w:szCs w:val="28"/>
          <w:lang w:val="en-FI"/>
        </w:rPr>
        <w:t>bolic expression of the individuation process – the formation of an integral psychological structure, in which the opposite aspects of personality co-integrate rather than being suppressed. He also highlights that Sol and Luna symbolise a fundamental polarity between the conscious and the unconscious, and that their interaction reflects the dynamics of psychological transformation.</w:t>
      </w:r>
      <w:r w:rsidR="00455E98">
        <w:rPr>
          <w:rStyle w:val="FootnoteReference"/>
          <w:rFonts w:ascii="Times New Roman" w:hAnsi="Times New Roman" w:cs="Times New Roman"/>
          <w:sz w:val="28"/>
          <w:szCs w:val="28"/>
          <w:lang w:val="en-FI"/>
        </w:rPr>
        <w:footnoteReference w:id="12"/>
      </w:r>
      <w:r w:rsidR="00455E98">
        <w:rPr>
          <w:rFonts w:ascii="Times New Roman" w:hAnsi="Times New Roman" w:cs="Times New Roman"/>
          <w:sz w:val="28"/>
          <w:szCs w:val="28"/>
          <w:lang w:val="en-FI"/>
        </w:rPr>
        <w:t xml:space="preserve"> </w:t>
      </w:r>
    </w:p>
    <w:p w14:paraId="226BF0C9" w14:textId="69EF5D74" w:rsidR="00455E98" w:rsidRDefault="00455E98" w:rsidP="00416ADB">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Conjunction is seldom depicted as a peaceful integration; conversely, it is accompanied by images of conflict, violence, death, and putrefaction.</w:t>
      </w:r>
      <w:r w:rsidR="00C76371">
        <w:rPr>
          <w:rStyle w:val="FootnoteReference"/>
          <w:rFonts w:ascii="Times New Roman" w:hAnsi="Times New Roman" w:cs="Times New Roman"/>
          <w:sz w:val="28"/>
          <w:szCs w:val="28"/>
          <w:lang w:val="en-FI"/>
        </w:rPr>
        <w:footnoteReference w:id="13"/>
      </w:r>
      <w:r>
        <w:rPr>
          <w:rFonts w:ascii="Times New Roman" w:hAnsi="Times New Roman" w:cs="Times New Roman"/>
          <w:sz w:val="28"/>
          <w:szCs w:val="28"/>
          <w:lang w:val="en-FI"/>
        </w:rPr>
        <w:t xml:space="preserve">  </w:t>
      </w:r>
      <w:r w:rsidR="00C76371">
        <w:rPr>
          <w:rFonts w:ascii="Times New Roman" w:hAnsi="Times New Roman" w:cs="Times New Roman"/>
          <w:sz w:val="28"/>
          <w:szCs w:val="28"/>
          <w:lang w:val="en-FI"/>
        </w:rPr>
        <w:t xml:space="preserve">It is related to the fact that the union of opposites demands the destruction of previous identifications and the renunciation of unilateral positions. </w:t>
      </w:r>
    </w:p>
    <w:p w14:paraId="705F177F" w14:textId="18F1EB51" w:rsidR="00DD3E3F" w:rsidRDefault="00DD3E3F" w:rsidP="00416ADB">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The joust scene visualises this process with exquisite accuracy. Combat represents a borderline collision in which each side must face what the other is. At the same time, each figure already bears a symbol of their rival, which corresponds to Jung's thesis of the mutual interiorisation of the opposites.</w:t>
      </w:r>
      <w:r w:rsidR="00CF2414">
        <w:rPr>
          <w:rStyle w:val="FootnoteReference"/>
          <w:rFonts w:ascii="Times New Roman" w:hAnsi="Times New Roman" w:cs="Times New Roman"/>
          <w:sz w:val="28"/>
          <w:szCs w:val="28"/>
          <w:lang w:val="en-FI"/>
        </w:rPr>
        <w:footnoteReference w:id="14"/>
      </w:r>
      <w:r>
        <w:rPr>
          <w:rFonts w:ascii="Times New Roman" w:hAnsi="Times New Roman" w:cs="Times New Roman"/>
          <w:sz w:val="28"/>
          <w:szCs w:val="28"/>
          <w:lang w:val="en-FI"/>
        </w:rPr>
        <w:t xml:space="preserve"> In the context of psychoanalysis</w:t>
      </w:r>
      <w:r w:rsidR="00983A3A">
        <w:rPr>
          <w:rFonts w:ascii="Times New Roman" w:hAnsi="Times New Roman" w:cs="Times New Roman"/>
          <w:sz w:val="28"/>
          <w:szCs w:val="28"/>
          <w:lang w:val="en-FI"/>
        </w:rPr>
        <w:t xml:space="preserve">, this means that the Conscious already contains elements of the Unconscious, and vice versa. </w:t>
      </w:r>
    </w:p>
    <w:p w14:paraId="7F261CD7" w14:textId="575AB0F7" w:rsidR="00983A3A" w:rsidRDefault="00983A3A" w:rsidP="00416ADB">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lastRenderedPageBreak/>
        <w:tab/>
        <w:t xml:space="preserve">It is important to </w:t>
      </w:r>
      <w:r w:rsidR="002338F1">
        <w:rPr>
          <w:rFonts w:ascii="Times New Roman" w:hAnsi="Times New Roman" w:cs="Times New Roman"/>
          <w:sz w:val="28"/>
          <w:szCs w:val="28"/>
          <w:lang w:val="en-FI"/>
        </w:rPr>
        <w:t>note that, from the Jungian perspective, coniunctio does not eliminate conflict but rather elevates</w:t>
      </w:r>
      <w:r>
        <w:rPr>
          <w:rFonts w:ascii="Times New Roman" w:hAnsi="Times New Roman" w:cs="Times New Roman"/>
          <w:sz w:val="28"/>
          <w:szCs w:val="28"/>
          <w:lang w:val="en-FI"/>
        </w:rPr>
        <w:t xml:space="preserve"> it to another level. Integrity does not equal harmony in the banal sense but implies the ability of a subject to sustain inner tension.</w:t>
      </w:r>
      <w:r w:rsidR="00CF2414">
        <w:rPr>
          <w:rStyle w:val="FootnoteReference"/>
          <w:rFonts w:ascii="Times New Roman" w:hAnsi="Times New Roman" w:cs="Times New Roman"/>
          <w:sz w:val="28"/>
          <w:szCs w:val="28"/>
          <w:lang w:val="en-FI"/>
        </w:rPr>
        <w:footnoteReference w:id="15"/>
      </w:r>
      <w:r>
        <w:rPr>
          <w:rFonts w:ascii="Times New Roman" w:hAnsi="Times New Roman" w:cs="Times New Roman"/>
          <w:sz w:val="28"/>
          <w:szCs w:val="28"/>
          <w:lang w:val="en-FI"/>
        </w:rPr>
        <w:t xml:space="preserve"> In this context, the image of the joust can be interpreted as a visual model of psychological maturity, in which the opposing tendencies are not suppressed but retained in a symbolic field. </w:t>
      </w:r>
    </w:p>
    <w:p w14:paraId="26B01DD6" w14:textId="66535EC3" w:rsidR="00983A3A" w:rsidRDefault="00983A3A" w:rsidP="00983A3A">
      <w:pPr>
        <w:spacing w:line="36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t>Conclusion</w:t>
      </w:r>
    </w:p>
    <w:p w14:paraId="41829404" w14:textId="56E4E14F" w:rsidR="00983A3A" w:rsidRDefault="002338F1" w:rsidP="00983A3A">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 xml:space="preserve">The scene of a lance combat between the Sun and the Moon in ‘Aurora Consurgens’ is a complex visual construction </w:t>
      </w:r>
      <w:r w:rsidR="00CF2414">
        <w:rPr>
          <w:rFonts w:ascii="Times New Roman" w:hAnsi="Times New Roman" w:cs="Times New Roman"/>
          <w:sz w:val="28"/>
          <w:szCs w:val="28"/>
          <w:lang w:val="en-FI"/>
        </w:rPr>
        <w:t xml:space="preserve">in which the alchemical, psychological, and theological systems collide in a single image. The form of chivalric joust allows for the expression of the conflict of opposites as a ritualised and productive tension, required for a transformation. </w:t>
      </w:r>
    </w:p>
    <w:p w14:paraId="3D976AFD" w14:textId="1CF4E671" w:rsidR="00CF2414" w:rsidRDefault="00CF2414" w:rsidP="00983A3A">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 xml:space="preserve">Viewing this illustration in the context of </w:t>
      </w:r>
      <w:r w:rsidR="004D54B2">
        <w:rPr>
          <w:rFonts w:ascii="Times New Roman" w:hAnsi="Times New Roman" w:cs="Times New Roman"/>
          <w:sz w:val="28"/>
          <w:szCs w:val="28"/>
          <w:lang w:val="en-FI"/>
        </w:rPr>
        <w:t>the visual culture of illuminated manuscripts</w:t>
      </w:r>
      <w:r w:rsidR="004D54B2">
        <w:rPr>
          <w:rFonts w:ascii="Times New Roman" w:hAnsi="Times New Roman" w:cs="Times New Roman"/>
          <w:sz w:val="28"/>
          <w:szCs w:val="28"/>
          <w:lang w:val="en-FI"/>
        </w:rPr>
        <w:t xml:space="preserve"> reveals </w:t>
      </w:r>
      <w:r w:rsidR="004D54B2">
        <w:rPr>
          <w:rFonts w:ascii="Times New Roman" w:hAnsi="Times New Roman" w:cs="Times New Roman"/>
          <w:sz w:val="28"/>
          <w:szCs w:val="28"/>
          <w:lang w:val="en-FI"/>
        </w:rPr>
        <w:t xml:space="preserve">that it functions as autonomous knowledge addressed to the subject of perception. </w:t>
      </w:r>
      <w:r w:rsidR="00FE70D1">
        <w:rPr>
          <w:rFonts w:ascii="Times New Roman" w:hAnsi="Times New Roman" w:cs="Times New Roman"/>
          <w:sz w:val="28"/>
          <w:szCs w:val="28"/>
          <w:lang w:val="en-FI"/>
        </w:rPr>
        <w:t xml:space="preserve">Jungian interpretation allows us to articulate the internal structure of this knowledge as a model of psychological integrity, achieved through the retention of opposites.  </w:t>
      </w:r>
    </w:p>
    <w:p w14:paraId="7FD0B3A9" w14:textId="1D6F512A" w:rsidR="00FE70D1" w:rsidRDefault="00FE70D1" w:rsidP="00983A3A">
      <w:pPr>
        <w:spacing w:line="360" w:lineRule="auto"/>
        <w:rPr>
          <w:rFonts w:ascii="Times New Roman" w:hAnsi="Times New Roman" w:cs="Times New Roman"/>
          <w:sz w:val="28"/>
          <w:szCs w:val="28"/>
          <w:lang w:val="en-FI"/>
        </w:rPr>
      </w:pPr>
      <w:r>
        <w:rPr>
          <w:rFonts w:ascii="Times New Roman" w:hAnsi="Times New Roman" w:cs="Times New Roman"/>
          <w:sz w:val="28"/>
          <w:szCs w:val="28"/>
          <w:lang w:val="en-FI"/>
        </w:rPr>
        <w:tab/>
        <w:t xml:space="preserve">Thus, the importance of the scene goes beyond historical analysis of the alchemy. It represents a visual definition of a universal question about the possibility of the conjunction of the contrary aspects of experience – a question that remains open both for the history of culture and for the modern understanding of subjectivity. </w:t>
      </w:r>
    </w:p>
    <w:p w14:paraId="06EE505E" w14:textId="69E274DE" w:rsidR="00FE70D1" w:rsidRDefault="00FE70D1" w:rsidP="00983A3A">
      <w:pPr>
        <w:spacing w:line="360" w:lineRule="auto"/>
        <w:rPr>
          <w:rFonts w:ascii="Times New Roman" w:hAnsi="Times New Roman" w:cs="Times New Roman"/>
          <w:sz w:val="28"/>
          <w:szCs w:val="28"/>
          <w:lang w:val="en-GB"/>
        </w:rPr>
      </w:pPr>
    </w:p>
    <w:p w14:paraId="3640737B" w14:textId="77777777" w:rsidR="000A0DD6" w:rsidRDefault="000A0DD6" w:rsidP="00983A3A">
      <w:pPr>
        <w:spacing w:line="360" w:lineRule="auto"/>
        <w:rPr>
          <w:rFonts w:ascii="Times New Roman" w:hAnsi="Times New Roman" w:cs="Times New Roman"/>
          <w:sz w:val="28"/>
          <w:szCs w:val="28"/>
          <w:lang w:val="en-GB"/>
        </w:rPr>
      </w:pPr>
    </w:p>
    <w:p w14:paraId="0E5AB8FB" w14:textId="77777777" w:rsidR="000A0DD6" w:rsidRPr="000A0DD6" w:rsidRDefault="000A0DD6" w:rsidP="00983A3A">
      <w:pPr>
        <w:spacing w:line="360" w:lineRule="auto"/>
        <w:rPr>
          <w:rFonts w:ascii="Times New Roman" w:hAnsi="Times New Roman" w:cs="Times New Roman"/>
          <w:sz w:val="28"/>
          <w:szCs w:val="28"/>
          <w:lang w:val="en-GB"/>
        </w:rPr>
      </w:pPr>
    </w:p>
    <w:p w14:paraId="44D309AA" w14:textId="13D23A27" w:rsidR="00D541F2" w:rsidRPr="00D541F2" w:rsidRDefault="00FE70D1" w:rsidP="00D541F2">
      <w:pPr>
        <w:spacing w:line="360" w:lineRule="auto"/>
        <w:jc w:val="center"/>
        <w:rPr>
          <w:rFonts w:ascii="Times New Roman" w:hAnsi="Times New Roman" w:cs="Times New Roman"/>
          <w:sz w:val="28"/>
          <w:szCs w:val="28"/>
          <w:lang w:val="en-GB"/>
        </w:rPr>
      </w:pPr>
      <w:r w:rsidRPr="00D541F2">
        <w:rPr>
          <w:rFonts w:ascii="Times New Roman" w:hAnsi="Times New Roman" w:cs="Times New Roman"/>
          <w:sz w:val="28"/>
          <w:szCs w:val="28"/>
          <w:lang w:val="en-GB"/>
        </w:rPr>
        <w:lastRenderedPageBreak/>
        <w:t>Reference List</w:t>
      </w:r>
    </w:p>
    <w:p w14:paraId="6F26A089" w14:textId="77777777" w:rsidR="00D541F2" w:rsidRPr="00D541F2" w:rsidRDefault="00D541F2" w:rsidP="00D541F2">
      <w:pPr>
        <w:pStyle w:val="FootnoteText"/>
        <w:spacing w:line="360" w:lineRule="auto"/>
        <w:ind w:left="720" w:hanging="720"/>
        <w:rPr>
          <w:rFonts w:ascii="Times New Roman" w:hAnsi="Times New Roman" w:cs="Times New Roman"/>
          <w:sz w:val="28"/>
          <w:szCs w:val="28"/>
        </w:rPr>
      </w:pPr>
      <w:r w:rsidRPr="00D541F2">
        <w:rPr>
          <w:rFonts w:ascii="Times New Roman" w:hAnsi="Times New Roman" w:cs="Times New Roman"/>
          <w:sz w:val="28"/>
          <w:szCs w:val="28"/>
        </w:rPr>
        <w:t>Berlekamp</w:t>
      </w:r>
      <w:r>
        <w:rPr>
          <w:rFonts w:ascii="Times New Roman" w:hAnsi="Times New Roman" w:cs="Times New Roman"/>
          <w:sz w:val="28"/>
          <w:szCs w:val="28"/>
        </w:rPr>
        <w:t>,</w:t>
      </w:r>
      <w:r w:rsidRPr="00D541F2">
        <w:rPr>
          <w:rFonts w:ascii="Times New Roman" w:hAnsi="Times New Roman" w:cs="Times New Roman"/>
          <w:sz w:val="28"/>
          <w:szCs w:val="28"/>
        </w:rPr>
        <w:t xml:space="preserve"> </w:t>
      </w:r>
      <w:r w:rsidRPr="00D541F2">
        <w:rPr>
          <w:rFonts w:ascii="Times New Roman" w:hAnsi="Times New Roman" w:cs="Times New Roman"/>
          <w:sz w:val="28"/>
          <w:szCs w:val="28"/>
        </w:rPr>
        <w:t xml:space="preserve">Persis, ‘Painting as Persuasion: A Visual </w:t>
      </w:r>
      <w:proofErr w:type="spellStart"/>
      <w:r w:rsidRPr="00D541F2">
        <w:rPr>
          <w:rFonts w:ascii="Times New Roman" w:hAnsi="Times New Roman" w:cs="Times New Roman"/>
          <w:sz w:val="28"/>
          <w:szCs w:val="28"/>
        </w:rPr>
        <w:t>Defense</w:t>
      </w:r>
      <w:proofErr w:type="spellEnd"/>
      <w:r w:rsidRPr="00D541F2">
        <w:rPr>
          <w:rFonts w:ascii="Times New Roman" w:hAnsi="Times New Roman" w:cs="Times New Roman"/>
          <w:sz w:val="28"/>
          <w:szCs w:val="28"/>
        </w:rPr>
        <w:t xml:space="preserve"> of Alchemy in an Islamic Manuscript of the Mongol Period’, </w:t>
      </w:r>
      <w:r w:rsidRPr="00D541F2">
        <w:rPr>
          <w:rFonts w:ascii="Times New Roman" w:hAnsi="Times New Roman" w:cs="Times New Roman"/>
          <w:i/>
          <w:iCs/>
          <w:sz w:val="28"/>
          <w:szCs w:val="28"/>
        </w:rPr>
        <w:t xml:space="preserve">Muqarnas, </w:t>
      </w:r>
      <w:r w:rsidRPr="00D541F2">
        <w:rPr>
          <w:rFonts w:ascii="Times New Roman" w:hAnsi="Times New Roman" w:cs="Times New Roman"/>
          <w:sz w:val="28"/>
          <w:szCs w:val="28"/>
        </w:rPr>
        <w:t>Vol. 20, (2003)</w:t>
      </w:r>
      <w:r>
        <w:rPr>
          <w:rFonts w:ascii="Times New Roman" w:hAnsi="Times New Roman" w:cs="Times New Roman"/>
          <w:sz w:val="28"/>
          <w:szCs w:val="28"/>
        </w:rPr>
        <w:t xml:space="preserve"> </w:t>
      </w:r>
      <w:r w:rsidRPr="00D541F2">
        <w:rPr>
          <w:rFonts w:ascii="Times New Roman" w:hAnsi="Times New Roman" w:cs="Times New Roman"/>
          <w:sz w:val="28"/>
          <w:szCs w:val="28"/>
        </w:rPr>
        <w:t>&lt;https://www.jstor.org/stable/1523326&gt; [accessed 23.12.2025].</w:t>
      </w:r>
    </w:p>
    <w:p w14:paraId="37E9A98C" w14:textId="77777777" w:rsidR="00D541F2" w:rsidRPr="00D541F2" w:rsidRDefault="00D541F2" w:rsidP="00D541F2">
      <w:pPr>
        <w:pStyle w:val="FootnoteText"/>
        <w:spacing w:line="360" w:lineRule="auto"/>
        <w:ind w:left="720" w:hanging="720"/>
        <w:rPr>
          <w:sz w:val="28"/>
          <w:szCs w:val="28"/>
          <w:lang w:val="en-GB"/>
        </w:rPr>
      </w:pPr>
      <w:r w:rsidRPr="00D541F2">
        <w:rPr>
          <w:rFonts w:ascii="Times New Roman" w:hAnsi="Times New Roman" w:cs="Times New Roman"/>
          <w:sz w:val="28"/>
          <w:szCs w:val="28"/>
        </w:rPr>
        <w:t>Jung,</w:t>
      </w:r>
      <w:r>
        <w:rPr>
          <w:rFonts w:ascii="Times New Roman" w:hAnsi="Times New Roman" w:cs="Times New Roman"/>
          <w:sz w:val="28"/>
          <w:szCs w:val="28"/>
        </w:rPr>
        <w:t xml:space="preserve"> </w:t>
      </w:r>
      <w:r w:rsidRPr="00D541F2">
        <w:rPr>
          <w:rFonts w:ascii="Times New Roman" w:hAnsi="Times New Roman" w:cs="Times New Roman"/>
          <w:sz w:val="28"/>
          <w:szCs w:val="28"/>
        </w:rPr>
        <w:t>Carl G.</w:t>
      </w:r>
      <w:r>
        <w:rPr>
          <w:rFonts w:ascii="Times New Roman" w:hAnsi="Times New Roman" w:cs="Times New Roman"/>
          <w:sz w:val="28"/>
          <w:szCs w:val="28"/>
        </w:rPr>
        <w:t>,</w:t>
      </w:r>
      <w:r w:rsidRPr="00D541F2">
        <w:rPr>
          <w:rFonts w:ascii="Times New Roman" w:hAnsi="Times New Roman" w:cs="Times New Roman"/>
          <w:sz w:val="28"/>
          <w:szCs w:val="28"/>
        </w:rPr>
        <w:t xml:space="preserve"> ‘Mysterium </w:t>
      </w:r>
      <w:proofErr w:type="spellStart"/>
      <w:r w:rsidRPr="00D541F2">
        <w:rPr>
          <w:rFonts w:ascii="Times New Roman" w:hAnsi="Times New Roman" w:cs="Times New Roman"/>
          <w:sz w:val="28"/>
          <w:szCs w:val="28"/>
        </w:rPr>
        <w:t>Coniunctionis</w:t>
      </w:r>
      <w:proofErr w:type="spellEnd"/>
      <w:r w:rsidRPr="00D541F2">
        <w:rPr>
          <w:rFonts w:ascii="Times New Roman" w:hAnsi="Times New Roman" w:cs="Times New Roman"/>
          <w:sz w:val="28"/>
          <w:szCs w:val="28"/>
        </w:rPr>
        <w:t xml:space="preserve">. An Inquiry into the Separation and Synthesis of Psychic Opposites in Alchemy’, ed. by Sir Herbert Read, Michael Fordham, Gerhard Adler and William </w:t>
      </w:r>
      <w:proofErr w:type="spellStart"/>
      <w:r w:rsidRPr="00D541F2">
        <w:rPr>
          <w:rFonts w:ascii="Times New Roman" w:hAnsi="Times New Roman" w:cs="Times New Roman"/>
          <w:sz w:val="28"/>
          <w:szCs w:val="28"/>
        </w:rPr>
        <w:t>Mcguire</w:t>
      </w:r>
      <w:proofErr w:type="spellEnd"/>
      <w:r w:rsidRPr="00D541F2">
        <w:rPr>
          <w:rFonts w:ascii="Times New Roman" w:hAnsi="Times New Roman" w:cs="Times New Roman"/>
          <w:sz w:val="28"/>
          <w:szCs w:val="28"/>
        </w:rPr>
        <w:t xml:space="preserve">, trans. by R.F.C. Hull, 2nd </w:t>
      </w:r>
      <w:proofErr w:type="spellStart"/>
      <w:r w:rsidRPr="00D541F2">
        <w:rPr>
          <w:rFonts w:ascii="Times New Roman" w:hAnsi="Times New Roman" w:cs="Times New Roman"/>
          <w:sz w:val="28"/>
          <w:szCs w:val="28"/>
        </w:rPr>
        <w:t>edn</w:t>
      </w:r>
      <w:proofErr w:type="spellEnd"/>
      <w:r w:rsidRPr="00D541F2">
        <w:rPr>
          <w:rFonts w:ascii="Times New Roman" w:hAnsi="Times New Roman" w:cs="Times New Roman"/>
          <w:sz w:val="28"/>
          <w:szCs w:val="28"/>
        </w:rPr>
        <w:t xml:space="preserve"> (Princeton University, 1970)</w:t>
      </w:r>
      <w:r>
        <w:rPr>
          <w:rFonts w:ascii="Times New Roman" w:hAnsi="Times New Roman" w:cs="Times New Roman"/>
          <w:sz w:val="28"/>
          <w:szCs w:val="28"/>
        </w:rPr>
        <w:t xml:space="preserve"> </w:t>
      </w:r>
      <w:r w:rsidRPr="00D541F2">
        <w:rPr>
          <w:rFonts w:ascii="Times New Roman" w:hAnsi="Times New Roman" w:cs="Times New Roman"/>
          <w:sz w:val="28"/>
          <w:szCs w:val="28"/>
        </w:rPr>
        <w:t>&lt;https://jungiancenter.org/wp-content/uploads/2023/09/vol-14-Mysterium-Coniunctionis-by-C-G-Jung.pdf&gt; [accessed 23.12.2025].</w:t>
      </w:r>
    </w:p>
    <w:p w14:paraId="1A1A2A6A" w14:textId="77777777" w:rsidR="00D541F2" w:rsidRPr="00D541F2" w:rsidRDefault="00D541F2" w:rsidP="00D541F2">
      <w:pPr>
        <w:spacing w:line="360" w:lineRule="auto"/>
        <w:ind w:left="720" w:hanging="720"/>
        <w:rPr>
          <w:rFonts w:ascii="Times New Roman" w:hAnsi="Times New Roman" w:cs="Times New Roman"/>
          <w:sz w:val="28"/>
          <w:szCs w:val="28"/>
        </w:rPr>
      </w:pPr>
      <w:r w:rsidRPr="00D541F2">
        <w:rPr>
          <w:rFonts w:ascii="Times New Roman" w:hAnsi="Times New Roman" w:cs="Times New Roman"/>
          <w:sz w:val="28"/>
          <w:szCs w:val="28"/>
        </w:rPr>
        <w:t>Jung</w:t>
      </w:r>
      <w:r>
        <w:rPr>
          <w:rFonts w:ascii="Times New Roman" w:hAnsi="Times New Roman" w:cs="Times New Roman"/>
          <w:sz w:val="28"/>
          <w:szCs w:val="28"/>
        </w:rPr>
        <w:t>,</w:t>
      </w:r>
      <w:r w:rsidRPr="00D541F2">
        <w:rPr>
          <w:rFonts w:ascii="Times New Roman" w:hAnsi="Times New Roman" w:cs="Times New Roman"/>
          <w:sz w:val="28"/>
          <w:szCs w:val="28"/>
        </w:rPr>
        <w:t xml:space="preserve"> </w:t>
      </w:r>
      <w:r w:rsidRPr="00D541F2">
        <w:rPr>
          <w:rFonts w:ascii="Times New Roman" w:hAnsi="Times New Roman" w:cs="Times New Roman"/>
          <w:sz w:val="28"/>
          <w:szCs w:val="28"/>
        </w:rPr>
        <w:t xml:space="preserve">Carl G., ‘Psychology and Alchemy’, ed. by Sir Herbert Read, Michael Fordham, Gerhard Adler and William </w:t>
      </w:r>
      <w:proofErr w:type="spellStart"/>
      <w:r w:rsidRPr="00D541F2">
        <w:rPr>
          <w:rFonts w:ascii="Times New Roman" w:hAnsi="Times New Roman" w:cs="Times New Roman"/>
          <w:sz w:val="28"/>
          <w:szCs w:val="28"/>
        </w:rPr>
        <w:t>Mcguire</w:t>
      </w:r>
      <w:proofErr w:type="spellEnd"/>
      <w:r w:rsidRPr="00D541F2">
        <w:rPr>
          <w:rFonts w:ascii="Times New Roman" w:hAnsi="Times New Roman" w:cs="Times New Roman"/>
          <w:sz w:val="28"/>
          <w:szCs w:val="28"/>
        </w:rPr>
        <w:t xml:space="preserve">, trans. by R.F.C. Hull, 2nd </w:t>
      </w:r>
      <w:proofErr w:type="spellStart"/>
      <w:r w:rsidRPr="00D541F2">
        <w:rPr>
          <w:rFonts w:ascii="Times New Roman" w:hAnsi="Times New Roman" w:cs="Times New Roman"/>
          <w:sz w:val="28"/>
          <w:szCs w:val="28"/>
        </w:rPr>
        <w:t>edn</w:t>
      </w:r>
      <w:proofErr w:type="spellEnd"/>
      <w:r w:rsidRPr="00D541F2">
        <w:rPr>
          <w:rFonts w:ascii="Times New Roman" w:hAnsi="Times New Roman" w:cs="Times New Roman"/>
          <w:sz w:val="28"/>
          <w:szCs w:val="28"/>
        </w:rPr>
        <w:t xml:space="preserve"> (Princeton University, 1970)</w:t>
      </w:r>
      <w:r>
        <w:rPr>
          <w:rFonts w:ascii="Times New Roman" w:hAnsi="Times New Roman" w:cs="Times New Roman"/>
          <w:sz w:val="28"/>
          <w:szCs w:val="28"/>
        </w:rPr>
        <w:t xml:space="preserve"> </w:t>
      </w:r>
      <w:r w:rsidRPr="00D541F2">
        <w:rPr>
          <w:rFonts w:ascii="Times New Roman" w:hAnsi="Times New Roman" w:cs="Times New Roman"/>
          <w:sz w:val="28"/>
          <w:szCs w:val="28"/>
        </w:rPr>
        <w:t>&lt;https://maypoleofwisdom.com/wp-content/uploads/2021/02/collected-works-of-c.g.-jung-volume-12-psychology-and-alchemy-pdfdrive-.pdf&gt; [accessed 23.12.2025].</w:t>
      </w:r>
    </w:p>
    <w:p w14:paraId="78D9F414" w14:textId="77777777" w:rsidR="00D541F2" w:rsidRPr="00D541F2" w:rsidRDefault="00D541F2" w:rsidP="00D541F2">
      <w:pPr>
        <w:pStyle w:val="FootnoteText"/>
        <w:spacing w:line="360" w:lineRule="auto"/>
        <w:ind w:left="720" w:hanging="720"/>
        <w:rPr>
          <w:sz w:val="28"/>
          <w:szCs w:val="28"/>
          <w:lang w:val="en-FI"/>
        </w:rPr>
      </w:pPr>
      <w:r w:rsidRPr="00D541F2">
        <w:rPr>
          <w:rFonts w:ascii="Times New Roman" w:hAnsi="Times New Roman" w:cs="Times New Roman"/>
          <w:sz w:val="28"/>
          <w:szCs w:val="28"/>
        </w:rPr>
        <w:t>Obrist, Barbara</w:t>
      </w:r>
      <w:r>
        <w:rPr>
          <w:rFonts w:ascii="Times New Roman" w:hAnsi="Times New Roman" w:cs="Times New Roman"/>
          <w:sz w:val="28"/>
          <w:szCs w:val="28"/>
        </w:rPr>
        <w:t xml:space="preserve">, </w:t>
      </w:r>
      <w:r w:rsidRPr="00D541F2">
        <w:rPr>
          <w:rFonts w:ascii="Times New Roman" w:hAnsi="Times New Roman" w:cs="Times New Roman"/>
          <w:sz w:val="28"/>
          <w:szCs w:val="28"/>
        </w:rPr>
        <w:t xml:space="preserve">‘Visualization in Medieval Alchemy’, </w:t>
      </w:r>
      <w:r w:rsidRPr="00D541F2">
        <w:rPr>
          <w:rFonts w:ascii="Times New Roman" w:hAnsi="Times New Roman" w:cs="Times New Roman"/>
          <w:i/>
          <w:iCs/>
          <w:sz w:val="28"/>
          <w:szCs w:val="28"/>
        </w:rPr>
        <w:t xml:space="preserve">HYLE – International Journal for Philosophy of Chemistry, </w:t>
      </w:r>
      <w:r w:rsidRPr="00D541F2">
        <w:rPr>
          <w:rFonts w:ascii="Times New Roman" w:hAnsi="Times New Roman" w:cs="Times New Roman"/>
          <w:sz w:val="28"/>
          <w:szCs w:val="28"/>
        </w:rPr>
        <w:t>Vol. 9, (2003), No. 2,</w:t>
      </w:r>
      <w:r>
        <w:rPr>
          <w:rFonts w:ascii="Times New Roman" w:hAnsi="Times New Roman" w:cs="Times New Roman"/>
          <w:sz w:val="28"/>
          <w:szCs w:val="28"/>
        </w:rPr>
        <w:t xml:space="preserve"> </w:t>
      </w:r>
      <w:r w:rsidRPr="00D541F2">
        <w:rPr>
          <w:rFonts w:ascii="Times New Roman" w:hAnsi="Times New Roman" w:cs="Times New Roman"/>
          <w:sz w:val="28"/>
          <w:szCs w:val="28"/>
        </w:rPr>
        <w:t>&lt;https://www.hyle.org/journal/issues/9-2/obrist.pdf&gt; [accessed 22.12.2025].</w:t>
      </w:r>
    </w:p>
    <w:p w14:paraId="5C759FB8" w14:textId="77777777" w:rsidR="00D541F2" w:rsidRPr="00D541F2" w:rsidRDefault="00D541F2" w:rsidP="00D541F2">
      <w:pPr>
        <w:pStyle w:val="FootnoteText"/>
        <w:spacing w:line="360" w:lineRule="auto"/>
        <w:ind w:left="720" w:hanging="720"/>
        <w:rPr>
          <w:rFonts w:ascii="Times New Roman" w:hAnsi="Times New Roman" w:cs="Times New Roman"/>
          <w:sz w:val="28"/>
          <w:szCs w:val="28"/>
        </w:rPr>
      </w:pPr>
      <w:r w:rsidRPr="00D541F2">
        <w:rPr>
          <w:rFonts w:ascii="Times New Roman" w:hAnsi="Times New Roman" w:cs="Times New Roman"/>
          <w:sz w:val="28"/>
          <w:szCs w:val="28"/>
        </w:rPr>
        <w:t>von Franz</w:t>
      </w:r>
      <w:r>
        <w:rPr>
          <w:rFonts w:ascii="Times New Roman" w:hAnsi="Times New Roman" w:cs="Times New Roman"/>
          <w:sz w:val="28"/>
          <w:szCs w:val="28"/>
        </w:rPr>
        <w:t>,</w:t>
      </w:r>
      <w:r w:rsidRPr="00D541F2">
        <w:rPr>
          <w:rFonts w:ascii="Times New Roman" w:hAnsi="Times New Roman" w:cs="Times New Roman"/>
          <w:sz w:val="28"/>
          <w:szCs w:val="28"/>
        </w:rPr>
        <w:t xml:space="preserve"> </w:t>
      </w:r>
      <w:r w:rsidRPr="00D541F2">
        <w:rPr>
          <w:rFonts w:ascii="Times New Roman" w:hAnsi="Times New Roman" w:cs="Times New Roman"/>
          <w:sz w:val="28"/>
          <w:szCs w:val="28"/>
        </w:rPr>
        <w:t>Marie-Louise, ed., ‘Aurora Consurgens; a Document Attributed to Thomas Aquinas on the Problem of Opposites in Alchemy’, trans. by R.F.C. Hull and A.S.B. Glover,</w:t>
      </w:r>
      <w:r>
        <w:rPr>
          <w:rFonts w:ascii="Times New Roman" w:hAnsi="Times New Roman" w:cs="Times New Roman"/>
          <w:sz w:val="28"/>
          <w:szCs w:val="28"/>
        </w:rPr>
        <w:t xml:space="preserve"> </w:t>
      </w:r>
      <w:r w:rsidRPr="00D541F2">
        <w:rPr>
          <w:rFonts w:ascii="Times New Roman" w:hAnsi="Times New Roman" w:cs="Times New Roman"/>
          <w:sz w:val="28"/>
          <w:szCs w:val="28"/>
        </w:rPr>
        <w:t>(Princeton University, 1966) &lt;https://archive.org/details/auroraconsurgens0000thom&gt; [accessed 23.12.2025].</w:t>
      </w:r>
    </w:p>
    <w:p w14:paraId="335DF286" w14:textId="3B969DED" w:rsidR="00CF2414" w:rsidRPr="002338F1" w:rsidRDefault="00D541F2" w:rsidP="00D541F2">
      <w:pPr>
        <w:spacing w:line="360" w:lineRule="auto"/>
        <w:ind w:left="720" w:hanging="720"/>
        <w:rPr>
          <w:rFonts w:ascii="Times New Roman" w:hAnsi="Times New Roman" w:cs="Times New Roman"/>
          <w:sz w:val="28"/>
          <w:szCs w:val="28"/>
          <w:lang w:val="en-FI"/>
        </w:rPr>
      </w:pPr>
      <w:r w:rsidRPr="00D541F2">
        <w:rPr>
          <w:rFonts w:ascii="Times New Roman" w:hAnsi="Times New Roman" w:cs="Times New Roman"/>
          <w:sz w:val="28"/>
          <w:szCs w:val="28"/>
        </w:rPr>
        <w:t>William, Walker</w:t>
      </w:r>
      <w:r>
        <w:rPr>
          <w:rFonts w:ascii="Times New Roman" w:hAnsi="Times New Roman" w:cs="Times New Roman"/>
          <w:sz w:val="28"/>
          <w:szCs w:val="28"/>
        </w:rPr>
        <w:t>,</w:t>
      </w:r>
      <w:r w:rsidRPr="00D541F2">
        <w:rPr>
          <w:rFonts w:ascii="Times New Roman" w:hAnsi="Times New Roman" w:cs="Times New Roman"/>
          <w:sz w:val="28"/>
          <w:szCs w:val="28"/>
        </w:rPr>
        <w:t xml:space="preserve"> </w:t>
      </w:r>
      <w:r w:rsidRPr="00D541F2">
        <w:rPr>
          <w:rFonts w:ascii="Times New Roman" w:hAnsi="Times New Roman" w:cs="Times New Roman"/>
          <w:sz w:val="28"/>
          <w:szCs w:val="28"/>
        </w:rPr>
        <w:t xml:space="preserve">Christian, ‘Unio Mystica and the Aurora Consurgens: Mystical Theology in a Late Medieval Alchemical Treatise’ (doctoral thesis, Durham University, Durham E-Theses Online, 2022) &lt;http://etheses.dur.ac.uk/14918/&gt;  </w:t>
      </w:r>
    </w:p>
    <w:sectPr w:rsidR="00CF2414" w:rsidRPr="002338F1" w:rsidSect="003A287D">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ECBFD" w14:textId="77777777" w:rsidR="001706FF" w:rsidRDefault="001706FF" w:rsidP="003A287D">
      <w:pPr>
        <w:spacing w:after="0" w:line="240" w:lineRule="auto"/>
      </w:pPr>
      <w:r>
        <w:separator/>
      </w:r>
    </w:p>
  </w:endnote>
  <w:endnote w:type="continuationSeparator" w:id="0">
    <w:p w14:paraId="3DF3267C" w14:textId="77777777" w:rsidR="001706FF" w:rsidRDefault="001706FF" w:rsidP="003A2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9BCFE" w14:textId="77777777" w:rsidR="001706FF" w:rsidRDefault="001706FF" w:rsidP="003A287D">
      <w:pPr>
        <w:spacing w:after="0" w:line="240" w:lineRule="auto"/>
      </w:pPr>
      <w:r>
        <w:separator/>
      </w:r>
    </w:p>
  </w:footnote>
  <w:footnote w:type="continuationSeparator" w:id="0">
    <w:p w14:paraId="69D71F2B" w14:textId="77777777" w:rsidR="001706FF" w:rsidRDefault="001706FF" w:rsidP="003A287D">
      <w:pPr>
        <w:spacing w:after="0" w:line="240" w:lineRule="auto"/>
      </w:pPr>
      <w:r>
        <w:continuationSeparator/>
      </w:r>
    </w:p>
  </w:footnote>
  <w:footnote w:id="1">
    <w:p w14:paraId="66083C7D" w14:textId="087EE90D" w:rsidR="00DA41E0" w:rsidRPr="004767A8" w:rsidRDefault="00DA41E0" w:rsidP="00210CDA">
      <w:pPr>
        <w:pStyle w:val="FootnoteText"/>
        <w:spacing w:line="276" w:lineRule="auto"/>
        <w:rPr>
          <w:rFonts w:ascii="Times New Roman" w:hAnsi="Times New Roman" w:cs="Times New Roman"/>
          <w:lang w:val="en-GB"/>
        </w:rPr>
      </w:pPr>
      <w:r w:rsidRPr="00084BEF">
        <w:rPr>
          <w:rStyle w:val="FootnoteReference"/>
          <w:rFonts w:ascii="Times New Roman" w:hAnsi="Times New Roman" w:cs="Times New Roman"/>
        </w:rPr>
        <w:footnoteRef/>
      </w:r>
      <w:r w:rsidRPr="00084BEF">
        <w:rPr>
          <w:rFonts w:ascii="Times New Roman" w:hAnsi="Times New Roman" w:cs="Times New Roman"/>
        </w:rPr>
        <w:t xml:space="preserve"> </w:t>
      </w:r>
      <w:r w:rsidR="00084BEF" w:rsidRPr="00084BEF">
        <w:rPr>
          <w:rFonts w:ascii="Times New Roman" w:hAnsi="Times New Roman" w:cs="Times New Roman"/>
        </w:rPr>
        <w:t>Christian, William, Walker, ‘Unio Mystica and the Aurora Consurgens: Mystical Theology in a Late Medieval Alchemical Treatise’</w:t>
      </w:r>
      <w:r w:rsidR="00084BEF" w:rsidRPr="00084BEF">
        <w:rPr>
          <w:rFonts w:ascii="Times New Roman" w:hAnsi="Times New Roman" w:cs="Times New Roman"/>
        </w:rPr>
        <w:t xml:space="preserve"> </w:t>
      </w:r>
      <w:r w:rsidR="00084BEF" w:rsidRPr="00084BEF">
        <w:rPr>
          <w:rFonts w:ascii="Times New Roman" w:hAnsi="Times New Roman" w:cs="Times New Roman"/>
        </w:rPr>
        <w:t xml:space="preserve">(doctoral thesis, </w:t>
      </w:r>
      <w:r w:rsidR="00084BEF" w:rsidRPr="00084BEF">
        <w:rPr>
          <w:rFonts w:ascii="Times New Roman" w:hAnsi="Times New Roman" w:cs="Times New Roman"/>
        </w:rPr>
        <w:t>Durham University</w:t>
      </w:r>
      <w:r w:rsidR="00084BEF" w:rsidRPr="00084BEF">
        <w:rPr>
          <w:rFonts w:ascii="Times New Roman" w:hAnsi="Times New Roman" w:cs="Times New Roman"/>
        </w:rPr>
        <w:t xml:space="preserve">, </w:t>
      </w:r>
      <w:r w:rsidR="00084BEF" w:rsidRPr="00084BEF">
        <w:rPr>
          <w:rFonts w:ascii="Times New Roman" w:hAnsi="Times New Roman" w:cs="Times New Roman"/>
        </w:rPr>
        <w:t>Durham E-Theses Onlin</w:t>
      </w:r>
      <w:r w:rsidR="00084BEF" w:rsidRPr="00084BEF">
        <w:rPr>
          <w:rFonts w:ascii="Times New Roman" w:hAnsi="Times New Roman" w:cs="Times New Roman"/>
        </w:rPr>
        <w:t>e, 2022) &lt;</w:t>
      </w:r>
      <w:r w:rsidR="00084BEF" w:rsidRPr="00084BEF">
        <w:rPr>
          <w:rFonts w:ascii="Times New Roman" w:hAnsi="Times New Roman" w:cs="Times New Roman"/>
        </w:rPr>
        <w:t>http://etheses.dur.ac.uk/14918/</w:t>
      </w:r>
      <w:proofErr w:type="gramStart"/>
      <w:r w:rsidR="00084BEF" w:rsidRPr="00084BEF">
        <w:rPr>
          <w:rFonts w:ascii="Times New Roman" w:hAnsi="Times New Roman" w:cs="Times New Roman"/>
        </w:rPr>
        <w:t xml:space="preserve">&gt; </w:t>
      </w:r>
      <w:r w:rsidR="00B34FA5" w:rsidRPr="00B34FA5">
        <w:rPr>
          <w:rFonts w:ascii="Times New Roman" w:hAnsi="Times New Roman" w:cs="Times New Roman"/>
        </w:rPr>
        <w:t xml:space="preserve"> </w:t>
      </w:r>
      <w:r w:rsidR="00B34FA5" w:rsidRPr="00084BEF">
        <w:rPr>
          <w:rFonts w:ascii="Times New Roman" w:hAnsi="Times New Roman" w:cs="Times New Roman"/>
        </w:rPr>
        <w:t>pp.</w:t>
      </w:r>
      <w:proofErr w:type="gramEnd"/>
      <w:r w:rsidR="00B34FA5" w:rsidRPr="00084BEF">
        <w:rPr>
          <w:rFonts w:ascii="Times New Roman" w:hAnsi="Times New Roman" w:cs="Times New Roman"/>
        </w:rPr>
        <w:t xml:space="preserve"> 10-18.</w:t>
      </w:r>
    </w:p>
  </w:footnote>
  <w:footnote w:id="2">
    <w:p w14:paraId="764A8441" w14:textId="278DA779" w:rsidR="00084BEF" w:rsidRPr="00084BEF" w:rsidRDefault="00084BEF" w:rsidP="00210CDA">
      <w:pPr>
        <w:pStyle w:val="FootnoteText"/>
        <w:spacing w:line="276" w:lineRule="auto"/>
        <w:rPr>
          <w:lang w:val="en-GB"/>
        </w:rPr>
      </w:pPr>
      <w:r>
        <w:rPr>
          <w:rStyle w:val="FootnoteReference"/>
        </w:rPr>
        <w:footnoteRef/>
      </w:r>
      <w:r>
        <w:t xml:space="preserve"> </w:t>
      </w:r>
      <w:r w:rsidRPr="00084BEF">
        <w:rPr>
          <w:rFonts w:ascii="Times New Roman" w:hAnsi="Times New Roman" w:cs="Times New Roman"/>
          <w:lang w:val="en-GB"/>
        </w:rPr>
        <w:t>Ibid. p. 2.</w:t>
      </w:r>
    </w:p>
  </w:footnote>
  <w:footnote w:id="3">
    <w:p w14:paraId="60BA86D4" w14:textId="49A1D43A" w:rsidR="00621BD4" w:rsidRPr="00084BEF" w:rsidRDefault="00621BD4" w:rsidP="00210CDA">
      <w:pPr>
        <w:pStyle w:val="FootnoteText"/>
        <w:spacing w:line="276" w:lineRule="auto"/>
        <w:rPr>
          <w:rFonts w:ascii="Times New Roman" w:hAnsi="Times New Roman" w:cs="Times New Roman"/>
          <w:lang w:val="en-GB"/>
        </w:rPr>
      </w:pPr>
      <w:r w:rsidRPr="00084BEF">
        <w:rPr>
          <w:rStyle w:val="FootnoteReference"/>
          <w:rFonts w:ascii="Times New Roman" w:hAnsi="Times New Roman" w:cs="Times New Roman"/>
        </w:rPr>
        <w:footnoteRef/>
      </w:r>
      <w:r w:rsidR="00084BEF" w:rsidRPr="00084BEF">
        <w:rPr>
          <w:rFonts w:ascii="Times New Roman" w:hAnsi="Times New Roman" w:cs="Times New Roman"/>
          <w:lang w:val="en-GB"/>
        </w:rPr>
        <w:t xml:space="preserve"> </w:t>
      </w:r>
      <w:r w:rsidR="00084BEF">
        <w:rPr>
          <w:rFonts w:ascii="Times New Roman" w:hAnsi="Times New Roman" w:cs="Times New Roman"/>
          <w:lang w:val="en-GB"/>
        </w:rPr>
        <w:t xml:space="preserve">Ibid. p. 2, pp.13-14. </w:t>
      </w:r>
    </w:p>
  </w:footnote>
  <w:footnote w:id="4">
    <w:p w14:paraId="2C1DB452" w14:textId="60B21588" w:rsidR="00564AE3" w:rsidRPr="004767A8" w:rsidRDefault="00564AE3" w:rsidP="00210CDA">
      <w:pPr>
        <w:pStyle w:val="FootnoteText"/>
        <w:spacing w:line="276" w:lineRule="auto"/>
        <w:rPr>
          <w:rFonts w:ascii="Times New Roman" w:hAnsi="Times New Roman" w:cs="Times New Roman"/>
          <w:lang w:val="en-GB"/>
        </w:rPr>
      </w:pPr>
      <w:r w:rsidRPr="00084BEF">
        <w:rPr>
          <w:rStyle w:val="FootnoteReference"/>
          <w:rFonts w:ascii="Times New Roman" w:hAnsi="Times New Roman" w:cs="Times New Roman"/>
        </w:rPr>
        <w:footnoteRef/>
      </w:r>
      <w:r w:rsidRPr="00084BEF">
        <w:rPr>
          <w:rFonts w:ascii="Times New Roman" w:hAnsi="Times New Roman" w:cs="Times New Roman"/>
        </w:rPr>
        <w:t xml:space="preserve"> </w:t>
      </w:r>
      <w:r w:rsidR="004767A8">
        <w:rPr>
          <w:rFonts w:ascii="Times New Roman" w:hAnsi="Times New Roman" w:cs="Times New Roman"/>
        </w:rPr>
        <w:t>Barbara Obrist, ‘</w:t>
      </w:r>
      <w:r w:rsidR="004767A8" w:rsidRPr="004767A8">
        <w:rPr>
          <w:rFonts w:ascii="Times New Roman" w:hAnsi="Times New Roman" w:cs="Times New Roman"/>
        </w:rPr>
        <w:t>Visualization in Medieval Alchemy</w:t>
      </w:r>
      <w:r w:rsidR="004767A8">
        <w:rPr>
          <w:rFonts w:ascii="Times New Roman" w:hAnsi="Times New Roman" w:cs="Times New Roman"/>
        </w:rPr>
        <w:t xml:space="preserve">’, </w:t>
      </w:r>
      <w:r w:rsidR="004767A8" w:rsidRPr="004767A8">
        <w:rPr>
          <w:rFonts w:ascii="Times New Roman" w:hAnsi="Times New Roman" w:cs="Times New Roman"/>
          <w:i/>
          <w:iCs/>
        </w:rPr>
        <w:t>HYLE – International Journal for Philosophy of Chemistry</w:t>
      </w:r>
      <w:r w:rsidR="004767A8">
        <w:rPr>
          <w:rFonts w:ascii="Times New Roman" w:hAnsi="Times New Roman" w:cs="Times New Roman"/>
          <w:i/>
          <w:iCs/>
        </w:rPr>
        <w:t xml:space="preserve">, </w:t>
      </w:r>
      <w:r w:rsidR="004767A8" w:rsidRPr="004767A8">
        <w:rPr>
          <w:rFonts w:ascii="Times New Roman" w:hAnsi="Times New Roman" w:cs="Times New Roman"/>
        </w:rPr>
        <w:t>Vol. 9</w:t>
      </w:r>
      <w:r w:rsidR="004767A8" w:rsidRPr="004767A8">
        <w:rPr>
          <w:rFonts w:ascii="Times New Roman" w:hAnsi="Times New Roman" w:cs="Times New Roman"/>
        </w:rPr>
        <w:t>,</w:t>
      </w:r>
      <w:r w:rsidR="004767A8" w:rsidRPr="004767A8">
        <w:rPr>
          <w:rFonts w:ascii="Times New Roman" w:hAnsi="Times New Roman" w:cs="Times New Roman"/>
        </w:rPr>
        <w:t xml:space="preserve"> (2003), No. 2</w:t>
      </w:r>
      <w:r w:rsidR="004767A8" w:rsidRPr="004767A8">
        <w:rPr>
          <w:rFonts w:ascii="Times New Roman" w:hAnsi="Times New Roman" w:cs="Times New Roman"/>
        </w:rPr>
        <w:t>, (pp. 132-135)</w:t>
      </w:r>
      <w:r w:rsidR="004767A8">
        <w:rPr>
          <w:rFonts w:ascii="Times New Roman" w:hAnsi="Times New Roman" w:cs="Times New Roman"/>
        </w:rPr>
        <w:t xml:space="preserve"> &lt;</w:t>
      </w:r>
      <w:r w:rsidR="004767A8" w:rsidRPr="004767A8">
        <w:rPr>
          <w:rFonts w:ascii="Times New Roman" w:hAnsi="Times New Roman" w:cs="Times New Roman"/>
        </w:rPr>
        <w:t>https://www.hyle.org/journal/issues/9-2/obrist.pdf</w:t>
      </w:r>
      <w:r w:rsidR="004767A8">
        <w:rPr>
          <w:rFonts w:ascii="Times New Roman" w:hAnsi="Times New Roman" w:cs="Times New Roman"/>
        </w:rPr>
        <w:t xml:space="preserve">&gt; </w:t>
      </w:r>
      <w:r w:rsidR="00B34FA5">
        <w:rPr>
          <w:rFonts w:ascii="Times New Roman" w:hAnsi="Times New Roman" w:cs="Times New Roman"/>
        </w:rPr>
        <w:t>[accessed 22.12.2025]</w:t>
      </w:r>
      <w:r w:rsidR="00B565B7">
        <w:rPr>
          <w:rFonts w:ascii="Times New Roman" w:hAnsi="Times New Roman" w:cs="Times New Roman"/>
        </w:rPr>
        <w:t>.</w:t>
      </w:r>
    </w:p>
  </w:footnote>
  <w:footnote w:id="5">
    <w:p w14:paraId="04C31DB0" w14:textId="3CA96A74" w:rsidR="00A761DC" w:rsidRPr="00CD49C6" w:rsidRDefault="00A761DC" w:rsidP="00210CDA">
      <w:pPr>
        <w:pStyle w:val="FootnoteText"/>
        <w:spacing w:line="276" w:lineRule="auto"/>
        <w:rPr>
          <w:rFonts w:ascii="Times New Roman" w:hAnsi="Times New Roman" w:cs="Times New Roman"/>
          <w:lang w:val="en-FI"/>
        </w:rPr>
      </w:pPr>
      <w:r w:rsidRPr="00CD49C6">
        <w:rPr>
          <w:rStyle w:val="FootnoteReference"/>
          <w:rFonts w:ascii="Times New Roman" w:hAnsi="Times New Roman" w:cs="Times New Roman"/>
        </w:rPr>
        <w:footnoteRef/>
      </w:r>
      <w:r w:rsidRPr="00CD49C6">
        <w:rPr>
          <w:rFonts w:ascii="Times New Roman" w:hAnsi="Times New Roman" w:cs="Times New Roman"/>
        </w:rPr>
        <w:t xml:space="preserve"> </w:t>
      </w:r>
      <w:r w:rsidR="00CD49C6" w:rsidRPr="00CD49C6">
        <w:rPr>
          <w:rFonts w:ascii="Times New Roman" w:hAnsi="Times New Roman" w:cs="Times New Roman"/>
        </w:rPr>
        <w:t xml:space="preserve">Carl G. Jung, ‘Mysterium </w:t>
      </w:r>
      <w:proofErr w:type="spellStart"/>
      <w:r w:rsidR="00CD49C6" w:rsidRPr="00CD49C6">
        <w:rPr>
          <w:rFonts w:ascii="Times New Roman" w:hAnsi="Times New Roman" w:cs="Times New Roman"/>
        </w:rPr>
        <w:t>Coniunctionis</w:t>
      </w:r>
      <w:proofErr w:type="spellEnd"/>
      <w:r w:rsidR="00CD49C6" w:rsidRPr="00CD49C6">
        <w:rPr>
          <w:rFonts w:ascii="Times New Roman" w:hAnsi="Times New Roman" w:cs="Times New Roman"/>
        </w:rPr>
        <w:t>. An Inquiry into the Separation and Synthesis of Psychic Opposites in Alchemy’,</w:t>
      </w:r>
      <w:r w:rsidR="00210CDA">
        <w:rPr>
          <w:rFonts w:ascii="Times New Roman" w:hAnsi="Times New Roman" w:cs="Times New Roman"/>
        </w:rPr>
        <w:t xml:space="preserve"> </w:t>
      </w:r>
      <w:r w:rsidR="00210CDA">
        <w:rPr>
          <w:rFonts w:ascii="Times New Roman" w:hAnsi="Times New Roman" w:cs="Times New Roman"/>
        </w:rPr>
        <w:t xml:space="preserve">ed. by Sir Herbert Read, Michael Fordham, Gerhard Adler and William </w:t>
      </w:r>
      <w:proofErr w:type="spellStart"/>
      <w:r w:rsidR="00210CDA">
        <w:rPr>
          <w:rFonts w:ascii="Times New Roman" w:hAnsi="Times New Roman" w:cs="Times New Roman"/>
        </w:rPr>
        <w:t>Mcguire</w:t>
      </w:r>
      <w:proofErr w:type="spellEnd"/>
      <w:r w:rsidR="00210CDA">
        <w:rPr>
          <w:rFonts w:ascii="Times New Roman" w:hAnsi="Times New Roman" w:cs="Times New Roman"/>
        </w:rPr>
        <w:t>,</w:t>
      </w:r>
      <w:r w:rsidR="00CD49C6" w:rsidRPr="00CD49C6">
        <w:rPr>
          <w:rFonts w:ascii="Times New Roman" w:hAnsi="Times New Roman" w:cs="Times New Roman"/>
        </w:rPr>
        <w:t xml:space="preserve"> trans. by </w:t>
      </w:r>
      <w:r w:rsidR="00CD49C6" w:rsidRPr="00CD49C6">
        <w:rPr>
          <w:rFonts w:ascii="Times New Roman" w:hAnsi="Times New Roman" w:cs="Times New Roman"/>
        </w:rPr>
        <w:t>R.F.C. H</w:t>
      </w:r>
      <w:r w:rsidR="00CD49C6" w:rsidRPr="00CD49C6">
        <w:rPr>
          <w:rFonts w:ascii="Times New Roman" w:hAnsi="Times New Roman" w:cs="Times New Roman"/>
        </w:rPr>
        <w:t xml:space="preserve">ull, 2nd </w:t>
      </w:r>
      <w:proofErr w:type="spellStart"/>
      <w:r w:rsidR="00CD49C6" w:rsidRPr="00CD49C6">
        <w:rPr>
          <w:rFonts w:ascii="Times New Roman" w:hAnsi="Times New Roman" w:cs="Times New Roman"/>
        </w:rPr>
        <w:t>edn</w:t>
      </w:r>
      <w:proofErr w:type="spellEnd"/>
      <w:r w:rsidR="00CD49C6" w:rsidRPr="00CD49C6">
        <w:rPr>
          <w:rFonts w:ascii="Times New Roman" w:hAnsi="Times New Roman" w:cs="Times New Roman"/>
        </w:rPr>
        <w:t xml:space="preserve"> (Princeton University, 1970), par</w:t>
      </w:r>
      <w:r w:rsidR="002A01CE">
        <w:rPr>
          <w:rFonts w:ascii="Times New Roman" w:hAnsi="Times New Roman" w:cs="Times New Roman"/>
        </w:rPr>
        <w:t>as</w:t>
      </w:r>
      <w:r w:rsidR="00CD49C6" w:rsidRPr="00CD49C6">
        <w:rPr>
          <w:rFonts w:ascii="Times New Roman" w:hAnsi="Times New Roman" w:cs="Times New Roman"/>
        </w:rPr>
        <w:t xml:space="preserve">. </w:t>
      </w:r>
      <w:r w:rsidR="002A01CE">
        <w:rPr>
          <w:rFonts w:ascii="Times New Roman" w:hAnsi="Times New Roman" w:cs="Times New Roman"/>
        </w:rPr>
        <w:t xml:space="preserve">110, </w:t>
      </w:r>
      <w:r w:rsidR="00CD49C6" w:rsidRPr="00CD49C6">
        <w:rPr>
          <w:rFonts w:ascii="Times New Roman" w:hAnsi="Times New Roman" w:cs="Times New Roman"/>
        </w:rPr>
        <w:t>154</w:t>
      </w:r>
      <w:r w:rsidR="002A01CE">
        <w:rPr>
          <w:rFonts w:ascii="Times New Roman" w:hAnsi="Times New Roman" w:cs="Times New Roman"/>
        </w:rPr>
        <w:t xml:space="preserve"> </w:t>
      </w:r>
      <w:r w:rsidR="00CD49C6" w:rsidRPr="00CD49C6">
        <w:rPr>
          <w:rFonts w:ascii="Times New Roman" w:hAnsi="Times New Roman" w:cs="Times New Roman"/>
        </w:rPr>
        <w:t>&lt;</w:t>
      </w:r>
      <w:r w:rsidR="00CD49C6" w:rsidRPr="00CD49C6">
        <w:rPr>
          <w:rFonts w:ascii="Times New Roman" w:hAnsi="Times New Roman" w:cs="Times New Roman"/>
        </w:rPr>
        <w:t>https://jungiancenter.org/wp-content/uploads/2023/09/vol-14-Mysterium-Coniunctionis-by-C-G-Jung.pdf</w:t>
      </w:r>
      <w:r w:rsidR="00CD49C6" w:rsidRPr="00CD49C6">
        <w:rPr>
          <w:rFonts w:ascii="Times New Roman" w:hAnsi="Times New Roman" w:cs="Times New Roman"/>
        </w:rPr>
        <w:t xml:space="preserve">&gt; </w:t>
      </w:r>
      <w:r w:rsidR="00CD49C6" w:rsidRPr="00CD49C6">
        <w:rPr>
          <w:rFonts w:ascii="Times New Roman" w:hAnsi="Times New Roman" w:cs="Times New Roman"/>
        </w:rPr>
        <w:t>[accessed 2</w:t>
      </w:r>
      <w:r w:rsidR="00CD49C6" w:rsidRPr="00CD49C6">
        <w:rPr>
          <w:rFonts w:ascii="Times New Roman" w:hAnsi="Times New Roman" w:cs="Times New Roman"/>
        </w:rPr>
        <w:t>3</w:t>
      </w:r>
      <w:r w:rsidR="00CD49C6" w:rsidRPr="00CD49C6">
        <w:rPr>
          <w:rFonts w:ascii="Times New Roman" w:hAnsi="Times New Roman" w:cs="Times New Roman"/>
        </w:rPr>
        <w:t>.12.2025]</w:t>
      </w:r>
      <w:r w:rsidR="00B565B7">
        <w:rPr>
          <w:rFonts w:ascii="Times New Roman" w:hAnsi="Times New Roman" w:cs="Times New Roman"/>
        </w:rPr>
        <w:t>.</w:t>
      </w:r>
    </w:p>
  </w:footnote>
  <w:footnote w:id="6">
    <w:p w14:paraId="3793D5B3" w14:textId="05E77118" w:rsidR="00A761DC" w:rsidRPr="00B565B7" w:rsidRDefault="00A761DC" w:rsidP="00210CDA">
      <w:pPr>
        <w:pStyle w:val="FootnoteText"/>
        <w:spacing w:line="276" w:lineRule="auto"/>
        <w:rPr>
          <w:rFonts w:ascii="Times New Roman" w:hAnsi="Times New Roman" w:cs="Times New Roman"/>
          <w:lang w:val="en-GB"/>
        </w:rPr>
      </w:pPr>
      <w:r w:rsidRPr="00CD49C6">
        <w:rPr>
          <w:rStyle w:val="FootnoteReference"/>
          <w:rFonts w:ascii="Times New Roman" w:hAnsi="Times New Roman" w:cs="Times New Roman"/>
        </w:rPr>
        <w:footnoteRef/>
      </w:r>
      <w:r w:rsidRPr="00CD49C6">
        <w:rPr>
          <w:rFonts w:ascii="Times New Roman" w:hAnsi="Times New Roman" w:cs="Times New Roman"/>
        </w:rPr>
        <w:t xml:space="preserve"> </w:t>
      </w:r>
      <w:r w:rsidR="00B565B7" w:rsidRPr="00084BEF">
        <w:rPr>
          <w:rFonts w:ascii="Times New Roman" w:hAnsi="Times New Roman" w:cs="Times New Roman"/>
        </w:rPr>
        <w:t>Christian, William, Walker, ‘Unio Mystica and the Aurora Consurgens: Mystical Theology in a Late Medieval Alchemical Treatise’ (doctoral thesis, Durham University, Durham E-Theses Online, 2022) &lt;http://etheses.dur.ac.uk/14918/</w:t>
      </w:r>
      <w:proofErr w:type="gramStart"/>
      <w:r w:rsidR="00B565B7" w:rsidRPr="00084BEF">
        <w:rPr>
          <w:rFonts w:ascii="Times New Roman" w:hAnsi="Times New Roman" w:cs="Times New Roman"/>
        </w:rPr>
        <w:t xml:space="preserve">&gt; </w:t>
      </w:r>
      <w:r w:rsidR="00B565B7" w:rsidRPr="00B34FA5">
        <w:rPr>
          <w:rFonts w:ascii="Times New Roman" w:hAnsi="Times New Roman" w:cs="Times New Roman"/>
        </w:rPr>
        <w:t xml:space="preserve"> </w:t>
      </w:r>
      <w:r w:rsidR="00B565B7" w:rsidRPr="00084BEF">
        <w:rPr>
          <w:rFonts w:ascii="Times New Roman" w:hAnsi="Times New Roman" w:cs="Times New Roman"/>
        </w:rPr>
        <w:t>pp.</w:t>
      </w:r>
      <w:proofErr w:type="gramEnd"/>
      <w:r w:rsidR="00B565B7" w:rsidRPr="00084BEF">
        <w:rPr>
          <w:rFonts w:ascii="Times New Roman" w:hAnsi="Times New Roman" w:cs="Times New Roman"/>
        </w:rPr>
        <w:t xml:space="preserve"> </w:t>
      </w:r>
      <w:r w:rsidR="00B565B7">
        <w:rPr>
          <w:rFonts w:ascii="Times New Roman" w:hAnsi="Times New Roman" w:cs="Times New Roman"/>
        </w:rPr>
        <w:t>42-44.</w:t>
      </w:r>
    </w:p>
  </w:footnote>
  <w:footnote w:id="7">
    <w:p w14:paraId="12871F22" w14:textId="3B21AD8F" w:rsidR="00F32A18" w:rsidRPr="00636696" w:rsidRDefault="00F32A18" w:rsidP="00210CDA">
      <w:pPr>
        <w:pStyle w:val="FootnoteText"/>
        <w:spacing w:line="276" w:lineRule="auto"/>
        <w:rPr>
          <w:rFonts w:ascii="Times New Roman" w:hAnsi="Times New Roman" w:cs="Times New Roman"/>
          <w:lang w:val="en-GB"/>
        </w:rPr>
      </w:pPr>
      <w:r w:rsidRPr="00CD49C6">
        <w:rPr>
          <w:rStyle w:val="FootnoteReference"/>
          <w:rFonts w:ascii="Times New Roman" w:hAnsi="Times New Roman" w:cs="Times New Roman"/>
        </w:rPr>
        <w:footnoteRef/>
      </w:r>
      <w:r w:rsidRPr="00CD49C6">
        <w:rPr>
          <w:rFonts w:ascii="Times New Roman" w:hAnsi="Times New Roman" w:cs="Times New Roman"/>
        </w:rPr>
        <w:t xml:space="preserve"> </w:t>
      </w:r>
      <w:r w:rsidR="00636696">
        <w:rPr>
          <w:rFonts w:ascii="Times New Roman" w:hAnsi="Times New Roman" w:cs="Times New Roman"/>
        </w:rPr>
        <w:t>Marie-Louise von Franz, ed., ‘</w:t>
      </w:r>
      <w:r w:rsidR="00636696" w:rsidRPr="00636696">
        <w:rPr>
          <w:rFonts w:ascii="Times New Roman" w:hAnsi="Times New Roman" w:cs="Times New Roman"/>
        </w:rPr>
        <w:t xml:space="preserve">Aurora </w:t>
      </w:r>
      <w:r w:rsidR="00636696">
        <w:rPr>
          <w:rFonts w:ascii="Times New Roman" w:hAnsi="Times New Roman" w:cs="Times New Roman"/>
        </w:rPr>
        <w:t>C</w:t>
      </w:r>
      <w:r w:rsidR="00636696" w:rsidRPr="00636696">
        <w:rPr>
          <w:rFonts w:ascii="Times New Roman" w:hAnsi="Times New Roman" w:cs="Times New Roman"/>
        </w:rPr>
        <w:t xml:space="preserve">onsurgens; </w:t>
      </w:r>
      <w:r w:rsidR="00636696">
        <w:rPr>
          <w:rFonts w:ascii="Times New Roman" w:hAnsi="Times New Roman" w:cs="Times New Roman"/>
        </w:rPr>
        <w:t>a</w:t>
      </w:r>
      <w:r w:rsidR="00636696" w:rsidRPr="00636696">
        <w:rPr>
          <w:rFonts w:ascii="Times New Roman" w:hAnsi="Times New Roman" w:cs="Times New Roman"/>
        </w:rPr>
        <w:t xml:space="preserve"> </w:t>
      </w:r>
      <w:r w:rsidR="00636696">
        <w:rPr>
          <w:rFonts w:ascii="Times New Roman" w:hAnsi="Times New Roman" w:cs="Times New Roman"/>
        </w:rPr>
        <w:t>D</w:t>
      </w:r>
      <w:r w:rsidR="00636696" w:rsidRPr="00636696">
        <w:rPr>
          <w:rFonts w:ascii="Times New Roman" w:hAnsi="Times New Roman" w:cs="Times New Roman"/>
        </w:rPr>
        <w:t xml:space="preserve">ocument </w:t>
      </w:r>
      <w:r w:rsidR="00636696">
        <w:rPr>
          <w:rFonts w:ascii="Times New Roman" w:hAnsi="Times New Roman" w:cs="Times New Roman"/>
        </w:rPr>
        <w:t>A</w:t>
      </w:r>
      <w:r w:rsidR="00636696" w:rsidRPr="00636696">
        <w:rPr>
          <w:rFonts w:ascii="Times New Roman" w:hAnsi="Times New Roman" w:cs="Times New Roman"/>
        </w:rPr>
        <w:t xml:space="preserve">ttributed to Thomas Aquinas on the </w:t>
      </w:r>
      <w:r w:rsidR="00636696">
        <w:rPr>
          <w:rFonts w:ascii="Times New Roman" w:hAnsi="Times New Roman" w:cs="Times New Roman"/>
        </w:rPr>
        <w:t>P</w:t>
      </w:r>
      <w:r w:rsidR="00636696" w:rsidRPr="00636696">
        <w:rPr>
          <w:rFonts w:ascii="Times New Roman" w:hAnsi="Times New Roman" w:cs="Times New Roman"/>
        </w:rPr>
        <w:t xml:space="preserve">roblem of </w:t>
      </w:r>
      <w:r w:rsidR="00636696">
        <w:rPr>
          <w:rFonts w:ascii="Times New Roman" w:hAnsi="Times New Roman" w:cs="Times New Roman"/>
        </w:rPr>
        <w:t>O</w:t>
      </w:r>
      <w:r w:rsidR="00636696" w:rsidRPr="00636696">
        <w:rPr>
          <w:rFonts w:ascii="Times New Roman" w:hAnsi="Times New Roman" w:cs="Times New Roman"/>
        </w:rPr>
        <w:t xml:space="preserve">pposites in </w:t>
      </w:r>
      <w:r w:rsidR="00636696">
        <w:rPr>
          <w:rFonts w:ascii="Times New Roman" w:hAnsi="Times New Roman" w:cs="Times New Roman"/>
        </w:rPr>
        <w:t>A</w:t>
      </w:r>
      <w:r w:rsidR="00636696" w:rsidRPr="00636696">
        <w:rPr>
          <w:rFonts w:ascii="Times New Roman" w:hAnsi="Times New Roman" w:cs="Times New Roman"/>
        </w:rPr>
        <w:t>lchemy</w:t>
      </w:r>
      <w:r w:rsidR="00636696">
        <w:rPr>
          <w:rFonts w:ascii="Times New Roman" w:hAnsi="Times New Roman" w:cs="Times New Roman"/>
        </w:rPr>
        <w:t xml:space="preserve">’, </w:t>
      </w:r>
      <w:r w:rsidR="00636696" w:rsidRPr="00CD49C6">
        <w:rPr>
          <w:rFonts w:ascii="Times New Roman" w:hAnsi="Times New Roman" w:cs="Times New Roman"/>
        </w:rPr>
        <w:t>trans. by R.F.C. Hull</w:t>
      </w:r>
      <w:r w:rsidR="00636696">
        <w:rPr>
          <w:rFonts w:ascii="Times New Roman" w:hAnsi="Times New Roman" w:cs="Times New Roman"/>
        </w:rPr>
        <w:t xml:space="preserve"> and A.S.B. Glover, </w:t>
      </w:r>
      <w:r w:rsidR="007A50A5">
        <w:rPr>
          <w:rFonts w:ascii="Times New Roman" w:hAnsi="Times New Roman" w:cs="Times New Roman"/>
        </w:rPr>
        <w:t>pp. 245-249</w:t>
      </w:r>
      <w:r w:rsidR="007A50A5">
        <w:rPr>
          <w:rFonts w:ascii="Times New Roman" w:hAnsi="Times New Roman" w:cs="Times New Roman"/>
        </w:rPr>
        <w:t xml:space="preserve">, </w:t>
      </w:r>
      <w:r w:rsidR="00636696">
        <w:rPr>
          <w:rFonts w:ascii="Times New Roman" w:hAnsi="Times New Roman" w:cs="Times New Roman"/>
        </w:rPr>
        <w:t>428 (Princeton University, 1966) &lt;</w:t>
      </w:r>
      <w:r w:rsidR="00636696" w:rsidRPr="00636696">
        <w:rPr>
          <w:rFonts w:ascii="Times New Roman" w:hAnsi="Times New Roman" w:cs="Times New Roman"/>
        </w:rPr>
        <w:t>https://archive.org/details/auroraconsurgens0000thom</w:t>
      </w:r>
      <w:r w:rsidR="00636696">
        <w:rPr>
          <w:rFonts w:ascii="Times New Roman" w:hAnsi="Times New Roman" w:cs="Times New Roman"/>
        </w:rPr>
        <w:t xml:space="preserve">&gt; </w:t>
      </w:r>
      <w:r w:rsidR="00636696" w:rsidRPr="00CD49C6">
        <w:rPr>
          <w:rFonts w:ascii="Times New Roman" w:hAnsi="Times New Roman" w:cs="Times New Roman"/>
        </w:rPr>
        <w:t>[accessed 23.12.2025]</w:t>
      </w:r>
      <w:r w:rsidR="00636696">
        <w:rPr>
          <w:rFonts w:ascii="Times New Roman" w:hAnsi="Times New Roman" w:cs="Times New Roman"/>
        </w:rPr>
        <w:t>.</w:t>
      </w:r>
    </w:p>
  </w:footnote>
  <w:footnote w:id="8">
    <w:p w14:paraId="676DC96C" w14:textId="6B29D27E" w:rsidR="00A710F1" w:rsidRPr="00CD49C6" w:rsidRDefault="00157C83" w:rsidP="00210CDA">
      <w:pPr>
        <w:pStyle w:val="FootnoteText"/>
        <w:spacing w:line="276" w:lineRule="auto"/>
        <w:rPr>
          <w:rFonts w:ascii="Times New Roman" w:hAnsi="Times New Roman" w:cs="Times New Roman"/>
          <w:lang w:val="en-FI"/>
        </w:rPr>
      </w:pPr>
      <w:r w:rsidRPr="00CD49C6">
        <w:rPr>
          <w:rStyle w:val="FootnoteReference"/>
          <w:rFonts w:ascii="Times New Roman" w:hAnsi="Times New Roman" w:cs="Times New Roman"/>
        </w:rPr>
        <w:footnoteRef/>
      </w:r>
      <w:r>
        <w:t xml:space="preserve"> </w:t>
      </w:r>
      <w:r w:rsidR="00A710F1" w:rsidRPr="00CD49C6">
        <w:rPr>
          <w:rFonts w:ascii="Times New Roman" w:hAnsi="Times New Roman" w:cs="Times New Roman"/>
        </w:rPr>
        <w:t>Carl G. Jung, ‘</w:t>
      </w:r>
      <w:r w:rsidR="00210CDA">
        <w:rPr>
          <w:rFonts w:ascii="Times New Roman" w:hAnsi="Times New Roman" w:cs="Times New Roman"/>
        </w:rPr>
        <w:t>Psychology and Alchemy</w:t>
      </w:r>
      <w:r w:rsidR="00A710F1" w:rsidRPr="00CD49C6">
        <w:rPr>
          <w:rFonts w:ascii="Times New Roman" w:hAnsi="Times New Roman" w:cs="Times New Roman"/>
        </w:rPr>
        <w:t xml:space="preserve">’, </w:t>
      </w:r>
      <w:r w:rsidR="00210CDA">
        <w:rPr>
          <w:rFonts w:ascii="Times New Roman" w:hAnsi="Times New Roman" w:cs="Times New Roman"/>
        </w:rPr>
        <w:t xml:space="preserve">ed. by Sir Herbert Read, Michael Fordham, Gerhard Adler and William </w:t>
      </w:r>
      <w:proofErr w:type="spellStart"/>
      <w:r w:rsidR="00210CDA">
        <w:rPr>
          <w:rFonts w:ascii="Times New Roman" w:hAnsi="Times New Roman" w:cs="Times New Roman"/>
        </w:rPr>
        <w:t>Mcguire</w:t>
      </w:r>
      <w:proofErr w:type="spellEnd"/>
      <w:r w:rsidR="00210CDA">
        <w:rPr>
          <w:rFonts w:ascii="Times New Roman" w:hAnsi="Times New Roman" w:cs="Times New Roman"/>
        </w:rPr>
        <w:t xml:space="preserve">, </w:t>
      </w:r>
      <w:r w:rsidR="00A710F1" w:rsidRPr="00CD49C6">
        <w:rPr>
          <w:rFonts w:ascii="Times New Roman" w:hAnsi="Times New Roman" w:cs="Times New Roman"/>
        </w:rPr>
        <w:t xml:space="preserve">trans. by R.F.C. Hull, 2nd </w:t>
      </w:r>
      <w:proofErr w:type="spellStart"/>
      <w:r w:rsidR="00A710F1" w:rsidRPr="00CD49C6">
        <w:rPr>
          <w:rFonts w:ascii="Times New Roman" w:hAnsi="Times New Roman" w:cs="Times New Roman"/>
        </w:rPr>
        <w:t>edn</w:t>
      </w:r>
      <w:proofErr w:type="spellEnd"/>
      <w:r w:rsidR="00A710F1" w:rsidRPr="00CD49C6">
        <w:rPr>
          <w:rFonts w:ascii="Times New Roman" w:hAnsi="Times New Roman" w:cs="Times New Roman"/>
        </w:rPr>
        <w:t xml:space="preserve"> (Princeton University, 1970), par</w:t>
      </w:r>
      <w:r w:rsidR="00A710F1">
        <w:rPr>
          <w:rFonts w:ascii="Times New Roman" w:hAnsi="Times New Roman" w:cs="Times New Roman"/>
        </w:rPr>
        <w:t>a</w:t>
      </w:r>
      <w:r w:rsidR="00A710F1" w:rsidRPr="00CD49C6">
        <w:rPr>
          <w:rFonts w:ascii="Times New Roman" w:hAnsi="Times New Roman" w:cs="Times New Roman"/>
        </w:rPr>
        <w:t xml:space="preserve">. </w:t>
      </w:r>
      <w:r w:rsidR="00A710F1">
        <w:rPr>
          <w:rFonts w:ascii="Times New Roman" w:hAnsi="Times New Roman" w:cs="Times New Roman"/>
        </w:rPr>
        <w:t>334</w:t>
      </w:r>
      <w:r w:rsidR="00A710F1">
        <w:rPr>
          <w:rFonts w:ascii="Times New Roman" w:hAnsi="Times New Roman" w:cs="Times New Roman"/>
        </w:rPr>
        <w:t xml:space="preserve"> </w:t>
      </w:r>
      <w:r w:rsidR="00A710F1" w:rsidRPr="00CD49C6">
        <w:rPr>
          <w:rFonts w:ascii="Times New Roman" w:hAnsi="Times New Roman" w:cs="Times New Roman"/>
        </w:rPr>
        <w:t>&lt;</w:t>
      </w:r>
      <w:r w:rsidR="007D3E77" w:rsidRPr="007D3E77">
        <w:rPr>
          <w:rFonts w:ascii="Times New Roman" w:hAnsi="Times New Roman" w:cs="Times New Roman"/>
        </w:rPr>
        <w:t>https://maypoleofwisdom.com/wp-content/uploads/2021/02/collected-works-of-c.g.-jung-volume-12-psychology-and-alchemy-pdfdrive-.pdf</w:t>
      </w:r>
      <w:r w:rsidR="00A710F1" w:rsidRPr="00CD49C6">
        <w:rPr>
          <w:rFonts w:ascii="Times New Roman" w:hAnsi="Times New Roman" w:cs="Times New Roman"/>
        </w:rPr>
        <w:t>&gt; [accessed 23.12.2025]</w:t>
      </w:r>
      <w:r w:rsidR="00A710F1">
        <w:rPr>
          <w:rFonts w:ascii="Times New Roman" w:hAnsi="Times New Roman" w:cs="Times New Roman"/>
        </w:rPr>
        <w:t>.</w:t>
      </w:r>
    </w:p>
    <w:p w14:paraId="75447B47" w14:textId="79D51770" w:rsidR="00157C83" w:rsidRPr="00A710F1" w:rsidRDefault="00157C83">
      <w:pPr>
        <w:pStyle w:val="FootnoteText"/>
        <w:rPr>
          <w:lang w:val="en-FI"/>
        </w:rPr>
      </w:pPr>
    </w:p>
  </w:footnote>
  <w:footnote w:id="9">
    <w:p w14:paraId="013086CA" w14:textId="37D87BA6" w:rsidR="00C742E8" w:rsidRPr="00C742E8" w:rsidRDefault="00C742E8" w:rsidP="00210CDA">
      <w:pPr>
        <w:pStyle w:val="FootnoteText"/>
        <w:spacing w:line="276" w:lineRule="auto"/>
        <w:rPr>
          <w:lang w:val="en-FI"/>
        </w:rPr>
      </w:pPr>
      <w:r>
        <w:rPr>
          <w:rStyle w:val="FootnoteReference"/>
        </w:rPr>
        <w:footnoteRef/>
      </w:r>
      <w:r>
        <w:t xml:space="preserve"> </w:t>
      </w:r>
      <w:r w:rsidR="003F6198">
        <w:rPr>
          <w:rFonts w:ascii="Times New Roman" w:hAnsi="Times New Roman" w:cs="Times New Roman"/>
        </w:rPr>
        <w:t>Barbara Obrist, ‘</w:t>
      </w:r>
      <w:r w:rsidR="003F6198" w:rsidRPr="004767A8">
        <w:rPr>
          <w:rFonts w:ascii="Times New Roman" w:hAnsi="Times New Roman" w:cs="Times New Roman"/>
        </w:rPr>
        <w:t>Visualization in Medieval Alchemy</w:t>
      </w:r>
      <w:r w:rsidR="003F6198">
        <w:rPr>
          <w:rFonts w:ascii="Times New Roman" w:hAnsi="Times New Roman" w:cs="Times New Roman"/>
        </w:rPr>
        <w:t xml:space="preserve">’, </w:t>
      </w:r>
      <w:r w:rsidR="003F6198" w:rsidRPr="004767A8">
        <w:rPr>
          <w:rFonts w:ascii="Times New Roman" w:hAnsi="Times New Roman" w:cs="Times New Roman"/>
          <w:i/>
          <w:iCs/>
        </w:rPr>
        <w:t>HYLE – International Journal for Philosophy of Chemistry</w:t>
      </w:r>
      <w:r w:rsidR="003F6198">
        <w:rPr>
          <w:rFonts w:ascii="Times New Roman" w:hAnsi="Times New Roman" w:cs="Times New Roman"/>
          <w:i/>
          <w:iCs/>
        </w:rPr>
        <w:t xml:space="preserve">, </w:t>
      </w:r>
      <w:r w:rsidR="003F6198" w:rsidRPr="004767A8">
        <w:rPr>
          <w:rFonts w:ascii="Times New Roman" w:hAnsi="Times New Roman" w:cs="Times New Roman"/>
        </w:rPr>
        <w:t xml:space="preserve">Vol. 9, (2003), No. 2, (p. </w:t>
      </w:r>
      <w:r w:rsidR="003F6198" w:rsidRPr="003F6198">
        <w:rPr>
          <w:rFonts w:ascii="Times New Roman" w:hAnsi="Times New Roman" w:cs="Times New Roman"/>
          <w:lang w:val="en-GB"/>
        </w:rPr>
        <w:t>144</w:t>
      </w:r>
      <w:r w:rsidR="003F6198" w:rsidRPr="004767A8">
        <w:rPr>
          <w:rFonts w:ascii="Times New Roman" w:hAnsi="Times New Roman" w:cs="Times New Roman"/>
        </w:rPr>
        <w:t>)</w:t>
      </w:r>
      <w:r w:rsidR="003F6198">
        <w:rPr>
          <w:rFonts w:ascii="Times New Roman" w:hAnsi="Times New Roman" w:cs="Times New Roman"/>
        </w:rPr>
        <w:t xml:space="preserve"> &lt;</w:t>
      </w:r>
      <w:r w:rsidR="003F6198" w:rsidRPr="004767A8">
        <w:rPr>
          <w:rFonts w:ascii="Times New Roman" w:hAnsi="Times New Roman" w:cs="Times New Roman"/>
        </w:rPr>
        <w:t>https://www.hyle.org/journal/issues/9-2/obrist.pdf</w:t>
      </w:r>
      <w:r w:rsidR="003F6198">
        <w:rPr>
          <w:rFonts w:ascii="Times New Roman" w:hAnsi="Times New Roman" w:cs="Times New Roman"/>
        </w:rPr>
        <w:t>&gt; [accessed 22.12.2025].</w:t>
      </w:r>
    </w:p>
  </w:footnote>
  <w:footnote w:id="10">
    <w:p w14:paraId="25422A08" w14:textId="4FF5991E" w:rsidR="0087724E" w:rsidRPr="00084BEF" w:rsidRDefault="0087724E" w:rsidP="00210CDA">
      <w:pPr>
        <w:pStyle w:val="FootnoteText"/>
        <w:spacing w:line="276" w:lineRule="auto"/>
        <w:rPr>
          <w:lang w:val="en-GB"/>
        </w:rPr>
      </w:pPr>
      <w:r>
        <w:rPr>
          <w:rStyle w:val="FootnoteReference"/>
        </w:rPr>
        <w:footnoteRef/>
      </w:r>
      <w:r>
        <w:t xml:space="preserve"> </w:t>
      </w:r>
      <w:r w:rsidR="000431F9">
        <w:rPr>
          <w:rFonts w:ascii="Times New Roman" w:hAnsi="Times New Roman" w:cs="Times New Roman"/>
        </w:rPr>
        <w:t>Marie-Louise von Franz, ed., ‘</w:t>
      </w:r>
      <w:r w:rsidR="000431F9" w:rsidRPr="00636696">
        <w:rPr>
          <w:rFonts w:ascii="Times New Roman" w:hAnsi="Times New Roman" w:cs="Times New Roman"/>
        </w:rPr>
        <w:t xml:space="preserve">Aurora </w:t>
      </w:r>
      <w:r w:rsidR="000431F9">
        <w:rPr>
          <w:rFonts w:ascii="Times New Roman" w:hAnsi="Times New Roman" w:cs="Times New Roman"/>
        </w:rPr>
        <w:t>C</w:t>
      </w:r>
      <w:r w:rsidR="000431F9" w:rsidRPr="00636696">
        <w:rPr>
          <w:rFonts w:ascii="Times New Roman" w:hAnsi="Times New Roman" w:cs="Times New Roman"/>
        </w:rPr>
        <w:t xml:space="preserve">onsurgens; </w:t>
      </w:r>
      <w:r w:rsidR="000431F9">
        <w:rPr>
          <w:rFonts w:ascii="Times New Roman" w:hAnsi="Times New Roman" w:cs="Times New Roman"/>
        </w:rPr>
        <w:t>a</w:t>
      </w:r>
      <w:r w:rsidR="000431F9" w:rsidRPr="00636696">
        <w:rPr>
          <w:rFonts w:ascii="Times New Roman" w:hAnsi="Times New Roman" w:cs="Times New Roman"/>
        </w:rPr>
        <w:t xml:space="preserve"> </w:t>
      </w:r>
      <w:r w:rsidR="000431F9">
        <w:rPr>
          <w:rFonts w:ascii="Times New Roman" w:hAnsi="Times New Roman" w:cs="Times New Roman"/>
        </w:rPr>
        <w:t>D</w:t>
      </w:r>
      <w:r w:rsidR="000431F9" w:rsidRPr="00636696">
        <w:rPr>
          <w:rFonts w:ascii="Times New Roman" w:hAnsi="Times New Roman" w:cs="Times New Roman"/>
        </w:rPr>
        <w:t xml:space="preserve">ocument </w:t>
      </w:r>
      <w:r w:rsidR="000431F9">
        <w:rPr>
          <w:rFonts w:ascii="Times New Roman" w:hAnsi="Times New Roman" w:cs="Times New Roman"/>
        </w:rPr>
        <w:t>A</w:t>
      </w:r>
      <w:r w:rsidR="000431F9" w:rsidRPr="00636696">
        <w:rPr>
          <w:rFonts w:ascii="Times New Roman" w:hAnsi="Times New Roman" w:cs="Times New Roman"/>
        </w:rPr>
        <w:t xml:space="preserve">ttributed to Thomas Aquinas on the </w:t>
      </w:r>
      <w:r w:rsidR="000431F9">
        <w:rPr>
          <w:rFonts w:ascii="Times New Roman" w:hAnsi="Times New Roman" w:cs="Times New Roman"/>
        </w:rPr>
        <w:t>P</w:t>
      </w:r>
      <w:r w:rsidR="000431F9" w:rsidRPr="00636696">
        <w:rPr>
          <w:rFonts w:ascii="Times New Roman" w:hAnsi="Times New Roman" w:cs="Times New Roman"/>
        </w:rPr>
        <w:t xml:space="preserve">roblem of </w:t>
      </w:r>
      <w:r w:rsidR="000431F9">
        <w:rPr>
          <w:rFonts w:ascii="Times New Roman" w:hAnsi="Times New Roman" w:cs="Times New Roman"/>
        </w:rPr>
        <w:t>O</w:t>
      </w:r>
      <w:r w:rsidR="000431F9" w:rsidRPr="00636696">
        <w:rPr>
          <w:rFonts w:ascii="Times New Roman" w:hAnsi="Times New Roman" w:cs="Times New Roman"/>
        </w:rPr>
        <w:t xml:space="preserve">pposites in </w:t>
      </w:r>
      <w:r w:rsidR="000431F9">
        <w:rPr>
          <w:rFonts w:ascii="Times New Roman" w:hAnsi="Times New Roman" w:cs="Times New Roman"/>
        </w:rPr>
        <w:t>A</w:t>
      </w:r>
      <w:r w:rsidR="000431F9" w:rsidRPr="00636696">
        <w:rPr>
          <w:rFonts w:ascii="Times New Roman" w:hAnsi="Times New Roman" w:cs="Times New Roman"/>
        </w:rPr>
        <w:t>lchemy</w:t>
      </w:r>
      <w:r w:rsidR="000431F9">
        <w:rPr>
          <w:rFonts w:ascii="Times New Roman" w:hAnsi="Times New Roman" w:cs="Times New Roman"/>
        </w:rPr>
        <w:t xml:space="preserve">’, </w:t>
      </w:r>
      <w:r w:rsidR="000431F9" w:rsidRPr="00CD49C6">
        <w:rPr>
          <w:rFonts w:ascii="Times New Roman" w:hAnsi="Times New Roman" w:cs="Times New Roman"/>
        </w:rPr>
        <w:t>trans. by R.F.C. Hull</w:t>
      </w:r>
      <w:r w:rsidR="000431F9">
        <w:rPr>
          <w:rFonts w:ascii="Times New Roman" w:hAnsi="Times New Roman" w:cs="Times New Roman"/>
        </w:rPr>
        <w:t xml:space="preserve"> and A.S.B. Glover, p</w:t>
      </w:r>
      <w:r w:rsidR="000431F9">
        <w:rPr>
          <w:rFonts w:ascii="Times New Roman" w:hAnsi="Times New Roman" w:cs="Times New Roman"/>
        </w:rPr>
        <w:t xml:space="preserve">. 26 </w:t>
      </w:r>
      <w:r w:rsidR="000431F9">
        <w:rPr>
          <w:rFonts w:ascii="Times New Roman" w:hAnsi="Times New Roman" w:cs="Times New Roman"/>
        </w:rPr>
        <w:t>(Princeton University, 1966) &lt;</w:t>
      </w:r>
      <w:r w:rsidR="000431F9" w:rsidRPr="00636696">
        <w:rPr>
          <w:rFonts w:ascii="Times New Roman" w:hAnsi="Times New Roman" w:cs="Times New Roman"/>
        </w:rPr>
        <w:t>https://archive.org/details/auroraconsurgens0000thom</w:t>
      </w:r>
      <w:r w:rsidR="000431F9">
        <w:rPr>
          <w:rFonts w:ascii="Times New Roman" w:hAnsi="Times New Roman" w:cs="Times New Roman"/>
        </w:rPr>
        <w:t xml:space="preserve">&gt; </w:t>
      </w:r>
      <w:r w:rsidR="000431F9" w:rsidRPr="00CD49C6">
        <w:rPr>
          <w:rFonts w:ascii="Times New Roman" w:hAnsi="Times New Roman" w:cs="Times New Roman"/>
        </w:rPr>
        <w:t>[accessed 23.12.2025]</w:t>
      </w:r>
      <w:r w:rsidR="000431F9">
        <w:rPr>
          <w:rFonts w:ascii="Times New Roman" w:hAnsi="Times New Roman" w:cs="Times New Roman"/>
        </w:rPr>
        <w:t>.</w:t>
      </w:r>
    </w:p>
  </w:footnote>
  <w:footnote w:id="11">
    <w:p w14:paraId="625ED19A" w14:textId="6339C205" w:rsidR="008F6709" w:rsidRPr="008F6709" w:rsidRDefault="008F6709" w:rsidP="00210CDA">
      <w:pPr>
        <w:pStyle w:val="FootnoteText"/>
        <w:spacing w:line="276" w:lineRule="auto"/>
        <w:rPr>
          <w:lang w:val="en-FI"/>
        </w:rPr>
      </w:pPr>
      <w:r>
        <w:rPr>
          <w:rStyle w:val="FootnoteReference"/>
        </w:rPr>
        <w:footnoteRef/>
      </w:r>
      <w:r>
        <w:t xml:space="preserve"> </w:t>
      </w:r>
      <w:r w:rsidR="000431F9">
        <w:rPr>
          <w:rFonts w:ascii="Times New Roman" w:hAnsi="Times New Roman" w:cs="Times New Roman"/>
        </w:rPr>
        <w:t>Persis Berlekamp</w:t>
      </w:r>
      <w:r w:rsidR="000431F9">
        <w:rPr>
          <w:rFonts w:ascii="Times New Roman" w:hAnsi="Times New Roman" w:cs="Times New Roman"/>
        </w:rPr>
        <w:t>, ‘</w:t>
      </w:r>
      <w:r w:rsidR="000431F9" w:rsidRPr="000431F9">
        <w:rPr>
          <w:rFonts w:ascii="Times New Roman" w:hAnsi="Times New Roman" w:cs="Times New Roman"/>
        </w:rPr>
        <w:t xml:space="preserve">Painting as Persuasion: A Visual </w:t>
      </w:r>
      <w:proofErr w:type="spellStart"/>
      <w:r w:rsidR="000431F9" w:rsidRPr="000431F9">
        <w:rPr>
          <w:rFonts w:ascii="Times New Roman" w:hAnsi="Times New Roman" w:cs="Times New Roman"/>
        </w:rPr>
        <w:t>Defense</w:t>
      </w:r>
      <w:proofErr w:type="spellEnd"/>
      <w:r w:rsidR="000431F9" w:rsidRPr="000431F9">
        <w:rPr>
          <w:rFonts w:ascii="Times New Roman" w:hAnsi="Times New Roman" w:cs="Times New Roman"/>
        </w:rPr>
        <w:t xml:space="preserve"> of Alchemy in an Islamic Manuscript of the Mongol Period</w:t>
      </w:r>
      <w:r w:rsidR="000431F9">
        <w:rPr>
          <w:rFonts w:ascii="Times New Roman" w:hAnsi="Times New Roman" w:cs="Times New Roman"/>
        </w:rPr>
        <w:t xml:space="preserve">’, </w:t>
      </w:r>
      <w:r w:rsidR="000431F9" w:rsidRPr="000431F9">
        <w:rPr>
          <w:rFonts w:ascii="Times New Roman" w:hAnsi="Times New Roman" w:cs="Times New Roman"/>
          <w:i/>
          <w:iCs/>
        </w:rPr>
        <w:t>Muqarnas</w:t>
      </w:r>
      <w:r w:rsidR="000431F9">
        <w:rPr>
          <w:rFonts w:ascii="Times New Roman" w:hAnsi="Times New Roman" w:cs="Times New Roman"/>
          <w:i/>
          <w:iCs/>
        </w:rPr>
        <w:t xml:space="preserve">, </w:t>
      </w:r>
      <w:r w:rsidR="000431F9" w:rsidRPr="004767A8">
        <w:rPr>
          <w:rFonts w:ascii="Times New Roman" w:hAnsi="Times New Roman" w:cs="Times New Roman"/>
        </w:rPr>
        <w:t xml:space="preserve">Vol. </w:t>
      </w:r>
      <w:r w:rsidR="000431F9">
        <w:rPr>
          <w:rFonts w:ascii="Times New Roman" w:hAnsi="Times New Roman" w:cs="Times New Roman"/>
        </w:rPr>
        <w:t>20</w:t>
      </w:r>
      <w:r w:rsidR="000431F9" w:rsidRPr="004767A8">
        <w:rPr>
          <w:rFonts w:ascii="Times New Roman" w:hAnsi="Times New Roman" w:cs="Times New Roman"/>
        </w:rPr>
        <w:t>, (2003), (p</w:t>
      </w:r>
      <w:r w:rsidR="000431F9">
        <w:rPr>
          <w:rFonts w:ascii="Times New Roman" w:hAnsi="Times New Roman" w:cs="Times New Roman"/>
        </w:rPr>
        <w:t>p</w:t>
      </w:r>
      <w:r w:rsidR="000431F9" w:rsidRPr="004767A8">
        <w:rPr>
          <w:rFonts w:ascii="Times New Roman" w:hAnsi="Times New Roman" w:cs="Times New Roman"/>
        </w:rPr>
        <w:t xml:space="preserve">. </w:t>
      </w:r>
      <w:r w:rsidR="000431F9">
        <w:rPr>
          <w:rFonts w:ascii="Times New Roman" w:hAnsi="Times New Roman" w:cs="Times New Roman"/>
          <w:lang w:val="en-GB"/>
        </w:rPr>
        <w:t>35-37</w:t>
      </w:r>
      <w:r w:rsidR="000431F9" w:rsidRPr="004767A8">
        <w:rPr>
          <w:rFonts w:ascii="Times New Roman" w:hAnsi="Times New Roman" w:cs="Times New Roman"/>
        </w:rPr>
        <w:t>)</w:t>
      </w:r>
      <w:r w:rsidR="000431F9">
        <w:rPr>
          <w:rFonts w:ascii="Times New Roman" w:hAnsi="Times New Roman" w:cs="Times New Roman"/>
        </w:rPr>
        <w:t xml:space="preserve"> &lt;</w:t>
      </w:r>
      <w:r w:rsidR="000431F9" w:rsidRPr="000431F9">
        <w:rPr>
          <w:rFonts w:ascii="Times New Roman" w:hAnsi="Times New Roman" w:cs="Times New Roman"/>
        </w:rPr>
        <w:t>https://www.jstor.org/stable/1523326</w:t>
      </w:r>
      <w:r w:rsidR="000431F9">
        <w:rPr>
          <w:rFonts w:ascii="Times New Roman" w:hAnsi="Times New Roman" w:cs="Times New Roman"/>
        </w:rPr>
        <w:t>&gt; [accessed 2</w:t>
      </w:r>
      <w:r w:rsidR="000431F9">
        <w:rPr>
          <w:rFonts w:ascii="Times New Roman" w:hAnsi="Times New Roman" w:cs="Times New Roman"/>
        </w:rPr>
        <w:t>3</w:t>
      </w:r>
      <w:r w:rsidR="000431F9">
        <w:rPr>
          <w:rFonts w:ascii="Times New Roman" w:hAnsi="Times New Roman" w:cs="Times New Roman"/>
        </w:rPr>
        <w:t>.12.2025].</w:t>
      </w:r>
    </w:p>
  </w:footnote>
  <w:footnote w:id="12">
    <w:p w14:paraId="0B2210FC" w14:textId="25D64B2F" w:rsidR="00455E98" w:rsidRPr="00455E98" w:rsidRDefault="00455E98">
      <w:pPr>
        <w:pStyle w:val="FootnoteText"/>
        <w:rPr>
          <w:lang w:val="en-GB"/>
        </w:rPr>
      </w:pPr>
      <w:r>
        <w:rPr>
          <w:rStyle w:val="FootnoteReference"/>
        </w:rPr>
        <w:footnoteRef/>
      </w:r>
      <w:r>
        <w:t xml:space="preserve"> </w:t>
      </w:r>
      <w:r w:rsidR="007D3E77" w:rsidRPr="00CD49C6">
        <w:rPr>
          <w:rFonts w:ascii="Times New Roman" w:hAnsi="Times New Roman" w:cs="Times New Roman"/>
        </w:rPr>
        <w:t xml:space="preserve">Carl G. Jung, ‘Mysterium </w:t>
      </w:r>
      <w:proofErr w:type="spellStart"/>
      <w:r w:rsidR="007D3E77" w:rsidRPr="00CD49C6">
        <w:rPr>
          <w:rFonts w:ascii="Times New Roman" w:hAnsi="Times New Roman" w:cs="Times New Roman"/>
        </w:rPr>
        <w:t>Coniunctionis</w:t>
      </w:r>
      <w:proofErr w:type="spellEnd"/>
      <w:r w:rsidR="007D3E77" w:rsidRPr="00CD49C6">
        <w:rPr>
          <w:rFonts w:ascii="Times New Roman" w:hAnsi="Times New Roman" w:cs="Times New Roman"/>
        </w:rPr>
        <w:t>. An Inquiry into the Separation and Synthesis of Psychic Opposites in Alchemy’,</w:t>
      </w:r>
      <w:r w:rsidR="007D3E77">
        <w:rPr>
          <w:rFonts w:ascii="Times New Roman" w:hAnsi="Times New Roman" w:cs="Times New Roman"/>
        </w:rPr>
        <w:t xml:space="preserve"> ed. by Sir Herbert Read, Michael Fordham, Gerhard Adler and William </w:t>
      </w:r>
      <w:proofErr w:type="spellStart"/>
      <w:r w:rsidR="007D3E77">
        <w:rPr>
          <w:rFonts w:ascii="Times New Roman" w:hAnsi="Times New Roman" w:cs="Times New Roman"/>
        </w:rPr>
        <w:t>Mcguire</w:t>
      </w:r>
      <w:proofErr w:type="spellEnd"/>
      <w:r w:rsidR="007D3E77">
        <w:rPr>
          <w:rFonts w:ascii="Times New Roman" w:hAnsi="Times New Roman" w:cs="Times New Roman"/>
        </w:rPr>
        <w:t>,</w:t>
      </w:r>
      <w:r w:rsidR="007D3E77" w:rsidRPr="00CD49C6">
        <w:rPr>
          <w:rFonts w:ascii="Times New Roman" w:hAnsi="Times New Roman" w:cs="Times New Roman"/>
        </w:rPr>
        <w:t xml:space="preserve"> trans. by R.F.C. Hull, 2nd </w:t>
      </w:r>
      <w:proofErr w:type="spellStart"/>
      <w:r w:rsidR="007D3E77" w:rsidRPr="00CD49C6">
        <w:rPr>
          <w:rFonts w:ascii="Times New Roman" w:hAnsi="Times New Roman" w:cs="Times New Roman"/>
        </w:rPr>
        <w:t>edn</w:t>
      </w:r>
      <w:proofErr w:type="spellEnd"/>
      <w:r w:rsidR="007D3E77" w:rsidRPr="00CD49C6">
        <w:rPr>
          <w:rFonts w:ascii="Times New Roman" w:hAnsi="Times New Roman" w:cs="Times New Roman"/>
        </w:rPr>
        <w:t xml:space="preserve"> (Princeton University, 1970), par</w:t>
      </w:r>
      <w:r w:rsidR="007D3E77">
        <w:rPr>
          <w:rFonts w:ascii="Times New Roman" w:hAnsi="Times New Roman" w:cs="Times New Roman"/>
        </w:rPr>
        <w:t>a</w:t>
      </w:r>
      <w:r w:rsidR="007D3E77">
        <w:rPr>
          <w:rFonts w:ascii="Times New Roman" w:hAnsi="Times New Roman" w:cs="Times New Roman"/>
        </w:rPr>
        <w:t>. 541</w:t>
      </w:r>
      <w:r w:rsidR="007D3E77">
        <w:rPr>
          <w:rFonts w:ascii="Times New Roman" w:hAnsi="Times New Roman" w:cs="Times New Roman"/>
        </w:rPr>
        <w:t xml:space="preserve"> </w:t>
      </w:r>
      <w:r w:rsidR="007D3E77" w:rsidRPr="00CD49C6">
        <w:rPr>
          <w:rFonts w:ascii="Times New Roman" w:hAnsi="Times New Roman" w:cs="Times New Roman"/>
        </w:rPr>
        <w:t>&lt;https://jungiancenter.org/wp-content/uploads/2023/09/vol-14-Mysterium-Coniunctionis-by-C-G-Jung.pdf&gt; [accessed 23.12.2025]</w:t>
      </w:r>
      <w:r w:rsidR="007D3E77">
        <w:rPr>
          <w:rFonts w:ascii="Times New Roman" w:hAnsi="Times New Roman" w:cs="Times New Roman"/>
        </w:rPr>
        <w:t>.</w:t>
      </w:r>
    </w:p>
  </w:footnote>
  <w:footnote w:id="13">
    <w:p w14:paraId="34132371" w14:textId="2B9594F8" w:rsidR="00C76371" w:rsidRPr="00C76371" w:rsidRDefault="00C76371">
      <w:pPr>
        <w:pStyle w:val="FootnoteText"/>
        <w:rPr>
          <w:lang w:val="en-GB"/>
        </w:rPr>
      </w:pPr>
      <w:r>
        <w:rPr>
          <w:rStyle w:val="FootnoteReference"/>
        </w:rPr>
        <w:footnoteRef/>
      </w:r>
      <w:r>
        <w:t xml:space="preserve"> </w:t>
      </w:r>
      <w:r w:rsidR="000A0DD6">
        <w:rPr>
          <w:rFonts w:ascii="Times New Roman" w:hAnsi="Times New Roman" w:cs="Times New Roman"/>
        </w:rPr>
        <w:t>Ibid. para. 506.</w:t>
      </w:r>
    </w:p>
  </w:footnote>
  <w:footnote w:id="14">
    <w:p w14:paraId="13DD4796" w14:textId="41B88DF4" w:rsidR="00CF2414" w:rsidRPr="00CF2414" w:rsidRDefault="00CF2414">
      <w:pPr>
        <w:pStyle w:val="FootnoteText"/>
        <w:rPr>
          <w:lang w:val="en-FI"/>
        </w:rPr>
      </w:pPr>
      <w:r>
        <w:rPr>
          <w:rStyle w:val="FootnoteReference"/>
        </w:rPr>
        <w:footnoteRef/>
      </w:r>
      <w:r>
        <w:t xml:space="preserve"> </w:t>
      </w:r>
      <w:r w:rsidR="000A0DD6">
        <w:rPr>
          <w:rFonts w:ascii="Times New Roman" w:hAnsi="Times New Roman" w:cs="Times New Roman"/>
        </w:rPr>
        <w:t>Ibid. para. 104.</w:t>
      </w:r>
    </w:p>
  </w:footnote>
  <w:footnote w:id="15">
    <w:p w14:paraId="4D43CC5F" w14:textId="6093DDFE" w:rsidR="00CF2414" w:rsidRPr="000A0DD6" w:rsidRDefault="00CF2414" w:rsidP="000A0DD6">
      <w:pPr>
        <w:pStyle w:val="FootnoteText"/>
        <w:spacing w:line="276" w:lineRule="auto"/>
        <w:rPr>
          <w:rFonts w:ascii="Times New Roman" w:hAnsi="Times New Roman" w:cs="Times New Roman"/>
          <w:lang w:val="en-FI"/>
        </w:rPr>
      </w:pPr>
      <w:r w:rsidRPr="000A0DD6">
        <w:rPr>
          <w:rStyle w:val="FootnoteReference"/>
          <w:rFonts w:ascii="Times New Roman" w:hAnsi="Times New Roman" w:cs="Times New Roman"/>
        </w:rPr>
        <w:footnoteRef/>
      </w:r>
      <w:r w:rsidRPr="000A0DD6">
        <w:rPr>
          <w:rFonts w:ascii="Times New Roman" w:hAnsi="Times New Roman" w:cs="Times New Roman"/>
        </w:rPr>
        <w:t xml:space="preserve"> </w:t>
      </w:r>
      <w:r w:rsidR="000A0DD6" w:rsidRPr="000A0DD6">
        <w:rPr>
          <w:rFonts w:ascii="Times New Roman" w:hAnsi="Times New Roman" w:cs="Times New Roman"/>
        </w:rPr>
        <w:t>Ibid. para. 506.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DD75E" w14:textId="50FD2A81" w:rsidR="003A287D" w:rsidRPr="003A287D" w:rsidRDefault="003A287D">
    <w:pPr>
      <w:pStyle w:val="Header"/>
      <w:rPr>
        <w:rFonts w:ascii="Times New Roman" w:hAnsi="Times New Roman" w:cs="Times New Roman"/>
        <w:sz w:val="24"/>
        <w:szCs w:val="24"/>
      </w:rPr>
    </w:pPr>
    <w:r w:rsidRPr="003A287D">
      <w:rPr>
        <w:rFonts w:ascii="Times New Roman" w:hAnsi="Times New Roman" w:cs="Times New Roman"/>
        <w:sz w:val="24"/>
        <w:szCs w:val="24"/>
      </w:rPr>
      <w:t>IMAGE COMMENTARY</w:t>
    </w:r>
    <w:r w:rsidRPr="003A287D">
      <w:rPr>
        <w:rFonts w:ascii="Times New Roman" w:hAnsi="Times New Roman" w:cs="Times New Roman"/>
        <w:sz w:val="24"/>
        <w:szCs w:val="24"/>
      </w:rPr>
      <w:tab/>
    </w:r>
    <w:r w:rsidRPr="003A287D">
      <w:rPr>
        <w:rFonts w:ascii="Times New Roman" w:hAnsi="Times New Roman" w:cs="Times New Roman"/>
        <w:sz w:val="24"/>
        <w:szCs w:val="24"/>
      </w:rPr>
      <w:tab/>
    </w:r>
    <w:sdt>
      <w:sdtPr>
        <w:rPr>
          <w:rFonts w:ascii="Times New Roman" w:hAnsi="Times New Roman" w:cs="Times New Roman"/>
          <w:sz w:val="24"/>
          <w:szCs w:val="24"/>
        </w:rPr>
        <w:id w:val="-878936004"/>
        <w:docPartObj>
          <w:docPartGallery w:val="Page Numbers (Top of Page)"/>
          <w:docPartUnique/>
        </w:docPartObj>
      </w:sdtPr>
      <w:sdtEndPr>
        <w:rPr>
          <w:noProof/>
        </w:rPr>
      </w:sdtEndPr>
      <w:sdtContent>
        <w:r w:rsidRPr="003A287D">
          <w:rPr>
            <w:rFonts w:ascii="Times New Roman" w:hAnsi="Times New Roman" w:cs="Times New Roman"/>
            <w:sz w:val="24"/>
            <w:szCs w:val="24"/>
          </w:rPr>
          <w:fldChar w:fldCharType="begin"/>
        </w:r>
        <w:r w:rsidRPr="003A287D">
          <w:rPr>
            <w:rFonts w:ascii="Times New Roman" w:hAnsi="Times New Roman" w:cs="Times New Roman"/>
            <w:sz w:val="24"/>
            <w:szCs w:val="24"/>
          </w:rPr>
          <w:instrText xml:space="preserve"> PAGE   \* MERGEFORMAT </w:instrText>
        </w:r>
        <w:r w:rsidRPr="003A287D">
          <w:rPr>
            <w:rFonts w:ascii="Times New Roman" w:hAnsi="Times New Roman" w:cs="Times New Roman"/>
            <w:sz w:val="24"/>
            <w:szCs w:val="24"/>
          </w:rPr>
          <w:fldChar w:fldCharType="separate"/>
        </w:r>
        <w:r w:rsidRPr="003A287D">
          <w:rPr>
            <w:rFonts w:ascii="Times New Roman" w:hAnsi="Times New Roman" w:cs="Times New Roman"/>
            <w:noProof/>
            <w:sz w:val="24"/>
            <w:szCs w:val="24"/>
          </w:rPr>
          <w:t>2</w:t>
        </w:r>
        <w:r w:rsidRPr="003A287D">
          <w:rPr>
            <w:rFonts w:ascii="Times New Roman" w:hAnsi="Times New Roman" w:cs="Times New Roman"/>
            <w:noProof/>
            <w:sz w:val="24"/>
            <w:szCs w:val="24"/>
          </w:rPr>
          <w:fldChar w:fldCharType="end"/>
        </w:r>
      </w:sdtContent>
    </w:sdt>
  </w:p>
  <w:p w14:paraId="7BDBDBBF" w14:textId="77777777" w:rsidR="003A287D" w:rsidRDefault="003A28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62443" w14:textId="5432568B" w:rsidR="003A287D" w:rsidRPr="003A287D" w:rsidRDefault="003A287D">
    <w:pPr>
      <w:pStyle w:val="Header"/>
      <w:rPr>
        <w:sz w:val="20"/>
        <w:szCs w:val="20"/>
      </w:rPr>
    </w:pPr>
    <w:r w:rsidRPr="003A287D">
      <w:rPr>
        <w:rFonts w:ascii="Times New Roman" w:hAnsi="Times New Roman" w:cs="Times New Roman"/>
        <w:sz w:val="24"/>
        <w:szCs w:val="24"/>
      </w:rPr>
      <w:t>Running head: IMAGE COMMENTARY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64C01"/>
    <w:multiLevelType w:val="hybridMultilevel"/>
    <w:tmpl w:val="3536BA1E"/>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50510526"/>
    <w:multiLevelType w:val="hybridMultilevel"/>
    <w:tmpl w:val="3536BA1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862936068">
    <w:abstractNumId w:val="0"/>
  </w:num>
  <w:num w:numId="2" w16cid:durableId="816578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87D"/>
    <w:rsid w:val="000220ED"/>
    <w:rsid w:val="000431F9"/>
    <w:rsid w:val="00084BEF"/>
    <w:rsid w:val="0008783F"/>
    <w:rsid w:val="000A0DD6"/>
    <w:rsid w:val="000B392C"/>
    <w:rsid w:val="000D5019"/>
    <w:rsid w:val="00157C83"/>
    <w:rsid w:val="001706FF"/>
    <w:rsid w:val="00207947"/>
    <w:rsid w:val="00210CDA"/>
    <w:rsid w:val="002338F1"/>
    <w:rsid w:val="0027341C"/>
    <w:rsid w:val="002A01CE"/>
    <w:rsid w:val="00354DE8"/>
    <w:rsid w:val="003A287D"/>
    <w:rsid w:val="003F6198"/>
    <w:rsid w:val="00416ADB"/>
    <w:rsid w:val="00455E98"/>
    <w:rsid w:val="004767A8"/>
    <w:rsid w:val="004816BA"/>
    <w:rsid w:val="004D3C78"/>
    <w:rsid w:val="004D4480"/>
    <w:rsid w:val="004D54B2"/>
    <w:rsid w:val="00544F7A"/>
    <w:rsid w:val="00564AE3"/>
    <w:rsid w:val="005C5F26"/>
    <w:rsid w:val="00621BD4"/>
    <w:rsid w:val="00636696"/>
    <w:rsid w:val="00705858"/>
    <w:rsid w:val="007717CC"/>
    <w:rsid w:val="007A50A5"/>
    <w:rsid w:val="007D3E77"/>
    <w:rsid w:val="007F034D"/>
    <w:rsid w:val="008026A1"/>
    <w:rsid w:val="00871FE6"/>
    <w:rsid w:val="0087724E"/>
    <w:rsid w:val="0088629D"/>
    <w:rsid w:val="008B0EED"/>
    <w:rsid w:val="008B1F19"/>
    <w:rsid w:val="008F6709"/>
    <w:rsid w:val="00983A3A"/>
    <w:rsid w:val="009E353C"/>
    <w:rsid w:val="00A710F1"/>
    <w:rsid w:val="00A761DC"/>
    <w:rsid w:val="00B22641"/>
    <w:rsid w:val="00B34FA5"/>
    <w:rsid w:val="00B565B7"/>
    <w:rsid w:val="00B767DA"/>
    <w:rsid w:val="00BD64B5"/>
    <w:rsid w:val="00C31FD1"/>
    <w:rsid w:val="00C742E8"/>
    <w:rsid w:val="00C76371"/>
    <w:rsid w:val="00CA00FD"/>
    <w:rsid w:val="00CD49C6"/>
    <w:rsid w:val="00CE4E5F"/>
    <w:rsid w:val="00CF2414"/>
    <w:rsid w:val="00D32A82"/>
    <w:rsid w:val="00D32EA3"/>
    <w:rsid w:val="00D541F2"/>
    <w:rsid w:val="00DA41E0"/>
    <w:rsid w:val="00DD3E3F"/>
    <w:rsid w:val="00DD777D"/>
    <w:rsid w:val="00E17315"/>
    <w:rsid w:val="00E47CBF"/>
    <w:rsid w:val="00E52016"/>
    <w:rsid w:val="00E64AED"/>
    <w:rsid w:val="00F32A18"/>
    <w:rsid w:val="00FE70D1"/>
  </w:rsids>
  <m:mathPr>
    <m:mathFont m:val="Cambria Math"/>
    <m:brkBin m:val="before"/>
    <m:brkBinSub m:val="--"/>
    <m:smallFrac m:val="0"/>
    <m:dispDef/>
    <m:lMargin m:val="0"/>
    <m:rMargin m:val="0"/>
    <m:defJc m:val="centerGroup"/>
    <m:wrapIndent m:val="1440"/>
    <m:intLim m:val="subSup"/>
    <m:naryLim m:val="undOvr"/>
  </m:mathPr>
  <w:themeFontLang w:val="en-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15E2"/>
  <w15:chartTrackingRefBased/>
  <w15:docId w15:val="{2FAD4217-F711-4E72-8863-D6FD74BEF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87D"/>
  </w:style>
  <w:style w:type="paragraph" w:styleId="Heading1">
    <w:name w:val="heading 1"/>
    <w:basedOn w:val="Normal"/>
    <w:next w:val="Normal"/>
    <w:link w:val="Heading1Char"/>
    <w:uiPriority w:val="9"/>
    <w:qFormat/>
    <w:rsid w:val="003A28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28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28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28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28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28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8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8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8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8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28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28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28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28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28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8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8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87D"/>
    <w:rPr>
      <w:rFonts w:eastAsiaTheme="majorEastAsia" w:cstheme="majorBidi"/>
      <w:color w:val="272727" w:themeColor="text1" w:themeTint="D8"/>
    </w:rPr>
  </w:style>
  <w:style w:type="paragraph" w:styleId="Title">
    <w:name w:val="Title"/>
    <w:basedOn w:val="Normal"/>
    <w:next w:val="Normal"/>
    <w:link w:val="TitleChar"/>
    <w:uiPriority w:val="10"/>
    <w:qFormat/>
    <w:rsid w:val="003A28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8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8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8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87D"/>
    <w:pPr>
      <w:spacing w:before="160"/>
      <w:jc w:val="center"/>
    </w:pPr>
    <w:rPr>
      <w:i/>
      <w:iCs/>
      <w:color w:val="404040" w:themeColor="text1" w:themeTint="BF"/>
    </w:rPr>
  </w:style>
  <w:style w:type="character" w:customStyle="1" w:styleId="QuoteChar">
    <w:name w:val="Quote Char"/>
    <w:basedOn w:val="DefaultParagraphFont"/>
    <w:link w:val="Quote"/>
    <w:uiPriority w:val="29"/>
    <w:rsid w:val="003A287D"/>
    <w:rPr>
      <w:i/>
      <w:iCs/>
      <w:color w:val="404040" w:themeColor="text1" w:themeTint="BF"/>
    </w:rPr>
  </w:style>
  <w:style w:type="paragraph" w:styleId="ListParagraph">
    <w:name w:val="List Paragraph"/>
    <w:basedOn w:val="Normal"/>
    <w:uiPriority w:val="34"/>
    <w:qFormat/>
    <w:rsid w:val="003A287D"/>
    <w:pPr>
      <w:ind w:left="720"/>
      <w:contextualSpacing/>
    </w:pPr>
  </w:style>
  <w:style w:type="character" w:styleId="IntenseEmphasis">
    <w:name w:val="Intense Emphasis"/>
    <w:basedOn w:val="DefaultParagraphFont"/>
    <w:uiPriority w:val="21"/>
    <w:qFormat/>
    <w:rsid w:val="003A287D"/>
    <w:rPr>
      <w:i/>
      <w:iCs/>
      <w:color w:val="2F5496" w:themeColor="accent1" w:themeShade="BF"/>
    </w:rPr>
  </w:style>
  <w:style w:type="paragraph" w:styleId="IntenseQuote">
    <w:name w:val="Intense Quote"/>
    <w:basedOn w:val="Normal"/>
    <w:next w:val="Normal"/>
    <w:link w:val="IntenseQuoteChar"/>
    <w:uiPriority w:val="30"/>
    <w:qFormat/>
    <w:rsid w:val="003A28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287D"/>
    <w:rPr>
      <w:i/>
      <w:iCs/>
      <w:color w:val="2F5496" w:themeColor="accent1" w:themeShade="BF"/>
    </w:rPr>
  </w:style>
  <w:style w:type="character" w:styleId="IntenseReference">
    <w:name w:val="Intense Reference"/>
    <w:basedOn w:val="DefaultParagraphFont"/>
    <w:uiPriority w:val="32"/>
    <w:qFormat/>
    <w:rsid w:val="003A287D"/>
    <w:rPr>
      <w:b/>
      <w:bCs/>
      <w:smallCaps/>
      <w:color w:val="2F5496" w:themeColor="accent1" w:themeShade="BF"/>
      <w:spacing w:val="5"/>
    </w:rPr>
  </w:style>
  <w:style w:type="paragraph" w:styleId="Header">
    <w:name w:val="header"/>
    <w:basedOn w:val="Normal"/>
    <w:link w:val="HeaderChar"/>
    <w:uiPriority w:val="99"/>
    <w:unhideWhenUsed/>
    <w:rsid w:val="003A2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87D"/>
  </w:style>
  <w:style w:type="paragraph" w:styleId="Footer">
    <w:name w:val="footer"/>
    <w:basedOn w:val="Normal"/>
    <w:link w:val="FooterChar"/>
    <w:uiPriority w:val="99"/>
    <w:unhideWhenUsed/>
    <w:rsid w:val="003A2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87D"/>
  </w:style>
  <w:style w:type="paragraph" w:styleId="FootnoteText">
    <w:name w:val="footnote text"/>
    <w:basedOn w:val="Normal"/>
    <w:link w:val="FootnoteTextChar"/>
    <w:uiPriority w:val="99"/>
    <w:semiHidden/>
    <w:unhideWhenUsed/>
    <w:rsid w:val="00DA41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41E0"/>
    <w:rPr>
      <w:sz w:val="20"/>
      <w:szCs w:val="20"/>
    </w:rPr>
  </w:style>
  <w:style w:type="character" w:styleId="FootnoteReference">
    <w:name w:val="footnote reference"/>
    <w:basedOn w:val="DefaultParagraphFont"/>
    <w:uiPriority w:val="99"/>
    <w:semiHidden/>
    <w:unhideWhenUsed/>
    <w:rsid w:val="00DA41E0"/>
    <w:rPr>
      <w:vertAlign w:val="superscript"/>
    </w:rPr>
  </w:style>
  <w:style w:type="character" w:styleId="Hyperlink">
    <w:name w:val="Hyperlink"/>
    <w:basedOn w:val="DefaultParagraphFont"/>
    <w:uiPriority w:val="99"/>
    <w:unhideWhenUsed/>
    <w:rsid w:val="00084BEF"/>
    <w:rPr>
      <w:color w:val="0563C1" w:themeColor="hyperlink"/>
      <w:u w:val="single"/>
    </w:rPr>
  </w:style>
  <w:style w:type="character" w:styleId="UnresolvedMention">
    <w:name w:val="Unresolved Mention"/>
    <w:basedOn w:val="DefaultParagraphFont"/>
    <w:uiPriority w:val="99"/>
    <w:semiHidden/>
    <w:unhideWhenUsed/>
    <w:rsid w:val="00084B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A22ED-31CD-4261-8403-C4343562B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3264</TotalTime>
  <Pages>11</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Kviatkovska</dc:creator>
  <cp:keywords/>
  <dc:description/>
  <cp:lastModifiedBy>Lolita Kviatkovska</cp:lastModifiedBy>
  <cp:revision>18</cp:revision>
  <dcterms:created xsi:type="dcterms:W3CDTF">2025-12-23T17:25:00Z</dcterms:created>
  <dcterms:modified xsi:type="dcterms:W3CDTF">2025-12-25T23:52:00Z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1f73d82f-91fe-4400-8331-179b6138729f</vt:lpwstr>
  </property>
</Properties>
</file>