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1F8B6" w14:textId="70A25E7B" w:rsidR="00752F43" w:rsidRDefault="00752F43" w:rsidP="00752F43">
      <w:pPr>
        <w:jc w:val="center"/>
        <w:rPr>
          <w:rFonts w:ascii="Arial" w:hAnsi="Arial" w:cs="Arial"/>
          <w:sz w:val="36"/>
          <w:szCs w:val="36"/>
        </w:rPr>
      </w:pPr>
      <w:r w:rsidRPr="00752F43">
        <w:rPr>
          <w:rFonts w:ascii="Arial" w:hAnsi="Arial" w:cs="Arial"/>
          <w:sz w:val="36"/>
          <w:szCs w:val="36"/>
        </w:rPr>
        <w:t>Contemporary Issues in Criminal Justice </w:t>
      </w:r>
    </w:p>
    <w:p w14:paraId="18309EB7" w14:textId="16037CC0" w:rsidR="00752F43" w:rsidRDefault="00752F43" w:rsidP="00752F43">
      <w:pPr>
        <w:jc w:val="center"/>
        <w:rPr>
          <w:rFonts w:ascii="Arial" w:hAnsi="Arial" w:cs="Arial"/>
          <w:sz w:val="36"/>
          <w:szCs w:val="36"/>
        </w:rPr>
      </w:pPr>
      <w:r>
        <w:rPr>
          <w:rFonts w:ascii="Arial" w:hAnsi="Arial" w:cs="Arial"/>
          <w:sz w:val="36"/>
          <w:szCs w:val="36"/>
        </w:rPr>
        <w:t>(Supporting paper)</w:t>
      </w:r>
    </w:p>
    <w:p w14:paraId="2A66B0BF" w14:textId="77777777" w:rsidR="00752F43" w:rsidRDefault="00752F43" w:rsidP="00752F43">
      <w:pPr>
        <w:jc w:val="center"/>
        <w:rPr>
          <w:rFonts w:ascii="Arial" w:hAnsi="Arial" w:cs="Arial"/>
          <w:sz w:val="36"/>
          <w:szCs w:val="36"/>
        </w:rPr>
      </w:pPr>
    </w:p>
    <w:p w14:paraId="06E9DE95" w14:textId="77777777" w:rsidR="00752F43" w:rsidRDefault="00752F43" w:rsidP="00752F43">
      <w:pPr>
        <w:jc w:val="center"/>
        <w:rPr>
          <w:rFonts w:ascii="Arial" w:hAnsi="Arial" w:cs="Arial"/>
          <w:sz w:val="36"/>
          <w:szCs w:val="36"/>
        </w:rPr>
      </w:pPr>
    </w:p>
    <w:p w14:paraId="5FC0C3C2" w14:textId="77777777" w:rsidR="00752F43" w:rsidRDefault="00752F43" w:rsidP="00752F43">
      <w:pPr>
        <w:jc w:val="center"/>
        <w:rPr>
          <w:rFonts w:ascii="Arial" w:hAnsi="Arial" w:cs="Arial"/>
          <w:sz w:val="36"/>
          <w:szCs w:val="36"/>
        </w:rPr>
      </w:pPr>
    </w:p>
    <w:p w14:paraId="30DC275F" w14:textId="77777777" w:rsidR="00752F43" w:rsidRDefault="00752F43" w:rsidP="00752F43">
      <w:pPr>
        <w:jc w:val="center"/>
        <w:rPr>
          <w:rFonts w:ascii="Arial" w:hAnsi="Arial" w:cs="Arial"/>
          <w:sz w:val="36"/>
          <w:szCs w:val="36"/>
        </w:rPr>
      </w:pPr>
    </w:p>
    <w:p w14:paraId="74DE5944" w14:textId="77777777" w:rsidR="00752F43" w:rsidRDefault="00752F43" w:rsidP="00752F43">
      <w:pPr>
        <w:jc w:val="center"/>
        <w:rPr>
          <w:rFonts w:ascii="Arial" w:hAnsi="Arial" w:cs="Arial"/>
          <w:sz w:val="36"/>
          <w:szCs w:val="36"/>
        </w:rPr>
      </w:pPr>
    </w:p>
    <w:p w14:paraId="34B2FA9A" w14:textId="0A44E5B2" w:rsidR="00752F43" w:rsidRDefault="00507D77" w:rsidP="00507D77">
      <w:pPr>
        <w:rPr>
          <w:rFonts w:ascii="Arial" w:hAnsi="Arial" w:cs="Arial"/>
          <w:sz w:val="36"/>
          <w:szCs w:val="36"/>
        </w:rPr>
      </w:pPr>
      <w:r>
        <w:fldChar w:fldCharType="begin"/>
      </w:r>
      <w:r>
        <w:instrText xml:space="preserve"> INCLUDEPICTURE "/Users/Sadiemason/Library/Group Containers/UBF8T346G9.ms/WebArchiveCopyPasteTempFiles/com.microsoft.Word/images?q=tbnANd9GcRyPKI1jvW0rcC9cT5iFVnY2tt317tfGKQuKA&amp;s" \* MERGEFORMATINET </w:instrText>
      </w:r>
      <w:r>
        <w:fldChar w:fldCharType="separate"/>
      </w:r>
      <w:r>
        <w:rPr>
          <w:noProof/>
        </w:rPr>
        <w:drawing>
          <wp:inline distT="0" distB="0" distL="0" distR="0" wp14:anchorId="102C8621" wp14:editId="172256C4">
            <wp:extent cx="5728685" cy="3571102"/>
            <wp:effectExtent l="0" t="0" r="0" b="0"/>
            <wp:docPr id="1482003505" name="Picture 1" descr="Strip Search of Children: A violation of children's rights | Children's  Legal Cent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ip Search of Children: A violation of children's rights | Children's  Legal Centre Wa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4091" cy="3593173"/>
                    </a:xfrm>
                    <a:prstGeom prst="rect">
                      <a:avLst/>
                    </a:prstGeom>
                    <a:noFill/>
                    <a:ln>
                      <a:noFill/>
                    </a:ln>
                  </pic:spPr>
                </pic:pic>
              </a:graphicData>
            </a:graphic>
          </wp:inline>
        </w:drawing>
      </w:r>
      <w:r>
        <w:fldChar w:fldCharType="end"/>
      </w:r>
    </w:p>
    <w:p w14:paraId="4AB7431C" w14:textId="77777777" w:rsidR="00752F43" w:rsidRDefault="00752F43" w:rsidP="00507D77">
      <w:pPr>
        <w:rPr>
          <w:rFonts w:ascii="Arial" w:hAnsi="Arial" w:cs="Arial"/>
          <w:sz w:val="36"/>
          <w:szCs w:val="36"/>
        </w:rPr>
      </w:pPr>
    </w:p>
    <w:p w14:paraId="1CB6D67F" w14:textId="70FC5027" w:rsidR="00752F43" w:rsidRPr="00EC57ED" w:rsidRDefault="00073E6F" w:rsidP="00073E6F">
      <w:pPr>
        <w:rPr>
          <w:rFonts w:ascii="Arial" w:hAnsi="Arial" w:cs="Arial"/>
          <w:sz w:val="36"/>
          <w:szCs w:val="36"/>
        </w:rPr>
      </w:pPr>
      <w:r w:rsidRPr="00EC57ED">
        <w:rPr>
          <w:rFonts w:ascii="Arial" w:hAnsi="Arial" w:cs="Arial"/>
        </w:rPr>
        <w:t>Children’s Legal Centre Wales (2022)</w:t>
      </w:r>
    </w:p>
    <w:p w14:paraId="5F9CCF50" w14:textId="77777777" w:rsidR="00752F43" w:rsidRDefault="00752F43" w:rsidP="00752F43">
      <w:pPr>
        <w:jc w:val="center"/>
        <w:rPr>
          <w:rFonts w:ascii="Arial" w:hAnsi="Arial" w:cs="Arial"/>
          <w:sz w:val="36"/>
          <w:szCs w:val="36"/>
        </w:rPr>
      </w:pPr>
    </w:p>
    <w:p w14:paraId="6F31E350" w14:textId="77777777" w:rsidR="00752F43" w:rsidRDefault="00752F43" w:rsidP="00752F43">
      <w:pPr>
        <w:jc w:val="center"/>
        <w:rPr>
          <w:rFonts w:ascii="Arial" w:hAnsi="Arial" w:cs="Arial"/>
          <w:sz w:val="36"/>
          <w:szCs w:val="36"/>
        </w:rPr>
      </w:pPr>
    </w:p>
    <w:p w14:paraId="28D4425E" w14:textId="77777777" w:rsidR="00752F43" w:rsidRPr="00752F43" w:rsidRDefault="00752F43" w:rsidP="00752F43">
      <w:pPr>
        <w:jc w:val="center"/>
        <w:rPr>
          <w:rFonts w:ascii="Arial" w:hAnsi="Arial" w:cs="Arial"/>
          <w:sz w:val="36"/>
          <w:szCs w:val="36"/>
        </w:rPr>
      </w:pPr>
    </w:p>
    <w:p w14:paraId="28697280" w14:textId="77777777" w:rsidR="00752F43" w:rsidRPr="00752F43" w:rsidRDefault="00752F43" w:rsidP="00752F43">
      <w:pPr>
        <w:jc w:val="center"/>
        <w:rPr>
          <w:rFonts w:ascii="Arial" w:hAnsi="Arial" w:cs="Arial"/>
          <w:sz w:val="36"/>
          <w:szCs w:val="36"/>
        </w:rPr>
      </w:pPr>
    </w:p>
    <w:p w14:paraId="53CDFFBB" w14:textId="4F18E47C" w:rsidR="00752F43" w:rsidRPr="00752F43" w:rsidRDefault="00752F43" w:rsidP="00752F43">
      <w:pPr>
        <w:jc w:val="center"/>
        <w:rPr>
          <w:rFonts w:ascii="Arial" w:hAnsi="Arial" w:cs="Arial"/>
          <w:sz w:val="36"/>
          <w:szCs w:val="36"/>
        </w:rPr>
      </w:pPr>
      <w:r w:rsidRPr="00752F43">
        <w:rPr>
          <w:rFonts w:ascii="Arial" w:hAnsi="Arial" w:cs="Arial"/>
          <w:sz w:val="36"/>
          <w:szCs w:val="36"/>
        </w:rPr>
        <w:t xml:space="preserve">Sadie May Mason </w:t>
      </w:r>
    </w:p>
    <w:p w14:paraId="38FA770C" w14:textId="0245F435" w:rsidR="00752F43" w:rsidRPr="00752F43" w:rsidRDefault="00752F43" w:rsidP="00752F43">
      <w:pPr>
        <w:jc w:val="center"/>
        <w:rPr>
          <w:rFonts w:ascii="Arial" w:hAnsi="Arial" w:cs="Arial"/>
          <w:sz w:val="36"/>
          <w:szCs w:val="36"/>
        </w:rPr>
      </w:pPr>
      <w:r w:rsidRPr="00752F43">
        <w:rPr>
          <w:rFonts w:ascii="Arial" w:hAnsi="Arial" w:cs="Arial"/>
          <w:sz w:val="36"/>
          <w:szCs w:val="36"/>
        </w:rPr>
        <w:t xml:space="preserve">2204171 </w:t>
      </w:r>
    </w:p>
    <w:p w14:paraId="7C1F5EF5" w14:textId="5CB866DE" w:rsidR="00752F43" w:rsidRDefault="00752F43" w:rsidP="00752F43">
      <w:pPr>
        <w:jc w:val="center"/>
        <w:rPr>
          <w:rFonts w:ascii="Arial" w:hAnsi="Arial" w:cs="Arial"/>
          <w:sz w:val="36"/>
          <w:szCs w:val="36"/>
        </w:rPr>
      </w:pPr>
      <w:r w:rsidRPr="00752F43">
        <w:rPr>
          <w:rFonts w:ascii="Arial" w:hAnsi="Arial" w:cs="Arial"/>
          <w:sz w:val="36"/>
          <w:szCs w:val="36"/>
        </w:rPr>
        <w:t xml:space="preserve">BMCJ7005 </w:t>
      </w:r>
    </w:p>
    <w:p w14:paraId="1438B081" w14:textId="77777777" w:rsidR="00507D77" w:rsidRDefault="00507D77" w:rsidP="00752F43">
      <w:pPr>
        <w:jc w:val="center"/>
        <w:rPr>
          <w:rFonts w:ascii="Arial" w:hAnsi="Arial" w:cs="Arial"/>
          <w:sz w:val="36"/>
          <w:szCs w:val="36"/>
        </w:rPr>
      </w:pPr>
    </w:p>
    <w:p w14:paraId="43086023" w14:textId="77777777" w:rsidR="00507D77" w:rsidRDefault="00507D77" w:rsidP="00752F43">
      <w:pPr>
        <w:jc w:val="center"/>
        <w:rPr>
          <w:rFonts w:ascii="Arial" w:hAnsi="Arial" w:cs="Arial"/>
          <w:sz w:val="36"/>
          <w:szCs w:val="36"/>
        </w:rPr>
      </w:pPr>
    </w:p>
    <w:p w14:paraId="113C6B50" w14:textId="77777777" w:rsidR="00507D77" w:rsidRDefault="00507D77" w:rsidP="00752F43">
      <w:pPr>
        <w:jc w:val="center"/>
        <w:rPr>
          <w:rFonts w:ascii="Arial" w:hAnsi="Arial" w:cs="Arial"/>
          <w:sz w:val="36"/>
          <w:szCs w:val="36"/>
        </w:rPr>
      </w:pPr>
    </w:p>
    <w:p w14:paraId="53AAD97A" w14:textId="77777777" w:rsidR="003D24F2"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lastRenderedPageBreak/>
        <w:t>The strip searching of children by the Metropolitan Police has emerged as one of the most serious safeguarding failures within contemporary British policing</w:t>
      </w:r>
      <w:r w:rsidR="00073E6F" w:rsidRPr="003D24F2">
        <w:rPr>
          <w:rFonts w:ascii="Arial" w:hAnsi="Arial" w:cs="Arial"/>
          <w:color w:val="000000"/>
        </w:rPr>
        <w:t xml:space="preserve"> </w:t>
      </w:r>
      <w:r w:rsidR="00073E6F" w:rsidRPr="003D24F2">
        <w:rPr>
          <w:rFonts w:ascii="Arial" w:hAnsi="Arial" w:cs="Arial"/>
        </w:rPr>
        <w:t>(Youth Justice Legal Centre, n.d.)</w:t>
      </w:r>
      <w:r w:rsidR="00EC57ED" w:rsidRPr="003D24F2">
        <w:rPr>
          <w:rFonts w:ascii="Arial" w:hAnsi="Arial" w:cs="Arial"/>
        </w:rPr>
        <w:t>.</w:t>
      </w:r>
      <w:r w:rsidRPr="003D24F2">
        <w:rPr>
          <w:rFonts w:ascii="Arial" w:hAnsi="Arial" w:cs="Arial"/>
          <w:color w:val="000000"/>
        </w:rPr>
        <w:t xml:space="preserve"> Exposed through safeguarding reviews, oversight inspections and independent investigations, the practice revealed that thousands of minors were subjected to highly invasive searches between 2018 and 2022, frequently without adequate welfare protections or strong evidential justification</w:t>
      </w:r>
      <w:r w:rsidR="00073E6F" w:rsidRPr="003D24F2">
        <w:rPr>
          <w:rFonts w:ascii="Arial" w:hAnsi="Arial" w:cs="Arial"/>
          <w:color w:val="000000"/>
        </w:rPr>
        <w:t xml:space="preserve"> </w:t>
      </w:r>
      <w:r w:rsidR="00073E6F" w:rsidRPr="003D24F2">
        <w:rPr>
          <w:rFonts w:ascii="Arial" w:hAnsi="Arial" w:cs="Arial"/>
        </w:rPr>
        <w:t>(Children’s Commissioner for England, 2022)</w:t>
      </w:r>
      <w:r w:rsidRPr="003D24F2">
        <w:rPr>
          <w:rFonts w:ascii="Arial" w:hAnsi="Arial" w:cs="Arial"/>
          <w:color w:val="000000"/>
        </w:rPr>
        <w:t xml:space="preserve">. According to the Children’s Commissioner for England (2023), over 2,000 children were strip searched during this period, with </w:t>
      </w:r>
      <w:proofErr w:type="gramStart"/>
      <w:r w:rsidRPr="003D24F2">
        <w:rPr>
          <w:rFonts w:ascii="Arial" w:hAnsi="Arial" w:cs="Arial"/>
          <w:color w:val="000000"/>
        </w:rPr>
        <w:t>the majority of</w:t>
      </w:r>
      <w:proofErr w:type="gramEnd"/>
      <w:r w:rsidRPr="003D24F2">
        <w:rPr>
          <w:rFonts w:ascii="Arial" w:hAnsi="Arial" w:cs="Arial"/>
          <w:color w:val="000000"/>
        </w:rPr>
        <w:t xml:space="preserve"> cases resulting in no further police action.</w:t>
      </w:r>
      <w:r w:rsidR="00073E6F" w:rsidRPr="003D24F2">
        <w:rPr>
          <w:rFonts w:ascii="Arial" w:hAnsi="Arial" w:cs="Arial"/>
          <w:color w:val="000000"/>
        </w:rPr>
        <w:t xml:space="preserve"> In accordance with </w:t>
      </w:r>
      <w:r w:rsidR="00073E6F" w:rsidRPr="003D24F2">
        <w:rPr>
          <w:rFonts w:ascii="Arial" w:hAnsi="Arial" w:cs="Arial"/>
        </w:rPr>
        <w:t>Youth Justice Legal Centre (2025)</w:t>
      </w:r>
      <w:r w:rsidR="00073E6F" w:rsidRPr="003D24F2">
        <w:rPr>
          <w:rFonts w:ascii="Arial" w:hAnsi="Arial" w:cs="Arial"/>
          <w:color w:val="000000"/>
        </w:rPr>
        <w:t>, this</w:t>
      </w:r>
      <w:r w:rsidRPr="003D24F2">
        <w:rPr>
          <w:rFonts w:ascii="Arial" w:hAnsi="Arial" w:cs="Arial"/>
          <w:color w:val="000000"/>
        </w:rPr>
        <w:t xml:space="preserve"> pattern raises profound concerns regarding proportionality, </w:t>
      </w:r>
      <w:proofErr w:type="gramStart"/>
      <w:r w:rsidRPr="003D24F2">
        <w:rPr>
          <w:rFonts w:ascii="Arial" w:hAnsi="Arial" w:cs="Arial"/>
          <w:color w:val="000000"/>
        </w:rPr>
        <w:t>legality</w:t>
      </w:r>
      <w:proofErr w:type="gramEnd"/>
      <w:r w:rsidRPr="003D24F2">
        <w:rPr>
          <w:rFonts w:ascii="Arial" w:hAnsi="Arial" w:cs="Arial"/>
          <w:color w:val="000000"/>
        </w:rPr>
        <w:t xml:space="preserve"> and compliance with human rights law. While policing bodies have framed strip searching as a necessary crime prevention tool in response to knife crime and drug offences, the scale, </w:t>
      </w:r>
      <w:proofErr w:type="gramStart"/>
      <w:r w:rsidRPr="003D24F2">
        <w:rPr>
          <w:rFonts w:ascii="Arial" w:hAnsi="Arial" w:cs="Arial"/>
          <w:color w:val="000000"/>
        </w:rPr>
        <w:t>disproportionality</w:t>
      </w:r>
      <w:proofErr w:type="gramEnd"/>
      <w:r w:rsidRPr="003D24F2">
        <w:rPr>
          <w:rFonts w:ascii="Arial" w:hAnsi="Arial" w:cs="Arial"/>
          <w:color w:val="000000"/>
        </w:rPr>
        <w:t xml:space="preserve"> and psychological impact of these practices suggest systemic failure rather than exceptional enforcement</w:t>
      </w:r>
      <w:r w:rsidR="00073E6F" w:rsidRPr="003D24F2">
        <w:rPr>
          <w:rFonts w:ascii="Arial" w:hAnsi="Arial" w:cs="Arial"/>
          <w:color w:val="000000"/>
        </w:rPr>
        <w:t xml:space="preserve"> </w:t>
      </w:r>
      <w:r w:rsidR="00073E6F" w:rsidRPr="003D24F2">
        <w:rPr>
          <w:rFonts w:ascii="Arial" w:hAnsi="Arial" w:cs="Arial"/>
        </w:rPr>
        <w:t>(Johnson, 2024)</w:t>
      </w:r>
      <w:r w:rsidRPr="003D24F2">
        <w:rPr>
          <w:rFonts w:ascii="Arial" w:hAnsi="Arial" w:cs="Arial"/>
          <w:color w:val="000000"/>
        </w:rPr>
        <w:t xml:space="preserve">. </w:t>
      </w:r>
      <w:r w:rsidR="00EC57ED" w:rsidRPr="003D24F2">
        <w:rPr>
          <w:rFonts w:ascii="Arial" w:hAnsi="Arial" w:cs="Arial"/>
        </w:rPr>
        <w:t>This essay critically evaluates whether the strip searching of children was justified within human rights law,</w:t>
      </w:r>
      <w:r w:rsidRPr="003D24F2">
        <w:rPr>
          <w:rFonts w:ascii="Arial" w:hAnsi="Arial" w:cs="Arial"/>
          <w:color w:val="000000"/>
        </w:rPr>
        <w:t xml:space="preserve"> arguing that it constituted a disproportionate breach of human rights protections and reflected deeper institutional problems within modern policing.</w:t>
      </w:r>
      <w:r w:rsidR="003D24F2" w:rsidRPr="003D24F2">
        <w:rPr>
          <w:rFonts w:ascii="Arial" w:hAnsi="Arial" w:cs="Arial"/>
          <w:color w:val="000000"/>
        </w:rPr>
        <w:t xml:space="preserve"> The discussion draws upon human rights law, criminological </w:t>
      </w:r>
      <w:proofErr w:type="gramStart"/>
      <w:r w:rsidR="003D24F2" w:rsidRPr="003D24F2">
        <w:rPr>
          <w:rFonts w:ascii="Arial" w:hAnsi="Arial" w:cs="Arial"/>
          <w:color w:val="000000"/>
        </w:rPr>
        <w:t>theory</w:t>
      </w:r>
      <w:proofErr w:type="gramEnd"/>
      <w:r w:rsidR="003D24F2" w:rsidRPr="003D24F2">
        <w:rPr>
          <w:rFonts w:ascii="Arial" w:hAnsi="Arial" w:cs="Arial"/>
          <w:color w:val="000000"/>
        </w:rPr>
        <w:t xml:space="preserve"> and policy developments to assess the legality, proportionality and long-term consequences of these practices.</w:t>
      </w:r>
    </w:p>
    <w:p w14:paraId="3AA7AE52" w14:textId="5C660911" w:rsidR="00507D77" w:rsidRPr="003D24F2" w:rsidRDefault="00507D77" w:rsidP="00EC57ED">
      <w:pPr>
        <w:pStyle w:val="NormalWeb"/>
        <w:spacing w:line="360" w:lineRule="auto"/>
        <w:rPr>
          <w:rFonts w:ascii="Arial" w:hAnsi="Arial" w:cs="Arial"/>
        </w:rPr>
      </w:pPr>
    </w:p>
    <w:p w14:paraId="775B18B3" w14:textId="77777777" w:rsidR="003D24F2"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 xml:space="preserve">The routine nature of strip searching undermines claims that the power was used only where </w:t>
      </w:r>
      <w:proofErr w:type="gramStart"/>
      <w:r w:rsidRPr="003D24F2">
        <w:rPr>
          <w:rFonts w:ascii="Arial" w:hAnsi="Arial" w:cs="Arial"/>
          <w:color w:val="000000"/>
        </w:rPr>
        <w:t>absolutely necessary</w:t>
      </w:r>
      <w:proofErr w:type="gramEnd"/>
      <w:r w:rsidRPr="003D24F2">
        <w:rPr>
          <w:rFonts w:ascii="Arial" w:hAnsi="Arial" w:cs="Arial"/>
          <w:color w:val="000000"/>
        </w:rPr>
        <w:t>. Data analysed by the Children’s Commissioner (2023) demonstrates that most searches failed to uncover prohibited items, indicating weak intelligence thresholds and speculative risk assessments. H</w:t>
      </w:r>
      <w:r w:rsidR="00073E6F" w:rsidRPr="003D24F2">
        <w:rPr>
          <w:rFonts w:ascii="Arial" w:hAnsi="Arial" w:cs="Arial"/>
          <w:color w:val="000000"/>
        </w:rPr>
        <w:t>is Majesty’s</w:t>
      </w:r>
      <w:r w:rsidRPr="003D24F2">
        <w:rPr>
          <w:rFonts w:ascii="Arial" w:hAnsi="Arial" w:cs="Arial"/>
          <w:color w:val="000000"/>
        </w:rPr>
        <w:t xml:space="preserve"> Inspectorate of Constabulary and Fire &amp; Rescue Services (HMICFRS, 2022) similarly found inconsistent authorisation processes and poor documentation of necessity across cases. </w:t>
      </w:r>
      <w:r w:rsidR="00073E6F" w:rsidRPr="003D24F2">
        <w:rPr>
          <w:rFonts w:ascii="Arial" w:hAnsi="Arial" w:cs="Arial"/>
          <w:color w:val="000000"/>
        </w:rPr>
        <w:t xml:space="preserve">In line with </w:t>
      </w:r>
      <w:r w:rsidR="00073E6F" w:rsidRPr="003D24F2">
        <w:rPr>
          <w:rFonts w:ascii="Arial" w:hAnsi="Arial" w:cs="Arial"/>
        </w:rPr>
        <w:t xml:space="preserve">European Court of Human Rights (2024), </w:t>
      </w:r>
      <w:r w:rsidR="00073E6F" w:rsidRPr="003D24F2">
        <w:rPr>
          <w:rFonts w:ascii="Arial" w:hAnsi="Arial" w:cs="Arial"/>
          <w:color w:val="000000"/>
        </w:rPr>
        <w:t>f</w:t>
      </w:r>
      <w:r w:rsidRPr="003D24F2">
        <w:rPr>
          <w:rFonts w:ascii="Arial" w:hAnsi="Arial" w:cs="Arial"/>
          <w:color w:val="000000"/>
        </w:rPr>
        <w:t xml:space="preserve">rom a human rights perspective, the normalisation of extreme state intrusion is particularly concerning, as proportionality principles require that intrusive powers remain exceptional and </w:t>
      </w:r>
      <w:proofErr w:type="gramStart"/>
      <w:r w:rsidRPr="003D24F2">
        <w:rPr>
          <w:rFonts w:ascii="Arial" w:hAnsi="Arial" w:cs="Arial"/>
          <w:color w:val="000000"/>
        </w:rPr>
        <w:t>evidence-based</w:t>
      </w:r>
      <w:proofErr w:type="gramEnd"/>
      <w:r w:rsidRPr="003D24F2">
        <w:rPr>
          <w:rFonts w:ascii="Arial" w:hAnsi="Arial" w:cs="Arial"/>
          <w:color w:val="000000"/>
        </w:rPr>
        <w:t>. When coercive measures become routine operational tools, legal safeguards designed to restrain state power are effectively eroded</w:t>
      </w:r>
      <w:r w:rsidR="00073E6F" w:rsidRPr="003D24F2">
        <w:rPr>
          <w:rFonts w:ascii="Arial" w:hAnsi="Arial" w:cs="Arial"/>
          <w:color w:val="000000"/>
        </w:rPr>
        <w:t xml:space="preserve"> </w:t>
      </w:r>
      <w:r w:rsidR="00073E6F" w:rsidRPr="003D24F2">
        <w:rPr>
          <w:rFonts w:ascii="Arial" w:hAnsi="Arial" w:cs="Arial"/>
        </w:rPr>
        <w:t xml:space="preserve">(Ashworth and </w:t>
      </w:r>
      <w:proofErr w:type="spellStart"/>
      <w:r w:rsidR="00073E6F" w:rsidRPr="003D24F2">
        <w:rPr>
          <w:rFonts w:ascii="Arial" w:hAnsi="Arial" w:cs="Arial"/>
        </w:rPr>
        <w:lastRenderedPageBreak/>
        <w:t>Zedner</w:t>
      </w:r>
      <w:proofErr w:type="spellEnd"/>
      <w:r w:rsidR="00073E6F" w:rsidRPr="003D24F2">
        <w:rPr>
          <w:rFonts w:ascii="Arial" w:hAnsi="Arial" w:cs="Arial"/>
        </w:rPr>
        <w:t>, 2014)</w:t>
      </w:r>
      <w:r w:rsidRPr="003D24F2">
        <w:rPr>
          <w:rFonts w:ascii="Arial" w:hAnsi="Arial" w:cs="Arial"/>
          <w:color w:val="000000"/>
        </w:rPr>
        <w:t>.</w:t>
      </w:r>
      <w:r w:rsidR="003D24F2" w:rsidRPr="003D24F2">
        <w:rPr>
          <w:rFonts w:ascii="Arial" w:hAnsi="Arial" w:cs="Arial"/>
          <w:color w:val="000000"/>
        </w:rPr>
        <w:t xml:space="preserve"> This normalisation is particularly problematic in human rights law, where intrusive powers must remain exceptional and tightly regulated to prevent arbitrary state interference.</w:t>
      </w:r>
    </w:p>
    <w:p w14:paraId="74CAD9AC" w14:textId="7CCF8229" w:rsidR="00507D77" w:rsidRPr="003D24F2" w:rsidRDefault="00507D77" w:rsidP="00EC57ED">
      <w:pPr>
        <w:pStyle w:val="NormalWeb"/>
        <w:spacing w:line="360" w:lineRule="auto"/>
        <w:rPr>
          <w:rFonts w:ascii="Arial" w:hAnsi="Arial" w:cs="Arial"/>
          <w:color w:val="000000"/>
        </w:rPr>
      </w:pPr>
    </w:p>
    <w:p w14:paraId="2A2EF7C9" w14:textId="070C259A" w:rsidR="003D24F2"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 xml:space="preserve">Racial disproportionality further compounds these concerns. Research consistently demonstrates that Black children were significantly more likely to be subjected to strip searches than white children, reflecting broader inequalities embedded within stop and search practices (Williams and Clarke, 2018; Equality and Human Rights Commission, 2020). </w:t>
      </w:r>
      <w:r w:rsidR="00073E6F" w:rsidRPr="003D24F2">
        <w:rPr>
          <w:rFonts w:ascii="Arial" w:hAnsi="Arial" w:cs="Arial"/>
        </w:rPr>
        <w:t xml:space="preserve">According to Fitzgerald (2013), discretionary policing powers often reproduce racialised assumptions of criminality, even where formal policy frameworks appear neutral. </w:t>
      </w:r>
      <w:r w:rsidR="00EC57ED" w:rsidRPr="003D24F2">
        <w:rPr>
          <w:rFonts w:ascii="Arial" w:hAnsi="Arial" w:cs="Arial"/>
        </w:rPr>
        <w:t xml:space="preserve">Strip searching can be conceptualised as an escalation of this dynamic, intensifying surveillance and bodily intrusion in ways that disproportionately affect already marginalised communities </w:t>
      </w:r>
      <w:r w:rsidR="00073E6F" w:rsidRPr="003D24F2">
        <w:rPr>
          <w:rFonts w:ascii="Arial" w:hAnsi="Arial" w:cs="Arial"/>
        </w:rPr>
        <w:t>(Bowling and Phillips, 2007). Such patterns raise significant concerns under both equality law and human rights protections, as discriminatory enforcement practices can deepen social harm while simultaneously undermining public trust and legitimacy in legal institutions (Tyler, 2006).</w:t>
      </w:r>
      <w:r w:rsidR="003D24F2" w:rsidRPr="003D24F2">
        <w:rPr>
          <w:rFonts w:ascii="Arial" w:hAnsi="Arial" w:cs="Arial"/>
        </w:rPr>
        <w:t xml:space="preserve"> </w:t>
      </w:r>
      <w:r w:rsidR="003D24F2" w:rsidRPr="003D24F2">
        <w:rPr>
          <w:rFonts w:ascii="Arial" w:hAnsi="Arial" w:cs="Arial"/>
          <w:color w:val="000000"/>
        </w:rPr>
        <w:t>In the United Kingdom, discriminatory policing practices may also engage obligations under the Equality Act 2010, which requires public authorities to consider the impact of their actions on protected groups (Equality Act 2010).</w:t>
      </w:r>
    </w:p>
    <w:p w14:paraId="10834F02" w14:textId="66E4B129" w:rsidR="00073E6F" w:rsidRPr="003D24F2" w:rsidRDefault="00073E6F" w:rsidP="00EC57ED">
      <w:pPr>
        <w:pStyle w:val="NormalWeb"/>
        <w:spacing w:line="360" w:lineRule="auto"/>
        <w:rPr>
          <w:rFonts w:ascii="Arial" w:hAnsi="Arial" w:cs="Arial"/>
        </w:rPr>
      </w:pPr>
    </w:p>
    <w:p w14:paraId="1BFE9D1C" w14:textId="187AB96D" w:rsidR="00507D77" w:rsidRPr="003D24F2" w:rsidRDefault="00507D77" w:rsidP="00EC57ED">
      <w:pPr>
        <w:pStyle w:val="NormalWeb"/>
        <w:spacing w:line="360" w:lineRule="auto"/>
        <w:rPr>
          <w:rFonts w:ascii="Arial" w:hAnsi="Arial" w:cs="Arial"/>
          <w:color w:val="000000"/>
        </w:rPr>
      </w:pPr>
    </w:p>
    <w:p w14:paraId="1DE2D3B3" w14:textId="77777777" w:rsidR="003D24F2"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The Child Q safeguarding review provides a powerful illustration of how these institutional dynamics operate in practice. Hackett et al</w:t>
      </w:r>
      <w:r w:rsidR="00073E6F" w:rsidRPr="003D24F2">
        <w:rPr>
          <w:rFonts w:ascii="Arial" w:hAnsi="Arial" w:cs="Arial"/>
          <w:color w:val="000000"/>
        </w:rPr>
        <w:t xml:space="preserve"> </w:t>
      </w:r>
      <w:r w:rsidRPr="003D24F2">
        <w:rPr>
          <w:rFonts w:ascii="Arial" w:hAnsi="Arial" w:cs="Arial"/>
          <w:color w:val="000000"/>
        </w:rPr>
        <w:t xml:space="preserve">(2022) documented the strip search of a Black schoolgirl on school premises, conducted without an appropriate adult present and despite no prohibited items being found. The review concluded that the officers’ actions were unjustified, </w:t>
      </w:r>
      <w:proofErr w:type="gramStart"/>
      <w:r w:rsidRPr="003D24F2">
        <w:rPr>
          <w:rFonts w:ascii="Arial" w:hAnsi="Arial" w:cs="Arial"/>
          <w:color w:val="000000"/>
        </w:rPr>
        <w:t>traumatic</w:t>
      </w:r>
      <w:proofErr w:type="gramEnd"/>
      <w:r w:rsidRPr="003D24F2">
        <w:rPr>
          <w:rFonts w:ascii="Arial" w:hAnsi="Arial" w:cs="Arial"/>
          <w:color w:val="000000"/>
        </w:rPr>
        <w:t xml:space="preserve"> and influenced by racial bias, with safeguarding principles wholly neglected. Crucially, the review emphasised that these failures reflected systemic shortcomings in training, cultural </w:t>
      </w:r>
      <w:proofErr w:type="gramStart"/>
      <w:r w:rsidRPr="003D24F2">
        <w:rPr>
          <w:rFonts w:ascii="Arial" w:hAnsi="Arial" w:cs="Arial"/>
          <w:color w:val="000000"/>
        </w:rPr>
        <w:t>awareness</w:t>
      </w:r>
      <w:proofErr w:type="gramEnd"/>
      <w:r w:rsidRPr="003D24F2">
        <w:rPr>
          <w:rFonts w:ascii="Arial" w:hAnsi="Arial" w:cs="Arial"/>
          <w:color w:val="000000"/>
        </w:rPr>
        <w:t xml:space="preserve"> and oversight rather than isolated misconduct. This case highlights how discretionary policing within racially biased and risk-focused environments can result in profound violations of </w:t>
      </w:r>
      <w:r w:rsidRPr="003D24F2">
        <w:rPr>
          <w:rFonts w:ascii="Arial" w:hAnsi="Arial" w:cs="Arial"/>
          <w:color w:val="000000"/>
        </w:rPr>
        <w:lastRenderedPageBreak/>
        <w:t>children’s rights.</w:t>
      </w:r>
      <w:r w:rsidR="003D24F2" w:rsidRPr="003D24F2">
        <w:rPr>
          <w:rFonts w:ascii="Arial" w:hAnsi="Arial" w:cs="Arial"/>
          <w:color w:val="000000"/>
        </w:rPr>
        <w:t xml:space="preserve"> Importantly, the case also demonstrated the absence of effective safeguarding oversight, revealing how institutional practices can normalise harmful conduct even within settings designed to protect children.</w:t>
      </w:r>
    </w:p>
    <w:p w14:paraId="717D6E9B" w14:textId="21E0324D" w:rsidR="00507D77" w:rsidRPr="003D24F2" w:rsidRDefault="00507D77" w:rsidP="00EC57ED">
      <w:pPr>
        <w:pStyle w:val="NormalWeb"/>
        <w:spacing w:line="360" w:lineRule="auto"/>
        <w:rPr>
          <w:rFonts w:ascii="Arial" w:hAnsi="Arial" w:cs="Arial"/>
          <w:color w:val="000000"/>
        </w:rPr>
      </w:pPr>
    </w:p>
    <w:p w14:paraId="19F3C023" w14:textId="344CE030" w:rsidR="00507D77"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 xml:space="preserve">Legally, the strip searching of children directly engages the European Convention on Human Rights. Article 3 prohibits inhuman or degrading treatment, a standard which the European Court of Human Rights has interpreted as encompassing conduct that humiliates individuals or causes severe emotional distress (Wainwright v United Kingdom, 2006). Strip searches inherently involve forced nudity, loss of dignity and intense vulnerability. For children, whose developmental stage increases susceptibility to trauma, the likelihood of such treatment reaching the degrading threshold is significantly heightened. </w:t>
      </w:r>
      <w:r w:rsidR="003D24F2" w:rsidRPr="003D24F2">
        <w:rPr>
          <w:rFonts w:ascii="Arial" w:hAnsi="Arial" w:cs="Arial"/>
          <w:color w:val="000000"/>
        </w:rPr>
        <w:t>The European Court of Human Rights has repeatedly emphasised that the vulnerability of children must be given particular weight when assessing whether treatment reaches the Article 3 threshold (Z v United Kingdom, 2001</w:t>
      </w:r>
      <w:proofErr w:type="gramStart"/>
      <w:r w:rsidR="003D24F2" w:rsidRPr="003D24F2">
        <w:rPr>
          <w:rFonts w:ascii="Arial" w:hAnsi="Arial" w:cs="Arial"/>
          <w:color w:val="000000"/>
        </w:rPr>
        <w:t>)..</w:t>
      </w:r>
      <w:proofErr w:type="gramEnd"/>
      <w:r w:rsidR="003D24F2" w:rsidRPr="003D24F2">
        <w:rPr>
          <w:rFonts w:ascii="Arial" w:hAnsi="Arial" w:cs="Arial"/>
          <w:color w:val="000000"/>
        </w:rPr>
        <w:t xml:space="preserve"> </w:t>
      </w:r>
      <w:r w:rsidRPr="003D24F2">
        <w:rPr>
          <w:rFonts w:ascii="Arial" w:hAnsi="Arial" w:cs="Arial"/>
          <w:color w:val="000000"/>
        </w:rPr>
        <w:t>As Hackett et al</w:t>
      </w:r>
      <w:r w:rsidR="00073E6F" w:rsidRPr="003D24F2">
        <w:rPr>
          <w:rFonts w:ascii="Arial" w:hAnsi="Arial" w:cs="Arial"/>
          <w:color w:val="000000"/>
        </w:rPr>
        <w:t xml:space="preserve"> </w:t>
      </w:r>
      <w:r w:rsidRPr="003D24F2">
        <w:rPr>
          <w:rFonts w:ascii="Arial" w:hAnsi="Arial" w:cs="Arial"/>
          <w:color w:val="000000"/>
        </w:rPr>
        <w:t>(2022) observed, many children reported feelings of fear, humiliation and distress during these encounters, experiences that closely align with legal definitions of degrading treatment. Where such searches occur without strict necessity and safeguarding, they are highly likely to breach Article 3 protections.</w:t>
      </w:r>
    </w:p>
    <w:p w14:paraId="0786C83D" w14:textId="77777777" w:rsidR="00EC57ED" w:rsidRPr="003D24F2" w:rsidRDefault="00507D77" w:rsidP="00EC57ED">
      <w:pPr>
        <w:pStyle w:val="NormalWeb"/>
        <w:spacing w:line="360" w:lineRule="auto"/>
        <w:rPr>
          <w:rFonts w:ascii="Arial" w:hAnsi="Arial" w:cs="Arial"/>
        </w:rPr>
      </w:pPr>
      <w:r w:rsidRPr="003D24F2">
        <w:rPr>
          <w:rFonts w:ascii="Arial" w:hAnsi="Arial" w:cs="Arial"/>
          <w:color w:val="000000"/>
        </w:rPr>
        <w:t xml:space="preserve">Article 8 of the Convention further protects the right to private life, including bodily autonomy and personal dignity. Interference with this right must be lawful, </w:t>
      </w:r>
      <w:proofErr w:type="gramStart"/>
      <w:r w:rsidRPr="003D24F2">
        <w:rPr>
          <w:rFonts w:ascii="Arial" w:hAnsi="Arial" w:cs="Arial"/>
          <w:color w:val="000000"/>
        </w:rPr>
        <w:t>necessary</w:t>
      </w:r>
      <w:proofErr w:type="gramEnd"/>
      <w:r w:rsidRPr="003D24F2">
        <w:rPr>
          <w:rFonts w:ascii="Arial" w:hAnsi="Arial" w:cs="Arial"/>
          <w:color w:val="000000"/>
        </w:rPr>
        <w:t xml:space="preserve"> and proportionate to a legitimate aim. However, HMICFRS (2022) found that officers frequently failed to demonstrate why less intrusive measures were insufficient, undermining claims of necessity. Given the extreme intrusiveness of strip searching, proportionality demands exceptionally strong justification. </w:t>
      </w:r>
      <w:r w:rsidR="00EC57ED" w:rsidRPr="003D24F2">
        <w:rPr>
          <w:rFonts w:ascii="Arial" w:hAnsi="Arial" w:cs="Arial"/>
        </w:rPr>
        <w:t>The widespread and routine application of such powers therefore constitutes excessive state intrusion, suggesting a systemic failure to satisfy the necessity and proportionality requirements that underpin Article 8 protections.</w:t>
      </w:r>
    </w:p>
    <w:p w14:paraId="1C1EEF1C" w14:textId="58BC8ACD" w:rsidR="00507D77" w:rsidRPr="003D24F2" w:rsidRDefault="00507D77" w:rsidP="00EC57ED">
      <w:pPr>
        <w:pStyle w:val="NormalWeb"/>
        <w:spacing w:line="360" w:lineRule="auto"/>
        <w:rPr>
          <w:rFonts w:ascii="Arial" w:hAnsi="Arial" w:cs="Arial"/>
          <w:color w:val="000000"/>
        </w:rPr>
      </w:pPr>
      <w:r w:rsidRPr="003D24F2">
        <w:rPr>
          <w:rFonts w:ascii="Arial" w:hAnsi="Arial" w:cs="Arial"/>
          <w:color w:val="000000"/>
        </w:rPr>
        <w:t xml:space="preserve">Beyond European law, the United Kingdom is bound by the United Nations Convention on the Rights of the Child, which requires that the best interests of the child be a primary consideration in all actions involving minors (United Nations, 1989). The Convention emphasises protection from harm, </w:t>
      </w:r>
      <w:proofErr w:type="gramStart"/>
      <w:r w:rsidRPr="003D24F2">
        <w:rPr>
          <w:rFonts w:ascii="Arial" w:hAnsi="Arial" w:cs="Arial"/>
          <w:color w:val="000000"/>
        </w:rPr>
        <w:t>abuse</w:t>
      </w:r>
      <w:proofErr w:type="gramEnd"/>
      <w:r w:rsidRPr="003D24F2">
        <w:rPr>
          <w:rFonts w:ascii="Arial" w:hAnsi="Arial" w:cs="Arial"/>
          <w:color w:val="000000"/>
        </w:rPr>
        <w:t xml:space="preserve"> and degrading </w:t>
      </w:r>
      <w:r w:rsidRPr="003D24F2">
        <w:rPr>
          <w:rFonts w:ascii="Arial" w:hAnsi="Arial" w:cs="Arial"/>
          <w:color w:val="000000"/>
        </w:rPr>
        <w:lastRenderedPageBreak/>
        <w:t>treatment, alongside the promotion of child-centred justice approaches. According to the Children’s Commissioner (2023), many strip searches were conducted without appropriate adult supervision, directly contradicting safeguarding principles intended to protect vulnerable minors. This failure to prioritise welfare demonstrates a fundamental incompatibility between strip searching practices and international children’s rights obligations.</w:t>
      </w:r>
    </w:p>
    <w:p w14:paraId="48812EC6" w14:textId="713A6A47" w:rsidR="00507D77" w:rsidRPr="003D24F2" w:rsidRDefault="00507D77" w:rsidP="003D24F2">
      <w:pPr>
        <w:pStyle w:val="NormalWeb"/>
        <w:spacing w:line="360" w:lineRule="auto"/>
        <w:jc w:val="both"/>
        <w:rPr>
          <w:color w:val="000000"/>
        </w:rPr>
      </w:pPr>
      <w:r w:rsidRPr="003D24F2">
        <w:rPr>
          <w:rFonts w:ascii="Arial" w:hAnsi="Arial" w:cs="Arial"/>
          <w:color w:val="000000"/>
        </w:rPr>
        <w:t>Police authorities have justified strip searching primarily through public safety narratives, particularly in relation to knife crime and drug distribution. Policy statements issued by the Metropolitan Police Service (2023) framed the practice as necessary for harm prevention. While crime reduction is a legitimate state objective, human rights law requires that such aims be pursued through proportionate and evidence-based methods. Empirical evidence indicating that most strip searches failed to recover illegal items substantially weakens claims of necessity.</w:t>
      </w:r>
      <w:r w:rsidR="003D24F2" w:rsidRPr="003D24F2">
        <w:rPr>
          <w:rFonts w:ascii="Arial" w:hAnsi="Arial" w:cs="Arial"/>
          <w:color w:val="000000"/>
        </w:rPr>
        <w:t xml:space="preserve"> In this context, the justification advanced by policing authorities appears inconsistent with the proportionality principle that underpins human rights law (European Court of Human Rights, 2024). </w:t>
      </w:r>
      <w:r w:rsidRPr="003D24F2">
        <w:rPr>
          <w:rFonts w:ascii="Arial" w:hAnsi="Arial" w:cs="Arial"/>
          <w:color w:val="000000"/>
        </w:rPr>
        <w:t>As the Public Law Project (2022) argues, intrusive enforcement strategies that produce minimal outcomes while generating significant harm cannot be justified within a rights-based legal framework.</w:t>
      </w:r>
    </w:p>
    <w:p w14:paraId="77C4FCC7" w14:textId="77777777" w:rsidR="00507D77" w:rsidRPr="003D24F2" w:rsidRDefault="00507D77" w:rsidP="00EC57ED">
      <w:pPr>
        <w:pStyle w:val="NormalWeb"/>
        <w:spacing w:line="360" w:lineRule="auto"/>
        <w:rPr>
          <w:rFonts w:ascii="Arial" w:hAnsi="Arial" w:cs="Arial"/>
          <w:color w:val="000000"/>
        </w:rPr>
      </w:pPr>
      <w:r w:rsidRPr="003D24F2">
        <w:rPr>
          <w:rFonts w:ascii="Arial" w:hAnsi="Arial" w:cs="Arial"/>
          <w:color w:val="000000"/>
        </w:rPr>
        <w:t>Criminological scholarship further challenges the effectiveness of such practices. Procedural justice theory demonstrates that individuals are more likely to cooperate with law enforcement when authorities act fairly and respectfully (Tyler, 2006). Bradford (2017) shows that aggressive stop and search practices often erode legitimacy and reduce public trust rather than enhancing crime control. For children, early encounters with humiliating policing can shape long-term perceptions of authority, fostering alienation and disengagement. Rather than promoting safety, strip searching may therefore undermine the social relationships necessary for effective policing.</w:t>
      </w:r>
    </w:p>
    <w:p w14:paraId="3B3FDE07" w14:textId="77777777" w:rsidR="00507D77" w:rsidRPr="003D24F2" w:rsidRDefault="00507D77" w:rsidP="00EC57ED">
      <w:pPr>
        <w:pStyle w:val="NormalWeb"/>
        <w:spacing w:line="360" w:lineRule="auto"/>
        <w:rPr>
          <w:rFonts w:ascii="Arial" w:hAnsi="Arial" w:cs="Arial"/>
          <w:color w:val="000000"/>
        </w:rPr>
      </w:pPr>
      <w:r w:rsidRPr="003D24F2">
        <w:rPr>
          <w:rFonts w:ascii="Arial" w:hAnsi="Arial" w:cs="Arial"/>
          <w:color w:val="000000"/>
        </w:rPr>
        <w:t xml:space="preserve">Institutional culture plays a critical role in sustaining these practices. Racialised stereotypes linking Black youth to criminality have long influenced policing strategies (Fitzgerald, 2013; Lammy, 2017). Davis and Goff (2020) describe </w:t>
      </w:r>
      <w:proofErr w:type="spellStart"/>
      <w:r w:rsidRPr="003D24F2">
        <w:rPr>
          <w:rFonts w:ascii="Arial" w:hAnsi="Arial" w:cs="Arial"/>
          <w:color w:val="000000"/>
        </w:rPr>
        <w:t>adultification</w:t>
      </w:r>
      <w:proofErr w:type="spellEnd"/>
      <w:r w:rsidRPr="003D24F2">
        <w:rPr>
          <w:rFonts w:ascii="Arial" w:hAnsi="Arial" w:cs="Arial"/>
          <w:color w:val="000000"/>
        </w:rPr>
        <w:t xml:space="preserve"> bias, whereby Black children are perceived as older and less innocent than their white peers, leading to harsher treatment and reduced safeguarding concern. Such biases </w:t>
      </w:r>
      <w:r w:rsidRPr="003D24F2">
        <w:rPr>
          <w:rFonts w:ascii="Arial" w:hAnsi="Arial" w:cs="Arial"/>
          <w:color w:val="000000"/>
        </w:rPr>
        <w:lastRenderedPageBreak/>
        <w:t>likely contributed to officers viewing minors as legitimate targets for extreme enforcement rather than vulnerable individuals requiring protection.</w:t>
      </w:r>
    </w:p>
    <w:p w14:paraId="6BCD5AD6" w14:textId="77777777" w:rsidR="00507D77" w:rsidRPr="003D24F2" w:rsidRDefault="00507D77" w:rsidP="00EC57ED">
      <w:pPr>
        <w:pStyle w:val="NormalWeb"/>
        <w:spacing w:line="360" w:lineRule="auto"/>
        <w:rPr>
          <w:rFonts w:ascii="Arial" w:hAnsi="Arial" w:cs="Arial"/>
          <w:color w:val="000000"/>
        </w:rPr>
      </w:pPr>
      <w:r w:rsidRPr="003D24F2">
        <w:rPr>
          <w:rFonts w:ascii="Arial" w:hAnsi="Arial" w:cs="Arial"/>
          <w:color w:val="000000"/>
        </w:rPr>
        <w:t xml:space="preserve">Modern policing’s increasing emphasis on risk management further exacerbates these tendencies. </w:t>
      </w:r>
      <w:proofErr w:type="spellStart"/>
      <w:r w:rsidRPr="003D24F2">
        <w:rPr>
          <w:rFonts w:ascii="Arial" w:hAnsi="Arial" w:cs="Arial"/>
          <w:color w:val="000000"/>
        </w:rPr>
        <w:t>McAra</w:t>
      </w:r>
      <w:proofErr w:type="spellEnd"/>
      <w:r w:rsidRPr="003D24F2">
        <w:rPr>
          <w:rFonts w:ascii="Arial" w:hAnsi="Arial" w:cs="Arial"/>
          <w:color w:val="000000"/>
        </w:rPr>
        <w:t xml:space="preserve"> and McVie (2014) argue that pre-emptive intervention strategies encourage intrusive control based on perceived future threats rather than concrete wrongdoing. While framed as harm prevention, such approaches can erode due process and proportionality safeguards. In the context of children, whose rights demand heightened protection, this risk-focused culture becomes particularly dangerous, enabling the normalisation of invasive practices like strip searching.</w:t>
      </w:r>
    </w:p>
    <w:p w14:paraId="36880681" w14:textId="49824FF3" w:rsidR="00507D77"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 xml:space="preserve">Following public scrutiny, reforms were introduced aimed at strengthening oversight and safeguarding procedures. The Metropolitan Police Service (2023) implemented tighter authorisation thresholds, enhanced </w:t>
      </w:r>
      <w:proofErr w:type="gramStart"/>
      <w:r w:rsidRPr="003D24F2">
        <w:rPr>
          <w:rFonts w:ascii="Arial" w:hAnsi="Arial" w:cs="Arial"/>
          <w:color w:val="000000"/>
        </w:rPr>
        <w:t>training</w:t>
      </w:r>
      <w:proofErr w:type="gramEnd"/>
      <w:r w:rsidRPr="003D24F2">
        <w:rPr>
          <w:rFonts w:ascii="Arial" w:hAnsi="Arial" w:cs="Arial"/>
          <w:color w:val="000000"/>
        </w:rPr>
        <w:t xml:space="preserve"> and improved monitoring. The College of Policing (2022) also updated professional practice guidance on stop and search safeguards. While these reforms represent progress, HMICFRS (2022) cautions that policy change alone is insufficient without cultural transformation and clear legal limits. </w:t>
      </w:r>
      <w:r w:rsidR="003D24F2" w:rsidRPr="003D24F2">
        <w:rPr>
          <w:rFonts w:ascii="Arial" w:hAnsi="Arial" w:cs="Arial"/>
          <w:color w:val="000000"/>
        </w:rPr>
        <w:t xml:space="preserve">The Child Q case in particular triggered significant national debate regarding police accountability, child safeguarding and the limits of stop and search powers in democratic societies (Hackett et al, 2022). </w:t>
      </w:r>
      <w:r w:rsidRPr="003D24F2">
        <w:rPr>
          <w:rFonts w:ascii="Arial" w:hAnsi="Arial" w:cs="Arial"/>
          <w:color w:val="000000"/>
        </w:rPr>
        <w:t>Without binding restrictions, harmful practices remain vulnerable to re-emergence under operational pressure.</w:t>
      </w:r>
    </w:p>
    <w:p w14:paraId="5B0DB7F4" w14:textId="77777777" w:rsidR="00507D77" w:rsidRPr="003D24F2" w:rsidRDefault="00507D77" w:rsidP="00EC57ED">
      <w:pPr>
        <w:pStyle w:val="NormalWeb"/>
        <w:spacing w:line="360" w:lineRule="auto"/>
        <w:rPr>
          <w:rFonts w:ascii="Arial" w:hAnsi="Arial" w:cs="Arial"/>
          <w:color w:val="000000"/>
        </w:rPr>
      </w:pPr>
      <w:r w:rsidRPr="003D24F2">
        <w:rPr>
          <w:rFonts w:ascii="Arial" w:hAnsi="Arial" w:cs="Arial"/>
          <w:color w:val="000000"/>
        </w:rPr>
        <w:t xml:space="preserve">The broader consequences of strip searching extend beyond immediate harm. Medical research indicates that invasive policing experiences can contribute to long-term psychological trauma in children, including anxiety, </w:t>
      </w:r>
      <w:proofErr w:type="gramStart"/>
      <w:r w:rsidRPr="003D24F2">
        <w:rPr>
          <w:rFonts w:ascii="Arial" w:hAnsi="Arial" w:cs="Arial"/>
          <w:color w:val="000000"/>
        </w:rPr>
        <w:t>depression</w:t>
      </w:r>
      <w:proofErr w:type="gramEnd"/>
      <w:r w:rsidRPr="003D24F2">
        <w:rPr>
          <w:rFonts w:ascii="Arial" w:hAnsi="Arial" w:cs="Arial"/>
          <w:color w:val="000000"/>
        </w:rPr>
        <w:t xml:space="preserve"> and post-traumatic stress (British Medical Association, 2022). Communities subjected to disproportionate enforcement become increasingly alienated, weakening cooperation essential for effective crime prevention (Bradford, 2017). Legal challenges and reputational damage further undermine institutional legitimacy.</w:t>
      </w:r>
    </w:p>
    <w:p w14:paraId="4D33C2D5" w14:textId="485C3AF4" w:rsidR="00507D77"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Future policy must therefore prioritise robust protection of children’s rights.</w:t>
      </w:r>
      <w:r w:rsidR="003D24F2" w:rsidRPr="003D24F2">
        <w:rPr>
          <w:rFonts w:ascii="Arial" w:hAnsi="Arial" w:cs="Arial"/>
          <w:color w:val="000000"/>
        </w:rPr>
        <w:t xml:space="preserve"> Such reforms must ensure that safeguarding considerations take precedence over enforcement objectives when policing interactions involve minors (United Nations, 1989).</w:t>
      </w:r>
      <w:r w:rsidRPr="003D24F2">
        <w:rPr>
          <w:rFonts w:ascii="Arial" w:hAnsi="Arial" w:cs="Arial"/>
          <w:color w:val="000000"/>
        </w:rPr>
        <w:t xml:space="preserve"> Strip searches involving minors should be prohibited except in circumstances of immediate and serious threat where no alternatives exist. Mandatory appropriate </w:t>
      </w:r>
      <w:r w:rsidRPr="003D24F2">
        <w:rPr>
          <w:rFonts w:ascii="Arial" w:hAnsi="Arial" w:cs="Arial"/>
          <w:color w:val="000000"/>
        </w:rPr>
        <w:lastRenderedPageBreak/>
        <w:t>adult presence must be legally enforced, evidential thresholds must reflect the severity of intrusion and trauma-informed training should address vulnerability and bias. Independent oversight mechanisms are essential to ensure accountability and compliance with human rights standards.</w:t>
      </w:r>
    </w:p>
    <w:p w14:paraId="75C3AD2A" w14:textId="017D2CE2" w:rsidR="003D24F2" w:rsidRPr="003D24F2" w:rsidRDefault="00507D77" w:rsidP="003D24F2">
      <w:pPr>
        <w:pStyle w:val="NormalWeb"/>
        <w:spacing w:line="360" w:lineRule="auto"/>
        <w:jc w:val="both"/>
        <w:rPr>
          <w:rFonts w:ascii="Arial" w:hAnsi="Arial" w:cs="Arial"/>
          <w:color w:val="000000"/>
        </w:rPr>
      </w:pPr>
      <w:r w:rsidRPr="003D24F2">
        <w:rPr>
          <w:rFonts w:ascii="Arial" w:hAnsi="Arial" w:cs="Arial"/>
          <w:color w:val="000000"/>
        </w:rPr>
        <w:t xml:space="preserve">In conclusion, the strip searching of children by the Metropolitan Police was not warranted under human rights law. The practice breached Articles 3 and 8 of the European Convention on Human Rights, violated international children’s rights obligations, and produced significant harm while offering limited crime control benefits. </w:t>
      </w:r>
      <w:r w:rsidR="00EC57ED" w:rsidRPr="003D24F2">
        <w:rPr>
          <w:rFonts w:ascii="Arial" w:hAnsi="Arial" w:cs="Arial"/>
        </w:rPr>
        <w:t>Taken together, the evidence indicates that these practices were disproportionate, racially biased and rooted in deeper institutional failures shaped by risk-driven policing strategies and systemic inequality.</w:t>
      </w:r>
      <w:r w:rsidR="00EC57ED" w:rsidRPr="003D24F2">
        <w:rPr>
          <w:rFonts w:ascii="Arial" w:hAnsi="Arial" w:cs="Arial"/>
          <w:color w:val="000000"/>
        </w:rPr>
        <w:t xml:space="preserve"> Sustainable</w:t>
      </w:r>
      <w:r w:rsidRPr="003D24F2">
        <w:rPr>
          <w:rFonts w:ascii="Arial" w:hAnsi="Arial" w:cs="Arial"/>
          <w:color w:val="000000"/>
        </w:rPr>
        <w:t xml:space="preserve"> reform requires a renewed commitment to human rights as the foundation of legitimate and effective policing. Protecting children’s dignity and welfare is not an obstacle to public safety but a prerequisite for justice, </w:t>
      </w:r>
      <w:proofErr w:type="gramStart"/>
      <w:r w:rsidRPr="003D24F2">
        <w:rPr>
          <w:rFonts w:ascii="Arial" w:hAnsi="Arial" w:cs="Arial"/>
          <w:color w:val="000000"/>
        </w:rPr>
        <w:t>trust</w:t>
      </w:r>
      <w:proofErr w:type="gramEnd"/>
      <w:r w:rsidRPr="003D24F2">
        <w:rPr>
          <w:rFonts w:ascii="Arial" w:hAnsi="Arial" w:cs="Arial"/>
          <w:color w:val="000000"/>
        </w:rPr>
        <w:t xml:space="preserve"> and long-term crime </w:t>
      </w:r>
      <w:r w:rsidR="003D24F2" w:rsidRPr="003D24F2">
        <w:rPr>
          <w:rFonts w:ascii="Arial" w:hAnsi="Arial" w:cs="Arial"/>
          <w:color w:val="000000"/>
        </w:rPr>
        <w:t>prevention. Ensuring that policing practices align with human rights standards is therefore essential not only for safeguarding vulnerable individuals but also for maintaining the legitimacy of the criminal justice system (Tyler, 2006).</w:t>
      </w:r>
    </w:p>
    <w:p w14:paraId="73450219" w14:textId="6ED70EA7" w:rsidR="00507D77" w:rsidRPr="00EC57ED" w:rsidRDefault="00507D77" w:rsidP="00EC57ED">
      <w:pPr>
        <w:pStyle w:val="NormalWeb"/>
        <w:spacing w:line="360" w:lineRule="auto"/>
        <w:rPr>
          <w:rFonts w:ascii="Arial" w:hAnsi="Arial" w:cs="Arial"/>
        </w:rPr>
      </w:pPr>
    </w:p>
    <w:p w14:paraId="25D70E57" w14:textId="77777777" w:rsidR="00507D77" w:rsidRDefault="00507D77" w:rsidP="00EC57ED">
      <w:pPr>
        <w:spacing w:after="160" w:line="278" w:lineRule="auto"/>
        <w:rPr>
          <w:rFonts w:ascii="Arial" w:hAnsi="Arial" w:cs="Arial"/>
          <w:sz w:val="24"/>
          <w:szCs w:val="24"/>
          <w:u w:val="single"/>
        </w:rPr>
      </w:pPr>
    </w:p>
    <w:p w14:paraId="0997AB36" w14:textId="2511415D" w:rsidR="00507D77" w:rsidRPr="00073E6F" w:rsidRDefault="00507D77" w:rsidP="00EC57ED">
      <w:pPr>
        <w:spacing w:after="160" w:line="278" w:lineRule="auto"/>
        <w:rPr>
          <w:rFonts w:ascii="Arial" w:hAnsi="Arial" w:cs="Arial"/>
          <w:sz w:val="24"/>
          <w:szCs w:val="24"/>
        </w:rPr>
      </w:pPr>
      <w:r w:rsidRPr="00073E6F">
        <w:rPr>
          <w:rFonts w:ascii="Arial" w:hAnsi="Arial" w:cs="Arial"/>
          <w:sz w:val="24"/>
          <w:szCs w:val="24"/>
        </w:rPr>
        <w:br w:type="page"/>
      </w:r>
    </w:p>
    <w:p w14:paraId="437100BF" w14:textId="3F646586" w:rsidR="00507D77" w:rsidRDefault="00507D77" w:rsidP="00507D77">
      <w:pPr>
        <w:rPr>
          <w:rFonts w:ascii="Arial" w:hAnsi="Arial" w:cs="Arial"/>
          <w:sz w:val="24"/>
          <w:szCs w:val="24"/>
          <w:u w:val="single"/>
        </w:rPr>
      </w:pPr>
      <w:r w:rsidRPr="00507D77">
        <w:rPr>
          <w:rFonts w:ascii="Arial" w:hAnsi="Arial" w:cs="Arial"/>
          <w:sz w:val="24"/>
          <w:szCs w:val="24"/>
          <w:u w:val="single"/>
        </w:rPr>
        <w:lastRenderedPageBreak/>
        <w:t xml:space="preserve">References </w:t>
      </w:r>
    </w:p>
    <w:p w14:paraId="61C4B70F" w14:textId="77777777" w:rsidR="00073E6F" w:rsidRDefault="00073E6F" w:rsidP="00507D77">
      <w:pPr>
        <w:rPr>
          <w:rFonts w:ascii="Arial" w:hAnsi="Arial" w:cs="Arial"/>
          <w:sz w:val="24"/>
          <w:szCs w:val="24"/>
          <w:u w:val="single"/>
        </w:rPr>
      </w:pPr>
    </w:p>
    <w:p w14:paraId="34BECDB8" w14:textId="2D41E7BB" w:rsidR="00073E6F" w:rsidRPr="003D24F2" w:rsidRDefault="00073E6F" w:rsidP="00073E6F">
      <w:pPr>
        <w:pStyle w:val="NormalWeb"/>
        <w:spacing w:line="360" w:lineRule="auto"/>
        <w:rPr>
          <w:rFonts w:ascii="Arial" w:hAnsi="Arial" w:cs="Arial"/>
        </w:rPr>
      </w:pPr>
      <w:r w:rsidRPr="003D24F2">
        <w:rPr>
          <w:rFonts w:ascii="Arial" w:hAnsi="Arial" w:cs="Arial"/>
        </w:rPr>
        <w:t xml:space="preserve">Ashworth, A. and </w:t>
      </w:r>
      <w:proofErr w:type="spellStart"/>
      <w:r w:rsidRPr="003D24F2">
        <w:rPr>
          <w:rFonts w:ascii="Arial" w:hAnsi="Arial" w:cs="Arial"/>
        </w:rPr>
        <w:t>Zedner</w:t>
      </w:r>
      <w:proofErr w:type="spellEnd"/>
      <w:r w:rsidRPr="003D24F2">
        <w:rPr>
          <w:rFonts w:ascii="Arial" w:hAnsi="Arial" w:cs="Arial"/>
        </w:rPr>
        <w:t xml:space="preserve">, L. (2014) </w:t>
      </w:r>
      <w:r w:rsidRPr="003D24F2">
        <w:rPr>
          <w:rStyle w:val="Emphasis"/>
          <w:rFonts w:ascii="Arial" w:eastAsiaTheme="majorEastAsia" w:hAnsi="Arial" w:cs="Arial"/>
        </w:rPr>
        <w:t>Preventive justice</w:t>
      </w:r>
      <w:r w:rsidRPr="003D24F2">
        <w:rPr>
          <w:rFonts w:ascii="Arial" w:hAnsi="Arial" w:cs="Arial"/>
        </w:rPr>
        <w:t>. Oxford: Oxford University Press.</w:t>
      </w:r>
    </w:p>
    <w:p w14:paraId="05F2B82F" w14:textId="77777777" w:rsidR="00073E6F" w:rsidRPr="003D24F2" w:rsidRDefault="00073E6F" w:rsidP="00073E6F">
      <w:pPr>
        <w:spacing w:line="360" w:lineRule="auto"/>
        <w:rPr>
          <w:rFonts w:ascii="Arial" w:hAnsi="Arial" w:cs="Arial"/>
          <w:sz w:val="24"/>
          <w:szCs w:val="24"/>
        </w:rPr>
      </w:pPr>
    </w:p>
    <w:p w14:paraId="07A89110" w14:textId="2FA72F52" w:rsidR="00073E6F" w:rsidRPr="003D24F2" w:rsidRDefault="00073E6F" w:rsidP="00073E6F">
      <w:pPr>
        <w:pStyle w:val="NormalWeb"/>
        <w:spacing w:line="360" w:lineRule="auto"/>
        <w:rPr>
          <w:rFonts w:ascii="Arial" w:hAnsi="Arial" w:cs="Arial"/>
        </w:rPr>
      </w:pPr>
      <w:r w:rsidRPr="003D24F2">
        <w:rPr>
          <w:rFonts w:ascii="Arial" w:hAnsi="Arial" w:cs="Arial"/>
        </w:rPr>
        <w:t xml:space="preserve">Bowling, B. and Phillips, C. (2007) ‘Disproportionate and discriminatory: Reviewing the evidence on police stop and search’, </w:t>
      </w:r>
      <w:r w:rsidRPr="003D24F2">
        <w:rPr>
          <w:rStyle w:val="Emphasis"/>
          <w:rFonts w:ascii="Arial" w:eastAsiaTheme="majorEastAsia" w:hAnsi="Arial" w:cs="Arial"/>
        </w:rPr>
        <w:t>Modern Law Review</w:t>
      </w:r>
      <w:r w:rsidRPr="003D24F2">
        <w:rPr>
          <w:rFonts w:ascii="Arial" w:hAnsi="Arial" w:cs="Arial"/>
        </w:rPr>
        <w:t>, 70(6), pp. 936–961.</w:t>
      </w:r>
    </w:p>
    <w:p w14:paraId="2305A5DF" w14:textId="77777777" w:rsidR="00073E6F" w:rsidRPr="003D24F2" w:rsidRDefault="00073E6F" w:rsidP="00073E6F">
      <w:pPr>
        <w:spacing w:line="360" w:lineRule="auto"/>
        <w:rPr>
          <w:rFonts w:ascii="Arial" w:hAnsi="Arial" w:cs="Arial"/>
          <w:sz w:val="24"/>
          <w:szCs w:val="24"/>
          <w:u w:val="single"/>
        </w:rPr>
      </w:pPr>
    </w:p>
    <w:p w14:paraId="0316C546"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Bradford, B. (2017) ‘Stop and search and police legitimacy’,</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Policing and Society</w:t>
      </w:r>
      <w:r w:rsidRPr="003D24F2">
        <w:rPr>
          <w:rFonts w:ascii="Arial" w:hAnsi="Arial" w:cs="Arial"/>
          <w:color w:val="000000"/>
        </w:rPr>
        <w:t>, 27(5), pp. 539–559.</w:t>
      </w:r>
    </w:p>
    <w:p w14:paraId="070038F9" w14:textId="77777777" w:rsidR="00073E6F" w:rsidRPr="003D24F2" w:rsidRDefault="00073E6F" w:rsidP="00073E6F">
      <w:pPr>
        <w:pStyle w:val="NormalWeb"/>
        <w:spacing w:line="360" w:lineRule="auto"/>
        <w:rPr>
          <w:rFonts w:ascii="Arial" w:hAnsi="Arial" w:cs="Arial"/>
          <w:color w:val="000000"/>
        </w:rPr>
      </w:pPr>
    </w:p>
    <w:p w14:paraId="1B9ABFF6"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British Medical Association (2022)</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The impact of policing practices on child mental health.</w:t>
      </w:r>
      <w:r w:rsidRPr="003D24F2">
        <w:rPr>
          <w:rStyle w:val="apple-converted-space"/>
          <w:rFonts w:ascii="Arial" w:eastAsiaTheme="majorEastAsia" w:hAnsi="Arial" w:cs="Arial"/>
          <w:color w:val="000000"/>
        </w:rPr>
        <w:t> </w:t>
      </w:r>
      <w:r w:rsidRPr="003D24F2">
        <w:rPr>
          <w:rFonts w:ascii="Arial" w:hAnsi="Arial" w:cs="Arial"/>
          <w:color w:val="000000"/>
        </w:rPr>
        <w:t>London: BMA.</w:t>
      </w:r>
    </w:p>
    <w:p w14:paraId="59FB49DD" w14:textId="77777777" w:rsidR="00073E6F" w:rsidRPr="003D24F2" w:rsidRDefault="00073E6F" w:rsidP="00073E6F">
      <w:pPr>
        <w:pStyle w:val="NormalWeb"/>
        <w:spacing w:line="360" w:lineRule="auto"/>
        <w:rPr>
          <w:rFonts w:ascii="Arial" w:hAnsi="Arial" w:cs="Arial"/>
          <w:color w:val="000000"/>
        </w:rPr>
      </w:pPr>
    </w:p>
    <w:p w14:paraId="1AC2F652" w14:textId="77777777" w:rsidR="00507D77" w:rsidRDefault="00507D77" w:rsidP="00073E6F">
      <w:pPr>
        <w:pStyle w:val="NormalWeb"/>
        <w:spacing w:line="360" w:lineRule="auto"/>
        <w:rPr>
          <w:rFonts w:ascii="Arial" w:hAnsi="Arial" w:cs="Arial"/>
          <w:color w:val="000000"/>
        </w:rPr>
      </w:pPr>
      <w:r w:rsidRPr="003D24F2">
        <w:rPr>
          <w:rFonts w:ascii="Arial" w:hAnsi="Arial" w:cs="Arial"/>
          <w:color w:val="000000"/>
        </w:rPr>
        <w:t>Children’s Commissioner for England (2023)</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Strip search of children in England and Wales.</w:t>
      </w:r>
      <w:r w:rsidRPr="003D24F2">
        <w:rPr>
          <w:rStyle w:val="apple-converted-space"/>
          <w:rFonts w:ascii="Arial" w:eastAsiaTheme="majorEastAsia" w:hAnsi="Arial" w:cs="Arial"/>
          <w:color w:val="000000"/>
        </w:rPr>
        <w:t> </w:t>
      </w:r>
      <w:r w:rsidRPr="003D24F2">
        <w:rPr>
          <w:rFonts w:ascii="Arial" w:hAnsi="Arial" w:cs="Arial"/>
          <w:color w:val="000000"/>
        </w:rPr>
        <w:t>London: OCC.</w:t>
      </w:r>
    </w:p>
    <w:p w14:paraId="7883C95B" w14:textId="77777777" w:rsidR="006D154A" w:rsidRPr="003D24F2" w:rsidRDefault="006D154A" w:rsidP="00073E6F">
      <w:pPr>
        <w:pStyle w:val="NormalWeb"/>
        <w:spacing w:line="360" w:lineRule="auto"/>
        <w:rPr>
          <w:rFonts w:ascii="Arial" w:hAnsi="Arial" w:cs="Arial"/>
          <w:color w:val="000000"/>
        </w:rPr>
      </w:pPr>
    </w:p>
    <w:p w14:paraId="5ADE0832" w14:textId="77777777" w:rsidR="006D154A" w:rsidRPr="003D24F2" w:rsidRDefault="006D154A" w:rsidP="006D154A">
      <w:pPr>
        <w:spacing w:line="360" w:lineRule="auto"/>
        <w:rPr>
          <w:rFonts w:ascii="Arial" w:hAnsi="Arial" w:cs="Arial"/>
          <w:sz w:val="24"/>
          <w:szCs w:val="24"/>
        </w:rPr>
      </w:pPr>
      <w:r w:rsidRPr="003D24F2">
        <w:rPr>
          <w:rFonts w:ascii="Arial" w:hAnsi="Arial" w:cs="Arial"/>
          <w:sz w:val="24"/>
          <w:szCs w:val="24"/>
        </w:rPr>
        <w:t xml:space="preserve">Children’s Legal Centre Wales (2022) </w:t>
      </w:r>
      <w:r w:rsidRPr="003D24F2">
        <w:rPr>
          <w:rStyle w:val="Emphasis"/>
          <w:rFonts w:ascii="Arial" w:eastAsiaTheme="majorEastAsia" w:hAnsi="Arial" w:cs="Arial"/>
          <w:sz w:val="24"/>
          <w:szCs w:val="24"/>
        </w:rPr>
        <w:t>Strip search of children: A violation of children’s rights</w:t>
      </w:r>
      <w:r w:rsidRPr="003D24F2">
        <w:rPr>
          <w:rFonts w:ascii="Arial" w:hAnsi="Arial" w:cs="Arial"/>
          <w:sz w:val="24"/>
          <w:szCs w:val="24"/>
        </w:rPr>
        <w:t xml:space="preserve">. Available at: </w:t>
      </w:r>
      <w:hyperlink r:id="rId7" w:tgtFrame="_new" w:history="1">
        <w:r w:rsidRPr="003D24F2">
          <w:rPr>
            <w:rStyle w:val="Hyperlink"/>
            <w:rFonts w:ascii="Arial" w:eastAsiaTheme="majorEastAsia" w:hAnsi="Arial" w:cs="Arial"/>
            <w:sz w:val="24"/>
            <w:szCs w:val="24"/>
          </w:rPr>
          <w:t>https://childrenslegalcentre.wales/strip-search-of-children-a-violation-of-childrens-rights/</w:t>
        </w:r>
      </w:hyperlink>
      <w:r w:rsidRPr="003D24F2">
        <w:rPr>
          <w:rFonts w:ascii="Arial" w:hAnsi="Arial" w:cs="Arial"/>
          <w:sz w:val="24"/>
          <w:szCs w:val="24"/>
        </w:rPr>
        <w:t xml:space="preserve"> (Accessed: 28 February 2026).</w:t>
      </w:r>
    </w:p>
    <w:p w14:paraId="73833B3A" w14:textId="77777777" w:rsidR="00073E6F" w:rsidRPr="003D24F2" w:rsidRDefault="00073E6F" w:rsidP="00073E6F">
      <w:pPr>
        <w:pStyle w:val="NormalWeb"/>
        <w:spacing w:line="360" w:lineRule="auto"/>
        <w:rPr>
          <w:rFonts w:ascii="Arial" w:hAnsi="Arial" w:cs="Arial"/>
          <w:color w:val="000000"/>
        </w:rPr>
      </w:pPr>
    </w:p>
    <w:p w14:paraId="20DAE71B" w14:textId="273B4F6F" w:rsidR="00073E6F" w:rsidRPr="003D24F2" w:rsidRDefault="00073E6F" w:rsidP="00073E6F">
      <w:pPr>
        <w:pStyle w:val="NormalWeb"/>
        <w:spacing w:line="360" w:lineRule="auto"/>
        <w:rPr>
          <w:rFonts w:ascii="Arial" w:hAnsi="Arial" w:cs="Arial"/>
          <w:color w:val="000000"/>
        </w:rPr>
      </w:pPr>
      <w:r w:rsidRPr="003D24F2">
        <w:rPr>
          <w:rFonts w:ascii="Arial" w:hAnsi="Arial" w:cs="Arial"/>
        </w:rPr>
        <w:t xml:space="preserve">Children’s Commissioner for England (2022) </w:t>
      </w:r>
      <w:r w:rsidRPr="003D24F2">
        <w:rPr>
          <w:rFonts w:ascii="Arial" w:hAnsi="Arial" w:cs="Arial"/>
          <w:i/>
          <w:iCs/>
        </w:rPr>
        <w:t>Strip search of children by the Metropolitan Police Service: New analysis by the Children’s Commissioner for England</w:t>
      </w:r>
      <w:r w:rsidRPr="003D24F2">
        <w:rPr>
          <w:rFonts w:ascii="Arial" w:hAnsi="Arial" w:cs="Arial"/>
        </w:rPr>
        <w:t xml:space="preserve">. Available at: </w:t>
      </w:r>
      <w:hyperlink r:id="rId8" w:tgtFrame="_new" w:history="1">
        <w:r w:rsidRPr="003D24F2">
          <w:rPr>
            <w:rFonts w:ascii="Arial" w:hAnsi="Arial" w:cs="Arial"/>
            <w:color w:val="0000FF"/>
            <w:u w:val="single"/>
          </w:rPr>
          <w:t>https://www.childrenscommissioner.gov.uk/blog/strip-search-</w:t>
        </w:r>
        <w:r w:rsidRPr="003D24F2">
          <w:rPr>
            <w:rFonts w:ascii="Arial" w:hAnsi="Arial" w:cs="Arial"/>
            <w:color w:val="0000FF"/>
            <w:u w:val="single"/>
          </w:rPr>
          <w:lastRenderedPageBreak/>
          <w:t>of-children-by-the-metropolitan-police-service-new-analysis-by-the-childrens-commissioner-for-england/</w:t>
        </w:r>
      </w:hyperlink>
      <w:r w:rsidRPr="003D24F2">
        <w:rPr>
          <w:rFonts w:ascii="Arial" w:hAnsi="Arial" w:cs="Arial"/>
        </w:rPr>
        <w:t xml:space="preserve"> (Accessed: 21 February 2026).</w:t>
      </w:r>
    </w:p>
    <w:p w14:paraId="598EAE31"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College of Policing (2022)</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Authorised Professional Practice: Stop and search.</w:t>
      </w:r>
      <w:r w:rsidRPr="003D24F2">
        <w:rPr>
          <w:rStyle w:val="apple-converted-space"/>
          <w:rFonts w:ascii="Arial" w:eastAsiaTheme="majorEastAsia" w:hAnsi="Arial" w:cs="Arial"/>
          <w:color w:val="000000"/>
        </w:rPr>
        <w:t> </w:t>
      </w:r>
      <w:r w:rsidRPr="003D24F2">
        <w:rPr>
          <w:rFonts w:ascii="Arial" w:hAnsi="Arial" w:cs="Arial"/>
          <w:color w:val="000000"/>
        </w:rPr>
        <w:t>Coventry: College of Policing.</w:t>
      </w:r>
    </w:p>
    <w:p w14:paraId="451600BF" w14:textId="77777777" w:rsidR="00073E6F" w:rsidRPr="003D24F2" w:rsidRDefault="00073E6F" w:rsidP="00073E6F">
      <w:pPr>
        <w:pStyle w:val="NormalWeb"/>
        <w:spacing w:line="360" w:lineRule="auto"/>
        <w:rPr>
          <w:rFonts w:ascii="Arial" w:hAnsi="Arial" w:cs="Arial"/>
          <w:color w:val="000000"/>
        </w:rPr>
      </w:pPr>
    </w:p>
    <w:p w14:paraId="51BD6C22"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Davis, A. and Goff, P.A. (2020) ‘</w:t>
      </w:r>
      <w:proofErr w:type="spellStart"/>
      <w:r w:rsidRPr="003D24F2">
        <w:rPr>
          <w:rFonts w:ascii="Arial" w:hAnsi="Arial" w:cs="Arial"/>
          <w:color w:val="000000"/>
        </w:rPr>
        <w:t>Adultification</w:t>
      </w:r>
      <w:proofErr w:type="spellEnd"/>
      <w:r w:rsidRPr="003D24F2">
        <w:rPr>
          <w:rFonts w:ascii="Arial" w:hAnsi="Arial" w:cs="Arial"/>
          <w:color w:val="000000"/>
        </w:rPr>
        <w:t xml:space="preserve"> bias in perceptions of Black youth’,</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Journal of Personality and Social Psychology</w:t>
      </w:r>
      <w:r w:rsidRPr="003D24F2">
        <w:rPr>
          <w:rFonts w:ascii="Arial" w:hAnsi="Arial" w:cs="Arial"/>
          <w:color w:val="000000"/>
        </w:rPr>
        <w:t>, 119(5), pp. 1068–1087.</w:t>
      </w:r>
    </w:p>
    <w:p w14:paraId="1DC1537A" w14:textId="77777777" w:rsidR="00073E6F" w:rsidRPr="003D24F2" w:rsidRDefault="00073E6F" w:rsidP="00073E6F">
      <w:pPr>
        <w:pStyle w:val="NormalWeb"/>
        <w:spacing w:line="360" w:lineRule="auto"/>
        <w:rPr>
          <w:rFonts w:ascii="Arial" w:hAnsi="Arial" w:cs="Arial"/>
          <w:color w:val="000000"/>
        </w:rPr>
      </w:pPr>
    </w:p>
    <w:p w14:paraId="6AEA487D"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Equality and Human Rights Commission (2020)</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Racial disproportionality in stop and search.</w:t>
      </w:r>
      <w:r w:rsidRPr="003D24F2">
        <w:rPr>
          <w:rStyle w:val="apple-converted-space"/>
          <w:rFonts w:ascii="Arial" w:eastAsiaTheme="majorEastAsia" w:hAnsi="Arial" w:cs="Arial"/>
          <w:color w:val="000000"/>
        </w:rPr>
        <w:t> </w:t>
      </w:r>
      <w:r w:rsidRPr="003D24F2">
        <w:rPr>
          <w:rFonts w:ascii="Arial" w:hAnsi="Arial" w:cs="Arial"/>
          <w:color w:val="000000"/>
        </w:rPr>
        <w:t>London: EHRC.</w:t>
      </w:r>
    </w:p>
    <w:p w14:paraId="59157CB1" w14:textId="77777777" w:rsidR="003D24F2" w:rsidRPr="003D24F2" w:rsidRDefault="003D24F2" w:rsidP="00073E6F">
      <w:pPr>
        <w:pStyle w:val="NormalWeb"/>
        <w:spacing w:line="360" w:lineRule="auto"/>
        <w:rPr>
          <w:rFonts w:ascii="Arial" w:hAnsi="Arial" w:cs="Arial"/>
          <w:color w:val="000000"/>
        </w:rPr>
      </w:pPr>
    </w:p>
    <w:p w14:paraId="154F204C" w14:textId="05A95EDB" w:rsidR="00073E6F" w:rsidRPr="003D24F2" w:rsidRDefault="003D24F2" w:rsidP="003D24F2">
      <w:pPr>
        <w:pStyle w:val="NormalWeb"/>
        <w:rPr>
          <w:rFonts w:ascii="Arial" w:hAnsi="Arial" w:cs="Arial"/>
          <w:color w:val="000000"/>
        </w:rPr>
      </w:pPr>
      <w:r w:rsidRPr="003D24F2">
        <w:rPr>
          <w:rFonts w:ascii="Arial" w:hAnsi="Arial" w:cs="Arial"/>
          <w:color w:val="000000"/>
        </w:rPr>
        <w:t>Equality Act 2010 (2010)</w:t>
      </w:r>
      <w:r w:rsidRPr="003D24F2">
        <w:rPr>
          <w:rStyle w:val="apple-converted-space"/>
          <w:rFonts w:ascii="Arial" w:eastAsiaTheme="majorEastAsia" w:hAnsi="Arial" w:cs="Arial"/>
          <w:color w:val="000000"/>
        </w:rPr>
        <w:t> </w:t>
      </w:r>
      <w:r w:rsidRPr="003D24F2">
        <w:rPr>
          <w:rStyle w:val="Strong"/>
          <w:rFonts w:ascii="Arial" w:eastAsiaTheme="majorEastAsia" w:hAnsi="Arial" w:cs="Arial"/>
          <w:b w:val="0"/>
          <w:bCs w:val="0"/>
          <w:color w:val="000000"/>
        </w:rPr>
        <w:t>Equality Act 2010</w:t>
      </w:r>
      <w:r w:rsidRPr="003D24F2">
        <w:rPr>
          <w:rFonts w:ascii="Arial" w:hAnsi="Arial" w:cs="Arial"/>
          <w:b/>
          <w:bCs/>
          <w:color w:val="000000"/>
        </w:rPr>
        <w:t>.</w:t>
      </w:r>
      <w:r w:rsidRPr="003D24F2">
        <w:rPr>
          <w:rFonts w:ascii="Arial" w:hAnsi="Arial" w:cs="Arial"/>
          <w:color w:val="000000"/>
        </w:rPr>
        <w:t xml:space="preserve"> London: The Stationery Office.</w:t>
      </w:r>
    </w:p>
    <w:p w14:paraId="26492D60" w14:textId="77777777" w:rsidR="003D24F2" w:rsidRPr="003D24F2" w:rsidRDefault="003D24F2" w:rsidP="003D24F2">
      <w:pPr>
        <w:pStyle w:val="NormalWeb"/>
        <w:rPr>
          <w:rFonts w:ascii="Arial" w:hAnsi="Arial" w:cs="Arial"/>
          <w:color w:val="000000"/>
        </w:rPr>
      </w:pPr>
    </w:p>
    <w:p w14:paraId="22CADC4E"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European Convention on Human Rights (1950)</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Convention for the Protection of Human Rights and Fundamental Freedoms.</w:t>
      </w:r>
      <w:r w:rsidRPr="003D24F2">
        <w:rPr>
          <w:rStyle w:val="apple-converted-space"/>
          <w:rFonts w:ascii="Arial" w:eastAsiaTheme="majorEastAsia" w:hAnsi="Arial" w:cs="Arial"/>
          <w:color w:val="000000"/>
        </w:rPr>
        <w:t> </w:t>
      </w:r>
      <w:r w:rsidRPr="003D24F2">
        <w:rPr>
          <w:rFonts w:ascii="Arial" w:hAnsi="Arial" w:cs="Arial"/>
          <w:color w:val="000000"/>
        </w:rPr>
        <w:t>Strasbourg: Council of Europe.</w:t>
      </w:r>
    </w:p>
    <w:p w14:paraId="0ED4B7D2" w14:textId="77777777" w:rsidR="00073E6F" w:rsidRPr="003D24F2" w:rsidRDefault="00073E6F" w:rsidP="00073E6F">
      <w:pPr>
        <w:pStyle w:val="NormalWeb"/>
        <w:spacing w:line="360" w:lineRule="auto"/>
        <w:rPr>
          <w:rFonts w:ascii="Arial" w:hAnsi="Arial" w:cs="Arial"/>
          <w:color w:val="000000"/>
        </w:rPr>
      </w:pPr>
    </w:p>
    <w:p w14:paraId="642157E6" w14:textId="0BB9C379" w:rsidR="00073E6F" w:rsidRPr="003D24F2" w:rsidRDefault="00073E6F" w:rsidP="00073E6F">
      <w:pPr>
        <w:pStyle w:val="NormalWeb"/>
        <w:spacing w:line="360" w:lineRule="auto"/>
        <w:rPr>
          <w:rFonts w:ascii="Arial" w:hAnsi="Arial" w:cs="Arial"/>
        </w:rPr>
      </w:pPr>
      <w:r w:rsidRPr="003D24F2">
        <w:rPr>
          <w:rFonts w:ascii="Arial" w:hAnsi="Arial" w:cs="Arial"/>
        </w:rPr>
        <w:t xml:space="preserve">European Court of Human Rights (2024) </w:t>
      </w:r>
      <w:r w:rsidRPr="003D24F2">
        <w:rPr>
          <w:rStyle w:val="Emphasis"/>
          <w:rFonts w:ascii="Arial" w:eastAsiaTheme="majorEastAsia" w:hAnsi="Arial" w:cs="Arial"/>
        </w:rPr>
        <w:t>Guide on Article 8 of the European Convention on Human Rights: Right to respect for private and family life</w:t>
      </w:r>
      <w:r w:rsidRPr="003D24F2">
        <w:rPr>
          <w:rFonts w:ascii="Arial" w:hAnsi="Arial" w:cs="Arial"/>
        </w:rPr>
        <w:t>. Strasbourg: Council of Europe. Available at: https://www.echr.coe.int/documents/d/echr/Guide_Art_8_ENG (Accessed: 1 March 2026).</w:t>
      </w:r>
    </w:p>
    <w:p w14:paraId="40019288" w14:textId="77777777" w:rsidR="00073E6F" w:rsidRPr="003D24F2" w:rsidRDefault="00073E6F" w:rsidP="00073E6F">
      <w:pPr>
        <w:pStyle w:val="NormalWeb"/>
        <w:spacing w:line="360" w:lineRule="auto"/>
        <w:rPr>
          <w:rFonts w:ascii="Arial" w:hAnsi="Arial" w:cs="Arial"/>
          <w:color w:val="000000"/>
        </w:rPr>
      </w:pPr>
    </w:p>
    <w:p w14:paraId="5B726C48"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Fitzgerald, M. (2013) ‘Ethnic disproportionality in stop and search’,</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British Journal of Criminology</w:t>
      </w:r>
      <w:r w:rsidRPr="003D24F2">
        <w:rPr>
          <w:rFonts w:ascii="Arial" w:hAnsi="Arial" w:cs="Arial"/>
          <w:color w:val="000000"/>
        </w:rPr>
        <w:t>, 53(2), pp. 228–244.</w:t>
      </w:r>
    </w:p>
    <w:p w14:paraId="3EC1FE9C" w14:textId="77777777" w:rsidR="00073E6F" w:rsidRPr="003D24F2" w:rsidRDefault="00073E6F" w:rsidP="00073E6F">
      <w:pPr>
        <w:pStyle w:val="NormalWeb"/>
        <w:spacing w:line="360" w:lineRule="auto"/>
        <w:rPr>
          <w:rFonts w:ascii="Arial" w:hAnsi="Arial" w:cs="Arial"/>
          <w:color w:val="000000"/>
        </w:rPr>
      </w:pPr>
    </w:p>
    <w:p w14:paraId="4FB0FF17"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lastRenderedPageBreak/>
        <w:t>Hackett, S., Masson, H. and Phillips, S. (2022)</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Child Q Safeguarding Practice Review.</w:t>
      </w:r>
      <w:r w:rsidRPr="003D24F2">
        <w:rPr>
          <w:rStyle w:val="apple-converted-space"/>
          <w:rFonts w:ascii="Arial" w:eastAsiaTheme="majorEastAsia" w:hAnsi="Arial" w:cs="Arial"/>
          <w:color w:val="000000"/>
        </w:rPr>
        <w:t> </w:t>
      </w:r>
      <w:r w:rsidRPr="003D24F2">
        <w:rPr>
          <w:rFonts w:ascii="Arial" w:hAnsi="Arial" w:cs="Arial"/>
          <w:color w:val="000000"/>
        </w:rPr>
        <w:t>London: City and Hackney SCP.</w:t>
      </w:r>
    </w:p>
    <w:p w14:paraId="76CCBBC8" w14:textId="3B24FB58"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H</w:t>
      </w:r>
      <w:r w:rsidR="00073E6F" w:rsidRPr="003D24F2">
        <w:rPr>
          <w:rFonts w:ascii="Arial" w:hAnsi="Arial" w:cs="Arial"/>
          <w:color w:val="000000"/>
        </w:rPr>
        <w:t xml:space="preserve">is </w:t>
      </w:r>
      <w:r w:rsidRPr="003D24F2">
        <w:rPr>
          <w:rFonts w:ascii="Arial" w:hAnsi="Arial" w:cs="Arial"/>
          <w:color w:val="000000"/>
        </w:rPr>
        <w:t>M</w:t>
      </w:r>
      <w:r w:rsidR="00073E6F" w:rsidRPr="003D24F2">
        <w:rPr>
          <w:rFonts w:ascii="Arial" w:hAnsi="Arial" w:cs="Arial"/>
          <w:color w:val="000000"/>
        </w:rPr>
        <w:t>ajesty’s</w:t>
      </w:r>
      <w:r w:rsidRPr="003D24F2">
        <w:rPr>
          <w:rFonts w:ascii="Arial" w:hAnsi="Arial" w:cs="Arial"/>
          <w:color w:val="000000"/>
        </w:rPr>
        <w:t xml:space="preserve"> Inspectorate of Constabulary and Fire &amp; Rescue Services (HMICFRS) (2022)</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An inspection of the Metropolitan Police Service’s use of stop and search.</w:t>
      </w:r>
      <w:r w:rsidRPr="003D24F2">
        <w:rPr>
          <w:rStyle w:val="apple-converted-space"/>
          <w:rFonts w:ascii="Arial" w:eastAsiaTheme="majorEastAsia" w:hAnsi="Arial" w:cs="Arial"/>
          <w:color w:val="000000"/>
        </w:rPr>
        <w:t> </w:t>
      </w:r>
      <w:r w:rsidRPr="003D24F2">
        <w:rPr>
          <w:rFonts w:ascii="Arial" w:hAnsi="Arial" w:cs="Arial"/>
          <w:color w:val="000000"/>
        </w:rPr>
        <w:t>London: HMICFRS.</w:t>
      </w:r>
    </w:p>
    <w:p w14:paraId="565A8EAD" w14:textId="77777777" w:rsidR="00073E6F" w:rsidRPr="003D24F2" w:rsidRDefault="00073E6F" w:rsidP="00073E6F">
      <w:pPr>
        <w:pStyle w:val="NormalWeb"/>
        <w:spacing w:line="360" w:lineRule="auto"/>
        <w:rPr>
          <w:rFonts w:ascii="Arial" w:hAnsi="Arial" w:cs="Arial"/>
          <w:color w:val="000000"/>
        </w:rPr>
      </w:pPr>
    </w:p>
    <w:p w14:paraId="5CE32EF7" w14:textId="3C096C8C" w:rsidR="00073E6F" w:rsidRPr="003D24F2" w:rsidRDefault="00073E6F" w:rsidP="00073E6F">
      <w:pPr>
        <w:pStyle w:val="NormalWeb"/>
        <w:spacing w:line="360" w:lineRule="auto"/>
        <w:rPr>
          <w:rFonts w:ascii="Arial" w:hAnsi="Arial" w:cs="Arial"/>
        </w:rPr>
      </w:pPr>
      <w:r w:rsidRPr="003D24F2">
        <w:rPr>
          <w:rFonts w:ascii="Arial" w:hAnsi="Arial" w:cs="Arial"/>
        </w:rPr>
        <w:t xml:space="preserve">Johnson, K. (2024) </w:t>
      </w:r>
      <w:r w:rsidRPr="003D24F2">
        <w:rPr>
          <w:rFonts w:ascii="Arial" w:hAnsi="Arial" w:cs="Arial"/>
          <w:i/>
          <w:iCs/>
        </w:rPr>
        <w:t>Children’s Commissioner exposes systemic failures in strip searches of minors across England and Wales</w:t>
      </w:r>
      <w:r w:rsidRPr="003D24F2">
        <w:rPr>
          <w:rFonts w:ascii="Arial" w:hAnsi="Arial" w:cs="Arial"/>
        </w:rPr>
        <w:t xml:space="preserve">. Today’s Family Lawyer, 22 August. Available at: </w:t>
      </w:r>
      <w:hyperlink r:id="rId9" w:tgtFrame="_new" w:history="1">
        <w:r w:rsidRPr="003D24F2">
          <w:rPr>
            <w:rFonts w:ascii="Arial" w:hAnsi="Arial" w:cs="Arial"/>
            <w:color w:val="0000FF"/>
            <w:u w:val="single"/>
          </w:rPr>
          <w:t>https://todaysfamilylawyer.co.uk/childrens-commissioner-exposes-systemic-failures-in-strip-searches-of-minors-across-england-and-wales/</w:t>
        </w:r>
      </w:hyperlink>
      <w:r w:rsidRPr="003D24F2">
        <w:rPr>
          <w:rFonts w:ascii="Arial" w:hAnsi="Arial" w:cs="Arial"/>
        </w:rPr>
        <w:t xml:space="preserve"> (Accessed: 2 March 2026).</w:t>
      </w:r>
    </w:p>
    <w:p w14:paraId="57F1AB2C" w14:textId="77777777" w:rsidR="00073E6F" w:rsidRPr="003D24F2" w:rsidRDefault="00073E6F" w:rsidP="00073E6F">
      <w:pPr>
        <w:pStyle w:val="NormalWeb"/>
        <w:spacing w:line="360" w:lineRule="auto"/>
        <w:rPr>
          <w:rFonts w:ascii="Arial" w:hAnsi="Arial" w:cs="Arial"/>
          <w:color w:val="000000"/>
        </w:rPr>
      </w:pPr>
    </w:p>
    <w:p w14:paraId="274CE5C3"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Lammy, D. (2017)</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The Lammy Review.</w:t>
      </w:r>
      <w:r w:rsidRPr="003D24F2">
        <w:rPr>
          <w:rStyle w:val="apple-converted-space"/>
          <w:rFonts w:ascii="Arial" w:eastAsiaTheme="majorEastAsia" w:hAnsi="Arial" w:cs="Arial"/>
          <w:color w:val="000000"/>
        </w:rPr>
        <w:t> </w:t>
      </w:r>
      <w:r w:rsidRPr="003D24F2">
        <w:rPr>
          <w:rFonts w:ascii="Arial" w:hAnsi="Arial" w:cs="Arial"/>
          <w:color w:val="000000"/>
        </w:rPr>
        <w:t>London: Ministry of Justice.</w:t>
      </w:r>
    </w:p>
    <w:p w14:paraId="618ABA1D" w14:textId="77777777" w:rsidR="00073E6F" w:rsidRPr="003D24F2" w:rsidRDefault="00073E6F" w:rsidP="00073E6F">
      <w:pPr>
        <w:pStyle w:val="NormalWeb"/>
        <w:spacing w:line="360" w:lineRule="auto"/>
        <w:rPr>
          <w:rFonts w:ascii="Arial" w:hAnsi="Arial" w:cs="Arial"/>
          <w:color w:val="000000"/>
        </w:rPr>
      </w:pPr>
    </w:p>
    <w:p w14:paraId="4C17384A" w14:textId="77777777" w:rsidR="00507D77" w:rsidRPr="003D24F2" w:rsidRDefault="00507D77" w:rsidP="00073E6F">
      <w:pPr>
        <w:pStyle w:val="NormalWeb"/>
        <w:spacing w:line="360" w:lineRule="auto"/>
        <w:rPr>
          <w:rFonts w:ascii="Arial" w:hAnsi="Arial" w:cs="Arial"/>
          <w:color w:val="000000"/>
        </w:rPr>
      </w:pPr>
      <w:proofErr w:type="spellStart"/>
      <w:r w:rsidRPr="003D24F2">
        <w:rPr>
          <w:rFonts w:ascii="Arial" w:hAnsi="Arial" w:cs="Arial"/>
          <w:color w:val="000000"/>
        </w:rPr>
        <w:t>McAra</w:t>
      </w:r>
      <w:proofErr w:type="spellEnd"/>
      <w:r w:rsidRPr="003D24F2">
        <w:rPr>
          <w:rFonts w:ascii="Arial" w:hAnsi="Arial" w:cs="Arial"/>
          <w:color w:val="000000"/>
        </w:rPr>
        <w:t>, L. and McVie, S. (2014) ‘The criminalisation of youth’,</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British Journal of Criminology</w:t>
      </w:r>
      <w:r w:rsidRPr="003D24F2">
        <w:rPr>
          <w:rFonts w:ascii="Arial" w:hAnsi="Arial" w:cs="Arial"/>
          <w:color w:val="000000"/>
        </w:rPr>
        <w:t>, 54(3), pp. 358–379</w:t>
      </w:r>
    </w:p>
    <w:p w14:paraId="49CCF174" w14:textId="77777777" w:rsidR="00073E6F" w:rsidRPr="003D24F2" w:rsidRDefault="00073E6F" w:rsidP="00073E6F">
      <w:pPr>
        <w:pStyle w:val="NormalWeb"/>
        <w:spacing w:line="360" w:lineRule="auto"/>
        <w:rPr>
          <w:rFonts w:ascii="Arial" w:hAnsi="Arial" w:cs="Arial"/>
          <w:color w:val="000000"/>
        </w:rPr>
      </w:pPr>
    </w:p>
    <w:p w14:paraId="4AC31FBE"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Metropolitan Police Service (2023)</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Safeguarding reforms and strip search policy.</w:t>
      </w:r>
      <w:r w:rsidRPr="003D24F2">
        <w:rPr>
          <w:rStyle w:val="apple-converted-space"/>
          <w:rFonts w:ascii="Arial" w:eastAsiaTheme="majorEastAsia" w:hAnsi="Arial" w:cs="Arial"/>
          <w:color w:val="000000"/>
        </w:rPr>
        <w:t> </w:t>
      </w:r>
      <w:r w:rsidRPr="003D24F2">
        <w:rPr>
          <w:rFonts w:ascii="Arial" w:hAnsi="Arial" w:cs="Arial"/>
          <w:color w:val="000000"/>
        </w:rPr>
        <w:t>London: MPS.</w:t>
      </w:r>
    </w:p>
    <w:p w14:paraId="021387DC" w14:textId="77777777" w:rsidR="00073E6F" w:rsidRPr="003D24F2" w:rsidRDefault="00073E6F" w:rsidP="00073E6F">
      <w:pPr>
        <w:pStyle w:val="NormalWeb"/>
        <w:spacing w:line="360" w:lineRule="auto"/>
        <w:rPr>
          <w:rFonts w:ascii="Arial" w:hAnsi="Arial" w:cs="Arial"/>
          <w:color w:val="000000"/>
        </w:rPr>
      </w:pPr>
    </w:p>
    <w:p w14:paraId="3AA5A12D"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Public Law Project (2022)</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Safeguarding failures in police use of stop and search.</w:t>
      </w:r>
      <w:r w:rsidRPr="003D24F2">
        <w:rPr>
          <w:rStyle w:val="apple-converted-space"/>
          <w:rFonts w:ascii="Arial" w:eastAsiaTheme="majorEastAsia" w:hAnsi="Arial" w:cs="Arial"/>
          <w:color w:val="000000"/>
        </w:rPr>
        <w:t> </w:t>
      </w:r>
      <w:r w:rsidRPr="003D24F2">
        <w:rPr>
          <w:rFonts w:ascii="Arial" w:hAnsi="Arial" w:cs="Arial"/>
          <w:color w:val="000000"/>
        </w:rPr>
        <w:t>London: PLP.</w:t>
      </w:r>
    </w:p>
    <w:p w14:paraId="045D9808" w14:textId="77777777" w:rsidR="00073E6F" w:rsidRPr="003D24F2" w:rsidRDefault="00073E6F" w:rsidP="00073E6F">
      <w:pPr>
        <w:pStyle w:val="NormalWeb"/>
        <w:spacing w:line="360" w:lineRule="auto"/>
        <w:rPr>
          <w:rFonts w:ascii="Arial" w:hAnsi="Arial" w:cs="Arial"/>
          <w:color w:val="000000"/>
        </w:rPr>
      </w:pPr>
    </w:p>
    <w:p w14:paraId="6809B5B2" w14:textId="1A57DDD1" w:rsidR="00073E6F" w:rsidRPr="003D24F2" w:rsidRDefault="00507D77" w:rsidP="00073E6F">
      <w:pPr>
        <w:pStyle w:val="NormalWeb"/>
        <w:spacing w:line="360" w:lineRule="auto"/>
        <w:rPr>
          <w:rFonts w:ascii="Arial" w:hAnsi="Arial" w:cs="Arial"/>
          <w:color w:val="000000"/>
        </w:rPr>
      </w:pPr>
      <w:r w:rsidRPr="003D24F2">
        <w:rPr>
          <w:rFonts w:ascii="Arial" w:hAnsi="Arial" w:cs="Arial"/>
          <w:color w:val="000000"/>
        </w:rPr>
        <w:t>Tyler, T.R. (2006)</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Why People Obey the Law.</w:t>
      </w:r>
      <w:r w:rsidRPr="003D24F2">
        <w:rPr>
          <w:rStyle w:val="apple-converted-space"/>
          <w:rFonts w:ascii="Arial" w:eastAsiaTheme="majorEastAsia" w:hAnsi="Arial" w:cs="Arial"/>
          <w:color w:val="000000"/>
        </w:rPr>
        <w:t> </w:t>
      </w:r>
      <w:r w:rsidRPr="003D24F2">
        <w:rPr>
          <w:rFonts w:ascii="Arial" w:hAnsi="Arial" w:cs="Arial"/>
          <w:color w:val="000000"/>
        </w:rPr>
        <w:t>Princeton: Princeton University Press.</w:t>
      </w:r>
    </w:p>
    <w:p w14:paraId="6B9C22D1" w14:textId="77777777" w:rsidR="00073E6F" w:rsidRPr="003D24F2" w:rsidRDefault="00073E6F" w:rsidP="00073E6F">
      <w:pPr>
        <w:pStyle w:val="NormalWeb"/>
        <w:spacing w:line="360" w:lineRule="auto"/>
        <w:rPr>
          <w:rFonts w:ascii="Arial" w:hAnsi="Arial" w:cs="Arial"/>
          <w:color w:val="000000"/>
        </w:rPr>
      </w:pPr>
    </w:p>
    <w:p w14:paraId="4DE6D5E2"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United Nations (1989)</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Convention on the Rights of the Child.</w:t>
      </w:r>
      <w:r w:rsidRPr="003D24F2">
        <w:rPr>
          <w:rStyle w:val="apple-converted-space"/>
          <w:rFonts w:ascii="Arial" w:eastAsiaTheme="majorEastAsia" w:hAnsi="Arial" w:cs="Arial"/>
          <w:color w:val="000000"/>
        </w:rPr>
        <w:t> </w:t>
      </w:r>
      <w:r w:rsidRPr="003D24F2">
        <w:rPr>
          <w:rFonts w:ascii="Arial" w:hAnsi="Arial" w:cs="Arial"/>
          <w:color w:val="000000"/>
        </w:rPr>
        <w:t>New York: UN.</w:t>
      </w:r>
    </w:p>
    <w:p w14:paraId="456B1AEE" w14:textId="77777777" w:rsidR="00507D77" w:rsidRPr="003D24F2" w:rsidRDefault="00507D77" w:rsidP="00073E6F">
      <w:pPr>
        <w:pStyle w:val="NormalWeb"/>
        <w:spacing w:line="360" w:lineRule="auto"/>
        <w:rPr>
          <w:rFonts w:ascii="Arial" w:hAnsi="Arial" w:cs="Arial"/>
          <w:color w:val="000000"/>
        </w:rPr>
      </w:pPr>
      <w:r w:rsidRPr="003D24F2">
        <w:rPr>
          <w:rFonts w:ascii="Arial" w:hAnsi="Arial" w:cs="Arial"/>
          <w:color w:val="000000"/>
        </w:rPr>
        <w:t>Wainwright v United Kingdom (2006) 44 EHRR 40.</w:t>
      </w:r>
    </w:p>
    <w:p w14:paraId="2E47A854" w14:textId="77777777" w:rsidR="00073E6F" w:rsidRPr="003D24F2" w:rsidRDefault="00073E6F" w:rsidP="00073E6F">
      <w:pPr>
        <w:pStyle w:val="NormalWeb"/>
        <w:spacing w:line="360" w:lineRule="auto"/>
        <w:rPr>
          <w:rFonts w:ascii="Arial" w:hAnsi="Arial" w:cs="Arial"/>
          <w:color w:val="000000"/>
        </w:rPr>
      </w:pPr>
    </w:p>
    <w:p w14:paraId="4DF34E6C" w14:textId="77777777" w:rsidR="00073E6F" w:rsidRPr="003D24F2" w:rsidRDefault="00507D77" w:rsidP="00073E6F">
      <w:pPr>
        <w:pStyle w:val="NormalWeb"/>
        <w:spacing w:line="360" w:lineRule="auto"/>
        <w:rPr>
          <w:rStyle w:val="Strong"/>
          <w:rFonts w:ascii="Arial" w:eastAsiaTheme="majorEastAsia" w:hAnsi="Arial" w:cs="Arial"/>
          <w:b w:val="0"/>
          <w:bCs w:val="0"/>
        </w:rPr>
      </w:pPr>
      <w:r w:rsidRPr="003D24F2">
        <w:rPr>
          <w:rFonts w:ascii="Arial" w:hAnsi="Arial" w:cs="Arial"/>
          <w:color w:val="000000"/>
        </w:rPr>
        <w:t>Williams, P. and Clarke, B. (2018)</w:t>
      </w:r>
      <w:r w:rsidRPr="003D24F2">
        <w:rPr>
          <w:rStyle w:val="apple-converted-space"/>
          <w:rFonts w:ascii="Arial" w:eastAsiaTheme="majorEastAsia" w:hAnsi="Arial" w:cs="Arial"/>
          <w:color w:val="000000"/>
        </w:rPr>
        <w:t> </w:t>
      </w:r>
      <w:r w:rsidRPr="003D24F2">
        <w:rPr>
          <w:rStyle w:val="Emphasis"/>
          <w:rFonts w:ascii="Arial" w:eastAsiaTheme="majorEastAsia" w:hAnsi="Arial" w:cs="Arial"/>
          <w:color w:val="000000"/>
        </w:rPr>
        <w:t>Dangerous associations: racialised justice.</w:t>
      </w:r>
      <w:r w:rsidRPr="003D24F2">
        <w:rPr>
          <w:rStyle w:val="apple-converted-space"/>
          <w:rFonts w:ascii="Arial" w:eastAsiaTheme="majorEastAsia" w:hAnsi="Arial" w:cs="Arial"/>
          <w:color w:val="000000"/>
        </w:rPr>
        <w:t> </w:t>
      </w:r>
      <w:r w:rsidRPr="003D24F2">
        <w:rPr>
          <w:rFonts w:ascii="Arial" w:hAnsi="Arial" w:cs="Arial"/>
          <w:color w:val="000000"/>
        </w:rPr>
        <w:t xml:space="preserve">London: </w:t>
      </w:r>
      <w:r w:rsidR="00073E6F" w:rsidRPr="003D24F2">
        <w:rPr>
          <w:rStyle w:val="Strong"/>
          <w:rFonts w:ascii="Arial" w:eastAsiaTheme="majorEastAsia" w:hAnsi="Arial" w:cs="Arial"/>
          <w:b w:val="0"/>
          <w:bCs w:val="0"/>
        </w:rPr>
        <w:t>Centre for Crime and Justice Studies</w:t>
      </w:r>
    </w:p>
    <w:p w14:paraId="4A9462A9" w14:textId="77777777" w:rsidR="00073E6F" w:rsidRPr="003D24F2" w:rsidRDefault="00073E6F" w:rsidP="00073E6F">
      <w:pPr>
        <w:pStyle w:val="NormalWeb"/>
        <w:spacing w:line="360" w:lineRule="auto"/>
        <w:rPr>
          <w:rFonts w:ascii="Arial" w:hAnsi="Arial" w:cs="Arial"/>
        </w:rPr>
      </w:pPr>
    </w:p>
    <w:p w14:paraId="2BBB64A4" w14:textId="2CBAA79B" w:rsidR="00073E6F" w:rsidRPr="003D24F2" w:rsidRDefault="00073E6F" w:rsidP="00073E6F">
      <w:pPr>
        <w:pStyle w:val="NormalWeb"/>
        <w:spacing w:line="360" w:lineRule="auto"/>
        <w:rPr>
          <w:rFonts w:ascii="Arial" w:hAnsi="Arial" w:cs="Arial"/>
        </w:rPr>
      </w:pPr>
      <w:r w:rsidRPr="003D24F2">
        <w:rPr>
          <w:rFonts w:ascii="Arial" w:hAnsi="Arial" w:cs="Arial"/>
        </w:rPr>
        <w:t xml:space="preserve">Youth Justice Legal Centre (YJLC) (n.d.) </w:t>
      </w:r>
      <w:r w:rsidRPr="003D24F2">
        <w:rPr>
          <w:rFonts w:ascii="Arial" w:hAnsi="Arial" w:cs="Arial"/>
          <w:i/>
          <w:iCs/>
        </w:rPr>
        <w:t>Strip searching children report: Systemic failures of the Metropolitan Police</w:t>
      </w:r>
      <w:r w:rsidRPr="003D24F2">
        <w:rPr>
          <w:rFonts w:ascii="Arial" w:hAnsi="Arial" w:cs="Arial"/>
        </w:rPr>
        <w:t xml:space="preserve">. Available at: </w:t>
      </w:r>
      <w:hyperlink r:id="rId10" w:tgtFrame="_new" w:history="1">
        <w:r w:rsidRPr="003D24F2">
          <w:rPr>
            <w:rFonts w:ascii="Arial" w:hAnsi="Arial" w:cs="Arial"/>
            <w:color w:val="0000FF"/>
            <w:u w:val="single"/>
          </w:rPr>
          <w:t>https://yjlc.uk/resources/legal-updates/strip-searching-children-report-systemic-failures-met-police</w:t>
        </w:r>
      </w:hyperlink>
      <w:r w:rsidRPr="003D24F2">
        <w:rPr>
          <w:rFonts w:ascii="Arial" w:hAnsi="Arial" w:cs="Arial"/>
        </w:rPr>
        <w:t xml:space="preserve"> (Accessed: 1 March 2026).</w:t>
      </w:r>
    </w:p>
    <w:p w14:paraId="617A74EF" w14:textId="77777777" w:rsidR="00073E6F" w:rsidRPr="003D24F2" w:rsidRDefault="00073E6F" w:rsidP="00073E6F">
      <w:pPr>
        <w:pStyle w:val="NormalWeb"/>
        <w:spacing w:line="360" w:lineRule="auto"/>
        <w:rPr>
          <w:rFonts w:ascii="Arial" w:hAnsi="Arial" w:cs="Arial"/>
        </w:rPr>
      </w:pPr>
    </w:p>
    <w:p w14:paraId="520A3F82" w14:textId="420F211B" w:rsidR="00073E6F" w:rsidRPr="003D24F2" w:rsidRDefault="00073E6F" w:rsidP="00073E6F">
      <w:pPr>
        <w:pStyle w:val="NormalWeb"/>
        <w:spacing w:line="360" w:lineRule="auto"/>
        <w:rPr>
          <w:rFonts w:ascii="Arial" w:hAnsi="Arial" w:cs="Arial"/>
        </w:rPr>
      </w:pPr>
      <w:r w:rsidRPr="003D24F2">
        <w:rPr>
          <w:rFonts w:ascii="Arial" w:hAnsi="Arial" w:cs="Arial"/>
        </w:rPr>
        <w:t xml:space="preserve">Youth Justice Legal Centre (2025) </w:t>
      </w:r>
      <w:r w:rsidRPr="003D24F2">
        <w:rPr>
          <w:rStyle w:val="Emphasis"/>
          <w:rFonts w:ascii="Arial" w:eastAsiaTheme="majorEastAsia" w:hAnsi="Arial" w:cs="Arial"/>
        </w:rPr>
        <w:t>Strip searches of children: Trauma, disproportionality and the APPG’s recommendations for change</w:t>
      </w:r>
      <w:r w:rsidRPr="003D24F2">
        <w:rPr>
          <w:rFonts w:ascii="Arial" w:hAnsi="Arial" w:cs="Arial"/>
        </w:rPr>
        <w:t xml:space="preserve">. Available at: </w:t>
      </w:r>
      <w:hyperlink r:id="rId11" w:tgtFrame="_new" w:history="1">
        <w:r w:rsidRPr="003D24F2">
          <w:rPr>
            <w:rStyle w:val="Hyperlink"/>
            <w:rFonts w:ascii="Arial" w:eastAsiaTheme="majorEastAsia" w:hAnsi="Arial" w:cs="Arial"/>
          </w:rPr>
          <w:t>https://yjlc.uk/resources/legal-updates/strip-searches-children-trauma-disproportionality-and-appgs-recommendations</w:t>
        </w:r>
      </w:hyperlink>
      <w:r w:rsidRPr="003D24F2">
        <w:rPr>
          <w:rFonts w:ascii="Arial" w:hAnsi="Arial" w:cs="Arial"/>
        </w:rPr>
        <w:t xml:space="preserve"> (Accessed: 1 March 2026)</w:t>
      </w:r>
    </w:p>
    <w:p w14:paraId="46EF7532" w14:textId="77777777" w:rsidR="003D24F2" w:rsidRPr="003D24F2" w:rsidRDefault="003D24F2" w:rsidP="00073E6F">
      <w:pPr>
        <w:pStyle w:val="NormalWeb"/>
        <w:spacing w:line="360" w:lineRule="auto"/>
        <w:rPr>
          <w:rFonts w:ascii="Arial" w:hAnsi="Arial" w:cs="Arial"/>
        </w:rPr>
      </w:pPr>
    </w:p>
    <w:p w14:paraId="0680731A" w14:textId="77777777" w:rsidR="003D24F2" w:rsidRPr="003D24F2" w:rsidRDefault="003D24F2" w:rsidP="003D24F2">
      <w:pPr>
        <w:pStyle w:val="NormalWeb"/>
        <w:rPr>
          <w:rFonts w:ascii="Arial" w:hAnsi="Arial" w:cs="Arial"/>
          <w:color w:val="000000"/>
        </w:rPr>
      </w:pPr>
      <w:r w:rsidRPr="003D24F2">
        <w:rPr>
          <w:rFonts w:ascii="Arial" w:hAnsi="Arial" w:cs="Arial"/>
          <w:color w:val="000000"/>
        </w:rPr>
        <w:t>Z v United Kingdom (2001)</w:t>
      </w:r>
      <w:r w:rsidRPr="003D24F2">
        <w:rPr>
          <w:rStyle w:val="apple-converted-space"/>
          <w:rFonts w:ascii="Arial" w:eastAsiaTheme="majorEastAsia" w:hAnsi="Arial" w:cs="Arial"/>
          <w:color w:val="000000"/>
        </w:rPr>
        <w:t> </w:t>
      </w:r>
      <w:r w:rsidRPr="003D24F2">
        <w:rPr>
          <w:rStyle w:val="Strong"/>
          <w:rFonts w:ascii="Arial" w:eastAsiaTheme="majorEastAsia" w:hAnsi="Arial" w:cs="Arial"/>
          <w:b w:val="0"/>
          <w:bCs w:val="0"/>
          <w:color w:val="000000"/>
        </w:rPr>
        <w:t>34 EHRR 97</w:t>
      </w:r>
      <w:r w:rsidRPr="003D24F2">
        <w:rPr>
          <w:rFonts w:ascii="Arial" w:hAnsi="Arial" w:cs="Arial"/>
          <w:b/>
          <w:bCs/>
          <w:color w:val="000000"/>
        </w:rPr>
        <w:t>.</w:t>
      </w:r>
    </w:p>
    <w:p w14:paraId="1018ABEA" w14:textId="77777777" w:rsidR="003D24F2" w:rsidRPr="00073E6F" w:rsidRDefault="003D24F2" w:rsidP="00073E6F">
      <w:pPr>
        <w:pStyle w:val="NormalWeb"/>
        <w:spacing w:line="360" w:lineRule="auto"/>
        <w:rPr>
          <w:rFonts w:ascii="Arial" w:hAnsi="Arial" w:cs="Arial"/>
          <w:color w:val="000000"/>
        </w:rPr>
      </w:pPr>
    </w:p>
    <w:p w14:paraId="7B7BFB9E" w14:textId="77777777" w:rsidR="00507D77" w:rsidRPr="00073E6F" w:rsidRDefault="00507D77" w:rsidP="00073E6F">
      <w:pPr>
        <w:spacing w:line="360" w:lineRule="auto"/>
        <w:rPr>
          <w:rFonts w:ascii="Arial" w:hAnsi="Arial" w:cs="Arial"/>
          <w:sz w:val="24"/>
          <w:szCs w:val="24"/>
          <w:u w:val="single"/>
        </w:rPr>
      </w:pPr>
    </w:p>
    <w:p w14:paraId="4DC1D645" w14:textId="77777777" w:rsidR="00507D77" w:rsidRPr="00073E6F" w:rsidRDefault="00507D77" w:rsidP="00073E6F">
      <w:pPr>
        <w:spacing w:line="360" w:lineRule="auto"/>
        <w:rPr>
          <w:rFonts w:ascii="Arial" w:hAnsi="Arial" w:cs="Arial"/>
          <w:sz w:val="24"/>
          <w:szCs w:val="24"/>
        </w:rPr>
      </w:pPr>
    </w:p>
    <w:p w14:paraId="3957C482" w14:textId="77777777" w:rsidR="00507D77" w:rsidRPr="00073E6F" w:rsidRDefault="00507D77" w:rsidP="00073E6F">
      <w:pPr>
        <w:spacing w:line="360" w:lineRule="auto"/>
        <w:rPr>
          <w:rFonts w:ascii="Arial" w:hAnsi="Arial" w:cs="Arial"/>
          <w:sz w:val="24"/>
          <w:szCs w:val="24"/>
        </w:rPr>
      </w:pPr>
    </w:p>
    <w:p w14:paraId="5153B3F9" w14:textId="77777777" w:rsidR="00507D77" w:rsidRPr="00073E6F" w:rsidRDefault="00507D77" w:rsidP="00073E6F">
      <w:pPr>
        <w:spacing w:line="360" w:lineRule="auto"/>
        <w:rPr>
          <w:rFonts w:ascii="Arial" w:hAnsi="Arial" w:cs="Arial"/>
          <w:sz w:val="24"/>
          <w:szCs w:val="24"/>
        </w:rPr>
      </w:pPr>
    </w:p>
    <w:p w14:paraId="2515181F" w14:textId="77777777" w:rsidR="00507D77" w:rsidRPr="00073E6F" w:rsidRDefault="00507D77" w:rsidP="00073E6F">
      <w:pPr>
        <w:spacing w:line="360" w:lineRule="auto"/>
        <w:rPr>
          <w:rFonts w:ascii="Arial" w:hAnsi="Arial" w:cs="Arial"/>
          <w:sz w:val="24"/>
          <w:szCs w:val="24"/>
        </w:rPr>
      </w:pPr>
    </w:p>
    <w:p w14:paraId="215FB430" w14:textId="77777777" w:rsidR="00507D77" w:rsidRPr="00073E6F" w:rsidRDefault="00507D77" w:rsidP="00073E6F">
      <w:pPr>
        <w:spacing w:line="360" w:lineRule="auto"/>
        <w:rPr>
          <w:rFonts w:ascii="Arial" w:hAnsi="Arial" w:cs="Arial"/>
          <w:sz w:val="24"/>
          <w:szCs w:val="24"/>
          <w:u w:val="single"/>
        </w:rPr>
      </w:pPr>
    </w:p>
    <w:p w14:paraId="115A9BDE" w14:textId="77777777" w:rsidR="00507D77" w:rsidRPr="00073E6F" w:rsidRDefault="00507D77" w:rsidP="00073E6F">
      <w:pPr>
        <w:spacing w:line="360" w:lineRule="auto"/>
        <w:rPr>
          <w:rFonts w:ascii="Arial" w:hAnsi="Arial" w:cs="Arial"/>
          <w:sz w:val="24"/>
          <w:szCs w:val="24"/>
          <w:u w:val="single"/>
        </w:rPr>
      </w:pPr>
    </w:p>
    <w:p w14:paraId="77BCE192" w14:textId="3E0C6272" w:rsidR="00507D77" w:rsidRPr="00073E6F" w:rsidRDefault="00507D77" w:rsidP="00073E6F">
      <w:pPr>
        <w:tabs>
          <w:tab w:val="left" w:pos="2958"/>
        </w:tabs>
        <w:spacing w:line="360" w:lineRule="auto"/>
        <w:jc w:val="both"/>
        <w:rPr>
          <w:rFonts w:ascii="Arial" w:hAnsi="Arial" w:cs="Arial"/>
          <w:sz w:val="24"/>
          <w:szCs w:val="24"/>
        </w:rPr>
      </w:pPr>
      <w:r w:rsidRPr="00073E6F">
        <w:rPr>
          <w:rFonts w:ascii="Arial" w:hAnsi="Arial" w:cs="Arial"/>
          <w:sz w:val="24"/>
          <w:szCs w:val="24"/>
        </w:rPr>
        <w:lastRenderedPageBreak/>
        <w:tab/>
        <w:t xml:space="preserve"> </w:t>
      </w:r>
    </w:p>
    <w:sectPr w:rsidR="00507D77" w:rsidRPr="00073E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B3A36"/>
    <w:multiLevelType w:val="multilevel"/>
    <w:tmpl w:val="1DA8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1567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F43"/>
    <w:rsid w:val="00073E6F"/>
    <w:rsid w:val="003D24F2"/>
    <w:rsid w:val="00507D77"/>
    <w:rsid w:val="006D154A"/>
    <w:rsid w:val="00752F43"/>
    <w:rsid w:val="00A21A5B"/>
    <w:rsid w:val="00EC5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5EB865"/>
  <w15:chartTrackingRefBased/>
  <w15:docId w15:val="{4F8E1D2F-BCED-404A-A468-F896663D3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F4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52F4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52F4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52F4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52F4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752F4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752F43"/>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752F43"/>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752F43"/>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752F43"/>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F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F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F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F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F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F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F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F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F43"/>
    <w:rPr>
      <w:rFonts w:eastAsiaTheme="majorEastAsia" w:cstheme="majorBidi"/>
      <w:color w:val="272727" w:themeColor="text1" w:themeTint="D8"/>
    </w:rPr>
  </w:style>
  <w:style w:type="paragraph" w:styleId="Title">
    <w:name w:val="Title"/>
    <w:basedOn w:val="Normal"/>
    <w:next w:val="Normal"/>
    <w:link w:val="TitleChar"/>
    <w:uiPriority w:val="10"/>
    <w:qFormat/>
    <w:rsid w:val="00752F4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52F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F4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52F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F43"/>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752F43"/>
    <w:rPr>
      <w:i/>
      <w:iCs/>
      <w:color w:val="404040" w:themeColor="text1" w:themeTint="BF"/>
    </w:rPr>
  </w:style>
  <w:style w:type="paragraph" w:styleId="ListParagraph">
    <w:name w:val="List Paragraph"/>
    <w:basedOn w:val="Normal"/>
    <w:uiPriority w:val="34"/>
    <w:qFormat/>
    <w:rsid w:val="00752F43"/>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752F43"/>
    <w:rPr>
      <w:i/>
      <w:iCs/>
      <w:color w:val="0F4761" w:themeColor="accent1" w:themeShade="BF"/>
    </w:rPr>
  </w:style>
  <w:style w:type="paragraph" w:styleId="IntenseQuote">
    <w:name w:val="Intense Quote"/>
    <w:basedOn w:val="Normal"/>
    <w:next w:val="Normal"/>
    <w:link w:val="IntenseQuoteChar"/>
    <w:uiPriority w:val="30"/>
    <w:qFormat/>
    <w:rsid w:val="00752F4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752F43"/>
    <w:rPr>
      <w:i/>
      <w:iCs/>
      <w:color w:val="0F4761" w:themeColor="accent1" w:themeShade="BF"/>
    </w:rPr>
  </w:style>
  <w:style w:type="character" w:styleId="IntenseReference">
    <w:name w:val="Intense Reference"/>
    <w:basedOn w:val="DefaultParagraphFont"/>
    <w:uiPriority w:val="32"/>
    <w:qFormat/>
    <w:rsid w:val="00752F43"/>
    <w:rPr>
      <w:b/>
      <w:bCs/>
      <w:smallCaps/>
      <w:color w:val="0F4761" w:themeColor="accent1" w:themeShade="BF"/>
      <w:spacing w:val="5"/>
    </w:rPr>
  </w:style>
  <w:style w:type="paragraph" w:styleId="NormalWeb">
    <w:name w:val="Normal (Web)"/>
    <w:basedOn w:val="Normal"/>
    <w:uiPriority w:val="99"/>
    <w:unhideWhenUsed/>
    <w:rsid w:val="00507D77"/>
    <w:pPr>
      <w:spacing w:before="100" w:beforeAutospacing="1" w:after="100" w:afterAutospacing="1"/>
    </w:pPr>
    <w:rPr>
      <w:sz w:val="24"/>
      <w:szCs w:val="24"/>
    </w:rPr>
  </w:style>
  <w:style w:type="character" w:customStyle="1" w:styleId="apple-converted-space">
    <w:name w:val="apple-converted-space"/>
    <w:basedOn w:val="DefaultParagraphFont"/>
    <w:rsid w:val="00507D77"/>
  </w:style>
  <w:style w:type="character" w:styleId="Emphasis">
    <w:name w:val="Emphasis"/>
    <w:basedOn w:val="DefaultParagraphFont"/>
    <w:uiPriority w:val="20"/>
    <w:qFormat/>
    <w:rsid w:val="00507D77"/>
    <w:rPr>
      <w:i/>
      <w:iCs/>
    </w:rPr>
  </w:style>
  <w:style w:type="character" w:styleId="Hyperlink">
    <w:name w:val="Hyperlink"/>
    <w:basedOn w:val="DefaultParagraphFont"/>
    <w:uiPriority w:val="99"/>
    <w:unhideWhenUsed/>
    <w:rsid w:val="00507D77"/>
    <w:rPr>
      <w:color w:val="467886" w:themeColor="hyperlink"/>
      <w:u w:val="single"/>
    </w:rPr>
  </w:style>
  <w:style w:type="character" w:styleId="UnresolvedMention">
    <w:name w:val="Unresolved Mention"/>
    <w:basedOn w:val="DefaultParagraphFont"/>
    <w:uiPriority w:val="99"/>
    <w:semiHidden/>
    <w:unhideWhenUsed/>
    <w:rsid w:val="00507D77"/>
    <w:rPr>
      <w:color w:val="605E5C"/>
      <w:shd w:val="clear" w:color="auto" w:fill="E1DFDD"/>
    </w:rPr>
  </w:style>
  <w:style w:type="character" w:styleId="FollowedHyperlink">
    <w:name w:val="FollowedHyperlink"/>
    <w:basedOn w:val="DefaultParagraphFont"/>
    <w:uiPriority w:val="99"/>
    <w:semiHidden/>
    <w:unhideWhenUsed/>
    <w:rsid w:val="00073E6F"/>
    <w:rPr>
      <w:color w:val="96607D" w:themeColor="followedHyperlink"/>
      <w:u w:val="single"/>
    </w:rPr>
  </w:style>
  <w:style w:type="character" w:styleId="Strong">
    <w:name w:val="Strong"/>
    <w:basedOn w:val="DefaultParagraphFont"/>
    <w:uiPriority w:val="22"/>
    <w:qFormat/>
    <w:rsid w:val="00073E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6155">
      <w:bodyDiv w:val="1"/>
      <w:marLeft w:val="0"/>
      <w:marRight w:val="0"/>
      <w:marTop w:val="0"/>
      <w:marBottom w:val="0"/>
      <w:divBdr>
        <w:top w:val="none" w:sz="0" w:space="0" w:color="auto"/>
        <w:left w:val="none" w:sz="0" w:space="0" w:color="auto"/>
        <w:bottom w:val="none" w:sz="0" w:space="0" w:color="auto"/>
        <w:right w:val="none" w:sz="0" w:space="0" w:color="auto"/>
      </w:divBdr>
    </w:div>
    <w:div w:id="61611881">
      <w:bodyDiv w:val="1"/>
      <w:marLeft w:val="0"/>
      <w:marRight w:val="0"/>
      <w:marTop w:val="0"/>
      <w:marBottom w:val="0"/>
      <w:divBdr>
        <w:top w:val="none" w:sz="0" w:space="0" w:color="auto"/>
        <w:left w:val="none" w:sz="0" w:space="0" w:color="auto"/>
        <w:bottom w:val="none" w:sz="0" w:space="0" w:color="auto"/>
        <w:right w:val="none" w:sz="0" w:space="0" w:color="auto"/>
      </w:divBdr>
    </w:div>
    <w:div w:id="85538411">
      <w:bodyDiv w:val="1"/>
      <w:marLeft w:val="0"/>
      <w:marRight w:val="0"/>
      <w:marTop w:val="0"/>
      <w:marBottom w:val="0"/>
      <w:divBdr>
        <w:top w:val="none" w:sz="0" w:space="0" w:color="auto"/>
        <w:left w:val="none" w:sz="0" w:space="0" w:color="auto"/>
        <w:bottom w:val="none" w:sz="0" w:space="0" w:color="auto"/>
        <w:right w:val="none" w:sz="0" w:space="0" w:color="auto"/>
      </w:divBdr>
    </w:div>
    <w:div w:id="113252518">
      <w:bodyDiv w:val="1"/>
      <w:marLeft w:val="0"/>
      <w:marRight w:val="0"/>
      <w:marTop w:val="0"/>
      <w:marBottom w:val="0"/>
      <w:divBdr>
        <w:top w:val="none" w:sz="0" w:space="0" w:color="auto"/>
        <w:left w:val="none" w:sz="0" w:space="0" w:color="auto"/>
        <w:bottom w:val="none" w:sz="0" w:space="0" w:color="auto"/>
        <w:right w:val="none" w:sz="0" w:space="0" w:color="auto"/>
      </w:divBdr>
    </w:div>
    <w:div w:id="126515990">
      <w:bodyDiv w:val="1"/>
      <w:marLeft w:val="0"/>
      <w:marRight w:val="0"/>
      <w:marTop w:val="0"/>
      <w:marBottom w:val="0"/>
      <w:divBdr>
        <w:top w:val="none" w:sz="0" w:space="0" w:color="auto"/>
        <w:left w:val="none" w:sz="0" w:space="0" w:color="auto"/>
        <w:bottom w:val="none" w:sz="0" w:space="0" w:color="auto"/>
        <w:right w:val="none" w:sz="0" w:space="0" w:color="auto"/>
      </w:divBdr>
      <w:divsChild>
        <w:div w:id="18111732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013053">
      <w:bodyDiv w:val="1"/>
      <w:marLeft w:val="0"/>
      <w:marRight w:val="0"/>
      <w:marTop w:val="0"/>
      <w:marBottom w:val="0"/>
      <w:divBdr>
        <w:top w:val="none" w:sz="0" w:space="0" w:color="auto"/>
        <w:left w:val="none" w:sz="0" w:space="0" w:color="auto"/>
        <w:bottom w:val="none" w:sz="0" w:space="0" w:color="auto"/>
        <w:right w:val="none" w:sz="0" w:space="0" w:color="auto"/>
      </w:divBdr>
      <w:divsChild>
        <w:div w:id="13253535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898446">
      <w:bodyDiv w:val="1"/>
      <w:marLeft w:val="0"/>
      <w:marRight w:val="0"/>
      <w:marTop w:val="0"/>
      <w:marBottom w:val="0"/>
      <w:divBdr>
        <w:top w:val="none" w:sz="0" w:space="0" w:color="auto"/>
        <w:left w:val="none" w:sz="0" w:space="0" w:color="auto"/>
        <w:bottom w:val="none" w:sz="0" w:space="0" w:color="auto"/>
        <w:right w:val="none" w:sz="0" w:space="0" w:color="auto"/>
      </w:divBdr>
    </w:div>
    <w:div w:id="242495455">
      <w:bodyDiv w:val="1"/>
      <w:marLeft w:val="0"/>
      <w:marRight w:val="0"/>
      <w:marTop w:val="0"/>
      <w:marBottom w:val="0"/>
      <w:divBdr>
        <w:top w:val="none" w:sz="0" w:space="0" w:color="auto"/>
        <w:left w:val="none" w:sz="0" w:space="0" w:color="auto"/>
        <w:bottom w:val="none" w:sz="0" w:space="0" w:color="auto"/>
        <w:right w:val="none" w:sz="0" w:space="0" w:color="auto"/>
      </w:divBdr>
    </w:div>
    <w:div w:id="331762417">
      <w:bodyDiv w:val="1"/>
      <w:marLeft w:val="0"/>
      <w:marRight w:val="0"/>
      <w:marTop w:val="0"/>
      <w:marBottom w:val="0"/>
      <w:divBdr>
        <w:top w:val="none" w:sz="0" w:space="0" w:color="auto"/>
        <w:left w:val="none" w:sz="0" w:space="0" w:color="auto"/>
        <w:bottom w:val="none" w:sz="0" w:space="0" w:color="auto"/>
        <w:right w:val="none" w:sz="0" w:space="0" w:color="auto"/>
      </w:divBdr>
      <w:divsChild>
        <w:div w:id="13344536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4265187">
      <w:bodyDiv w:val="1"/>
      <w:marLeft w:val="0"/>
      <w:marRight w:val="0"/>
      <w:marTop w:val="0"/>
      <w:marBottom w:val="0"/>
      <w:divBdr>
        <w:top w:val="none" w:sz="0" w:space="0" w:color="auto"/>
        <w:left w:val="none" w:sz="0" w:space="0" w:color="auto"/>
        <w:bottom w:val="none" w:sz="0" w:space="0" w:color="auto"/>
        <w:right w:val="none" w:sz="0" w:space="0" w:color="auto"/>
      </w:divBdr>
    </w:div>
    <w:div w:id="345596565">
      <w:bodyDiv w:val="1"/>
      <w:marLeft w:val="0"/>
      <w:marRight w:val="0"/>
      <w:marTop w:val="0"/>
      <w:marBottom w:val="0"/>
      <w:divBdr>
        <w:top w:val="none" w:sz="0" w:space="0" w:color="auto"/>
        <w:left w:val="none" w:sz="0" w:space="0" w:color="auto"/>
        <w:bottom w:val="none" w:sz="0" w:space="0" w:color="auto"/>
        <w:right w:val="none" w:sz="0" w:space="0" w:color="auto"/>
      </w:divBdr>
    </w:div>
    <w:div w:id="373505417">
      <w:bodyDiv w:val="1"/>
      <w:marLeft w:val="0"/>
      <w:marRight w:val="0"/>
      <w:marTop w:val="0"/>
      <w:marBottom w:val="0"/>
      <w:divBdr>
        <w:top w:val="none" w:sz="0" w:space="0" w:color="auto"/>
        <w:left w:val="none" w:sz="0" w:space="0" w:color="auto"/>
        <w:bottom w:val="none" w:sz="0" w:space="0" w:color="auto"/>
        <w:right w:val="none" w:sz="0" w:space="0" w:color="auto"/>
      </w:divBdr>
      <w:divsChild>
        <w:div w:id="4039933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6320582">
      <w:bodyDiv w:val="1"/>
      <w:marLeft w:val="0"/>
      <w:marRight w:val="0"/>
      <w:marTop w:val="0"/>
      <w:marBottom w:val="0"/>
      <w:divBdr>
        <w:top w:val="none" w:sz="0" w:space="0" w:color="auto"/>
        <w:left w:val="none" w:sz="0" w:space="0" w:color="auto"/>
        <w:bottom w:val="none" w:sz="0" w:space="0" w:color="auto"/>
        <w:right w:val="none" w:sz="0" w:space="0" w:color="auto"/>
      </w:divBdr>
    </w:div>
    <w:div w:id="387581442">
      <w:bodyDiv w:val="1"/>
      <w:marLeft w:val="0"/>
      <w:marRight w:val="0"/>
      <w:marTop w:val="0"/>
      <w:marBottom w:val="0"/>
      <w:divBdr>
        <w:top w:val="none" w:sz="0" w:space="0" w:color="auto"/>
        <w:left w:val="none" w:sz="0" w:space="0" w:color="auto"/>
        <w:bottom w:val="none" w:sz="0" w:space="0" w:color="auto"/>
        <w:right w:val="none" w:sz="0" w:space="0" w:color="auto"/>
      </w:divBdr>
    </w:div>
    <w:div w:id="410470552">
      <w:bodyDiv w:val="1"/>
      <w:marLeft w:val="0"/>
      <w:marRight w:val="0"/>
      <w:marTop w:val="0"/>
      <w:marBottom w:val="0"/>
      <w:divBdr>
        <w:top w:val="none" w:sz="0" w:space="0" w:color="auto"/>
        <w:left w:val="none" w:sz="0" w:space="0" w:color="auto"/>
        <w:bottom w:val="none" w:sz="0" w:space="0" w:color="auto"/>
        <w:right w:val="none" w:sz="0" w:space="0" w:color="auto"/>
      </w:divBdr>
    </w:div>
    <w:div w:id="422411265">
      <w:bodyDiv w:val="1"/>
      <w:marLeft w:val="0"/>
      <w:marRight w:val="0"/>
      <w:marTop w:val="0"/>
      <w:marBottom w:val="0"/>
      <w:divBdr>
        <w:top w:val="none" w:sz="0" w:space="0" w:color="auto"/>
        <w:left w:val="none" w:sz="0" w:space="0" w:color="auto"/>
        <w:bottom w:val="none" w:sz="0" w:space="0" w:color="auto"/>
        <w:right w:val="none" w:sz="0" w:space="0" w:color="auto"/>
      </w:divBdr>
    </w:div>
    <w:div w:id="441152081">
      <w:bodyDiv w:val="1"/>
      <w:marLeft w:val="0"/>
      <w:marRight w:val="0"/>
      <w:marTop w:val="0"/>
      <w:marBottom w:val="0"/>
      <w:divBdr>
        <w:top w:val="none" w:sz="0" w:space="0" w:color="auto"/>
        <w:left w:val="none" w:sz="0" w:space="0" w:color="auto"/>
        <w:bottom w:val="none" w:sz="0" w:space="0" w:color="auto"/>
        <w:right w:val="none" w:sz="0" w:space="0" w:color="auto"/>
      </w:divBdr>
    </w:div>
    <w:div w:id="470756292">
      <w:bodyDiv w:val="1"/>
      <w:marLeft w:val="0"/>
      <w:marRight w:val="0"/>
      <w:marTop w:val="0"/>
      <w:marBottom w:val="0"/>
      <w:divBdr>
        <w:top w:val="none" w:sz="0" w:space="0" w:color="auto"/>
        <w:left w:val="none" w:sz="0" w:space="0" w:color="auto"/>
        <w:bottom w:val="none" w:sz="0" w:space="0" w:color="auto"/>
        <w:right w:val="none" w:sz="0" w:space="0" w:color="auto"/>
      </w:divBdr>
    </w:div>
    <w:div w:id="492919747">
      <w:bodyDiv w:val="1"/>
      <w:marLeft w:val="0"/>
      <w:marRight w:val="0"/>
      <w:marTop w:val="0"/>
      <w:marBottom w:val="0"/>
      <w:divBdr>
        <w:top w:val="none" w:sz="0" w:space="0" w:color="auto"/>
        <w:left w:val="none" w:sz="0" w:space="0" w:color="auto"/>
        <w:bottom w:val="none" w:sz="0" w:space="0" w:color="auto"/>
        <w:right w:val="none" w:sz="0" w:space="0" w:color="auto"/>
      </w:divBdr>
    </w:div>
    <w:div w:id="559563541">
      <w:bodyDiv w:val="1"/>
      <w:marLeft w:val="0"/>
      <w:marRight w:val="0"/>
      <w:marTop w:val="0"/>
      <w:marBottom w:val="0"/>
      <w:divBdr>
        <w:top w:val="none" w:sz="0" w:space="0" w:color="auto"/>
        <w:left w:val="none" w:sz="0" w:space="0" w:color="auto"/>
        <w:bottom w:val="none" w:sz="0" w:space="0" w:color="auto"/>
        <w:right w:val="none" w:sz="0" w:space="0" w:color="auto"/>
      </w:divBdr>
    </w:div>
    <w:div w:id="566066001">
      <w:bodyDiv w:val="1"/>
      <w:marLeft w:val="0"/>
      <w:marRight w:val="0"/>
      <w:marTop w:val="0"/>
      <w:marBottom w:val="0"/>
      <w:divBdr>
        <w:top w:val="none" w:sz="0" w:space="0" w:color="auto"/>
        <w:left w:val="none" w:sz="0" w:space="0" w:color="auto"/>
        <w:bottom w:val="none" w:sz="0" w:space="0" w:color="auto"/>
        <w:right w:val="none" w:sz="0" w:space="0" w:color="auto"/>
      </w:divBdr>
    </w:div>
    <w:div w:id="592132255">
      <w:bodyDiv w:val="1"/>
      <w:marLeft w:val="0"/>
      <w:marRight w:val="0"/>
      <w:marTop w:val="0"/>
      <w:marBottom w:val="0"/>
      <w:divBdr>
        <w:top w:val="none" w:sz="0" w:space="0" w:color="auto"/>
        <w:left w:val="none" w:sz="0" w:space="0" w:color="auto"/>
        <w:bottom w:val="none" w:sz="0" w:space="0" w:color="auto"/>
        <w:right w:val="none" w:sz="0" w:space="0" w:color="auto"/>
      </w:divBdr>
    </w:div>
    <w:div w:id="610554204">
      <w:bodyDiv w:val="1"/>
      <w:marLeft w:val="0"/>
      <w:marRight w:val="0"/>
      <w:marTop w:val="0"/>
      <w:marBottom w:val="0"/>
      <w:divBdr>
        <w:top w:val="none" w:sz="0" w:space="0" w:color="auto"/>
        <w:left w:val="none" w:sz="0" w:space="0" w:color="auto"/>
        <w:bottom w:val="none" w:sz="0" w:space="0" w:color="auto"/>
        <w:right w:val="none" w:sz="0" w:space="0" w:color="auto"/>
      </w:divBdr>
    </w:div>
    <w:div w:id="629020333">
      <w:bodyDiv w:val="1"/>
      <w:marLeft w:val="0"/>
      <w:marRight w:val="0"/>
      <w:marTop w:val="0"/>
      <w:marBottom w:val="0"/>
      <w:divBdr>
        <w:top w:val="none" w:sz="0" w:space="0" w:color="auto"/>
        <w:left w:val="none" w:sz="0" w:space="0" w:color="auto"/>
        <w:bottom w:val="none" w:sz="0" w:space="0" w:color="auto"/>
        <w:right w:val="none" w:sz="0" w:space="0" w:color="auto"/>
      </w:divBdr>
    </w:div>
    <w:div w:id="637492356">
      <w:bodyDiv w:val="1"/>
      <w:marLeft w:val="0"/>
      <w:marRight w:val="0"/>
      <w:marTop w:val="0"/>
      <w:marBottom w:val="0"/>
      <w:divBdr>
        <w:top w:val="none" w:sz="0" w:space="0" w:color="auto"/>
        <w:left w:val="none" w:sz="0" w:space="0" w:color="auto"/>
        <w:bottom w:val="none" w:sz="0" w:space="0" w:color="auto"/>
        <w:right w:val="none" w:sz="0" w:space="0" w:color="auto"/>
      </w:divBdr>
    </w:div>
    <w:div w:id="686711682">
      <w:bodyDiv w:val="1"/>
      <w:marLeft w:val="0"/>
      <w:marRight w:val="0"/>
      <w:marTop w:val="0"/>
      <w:marBottom w:val="0"/>
      <w:divBdr>
        <w:top w:val="none" w:sz="0" w:space="0" w:color="auto"/>
        <w:left w:val="none" w:sz="0" w:space="0" w:color="auto"/>
        <w:bottom w:val="none" w:sz="0" w:space="0" w:color="auto"/>
        <w:right w:val="none" w:sz="0" w:space="0" w:color="auto"/>
      </w:divBdr>
    </w:div>
    <w:div w:id="693961864">
      <w:bodyDiv w:val="1"/>
      <w:marLeft w:val="0"/>
      <w:marRight w:val="0"/>
      <w:marTop w:val="0"/>
      <w:marBottom w:val="0"/>
      <w:divBdr>
        <w:top w:val="none" w:sz="0" w:space="0" w:color="auto"/>
        <w:left w:val="none" w:sz="0" w:space="0" w:color="auto"/>
        <w:bottom w:val="none" w:sz="0" w:space="0" w:color="auto"/>
        <w:right w:val="none" w:sz="0" w:space="0" w:color="auto"/>
      </w:divBdr>
      <w:divsChild>
        <w:div w:id="20477520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3584370">
      <w:bodyDiv w:val="1"/>
      <w:marLeft w:val="0"/>
      <w:marRight w:val="0"/>
      <w:marTop w:val="0"/>
      <w:marBottom w:val="0"/>
      <w:divBdr>
        <w:top w:val="none" w:sz="0" w:space="0" w:color="auto"/>
        <w:left w:val="none" w:sz="0" w:space="0" w:color="auto"/>
        <w:bottom w:val="none" w:sz="0" w:space="0" w:color="auto"/>
        <w:right w:val="none" w:sz="0" w:space="0" w:color="auto"/>
      </w:divBdr>
    </w:div>
    <w:div w:id="734546564">
      <w:bodyDiv w:val="1"/>
      <w:marLeft w:val="0"/>
      <w:marRight w:val="0"/>
      <w:marTop w:val="0"/>
      <w:marBottom w:val="0"/>
      <w:divBdr>
        <w:top w:val="none" w:sz="0" w:space="0" w:color="auto"/>
        <w:left w:val="none" w:sz="0" w:space="0" w:color="auto"/>
        <w:bottom w:val="none" w:sz="0" w:space="0" w:color="auto"/>
        <w:right w:val="none" w:sz="0" w:space="0" w:color="auto"/>
      </w:divBdr>
    </w:div>
    <w:div w:id="863985476">
      <w:bodyDiv w:val="1"/>
      <w:marLeft w:val="0"/>
      <w:marRight w:val="0"/>
      <w:marTop w:val="0"/>
      <w:marBottom w:val="0"/>
      <w:divBdr>
        <w:top w:val="none" w:sz="0" w:space="0" w:color="auto"/>
        <w:left w:val="none" w:sz="0" w:space="0" w:color="auto"/>
        <w:bottom w:val="none" w:sz="0" w:space="0" w:color="auto"/>
        <w:right w:val="none" w:sz="0" w:space="0" w:color="auto"/>
      </w:divBdr>
    </w:div>
    <w:div w:id="870460271">
      <w:bodyDiv w:val="1"/>
      <w:marLeft w:val="0"/>
      <w:marRight w:val="0"/>
      <w:marTop w:val="0"/>
      <w:marBottom w:val="0"/>
      <w:divBdr>
        <w:top w:val="none" w:sz="0" w:space="0" w:color="auto"/>
        <w:left w:val="none" w:sz="0" w:space="0" w:color="auto"/>
        <w:bottom w:val="none" w:sz="0" w:space="0" w:color="auto"/>
        <w:right w:val="none" w:sz="0" w:space="0" w:color="auto"/>
      </w:divBdr>
    </w:div>
    <w:div w:id="874736794">
      <w:bodyDiv w:val="1"/>
      <w:marLeft w:val="0"/>
      <w:marRight w:val="0"/>
      <w:marTop w:val="0"/>
      <w:marBottom w:val="0"/>
      <w:divBdr>
        <w:top w:val="none" w:sz="0" w:space="0" w:color="auto"/>
        <w:left w:val="none" w:sz="0" w:space="0" w:color="auto"/>
        <w:bottom w:val="none" w:sz="0" w:space="0" w:color="auto"/>
        <w:right w:val="none" w:sz="0" w:space="0" w:color="auto"/>
      </w:divBdr>
      <w:divsChild>
        <w:div w:id="20692550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1105146">
      <w:bodyDiv w:val="1"/>
      <w:marLeft w:val="0"/>
      <w:marRight w:val="0"/>
      <w:marTop w:val="0"/>
      <w:marBottom w:val="0"/>
      <w:divBdr>
        <w:top w:val="none" w:sz="0" w:space="0" w:color="auto"/>
        <w:left w:val="none" w:sz="0" w:space="0" w:color="auto"/>
        <w:bottom w:val="none" w:sz="0" w:space="0" w:color="auto"/>
        <w:right w:val="none" w:sz="0" w:space="0" w:color="auto"/>
      </w:divBdr>
    </w:div>
    <w:div w:id="1005550687">
      <w:bodyDiv w:val="1"/>
      <w:marLeft w:val="0"/>
      <w:marRight w:val="0"/>
      <w:marTop w:val="0"/>
      <w:marBottom w:val="0"/>
      <w:divBdr>
        <w:top w:val="none" w:sz="0" w:space="0" w:color="auto"/>
        <w:left w:val="none" w:sz="0" w:space="0" w:color="auto"/>
        <w:bottom w:val="none" w:sz="0" w:space="0" w:color="auto"/>
        <w:right w:val="none" w:sz="0" w:space="0" w:color="auto"/>
      </w:divBdr>
    </w:div>
    <w:div w:id="1046562813">
      <w:bodyDiv w:val="1"/>
      <w:marLeft w:val="0"/>
      <w:marRight w:val="0"/>
      <w:marTop w:val="0"/>
      <w:marBottom w:val="0"/>
      <w:divBdr>
        <w:top w:val="none" w:sz="0" w:space="0" w:color="auto"/>
        <w:left w:val="none" w:sz="0" w:space="0" w:color="auto"/>
        <w:bottom w:val="none" w:sz="0" w:space="0" w:color="auto"/>
        <w:right w:val="none" w:sz="0" w:space="0" w:color="auto"/>
      </w:divBdr>
      <w:divsChild>
        <w:div w:id="1217936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5474214">
      <w:bodyDiv w:val="1"/>
      <w:marLeft w:val="0"/>
      <w:marRight w:val="0"/>
      <w:marTop w:val="0"/>
      <w:marBottom w:val="0"/>
      <w:divBdr>
        <w:top w:val="none" w:sz="0" w:space="0" w:color="auto"/>
        <w:left w:val="none" w:sz="0" w:space="0" w:color="auto"/>
        <w:bottom w:val="none" w:sz="0" w:space="0" w:color="auto"/>
        <w:right w:val="none" w:sz="0" w:space="0" w:color="auto"/>
      </w:divBdr>
    </w:div>
    <w:div w:id="1062220664">
      <w:bodyDiv w:val="1"/>
      <w:marLeft w:val="0"/>
      <w:marRight w:val="0"/>
      <w:marTop w:val="0"/>
      <w:marBottom w:val="0"/>
      <w:divBdr>
        <w:top w:val="none" w:sz="0" w:space="0" w:color="auto"/>
        <w:left w:val="none" w:sz="0" w:space="0" w:color="auto"/>
        <w:bottom w:val="none" w:sz="0" w:space="0" w:color="auto"/>
        <w:right w:val="none" w:sz="0" w:space="0" w:color="auto"/>
      </w:divBdr>
    </w:div>
    <w:div w:id="1079520431">
      <w:bodyDiv w:val="1"/>
      <w:marLeft w:val="0"/>
      <w:marRight w:val="0"/>
      <w:marTop w:val="0"/>
      <w:marBottom w:val="0"/>
      <w:divBdr>
        <w:top w:val="none" w:sz="0" w:space="0" w:color="auto"/>
        <w:left w:val="none" w:sz="0" w:space="0" w:color="auto"/>
        <w:bottom w:val="none" w:sz="0" w:space="0" w:color="auto"/>
        <w:right w:val="none" w:sz="0" w:space="0" w:color="auto"/>
      </w:divBdr>
      <w:divsChild>
        <w:div w:id="5219390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9886326">
      <w:bodyDiv w:val="1"/>
      <w:marLeft w:val="0"/>
      <w:marRight w:val="0"/>
      <w:marTop w:val="0"/>
      <w:marBottom w:val="0"/>
      <w:divBdr>
        <w:top w:val="none" w:sz="0" w:space="0" w:color="auto"/>
        <w:left w:val="none" w:sz="0" w:space="0" w:color="auto"/>
        <w:bottom w:val="none" w:sz="0" w:space="0" w:color="auto"/>
        <w:right w:val="none" w:sz="0" w:space="0" w:color="auto"/>
      </w:divBdr>
    </w:div>
    <w:div w:id="1097673094">
      <w:bodyDiv w:val="1"/>
      <w:marLeft w:val="0"/>
      <w:marRight w:val="0"/>
      <w:marTop w:val="0"/>
      <w:marBottom w:val="0"/>
      <w:divBdr>
        <w:top w:val="none" w:sz="0" w:space="0" w:color="auto"/>
        <w:left w:val="none" w:sz="0" w:space="0" w:color="auto"/>
        <w:bottom w:val="none" w:sz="0" w:space="0" w:color="auto"/>
        <w:right w:val="none" w:sz="0" w:space="0" w:color="auto"/>
      </w:divBdr>
      <w:divsChild>
        <w:div w:id="15256282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5341704">
      <w:bodyDiv w:val="1"/>
      <w:marLeft w:val="0"/>
      <w:marRight w:val="0"/>
      <w:marTop w:val="0"/>
      <w:marBottom w:val="0"/>
      <w:divBdr>
        <w:top w:val="none" w:sz="0" w:space="0" w:color="auto"/>
        <w:left w:val="none" w:sz="0" w:space="0" w:color="auto"/>
        <w:bottom w:val="none" w:sz="0" w:space="0" w:color="auto"/>
        <w:right w:val="none" w:sz="0" w:space="0" w:color="auto"/>
      </w:divBdr>
    </w:div>
    <w:div w:id="1277178783">
      <w:bodyDiv w:val="1"/>
      <w:marLeft w:val="0"/>
      <w:marRight w:val="0"/>
      <w:marTop w:val="0"/>
      <w:marBottom w:val="0"/>
      <w:divBdr>
        <w:top w:val="none" w:sz="0" w:space="0" w:color="auto"/>
        <w:left w:val="none" w:sz="0" w:space="0" w:color="auto"/>
        <w:bottom w:val="none" w:sz="0" w:space="0" w:color="auto"/>
        <w:right w:val="none" w:sz="0" w:space="0" w:color="auto"/>
      </w:divBdr>
    </w:div>
    <w:div w:id="1286083536">
      <w:bodyDiv w:val="1"/>
      <w:marLeft w:val="0"/>
      <w:marRight w:val="0"/>
      <w:marTop w:val="0"/>
      <w:marBottom w:val="0"/>
      <w:divBdr>
        <w:top w:val="none" w:sz="0" w:space="0" w:color="auto"/>
        <w:left w:val="none" w:sz="0" w:space="0" w:color="auto"/>
        <w:bottom w:val="none" w:sz="0" w:space="0" w:color="auto"/>
        <w:right w:val="none" w:sz="0" w:space="0" w:color="auto"/>
      </w:divBdr>
    </w:div>
    <w:div w:id="1290283895">
      <w:bodyDiv w:val="1"/>
      <w:marLeft w:val="0"/>
      <w:marRight w:val="0"/>
      <w:marTop w:val="0"/>
      <w:marBottom w:val="0"/>
      <w:divBdr>
        <w:top w:val="none" w:sz="0" w:space="0" w:color="auto"/>
        <w:left w:val="none" w:sz="0" w:space="0" w:color="auto"/>
        <w:bottom w:val="none" w:sz="0" w:space="0" w:color="auto"/>
        <w:right w:val="none" w:sz="0" w:space="0" w:color="auto"/>
      </w:divBdr>
    </w:div>
    <w:div w:id="1324701043">
      <w:bodyDiv w:val="1"/>
      <w:marLeft w:val="0"/>
      <w:marRight w:val="0"/>
      <w:marTop w:val="0"/>
      <w:marBottom w:val="0"/>
      <w:divBdr>
        <w:top w:val="none" w:sz="0" w:space="0" w:color="auto"/>
        <w:left w:val="none" w:sz="0" w:space="0" w:color="auto"/>
        <w:bottom w:val="none" w:sz="0" w:space="0" w:color="auto"/>
        <w:right w:val="none" w:sz="0" w:space="0" w:color="auto"/>
      </w:divBdr>
    </w:div>
    <w:div w:id="1365399543">
      <w:bodyDiv w:val="1"/>
      <w:marLeft w:val="0"/>
      <w:marRight w:val="0"/>
      <w:marTop w:val="0"/>
      <w:marBottom w:val="0"/>
      <w:divBdr>
        <w:top w:val="none" w:sz="0" w:space="0" w:color="auto"/>
        <w:left w:val="none" w:sz="0" w:space="0" w:color="auto"/>
        <w:bottom w:val="none" w:sz="0" w:space="0" w:color="auto"/>
        <w:right w:val="none" w:sz="0" w:space="0" w:color="auto"/>
      </w:divBdr>
      <w:divsChild>
        <w:div w:id="11609710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7902700">
      <w:bodyDiv w:val="1"/>
      <w:marLeft w:val="0"/>
      <w:marRight w:val="0"/>
      <w:marTop w:val="0"/>
      <w:marBottom w:val="0"/>
      <w:divBdr>
        <w:top w:val="none" w:sz="0" w:space="0" w:color="auto"/>
        <w:left w:val="none" w:sz="0" w:space="0" w:color="auto"/>
        <w:bottom w:val="none" w:sz="0" w:space="0" w:color="auto"/>
        <w:right w:val="none" w:sz="0" w:space="0" w:color="auto"/>
      </w:divBdr>
    </w:div>
    <w:div w:id="1425303472">
      <w:bodyDiv w:val="1"/>
      <w:marLeft w:val="0"/>
      <w:marRight w:val="0"/>
      <w:marTop w:val="0"/>
      <w:marBottom w:val="0"/>
      <w:divBdr>
        <w:top w:val="none" w:sz="0" w:space="0" w:color="auto"/>
        <w:left w:val="none" w:sz="0" w:space="0" w:color="auto"/>
        <w:bottom w:val="none" w:sz="0" w:space="0" w:color="auto"/>
        <w:right w:val="none" w:sz="0" w:space="0" w:color="auto"/>
      </w:divBdr>
      <w:divsChild>
        <w:div w:id="21446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8819743">
      <w:bodyDiv w:val="1"/>
      <w:marLeft w:val="0"/>
      <w:marRight w:val="0"/>
      <w:marTop w:val="0"/>
      <w:marBottom w:val="0"/>
      <w:divBdr>
        <w:top w:val="none" w:sz="0" w:space="0" w:color="auto"/>
        <w:left w:val="none" w:sz="0" w:space="0" w:color="auto"/>
        <w:bottom w:val="none" w:sz="0" w:space="0" w:color="auto"/>
        <w:right w:val="none" w:sz="0" w:space="0" w:color="auto"/>
      </w:divBdr>
    </w:div>
    <w:div w:id="1510293119">
      <w:bodyDiv w:val="1"/>
      <w:marLeft w:val="0"/>
      <w:marRight w:val="0"/>
      <w:marTop w:val="0"/>
      <w:marBottom w:val="0"/>
      <w:divBdr>
        <w:top w:val="none" w:sz="0" w:space="0" w:color="auto"/>
        <w:left w:val="none" w:sz="0" w:space="0" w:color="auto"/>
        <w:bottom w:val="none" w:sz="0" w:space="0" w:color="auto"/>
        <w:right w:val="none" w:sz="0" w:space="0" w:color="auto"/>
      </w:divBdr>
    </w:div>
    <w:div w:id="1519540237">
      <w:bodyDiv w:val="1"/>
      <w:marLeft w:val="0"/>
      <w:marRight w:val="0"/>
      <w:marTop w:val="0"/>
      <w:marBottom w:val="0"/>
      <w:divBdr>
        <w:top w:val="none" w:sz="0" w:space="0" w:color="auto"/>
        <w:left w:val="none" w:sz="0" w:space="0" w:color="auto"/>
        <w:bottom w:val="none" w:sz="0" w:space="0" w:color="auto"/>
        <w:right w:val="none" w:sz="0" w:space="0" w:color="auto"/>
      </w:divBdr>
    </w:div>
    <w:div w:id="1530535107">
      <w:bodyDiv w:val="1"/>
      <w:marLeft w:val="0"/>
      <w:marRight w:val="0"/>
      <w:marTop w:val="0"/>
      <w:marBottom w:val="0"/>
      <w:divBdr>
        <w:top w:val="none" w:sz="0" w:space="0" w:color="auto"/>
        <w:left w:val="none" w:sz="0" w:space="0" w:color="auto"/>
        <w:bottom w:val="none" w:sz="0" w:space="0" w:color="auto"/>
        <w:right w:val="none" w:sz="0" w:space="0" w:color="auto"/>
      </w:divBdr>
    </w:div>
    <w:div w:id="1596667204">
      <w:bodyDiv w:val="1"/>
      <w:marLeft w:val="0"/>
      <w:marRight w:val="0"/>
      <w:marTop w:val="0"/>
      <w:marBottom w:val="0"/>
      <w:divBdr>
        <w:top w:val="none" w:sz="0" w:space="0" w:color="auto"/>
        <w:left w:val="none" w:sz="0" w:space="0" w:color="auto"/>
        <w:bottom w:val="none" w:sz="0" w:space="0" w:color="auto"/>
        <w:right w:val="none" w:sz="0" w:space="0" w:color="auto"/>
      </w:divBdr>
    </w:div>
    <w:div w:id="1661688414">
      <w:bodyDiv w:val="1"/>
      <w:marLeft w:val="0"/>
      <w:marRight w:val="0"/>
      <w:marTop w:val="0"/>
      <w:marBottom w:val="0"/>
      <w:divBdr>
        <w:top w:val="none" w:sz="0" w:space="0" w:color="auto"/>
        <w:left w:val="none" w:sz="0" w:space="0" w:color="auto"/>
        <w:bottom w:val="none" w:sz="0" w:space="0" w:color="auto"/>
        <w:right w:val="none" w:sz="0" w:space="0" w:color="auto"/>
      </w:divBdr>
    </w:div>
    <w:div w:id="1702897858">
      <w:bodyDiv w:val="1"/>
      <w:marLeft w:val="0"/>
      <w:marRight w:val="0"/>
      <w:marTop w:val="0"/>
      <w:marBottom w:val="0"/>
      <w:divBdr>
        <w:top w:val="none" w:sz="0" w:space="0" w:color="auto"/>
        <w:left w:val="none" w:sz="0" w:space="0" w:color="auto"/>
        <w:bottom w:val="none" w:sz="0" w:space="0" w:color="auto"/>
        <w:right w:val="none" w:sz="0" w:space="0" w:color="auto"/>
      </w:divBdr>
    </w:div>
    <w:div w:id="1709721468">
      <w:bodyDiv w:val="1"/>
      <w:marLeft w:val="0"/>
      <w:marRight w:val="0"/>
      <w:marTop w:val="0"/>
      <w:marBottom w:val="0"/>
      <w:divBdr>
        <w:top w:val="none" w:sz="0" w:space="0" w:color="auto"/>
        <w:left w:val="none" w:sz="0" w:space="0" w:color="auto"/>
        <w:bottom w:val="none" w:sz="0" w:space="0" w:color="auto"/>
        <w:right w:val="none" w:sz="0" w:space="0" w:color="auto"/>
      </w:divBdr>
    </w:div>
    <w:div w:id="1717392011">
      <w:bodyDiv w:val="1"/>
      <w:marLeft w:val="0"/>
      <w:marRight w:val="0"/>
      <w:marTop w:val="0"/>
      <w:marBottom w:val="0"/>
      <w:divBdr>
        <w:top w:val="none" w:sz="0" w:space="0" w:color="auto"/>
        <w:left w:val="none" w:sz="0" w:space="0" w:color="auto"/>
        <w:bottom w:val="none" w:sz="0" w:space="0" w:color="auto"/>
        <w:right w:val="none" w:sz="0" w:space="0" w:color="auto"/>
      </w:divBdr>
    </w:div>
    <w:div w:id="1787506384">
      <w:bodyDiv w:val="1"/>
      <w:marLeft w:val="0"/>
      <w:marRight w:val="0"/>
      <w:marTop w:val="0"/>
      <w:marBottom w:val="0"/>
      <w:divBdr>
        <w:top w:val="none" w:sz="0" w:space="0" w:color="auto"/>
        <w:left w:val="none" w:sz="0" w:space="0" w:color="auto"/>
        <w:bottom w:val="none" w:sz="0" w:space="0" w:color="auto"/>
        <w:right w:val="none" w:sz="0" w:space="0" w:color="auto"/>
      </w:divBdr>
    </w:div>
    <w:div w:id="1808084661">
      <w:bodyDiv w:val="1"/>
      <w:marLeft w:val="0"/>
      <w:marRight w:val="0"/>
      <w:marTop w:val="0"/>
      <w:marBottom w:val="0"/>
      <w:divBdr>
        <w:top w:val="none" w:sz="0" w:space="0" w:color="auto"/>
        <w:left w:val="none" w:sz="0" w:space="0" w:color="auto"/>
        <w:bottom w:val="none" w:sz="0" w:space="0" w:color="auto"/>
        <w:right w:val="none" w:sz="0" w:space="0" w:color="auto"/>
      </w:divBdr>
    </w:div>
    <w:div w:id="1879705185">
      <w:bodyDiv w:val="1"/>
      <w:marLeft w:val="0"/>
      <w:marRight w:val="0"/>
      <w:marTop w:val="0"/>
      <w:marBottom w:val="0"/>
      <w:divBdr>
        <w:top w:val="none" w:sz="0" w:space="0" w:color="auto"/>
        <w:left w:val="none" w:sz="0" w:space="0" w:color="auto"/>
        <w:bottom w:val="none" w:sz="0" w:space="0" w:color="auto"/>
        <w:right w:val="none" w:sz="0" w:space="0" w:color="auto"/>
      </w:divBdr>
      <w:divsChild>
        <w:div w:id="3809866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1430563">
      <w:bodyDiv w:val="1"/>
      <w:marLeft w:val="0"/>
      <w:marRight w:val="0"/>
      <w:marTop w:val="0"/>
      <w:marBottom w:val="0"/>
      <w:divBdr>
        <w:top w:val="none" w:sz="0" w:space="0" w:color="auto"/>
        <w:left w:val="none" w:sz="0" w:space="0" w:color="auto"/>
        <w:bottom w:val="none" w:sz="0" w:space="0" w:color="auto"/>
        <w:right w:val="none" w:sz="0" w:space="0" w:color="auto"/>
      </w:divBdr>
    </w:div>
    <w:div w:id="1882980561">
      <w:bodyDiv w:val="1"/>
      <w:marLeft w:val="0"/>
      <w:marRight w:val="0"/>
      <w:marTop w:val="0"/>
      <w:marBottom w:val="0"/>
      <w:divBdr>
        <w:top w:val="none" w:sz="0" w:space="0" w:color="auto"/>
        <w:left w:val="none" w:sz="0" w:space="0" w:color="auto"/>
        <w:bottom w:val="none" w:sz="0" w:space="0" w:color="auto"/>
        <w:right w:val="none" w:sz="0" w:space="0" w:color="auto"/>
      </w:divBdr>
    </w:div>
    <w:div w:id="1886410657">
      <w:bodyDiv w:val="1"/>
      <w:marLeft w:val="0"/>
      <w:marRight w:val="0"/>
      <w:marTop w:val="0"/>
      <w:marBottom w:val="0"/>
      <w:divBdr>
        <w:top w:val="none" w:sz="0" w:space="0" w:color="auto"/>
        <w:left w:val="none" w:sz="0" w:space="0" w:color="auto"/>
        <w:bottom w:val="none" w:sz="0" w:space="0" w:color="auto"/>
        <w:right w:val="none" w:sz="0" w:space="0" w:color="auto"/>
      </w:divBdr>
      <w:divsChild>
        <w:div w:id="1317222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2376537">
      <w:bodyDiv w:val="1"/>
      <w:marLeft w:val="0"/>
      <w:marRight w:val="0"/>
      <w:marTop w:val="0"/>
      <w:marBottom w:val="0"/>
      <w:divBdr>
        <w:top w:val="none" w:sz="0" w:space="0" w:color="auto"/>
        <w:left w:val="none" w:sz="0" w:space="0" w:color="auto"/>
        <w:bottom w:val="none" w:sz="0" w:space="0" w:color="auto"/>
        <w:right w:val="none" w:sz="0" w:space="0" w:color="auto"/>
      </w:divBdr>
    </w:div>
    <w:div w:id="1923294262">
      <w:bodyDiv w:val="1"/>
      <w:marLeft w:val="0"/>
      <w:marRight w:val="0"/>
      <w:marTop w:val="0"/>
      <w:marBottom w:val="0"/>
      <w:divBdr>
        <w:top w:val="none" w:sz="0" w:space="0" w:color="auto"/>
        <w:left w:val="none" w:sz="0" w:space="0" w:color="auto"/>
        <w:bottom w:val="none" w:sz="0" w:space="0" w:color="auto"/>
        <w:right w:val="none" w:sz="0" w:space="0" w:color="auto"/>
      </w:divBdr>
    </w:div>
    <w:div w:id="1960136686">
      <w:bodyDiv w:val="1"/>
      <w:marLeft w:val="0"/>
      <w:marRight w:val="0"/>
      <w:marTop w:val="0"/>
      <w:marBottom w:val="0"/>
      <w:divBdr>
        <w:top w:val="none" w:sz="0" w:space="0" w:color="auto"/>
        <w:left w:val="none" w:sz="0" w:space="0" w:color="auto"/>
        <w:bottom w:val="none" w:sz="0" w:space="0" w:color="auto"/>
        <w:right w:val="none" w:sz="0" w:space="0" w:color="auto"/>
      </w:divBdr>
    </w:div>
    <w:div w:id="1979144461">
      <w:bodyDiv w:val="1"/>
      <w:marLeft w:val="0"/>
      <w:marRight w:val="0"/>
      <w:marTop w:val="0"/>
      <w:marBottom w:val="0"/>
      <w:divBdr>
        <w:top w:val="none" w:sz="0" w:space="0" w:color="auto"/>
        <w:left w:val="none" w:sz="0" w:space="0" w:color="auto"/>
        <w:bottom w:val="none" w:sz="0" w:space="0" w:color="auto"/>
        <w:right w:val="none" w:sz="0" w:space="0" w:color="auto"/>
      </w:divBdr>
    </w:div>
    <w:div w:id="1997413208">
      <w:bodyDiv w:val="1"/>
      <w:marLeft w:val="0"/>
      <w:marRight w:val="0"/>
      <w:marTop w:val="0"/>
      <w:marBottom w:val="0"/>
      <w:divBdr>
        <w:top w:val="none" w:sz="0" w:space="0" w:color="auto"/>
        <w:left w:val="none" w:sz="0" w:space="0" w:color="auto"/>
        <w:bottom w:val="none" w:sz="0" w:space="0" w:color="auto"/>
        <w:right w:val="none" w:sz="0" w:space="0" w:color="auto"/>
      </w:divBdr>
    </w:div>
    <w:div w:id="2007853733">
      <w:bodyDiv w:val="1"/>
      <w:marLeft w:val="0"/>
      <w:marRight w:val="0"/>
      <w:marTop w:val="0"/>
      <w:marBottom w:val="0"/>
      <w:divBdr>
        <w:top w:val="none" w:sz="0" w:space="0" w:color="auto"/>
        <w:left w:val="none" w:sz="0" w:space="0" w:color="auto"/>
        <w:bottom w:val="none" w:sz="0" w:space="0" w:color="auto"/>
        <w:right w:val="none" w:sz="0" w:space="0" w:color="auto"/>
      </w:divBdr>
    </w:div>
    <w:div w:id="2009867864">
      <w:bodyDiv w:val="1"/>
      <w:marLeft w:val="0"/>
      <w:marRight w:val="0"/>
      <w:marTop w:val="0"/>
      <w:marBottom w:val="0"/>
      <w:divBdr>
        <w:top w:val="none" w:sz="0" w:space="0" w:color="auto"/>
        <w:left w:val="none" w:sz="0" w:space="0" w:color="auto"/>
        <w:bottom w:val="none" w:sz="0" w:space="0" w:color="auto"/>
        <w:right w:val="none" w:sz="0" w:space="0" w:color="auto"/>
      </w:divBdr>
    </w:div>
    <w:div w:id="2010478265">
      <w:bodyDiv w:val="1"/>
      <w:marLeft w:val="0"/>
      <w:marRight w:val="0"/>
      <w:marTop w:val="0"/>
      <w:marBottom w:val="0"/>
      <w:divBdr>
        <w:top w:val="none" w:sz="0" w:space="0" w:color="auto"/>
        <w:left w:val="none" w:sz="0" w:space="0" w:color="auto"/>
        <w:bottom w:val="none" w:sz="0" w:space="0" w:color="auto"/>
        <w:right w:val="none" w:sz="0" w:space="0" w:color="auto"/>
      </w:divBdr>
      <w:divsChild>
        <w:div w:id="4226460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6931534">
      <w:bodyDiv w:val="1"/>
      <w:marLeft w:val="0"/>
      <w:marRight w:val="0"/>
      <w:marTop w:val="0"/>
      <w:marBottom w:val="0"/>
      <w:divBdr>
        <w:top w:val="none" w:sz="0" w:space="0" w:color="auto"/>
        <w:left w:val="none" w:sz="0" w:space="0" w:color="auto"/>
        <w:bottom w:val="none" w:sz="0" w:space="0" w:color="auto"/>
        <w:right w:val="none" w:sz="0" w:space="0" w:color="auto"/>
      </w:divBdr>
    </w:div>
    <w:div w:id="2057577884">
      <w:bodyDiv w:val="1"/>
      <w:marLeft w:val="0"/>
      <w:marRight w:val="0"/>
      <w:marTop w:val="0"/>
      <w:marBottom w:val="0"/>
      <w:divBdr>
        <w:top w:val="none" w:sz="0" w:space="0" w:color="auto"/>
        <w:left w:val="none" w:sz="0" w:space="0" w:color="auto"/>
        <w:bottom w:val="none" w:sz="0" w:space="0" w:color="auto"/>
        <w:right w:val="none" w:sz="0" w:space="0" w:color="auto"/>
      </w:divBdr>
      <w:divsChild>
        <w:div w:id="5089147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803832">
      <w:bodyDiv w:val="1"/>
      <w:marLeft w:val="0"/>
      <w:marRight w:val="0"/>
      <w:marTop w:val="0"/>
      <w:marBottom w:val="0"/>
      <w:divBdr>
        <w:top w:val="none" w:sz="0" w:space="0" w:color="auto"/>
        <w:left w:val="none" w:sz="0" w:space="0" w:color="auto"/>
        <w:bottom w:val="none" w:sz="0" w:space="0" w:color="auto"/>
        <w:right w:val="none" w:sz="0" w:space="0" w:color="auto"/>
      </w:divBdr>
    </w:div>
    <w:div w:id="2093815880">
      <w:bodyDiv w:val="1"/>
      <w:marLeft w:val="0"/>
      <w:marRight w:val="0"/>
      <w:marTop w:val="0"/>
      <w:marBottom w:val="0"/>
      <w:divBdr>
        <w:top w:val="none" w:sz="0" w:space="0" w:color="auto"/>
        <w:left w:val="none" w:sz="0" w:space="0" w:color="auto"/>
        <w:bottom w:val="none" w:sz="0" w:space="0" w:color="auto"/>
        <w:right w:val="none" w:sz="0" w:space="0" w:color="auto"/>
      </w:divBdr>
    </w:div>
    <w:div w:id="213925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blog/strip-search-of-children-by-the-metropolitan-police-service-new-analysis-by-the-childrens-commissioner-for-englan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hildrenslegalcentre.wales/strip-search-of-children-a-violation-of-childrens-right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yjlc.uk/resources/legal-updates/strip-searches-children-trauma-disproportionality-and-appgs-recommendations?utm_source=chatgpt.com" TargetMode="External"/><Relationship Id="rId5" Type="http://schemas.openxmlformats.org/officeDocument/2006/relationships/webSettings" Target="webSettings.xml"/><Relationship Id="rId10" Type="http://schemas.openxmlformats.org/officeDocument/2006/relationships/hyperlink" Target="https://yjlc.uk/resources/legal-updates/strip-searching-children-report-systemic-failures-met-police" TargetMode="External"/><Relationship Id="rId4" Type="http://schemas.openxmlformats.org/officeDocument/2006/relationships/settings" Target="settings.xml"/><Relationship Id="rId9" Type="http://schemas.openxmlformats.org/officeDocument/2006/relationships/hyperlink" Target="https://todaysfamilylawyer.co.uk/childrens-commissioner-exposes-systemic-failures-in-strip-searches-of-minors-across-england-an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0F10A-7227-1246-8E5F-8AE8C17D0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12</Pages>
  <Words>2777</Words>
  <Characters>15830</Characters>
  <Application>Microsoft Office Word</Application>
  <DocSecurity>0</DocSecurity>
  <Lines>131</Lines>
  <Paragraphs>37</Paragraphs>
  <ScaleCrop>false</ScaleCrop>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6</cp:revision>
  <dcterms:created xsi:type="dcterms:W3CDTF">2026-02-04T22:28:00Z</dcterms:created>
  <dcterms:modified xsi:type="dcterms:W3CDTF">2026-03-06T12:57:00Z</dcterms:modified>
</cp:coreProperties>
</file>