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41ED29" w14:textId="1C0904E9" w:rsidR="002D278E" w:rsidRDefault="002D278E" w:rsidP="002D278E">
      <w:pPr>
        <w:tabs>
          <w:tab w:val="right" w:pos="10566"/>
        </w:tabs>
        <w:spacing w:after="77"/>
      </w:pPr>
      <w:r>
        <w:rPr>
          <w:noProof/>
        </w:rPr>
        <w:drawing>
          <wp:inline distT="0" distB="0" distL="0" distR="0" wp14:anchorId="5E32A071" wp14:editId="6E75108E">
            <wp:extent cx="1809750" cy="723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r>
        <w:rPr>
          <w:rFonts w:ascii="Arial" w:eastAsia="Arial" w:hAnsi="Arial" w:cs="Arial"/>
          <w:sz w:val="20"/>
        </w:rPr>
        <w:tab/>
        <w:t xml:space="preserve">  </w:t>
      </w:r>
    </w:p>
    <w:p w14:paraId="17341D22" w14:textId="77777777" w:rsidR="002D278E" w:rsidRDefault="002D278E" w:rsidP="002D278E">
      <w:pPr>
        <w:spacing w:after="0"/>
        <w:ind w:left="1" w:right="112"/>
        <w:jc w:val="right"/>
      </w:pPr>
      <w:r>
        <w:rPr>
          <w:rFonts w:ascii="Arial" w:eastAsia="Arial" w:hAnsi="Arial" w:cs="Arial"/>
          <w:b/>
          <w:sz w:val="28"/>
        </w:rPr>
        <w:t xml:space="preserve">APPENDIX GA36b </w:t>
      </w:r>
    </w:p>
    <w:p w14:paraId="454E4FA8" w14:textId="77777777" w:rsidR="002D278E" w:rsidRDefault="002D278E" w:rsidP="002D278E">
      <w:pPr>
        <w:spacing w:after="300"/>
        <w:ind w:left="1"/>
      </w:pPr>
      <w:r>
        <w:rPr>
          <w:rFonts w:ascii="Arial" w:eastAsia="Arial" w:hAnsi="Arial" w:cs="Arial"/>
          <w:sz w:val="20"/>
        </w:rPr>
        <w:t xml:space="preserve"> </w:t>
      </w:r>
    </w:p>
    <w:p w14:paraId="6852C39C" w14:textId="77777777" w:rsidR="002D278E" w:rsidRDefault="002D278E" w:rsidP="002D278E">
      <w:pPr>
        <w:pStyle w:val="Heading1"/>
      </w:pPr>
      <w:r>
        <w:t xml:space="preserve">LEVEL 5 ASSESSMENT SPECIFICATION  </w:t>
      </w:r>
    </w:p>
    <w:p w14:paraId="4A2720DF" w14:textId="77777777" w:rsidR="002D278E" w:rsidRDefault="002D278E" w:rsidP="002D278E">
      <w:pPr>
        <w:spacing w:after="0"/>
        <w:ind w:right="21"/>
        <w:jc w:val="center"/>
      </w:pPr>
      <w:r>
        <w:rPr>
          <w:rFonts w:ascii="Arial" w:eastAsia="Arial" w:hAnsi="Arial" w:cs="Arial"/>
          <w:b/>
          <w:i/>
          <w:sz w:val="32"/>
        </w:rPr>
        <w:t xml:space="preserve"> </w:t>
      </w:r>
    </w:p>
    <w:tbl>
      <w:tblPr>
        <w:tblStyle w:val="TableGrid"/>
        <w:tblW w:w="9922" w:type="dxa"/>
        <w:tblInd w:w="399" w:type="dxa"/>
        <w:tblCellMar>
          <w:left w:w="106" w:type="dxa"/>
        </w:tblCellMar>
        <w:tblLook w:val="04A0" w:firstRow="1" w:lastRow="0" w:firstColumn="1" w:lastColumn="0" w:noHBand="0" w:noVBand="1"/>
      </w:tblPr>
      <w:tblGrid>
        <w:gridCol w:w="2091"/>
        <w:gridCol w:w="3296"/>
        <w:gridCol w:w="2264"/>
        <w:gridCol w:w="2271"/>
      </w:tblGrid>
      <w:tr w:rsidR="002D278E" w14:paraId="5850F31A" w14:textId="77777777" w:rsidTr="002D278E">
        <w:trPr>
          <w:trHeight w:val="503"/>
        </w:trPr>
        <w:tc>
          <w:tcPr>
            <w:tcW w:w="2090" w:type="dxa"/>
            <w:tcBorders>
              <w:top w:val="single" w:sz="4" w:space="0" w:color="000000"/>
              <w:left w:val="single" w:sz="4" w:space="0" w:color="000000"/>
              <w:bottom w:val="single" w:sz="4" w:space="0" w:color="000000"/>
              <w:right w:val="single" w:sz="4" w:space="0" w:color="000000"/>
            </w:tcBorders>
            <w:shd w:val="clear" w:color="auto" w:fill="DADADB"/>
            <w:hideMark/>
          </w:tcPr>
          <w:p w14:paraId="5A24E5C0" w14:textId="77777777" w:rsidR="002D278E" w:rsidRDefault="002D278E">
            <w:r>
              <w:rPr>
                <w:rFonts w:ascii="Arial" w:eastAsia="Arial" w:hAnsi="Arial" w:cs="Arial"/>
                <w:b/>
              </w:rPr>
              <w:t xml:space="preserve">Student name: </w:t>
            </w:r>
          </w:p>
        </w:tc>
        <w:tc>
          <w:tcPr>
            <w:tcW w:w="3296" w:type="dxa"/>
            <w:tcBorders>
              <w:top w:val="single" w:sz="4" w:space="0" w:color="000000"/>
              <w:left w:val="single" w:sz="4" w:space="0" w:color="000000"/>
              <w:bottom w:val="single" w:sz="4" w:space="0" w:color="000000"/>
              <w:right w:val="single" w:sz="4" w:space="0" w:color="000000"/>
            </w:tcBorders>
            <w:hideMark/>
          </w:tcPr>
          <w:p w14:paraId="548ECF50" w14:textId="448A978A" w:rsidR="002D278E" w:rsidRDefault="002D278E">
            <w:pPr>
              <w:ind w:left="2"/>
            </w:pPr>
            <w:r>
              <w:rPr>
                <w:rFonts w:ascii="Arial" w:eastAsia="Arial" w:hAnsi="Arial" w:cs="Arial"/>
                <w:b/>
              </w:rPr>
              <w:t xml:space="preserve">      </w:t>
            </w:r>
            <w:r w:rsidR="00ED4B21">
              <w:rPr>
                <w:rFonts w:ascii="Arial" w:eastAsia="Arial" w:hAnsi="Arial" w:cs="Arial"/>
                <w:b/>
              </w:rPr>
              <w:t>Graham Vaughan</w:t>
            </w:r>
          </w:p>
        </w:tc>
        <w:tc>
          <w:tcPr>
            <w:tcW w:w="2264" w:type="dxa"/>
            <w:tcBorders>
              <w:top w:val="single" w:sz="4" w:space="0" w:color="000000"/>
              <w:left w:val="single" w:sz="4" w:space="0" w:color="000000"/>
              <w:bottom w:val="single" w:sz="4" w:space="0" w:color="000000"/>
              <w:right w:val="single" w:sz="4" w:space="0" w:color="000000"/>
            </w:tcBorders>
            <w:shd w:val="clear" w:color="auto" w:fill="DADADB"/>
            <w:hideMark/>
          </w:tcPr>
          <w:p w14:paraId="05B424BB" w14:textId="77777777" w:rsidR="002D278E" w:rsidRDefault="002D278E">
            <w:pPr>
              <w:ind w:left="1"/>
              <w:jc w:val="both"/>
            </w:pPr>
            <w:r>
              <w:rPr>
                <w:rFonts w:ascii="Arial" w:eastAsia="Arial" w:hAnsi="Arial" w:cs="Arial"/>
                <w:b/>
              </w:rPr>
              <w:t xml:space="preserve">Student ID number: </w:t>
            </w:r>
          </w:p>
        </w:tc>
        <w:tc>
          <w:tcPr>
            <w:tcW w:w="2270" w:type="dxa"/>
            <w:tcBorders>
              <w:top w:val="single" w:sz="4" w:space="0" w:color="000000"/>
              <w:left w:val="single" w:sz="4" w:space="0" w:color="000000"/>
              <w:bottom w:val="single" w:sz="4" w:space="0" w:color="000000"/>
              <w:right w:val="single" w:sz="4" w:space="0" w:color="000000"/>
            </w:tcBorders>
            <w:hideMark/>
          </w:tcPr>
          <w:p w14:paraId="6AF1C64A" w14:textId="30AEE06A" w:rsidR="002D278E" w:rsidRDefault="00ED4B21">
            <w:pPr>
              <w:ind w:left="5"/>
            </w:pPr>
            <w:r>
              <w:rPr>
                <w:rFonts w:ascii="Arial" w:eastAsia="Arial" w:hAnsi="Arial" w:cs="Arial"/>
                <w:b/>
              </w:rPr>
              <w:t>1902830</w:t>
            </w:r>
          </w:p>
        </w:tc>
      </w:tr>
      <w:tr w:rsidR="002D278E" w14:paraId="6B98BE41" w14:textId="77777777" w:rsidTr="002D278E">
        <w:trPr>
          <w:trHeight w:val="503"/>
        </w:trPr>
        <w:tc>
          <w:tcPr>
            <w:tcW w:w="2090" w:type="dxa"/>
            <w:tcBorders>
              <w:top w:val="single" w:sz="4" w:space="0" w:color="000000"/>
              <w:left w:val="single" w:sz="4" w:space="0" w:color="000000"/>
              <w:bottom w:val="single" w:sz="4" w:space="0" w:color="000000"/>
              <w:right w:val="single" w:sz="4" w:space="0" w:color="000000"/>
            </w:tcBorders>
            <w:shd w:val="clear" w:color="auto" w:fill="DADADB"/>
            <w:hideMark/>
          </w:tcPr>
          <w:p w14:paraId="348B0DC7" w14:textId="77777777" w:rsidR="002D278E" w:rsidRDefault="002D278E">
            <w:r>
              <w:rPr>
                <w:rFonts w:ascii="Arial" w:eastAsia="Arial" w:hAnsi="Arial" w:cs="Arial"/>
                <w:b/>
              </w:rPr>
              <w:t xml:space="preserve">Programme: </w:t>
            </w:r>
          </w:p>
        </w:tc>
        <w:tc>
          <w:tcPr>
            <w:tcW w:w="7831" w:type="dxa"/>
            <w:gridSpan w:val="3"/>
            <w:tcBorders>
              <w:top w:val="single" w:sz="4" w:space="0" w:color="000000"/>
              <w:left w:val="single" w:sz="4" w:space="0" w:color="000000"/>
              <w:bottom w:val="single" w:sz="4" w:space="0" w:color="000000"/>
              <w:right w:val="single" w:sz="4" w:space="0" w:color="000000"/>
            </w:tcBorders>
            <w:hideMark/>
          </w:tcPr>
          <w:p w14:paraId="559C6342" w14:textId="77777777" w:rsidR="002D278E" w:rsidRDefault="002D278E">
            <w:pPr>
              <w:ind w:left="2"/>
            </w:pPr>
            <w:r>
              <w:rPr>
                <w:rFonts w:ascii="Arial" w:eastAsia="Arial" w:hAnsi="Arial" w:cs="Arial"/>
                <w:b/>
              </w:rPr>
              <w:t xml:space="preserve">BSc (Hons) Sport Therapy </w:t>
            </w:r>
          </w:p>
        </w:tc>
      </w:tr>
      <w:tr w:rsidR="002D278E" w14:paraId="313E853B" w14:textId="77777777" w:rsidTr="002D278E">
        <w:trPr>
          <w:trHeight w:val="503"/>
        </w:trPr>
        <w:tc>
          <w:tcPr>
            <w:tcW w:w="2090" w:type="dxa"/>
            <w:tcBorders>
              <w:top w:val="single" w:sz="4" w:space="0" w:color="000000"/>
              <w:left w:val="single" w:sz="4" w:space="0" w:color="000000"/>
              <w:bottom w:val="single" w:sz="4" w:space="0" w:color="000000"/>
              <w:right w:val="single" w:sz="4" w:space="0" w:color="000000"/>
            </w:tcBorders>
            <w:shd w:val="clear" w:color="auto" w:fill="DADADB"/>
            <w:hideMark/>
          </w:tcPr>
          <w:p w14:paraId="5DC7B74D" w14:textId="77777777" w:rsidR="002D278E" w:rsidRDefault="002D278E">
            <w:r>
              <w:rPr>
                <w:rFonts w:ascii="Arial" w:eastAsia="Arial" w:hAnsi="Arial" w:cs="Arial"/>
                <w:b/>
              </w:rPr>
              <w:t xml:space="preserve">Module: </w:t>
            </w:r>
          </w:p>
        </w:tc>
        <w:tc>
          <w:tcPr>
            <w:tcW w:w="7831" w:type="dxa"/>
            <w:gridSpan w:val="3"/>
            <w:tcBorders>
              <w:top w:val="single" w:sz="4" w:space="0" w:color="000000"/>
              <w:left w:val="single" w:sz="4" w:space="0" w:color="000000"/>
              <w:bottom w:val="single" w:sz="4" w:space="0" w:color="000000"/>
              <w:right w:val="single" w:sz="4" w:space="0" w:color="000000"/>
            </w:tcBorders>
            <w:hideMark/>
          </w:tcPr>
          <w:p w14:paraId="51CFF032" w14:textId="77777777" w:rsidR="002D278E" w:rsidRDefault="002D278E">
            <w:pPr>
              <w:ind w:left="2"/>
            </w:pPr>
            <w:r>
              <w:rPr>
                <w:rFonts w:ascii="Arial" w:eastAsia="Arial" w:hAnsi="Arial" w:cs="Arial"/>
                <w:b/>
              </w:rPr>
              <w:t xml:space="preserve">Principles and Practice of Mobilisations: Spinal  </w:t>
            </w:r>
          </w:p>
        </w:tc>
      </w:tr>
      <w:tr w:rsidR="002D278E" w14:paraId="1B06EE65" w14:textId="77777777" w:rsidTr="002D278E">
        <w:trPr>
          <w:trHeight w:val="769"/>
        </w:trPr>
        <w:tc>
          <w:tcPr>
            <w:tcW w:w="2090" w:type="dxa"/>
            <w:tcBorders>
              <w:top w:val="single" w:sz="4" w:space="0" w:color="000000"/>
              <w:left w:val="single" w:sz="4" w:space="0" w:color="000000"/>
              <w:bottom w:val="single" w:sz="4" w:space="0" w:color="000000"/>
              <w:right w:val="single" w:sz="4" w:space="0" w:color="000000"/>
            </w:tcBorders>
            <w:shd w:val="clear" w:color="auto" w:fill="DADADB"/>
            <w:hideMark/>
          </w:tcPr>
          <w:p w14:paraId="468A04D2" w14:textId="77777777" w:rsidR="002D278E" w:rsidRDefault="002D278E">
            <w:r>
              <w:rPr>
                <w:rFonts w:ascii="Arial" w:eastAsia="Arial" w:hAnsi="Arial" w:cs="Arial"/>
                <w:b/>
              </w:rPr>
              <w:t xml:space="preserve">Module code: </w:t>
            </w:r>
          </w:p>
        </w:tc>
        <w:tc>
          <w:tcPr>
            <w:tcW w:w="3296" w:type="dxa"/>
            <w:tcBorders>
              <w:top w:val="single" w:sz="4" w:space="0" w:color="000000"/>
              <w:left w:val="single" w:sz="4" w:space="0" w:color="000000"/>
              <w:bottom w:val="single" w:sz="4" w:space="0" w:color="000000"/>
              <w:right w:val="single" w:sz="4" w:space="0" w:color="000000"/>
            </w:tcBorders>
            <w:hideMark/>
          </w:tcPr>
          <w:p w14:paraId="37E7C4B5" w14:textId="77777777" w:rsidR="002D278E" w:rsidRDefault="002D278E">
            <w:pPr>
              <w:ind w:left="2"/>
            </w:pPr>
            <w:r>
              <w:rPr>
                <w:rFonts w:ascii="Arial" w:eastAsia="Arial" w:hAnsi="Arial" w:cs="Arial"/>
                <w:b/>
              </w:rPr>
              <w:t xml:space="preserve">SHSS5064 </w:t>
            </w:r>
          </w:p>
        </w:tc>
        <w:tc>
          <w:tcPr>
            <w:tcW w:w="2264" w:type="dxa"/>
            <w:tcBorders>
              <w:top w:val="single" w:sz="4" w:space="0" w:color="000000"/>
              <w:left w:val="single" w:sz="4" w:space="0" w:color="000000"/>
              <w:bottom w:val="single" w:sz="4" w:space="0" w:color="000000"/>
              <w:right w:val="single" w:sz="4" w:space="0" w:color="000000"/>
            </w:tcBorders>
            <w:shd w:val="clear" w:color="auto" w:fill="DADADB"/>
            <w:hideMark/>
          </w:tcPr>
          <w:p w14:paraId="5172141E" w14:textId="77777777" w:rsidR="002D278E" w:rsidRDefault="002D278E">
            <w:pPr>
              <w:ind w:left="1" w:right="102"/>
              <w:jc w:val="both"/>
            </w:pPr>
            <w:r>
              <w:rPr>
                <w:rFonts w:ascii="Arial" w:eastAsia="Arial" w:hAnsi="Arial" w:cs="Arial"/>
                <w:b/>
              </w:rPr>
              <w:t xml:space="preserve">Contribution to Overall Module Assessment (%): </w:t>
            </w:r>
          </w:p>
        </w:tc>
        <w:tc>
          <w:tcPr>
            <w:tcW w:w="2270" w:type="dxa"/>
            <w:tcBorders>
              <w:top w:val="single" w:sz="4" w:space="0" w:color="000000"/>
              <w:left w:val="single" w:sz="4" w:space="0" w:color="000000"/>
              <w:bottom w:val="single" w:sz="4" w:space="0" w:color="000000"/>
              <w:right w:val="single" w:sz="4" w:space="0" w:color="000000"/>
            </w:tcBorders>
            <w:hideMark/>
          </w:tcPr>
          <w:p w14:paraId="207A9DDD" w14:textId="77777777" w:rsidR="002D278E" w:rsidRDefault="002D278E">
            <w:pPr>
              <w:ind w:left="5"/>
            </w:pPr>
            <w:r>
              <w:rPr>
                <w:rFonts w:ascii="Arial" w:eastAsia="Arial" w:hAnsi="Arial" w:cs="Arial"/>
                <w:b/>
              </w:rPr>
              <w:t xml:space="preserve">50 </w:t>
            </w:r>
          </w:p>
        </w:tc>
      </w:tr>
      <w:tr w:rsidR="002D278E" w14:paraId="25D4A14A" w14:textId="77777777" w:rsidTr="002D278E">
        <w:trPr>
          <w:trHeight w:val="503"/>
        </w:trPr>
        <w:tc>
          <w:tcPr>
            <w:tcW w:w="2090" w:type="dxa"/>
            <w:tcBorders>
              <w:top w:val="single" w:sz="4" w:space="0" w:color="000000"/>
              <w:left w:val="single" w:sz="4" w:space="0" w:color="000000"/>
              <w:bottom w:val="single" w:sz="4" w:space="0" w:color="000000"/>
              <w:right w:val="single" w:sz="4" w:space="0" w:color="000000"/>
            </w:tcBorders>
            <w:shd w:val="clear" w:color="auto" w:fill="DADADB"/>
            <w:hideMark/>
          </w:tcPr>
          <w:p w14:paraId="73F45AA0" w14:textId="77777777" w:rsidR="002D278E" w:rsidRDefault="002D278E">
            <w:r>
              <w:rPr>
                <w:rFonts w:ascii="Arial" w:eastAsia="Arial" w:hAnsi="Arial" w:cs="Arial"/>
                <w:b/>
              </w:rPr>
              <w:t xml:space="preserve">Lecturer: </w:t>
            </w:r>
          </w:p>
        </w:tc>
        <w:tc>
          <w:tcPr>
            <w:tcW w:w="3296" w:type="dxa"/>
            <w:tcBorders>
              <w:top w:val="single" w:sz="4" w:space="0" w:color="000000"/>
              <w:left w:val="single" w:sz="4" w:space="0" w:color="000000"/>
              <w:bottom w:val="single" w:sz="4" w:space="0" w:color="000000"/>
              <w:right w:val="single" w:sz="4" w:space="0" w:color="000000"/>
            </w:tcBorders>
            <w:hideMark/>
          </w:tcPr>
          <w:p w14:paraId="0045A656" w14:textId="77777777" w:rsidR="002D278E" w:rsidRDefault="002D278E">
            <w:pPr>
              <w:ind w:left="2"/>
            </w:pPr>
            <w:r>
              <w:rPr>
                <w:rFonts w:ascii="Arial" w:eastAsia="Arial" w:hAnsi="Arial" w:cs="Arial"/>
                <w:b/>
              </w:rPr>
              <w:t xml:space="preserve">Dr Kate Williams </w:t>
            </w:r>
          </w:p>
        </w:tc>
        <w:tc>
          <w:tcPr>
            <w:tcW w:w="2264" w:type="dxa"/>
            <w:tcBorders>
              <w:top w:val="single" w:sz="4" w:space="0" w:color="000000"/>
              <w:left w:val="single" w:sz="4" w:space="0" w:color="000000"/>
              <w:bottom w:val="single" w:sz="4" w:space="0" w:color="000000"/>
              <w:right w:val="single" w:sz="4" w:space="0" w:color="000000"/>
            </w:tcBorders>
            <w:shd w:val="clear" w:color="auto" w:fill="DADADB"/>
            <w:hideMark/>
          </w:tcPr>
          <w:p w14:paraId="0B0AEE9D" w14:textId="77777777" w:rsidR="002D278E" w:rsidRDefault="002D278E">
            <w:pPr>
              <w:ind w:left="1"/>
            </w:pPr>
            <w:r>
              <w:rPr>
                <w:rFonts w:ascii="Arial" w:eastAsia="Arial" w:hAnsi="Arial" w:cs="Arial"/>
                <w:b/>
              </w:rPr>
              <w:t xml:space="preserve">Internal Verifier: </w:t>
            </w:r>
          </w:p>
        </w:tc>
        <w:tc>
          <w:tcPr>
            <w:tcW w:w="2270" w:type="dxa"/>
            <w:tcBorders>
              <w:top w:val="single" w:sz="4" w:space="0" w:color="000000"/>
              <w:left w:val="single" w:sz="4" w:space="0" w:color="000000"/>
              <w:bottom w:val="single" w:sz="4" w:space="0" w:color="000000"/>
              <w:right w:val="single" w:sz="4" w:space="0" w:color="000000"/>
            </w:tcBorders>
            <w:hideMark/>
          </w:tcPr>
          <w:p w14:paraId="3D70A772" w14:textId="77777777" w:rsidR="002D278E" w:rsidRDefault="002D278E">
            <w:pPr>
              <w:ind w:left="5"/>
            </w:pPr>
            <w:r>
              <w:rPr>
                <w:rFonts w:ascii="Arial" w:eastAsia="Arial" w:hAnsi="Arial" w:cs="Arial"/>
                <w:b/>
              </w:rPr>
              <w:t xml:space="preserve">Charley Keen  </w:t>
            </w:r>
          </w:p>
        </w:tc>
      </w:tr>
      <w:tr w:rsidR="002D278E" w14:paraId="27A7F743" w14:textId="77777777" w:rsidTr="002D278E">
        <w:trPr>
          <w:trHeight w:val="756"/>
        </w:trPr>
        <w:tc>
          <w:tcPr>
            <w:tcW w:w="2090" w:type="dxa"/>
            <w:tcBorders>
              <w:top w:val="single" w:sz="4" w:space="0" w:color="000000"/>
              <w:left w:val="single" w:sz="4" w:space="0" w:color="000000"/>
              <w:bottom w:val="single" w:sz="4" w:space="0" w:color="000000"/>
              <w:right w:val="single" w:sz="4" w:space="0" w:color="000000"/>
            </w:tcBorders>
            <w:shd w:val="clear" w:color="auto" w:fill="DADADB"/>
            <w:hideMark/>
          </w:tcPr>
          <w:p w14:paraId="693C591D" w14:textId="77777777" w:rsidR="002D278E" w:rsidRDefault="002D278E">
            <w:pPr>
              <w:jc w:val="both"/>
            </w:pPr>
            <w:r>
              <w:rPr>
                <w:rFonts w:ascii="Arial" w:eastAsia="Arial" w:hAnsi="Arial" w:cs="Arial"/>
                <w:b/>
              </w:rPr>
              <w:t xml:space="preserve">Assignment Title: </w:t>
            </w:r>
          </w:p>
        </w:tc>
        <w:tc>
          <w:tcPr>
            <w:tcW w:w="3296" w:type="dxa"/>
            <w:tcBorders>
              <w:top w:val="single" w:sz="4" w:space="0" w:color="000000"/>
              <w:left w:val="single" w:sz="4" w:space="0" w:color="000000"/>
              <w:bottom w:val="single" w:sz="4" w:space="0" w:color="000000"/>
              <w:right w:val="single" w:sz="4" w:space="0" w:color="000000"/>
            </w:tcBorders>
            <w:hideMark/>
          </w:tcPr>
          <w:p w14:paraId="4B33A771" w14:textId="77777777" w:rsidR="002D278E" w:rsidRDefault="002D278E">
            <w:pPr>
              <w:ind w:left="2"/>
            </w:pPr>
            <w:r>
              <w:rPr>
                <w:rFonts w:ascii="Arial" w:eastAsia="Arial" w:hAnsi="Arial" w:cs="Arial"/>
                <w:b/>
              </w:rPr>
              <w:t xml:space="preserve">Manual Therapy Sucks?  </w:t>
            </w:r>
          </w:p>
        </w:tc>
        <w:tc>
          <w:tcPr>
            <w:tcW w:w="2264" w:type="dxa"/>
            <w:tcBorders>
              <w:top w:val="single" w:sz="4" w:space="0" w:color="000000"/>
              <w:left w:val="single" w:sz="4" w:space="0" w:color="000000"/>
              <w:bottom w:val="single" w:sz="4" w:space="0" w:color="000000"/>
              <w:right w:val="single" w:sz="4" w:space="0" w:color="000000"/>
            </w:tcBorders>
            <w:shd w:val="clear" w:color="auto" w:fill="DADADB"/>
            <w:hideMark/>
          </w:tcPr>
          <w:p w14:paraId="17AB8833" w14:textId="77777777" w:rsidR="002D278E" w:rsidRDefault="002D278E">
            <w:pPr>
              <w:ind w:left="1"/>
            </w:pPr>
            <w:r>
              <w:rPr>
                <w:rFonts w:ascii="Arial" w:eastAsia="Arial" w:hAnsi="Arial" w:cs="Arial"/>
                <w:b/>
              </w:rPr>
              <w:t xml:space="preserve">Word </w:t>
            </w:r>
            <w:r>
              <w:rPr>
                <w:rFonts w:ascii="Arial" w:eastAsia="Arial" w:hAnsi="Arial" w:cs="Arial"/>
                <w:b/>
              </w:rPr>
              <w:tab/>
              <w:t xml:space="preserve">count </w:t>
            </w:r>
            <w:r>
              <w:rPr>
                <w:rFonts w:ascii="Arial" w:eastAsia="Arial" w:hAnsi="Arial" w:cs="Arial"/>
                <w:b/>
              </w:rPr>
              <w:tab/>
              <w:t xml:space="preserve">(or equivalent): </w:t>
            </w:r>
          </w:p>
        </w:tc>
        <w:tc>
          <w:tcPr>
            <w:tcW w:w="2270" w:type="dxa"/>
            <w:tcBorders>
              <w:top w:val="single" w:sz="4" w:space="0" w:color="000000"/>
              <w:left w:val="single" w:sz="4" w:space="0" w:color="000000"/>
              <w:bottom w:val="single" w:sz="4" w:space="0" w:color="000000"/>
              <w:right w:val="single" w:sz="4" w:space="0" w:color="000000"/>
            </w:tcBorders>
            <w:hideMark/>
          </w:tcPr>
          <w:p w14:paraId="2A94C074" w14:textId="77777777" w:rsidR="002D278E" w:rsidRDefault="002D278E">
            <w:pPr>
              <w:ind w:left="5"/>
            </w:pPr>
            <w:r>
              <w:rPr>
                <w:rFonts w:ascii="Arial" w:eastAsia="Arial" w:hAnsi="Arial" w:cs="Arial"/>
                <w:b/>
              </w:rPr>
              <w:t xml:space="preserve">2000 </w:t>
            </w:r>
          </w:p>
        </w:tc>
      </w:tr>
      <w:tr w:rsidR="002D278E" w14:paraId="31E0AA40" w14:textId="77777777" w:rsidTr="002D278E">
        <w:trPr>
          <w:trHeight w:val="1009"/>
        </w:trPr>
        <w:tc>
          <w:tcPr>
            <w:tcW w:w="2090" w:type="dxa"/>
            <w:tcBorders>
              <w:top w:val="single" w:sz="4" w:space="0" w:color="000000"/>
              <w:left w:val="single" w:sz="4" w:space="0" w:color="000000"/>
              <w:bottom w:val="single" w:sz="4" w:space="0" w:color="000000"/>
              <w:right w:val="single" w:sz="4" w:space="0" w:color="000000"/>
            </w:tcBorders>
            <w:shd w:val="clear" w:color="auto" w:fill="DADADB"/>
            <w:hideMark/>
          </w:tcPr>
          <w:p w14:paraId="71C58600" w14:textId="77777777" w:rsidR="002D278E" w:rsidRDefault="002D278E">
            <w:r>
              <w:rPr>
                <w:rFonts w:ascii="Arial" w:eastAsia="Arial" w:hAnsi="Arial" w:cs="Arial"/>
                <w:b/>
              </w:rPr>
              <w:t xml:space="preserve">Submission deadline: </w:t>
            </w:r>
          </w:p>
        </w:tc>
        <w:tc>
          <w:tcPr>
            <w:tcW w:w="3296" w:type="dxa"/>
            <w:tcBorders>
              <w:top w:val="single" w:sz="4" w:space="0" w:color="000000"/>
              <w:left w:val="single" w:sz="4" w:space="0" w:color="000000"/>
              <w:bottom w:val="single" w:sz="4" w:space="0" w:color="000000"/>
              <w:right w:val="single" w:sz="4" w:space="0" w:color="000000"/>
            </w:tcBorders>
            <w:hideMark/>
          </w:tcPr>
          <w:p w14:paraId="41B2A4D6" w14:textId="77777777" w:rsidR="002D278E" w:rsidRDefault="002D278E">
            <w:pPr>
              <w:spacing w:after="5"/>
              <w:ind w:left="2"/>
              <w:jc w:val="both"/>
            </w:pPr>
            <w:r>
              <w:rPr>
                <w:rFonts w:ascii="Arial" w:eastAsia="Arial" w:hAnsi="Arial" w:cs="Arial"/>
                <w:b/>
              </w:rPr>
              <w:t>26</w:t>
            </w:r>
            <w:r>
              <w:rPr>
                <w:rFonts w:ascii="Arial" w:eastAsia="Arial" w:hAnsi="Arial" w:cs="Arial"/>
                <w:b/>
                <w:vertAlign w:val="superscript"/>
              </w:rPr>
              <w:t>th</w:t>
            </w:r>
            <w:r>
              <w:rPr>
                <w:rFonts w:ascii="Arial" w:eastAsia="Arial" w:hAnsi="Arial" w:cs="Arial"/>
                <w:b/>
              </w:rPr>
              <w:t xml:space="preserve"> November 2020 before </w:t>
            </w:r>
          </w:p>
          <w:p w14:paraId="7D6A82E0" w14:textId="77777777" w:rsidR="002D278E" w:rsidRDefault="002D278E">
            <w:pPr>
              <w:ind w:left="2"/>
            </w:pPr>
            <w:r>
              <w:rPr>
                <w:rFonts w:ascii="Arial" w:eastAsia="Arial" w:hAnsi="Arial" w:cs="Arial"/>
                <w:b/>
              </w:rPr>
              <w:t xml:space="preserve">5pm  </w:t>
            </w:r>
          </w:p>
        </w:tc>
        <w:tc>
          <w:tcPr>
            <w:tcW w:w="2264" w:type="dxa"/>
            <w:tcBorders>
              <w:top w:val="single" w:sz="4" w:space="0" w:color="000000"/>
              <w:left w:val="single" w:sz="4" w:space="0" w:color="000000"/>
              <w:bottom w:val="single" w:sz="4" w:space="0" w:color="000000"/>
              <w:right w:val="single" w:sz="4" w:space="0" w:color="000000"/>
            </w:tcBorders>
            <w:shd w:val="clear" w:color="auto" w:fill="DADADB"/>
            <w:hideMark/>
          </w:tcPr>
          <w:p w14:paraId="7A2BC31B" w14:textId="77777777" w:rsidR="002D278E" w:rsidRDefault="002D278E">
            <w:pPr>
              <w:ind w:left="1" w:right="103"/>
              <w:jc w:val="both"/>
            </w:pPr>
            <w:r>
              <w:rPr>
                <w:rFonts w:ascii="Arial" w:eastAsia="Arial" w:hAnsi="Arial" w:cs="Arial"/>
                <w:b/>
              </w:rPr>
              <w:t xml:space="preserve">Return date of provisional marks &amp; written feedback: </w:t>
            </w:r>
          </w:p>
        </w:tc>
        <w:tc>
          <w:tcPr>
            <w:tcW w:w="2270" w:type="dxa"/>
            <w:tcBorders>
              <w:top w:val="single" w:sz="4" w:space="0" w:color="000000"/>
              <w:left w:val="single" w:sz="4" w:space="0" w:color="000000"/>
              <w:bottom w:val="single" w:sz="4" w:space="0" w:color="000000"/>
              <w:right w:val="single" w:sz="4" w:space="0" w:color="000000"/>
            </w:tcBorders>
            <w:hideMark/>
          </w:tcPr>
          <w:p w14:paraId="7BE8ED33" w14:textId="77777777" w:rsidR="002D278E" w:rsidRDefault="002D278E">
            <w:pPr>
              <w:ind w:left="5"/>
              <w:jc w:val="both"/>
            </w:pPr>
            <w:r>
              <w:rPr>
                <w:rFonts w:ascii="Arial" w:eastAsia="Arial" w:hAnsi="Arial" w:cs="Arial"/>
                <w:b/>
              </w:rPr>
              <w:t>26</w:t>
            </w:r>
            <w:r>
              <w:rPr>
                <w:rFonts w:ascii="Arial" w:eastAsia="Arial" w:hAnsi="Arial" w:cs="Arial"/>
                <w:b/>
                <w:vertAlign w:val="superscript"/>
              </w:rPr>
              <w:t>th</w:t>
            </w:r>
            <w:r>
              <w:rPr>
                <w:rFonts w:ascii="Arial" w:eastAsia="Arial" w:hAnsi="Arial" w:cs="Arial"/>
                <w:b/>
              </w:rPr>
              <w:t xml:space="preserve"> December 2020 </w:t>
            </w:r>
          </w:p>
        </w:tc>
      </w:tr>
      <w:tr w:rsidR="002D278E" w14:paraId="5B9592E4" w14:textId="77777777" w:rsidTr="002D278E">
        <w:trPr>
          <w:trHeight w:val="2646"/>
        </w:trPr>
        <w:tc>
          <w:tcPr>
            <w:tcW w:w="2090" w:type="dxa"/>
            <w:tcBorders>
              <w:top w:val="single" w:sz="4" w:space="0" w:color="000000"/>
              <w:left w:val="single" w:sz="4" w:space="0" w:color="000000"/>
              <w:bottom w:val="single" w:sz="4" w:space="0" w:color="000000"/>
              <w:right w:val="single" w:sz="4" w:space="0" w:color="000000"/>
            </w:tcBorders>
            <w:shd w:val="clear" w:color="auto" w:fill="DADADB"/>
            <w:hideMark/>
          </w:tcPr>
          <w:p w14:paraId="12F0224F" w14:textId="77777777" w:rsidR="002D278E" w:rsidRDefault="002D278E">
            <w:r>
              <w:rPr>
                <w:rFonts w:ascii="Arial" w:eastAsia="Arial" w:hAnsi="Arial" w:cs="Arial"/>
                <w:b/>
              </w:rPr>
              <w:t xml:space="preserve">Submission method: </w:t>
            </w:r>
          </w:p>
        </w:tc>
        <w:tc>
          <w:tcPr>
            <w:tcW w:w="7831" w:type="dxa"/>
            <w:gridSpan w:val="3"/>
            <w:tcBorders>
              <w:top w:val="single" w:sz="4" w:space="0" w:color="000000"/>
              <w:left w:val="single" w:sz="4" w:space="0" w:color="000000"/>
              <w:bottom w:val="single" w:sz="4" w:space="0" w:color="000000"/>
              <w:right w:val="single" w:sz="4" w:space="0" w:color="000000"/>
            </w:tcBorders>
            <w:hideMark/>
          </w:tcPr>
          <w:p w14:paraId="2160E800" w14:textId="77777777" w:rsidR="002D278E" w:rsidRDefault="002D278E">
            <w:pPr>
              <w:ind w:left="2"/>
            </w:pPr>
            <w:r>
              <w:rPr>
                <w:rFonts w:ascii="Arial" w:eastAsia="Arial" w:hAnsi="Arial" w:cs="Arial"/>
              </w:rPr>
              <w:t xml:space="preserve">Please submit the assignment via </w:t>
            </w:r>
            <w:proofErr w:type="spellStart"/>
            <w:r>
              <w:rPr>
                <w:rFonts w:ascii="Arial" w:eastAsia="Arial" w:hAnsi="Arial" w:cs="Arial"/>
              </w:rPr>
              <w:t>Turnit</w:t>
            </w:r>
            <w:proofErr w:type="spellEnd"/>
            <w:r>
              <w:rPr>
                <w:rFonts w:ascii="Arial" w:eastAsia="Arial" w:hAnsi="Arial" w:cs="Arial"/>
              </w:rPr>
              <w:t xml:space="preserve"> in on </w:t>
            </w:r>
            <w:proofErr w:type="spellStart"/>
            <w:r>
              <w:rPr>
                <w:rFonts w:ascii="Arial" w:eastAsia="Arial" w:hAnsi="Arial" w:cs="Arial"/>
              </w:rPr>
              <w:t>moodle</w:t>
            </w:r>
            <w:proofErr w:type="spellEnd"/>
            <w:r>
              <w:rPr>
                <w:rFonts w:ascii="Arial" w:eastAsia="Arial" w:hAnsi="Arial" w:cs="Arial"/>
              </w:rPr>
              <w:t xml:space="preserve">.  </w:t>
            </w:r>
          </w:p>
          <w:p w14:paraId="1DB0FD6D" w14:textId="77777777" w:rsidR="002D278E" w:rsidRDefault="002D278E">
            <w:pPr>
              <w:ind w:left="2"/>
            </w:pPr>
            <w:r>
              <w:rPr>
                <w:rFonts w:ascii="Arial" w:eastAsia="Arial" w:hAnsi="Arial" w:cs="Arial"/>
              </w:rPr>
              <w:t xml:space="preserve"> </w:t>
            </w:r>
          </w:p>
          <w:p w14:paraId="29F705A2" w14:textId="77777777" w:rsidR="002D278E" w:rsidRDefault="002D278E">
            <w:pPr>
              <w:spacing w:after="62" w:line="292" w:lineRule="auto"/>
              <w:ind w:left="2" w:right="115"/>
            </w:pPr>
            <w:r>
              <w:rPr>
                <w:rFonts w:ascii="Arial" w:eastAsia="Arial" w:hAnsi="Arial" w:cs="Arial"/>
              </w:rPr>
              <w:t xml:space="preserve">(Please DO NOT put this assessment specification into Turnitin or it will match many similarities with other students’ submissions.) </w:t>
            </w:r>
            <w:r>
              <w:rPr>
                <w:rFonts w:ascii="Arial" w:eastAsia="Arial" w:hAnsi="Arial" w:cs="Arial"/>
                <w:b/>
              </w:rPr>
              <w:t xml:space="preserve">Alternative submission method (if applicable):  </w:t>
            </w:r>
          </w:p>
          <w:p w14:paraId="049FD2D3" w14:textId="77777777" w:rsidR="002D278E" w:rsidRDefault="002D278E">
            <w:pPr>
              <w:ind w:left="2"/>
            </w:pPr>
            <w:r>
              <w:rPr>
                <w:rFonts w:ascii="Arial" w:eastAsia="Arial" w:hAnsi="Arial" w:cs="Arial"/>
                <w:b/>
              </w:rPr>
              <w:t xml:space="preserve">Late submission of the assessment will result in a late penalty mark.  </w:t>
            </w:r>
          </w:p>
          <w:p w14:paraId="02679A42" w14:textId="77777777" w:rsidR="002D278E" w:rsidRDefault="002D278E">
            <w:pPr>
              <w:ind w:left="2" w:right="109"/>
              <w:jc w:val="both"/>
            </w:pPr>
            <w:r>
              <w:rPr>
                <w:rFonts w:ascii="Arial" w:eastAsia="Arial" w:hAnsi="Arial" w:cs="Arial"/>
              </w:rPr>
              <w:t>Penalties for late submission: Up to one week late, maximum mark of 40%. Over one week late, 0%.  Only the Extenuating Circumstances Panel may approve a change to submission dates.</w:t>
            </w:r>
            <w:r>
              <w:rPr>
                <w:rFonts w:ascii="Arial" w:eastAsia="Arial" w:hAnsi="Arial" w:cs="Arial"/>
                <w:b/>
              </w:rPr>
              <w:t xml:space="preserve"> </w:t>
            </w:r>
          </w:p>
        </w:tc>
      </w:tr>
      <w:tr w:rsidR="002D278E" w14:paraId="51197CB6" w14:textId="77777777" w:rsidTr="002D278E">
        <w:trPr>
          <w:trHeight w:val="1261"/>
        </w:trPr>
        <w:tc>
          <w:tcPr>
            <w:tcW w:w="2090" w:type="dxa"/>
            <w:tcBorders>
              <w:top w:val="single" w:sz="4" w:space="0" w:color="000000"/>
              <w:left w:val="single" w:sz="4" w:space="0" w:color="000000"/>
              <w:bottom w:val="single" w:sz="4" w:space="0" w:color="000000"/>
              <w:right w:val="single" w:sz="4" w:space="0" w:color="000000"/>
            </w:tcBorders>
            <w:shd w:val="clear" w:color="auto" w:fill="DADADB"/>
            <w:hideMark/>
          </w:tcPr>
          <w:p w14:paraId="14312886" w14:textId="77777777" w:rsidR="002D278E" w:rsidRDefault="002D278E">
            <w:pPr>
              <w:ind w:right="39"/>
            </w:pPr>
            <w:r>
              <w:rPr>
                <w:rFonts w:ascii="Arial" w:eastAsia="Arial" w:hAnsi="Arial" w:cs="Arial"/>
                <w:b/>
              </w:rPr>
              <w:t xml:space="preserve">Academic honesty / referencing: </w:t>
            </w:r>
          </w:p>
        </w:tc>
        <w:tc>
          <w:tcPr>
            <w:tcW w:w="7831" w:type="dxa"/>
            <w:gridSpan w:val="3"/>
            <w:tcBorders>
              <w:top w:val="single" w:sz="4" w:space="0" w:color="000000"/>
              <w:left w:val="single" w:sz="4" w:space="0" w:color="000000"/>
              <w:bottom w:val="single" w:sz="4" w:space="0" w:color="000000"/>
              <w:right w:val="single" w:sz="4" w:space="0" w:color="000000"/>
            </w:tcBorders>
            <w:hideMark/>
          </w:tcPr>
          <w:p w14:paraId="3CEC522E" w14:textId="77777777" w:rsidR="002D278E" w:rsidRDefault="002D278E">
            <w:pPr>
              <w:ind w:left="2" w:right="109"/>
              <w:jc w:val="both"/>
            </w:pPr>
            <w:r>
              <w:rPr>
                <w:rFonts w:ascii="Arial" w:eastAsia="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w:t>
            </w:r>
            <w:proofErr w:type="gramStart"/>
            <w:r>
              <w:rPr>
                <w:rFonts w:ascii="Arial" w:eastAsia="Arial" w:hAnsi="Arial" w:cs="Arial"/>
              </w:rPr>
              <w:t>cited</w:t>
            </w:r>
            <w:proofErr w:type="gramEnd"/>
            <w:r>
              <w:rPr>
                <w:rFonts w:ascii="Arial" w:eastAsia="Arial" w:hAnsi="Arial" w:cs="Arial"/>
              </w:rPr>
              <w:t xml:space="preserve"> or quoted in order to complete this assessment.   </w:t>
            </w:r>
          </w:p>
        </w:tc>
      </w:tr>
    </w:tbl>
    <w:p w14:paraId="59D22F54" w14:textId="77777777" w:rsidR="002D278E" w:rsidRDefault="002D278E" w:rsidP="002D278E">
      <w:pPr>
        <w:spacing w:after="0"/>
        <w:ind w:left="1" w:right="245"/>
        <w:rPr>
          <w:rFonts w:ascii="Calibri" w:eastAsia="Calibri" w:hAnsi="Calibri" w:cs="Calibri"/>
          <w:color w:val="000000"/>
          <w:sz w:val="22"/>
          <w:szCs w:val="22"/>
        </w:rPr>
      </w:pPr>
      <w:r>
        <w:rPr>
          <w:rFonts w:ascii="Arial" w:eastAsia="Arial" w:hAnsi="Arial" w:cs="Arial"/>
          <w:sz w:val="32"/>
        </w:rPr>
        <w:t xml:space="preserve"> </w:t>
      </w:r>
    </w:p>
    <w:p w14:paraId="18EC5B94" w14:textId="16F99831" w:rsidR="0054082D" w:rsidRDefault="002D278E" w:rsidP="00ED4B21">
      <w:pPr>
        <w:spacing w:after="0"/>
        <w:ind w:left="1" w:right="421"/>
      </w:pPr>
      <w:r>
        <w:rPr>
          <w:rFonts w:ascii="Arial" w:eastAsia="Arial" w:hAnsi="Arial" w:cs="Arial"/>
          <w:sz w:val="32"/>
        </w:rPr>
        <w:t xml:space="preserve"> </w:t>
      </w:r>
    </w:p>
    <w:p w14:paraId="1C293255" w14:textId="77777777" w:rsidR="0054082D" w:rsidRDefault="0054082D"/>
    <w:p w14:paraId="1120055E" w14:textId="77777777" w:rsidR="0054082D" w:rsidRDefault="0054082D"/>
    <w:p w14:paraId="401D2BB1" w14:textId="77777777" w:rsidR="0054082D" w:rsidRDefault="0054082D"/>
    <w:p w14:paraId="44FB1D1D" w14:textId="77777777" w:rsidR="0054082D" w:rsidRDefault="0054082D"/>
    <w:p w14:paraId="2D173208" w14:textId="77777777" w:rsidR="0054082D" w:rsidRDefault="0054082D"/>
    <w:p w14:paraId="3DD786F2" w14:textId="77777777" w:rsidR="00ED4B21" w:rsidRDefault="00ED4B21" w:rsidP="00ED4B21">
      <w:pPr>
        <w:pBdr>
          <w:top w:val="single" w:sz="4" w:space="0" w:color="000000"/>
          <w:left w:val="single" w:sz="4" w:space="0" w:color="000000"/>
          <w:bottom w:val="single" w:sz="4" w:space="0" w:color="000000"/>
          <w:right w:val="single" w:sz="4" w:space="0" w:color="000000"/>
        </w:pBdr>
        <w:shd w:val="clear" w:color="auto" w:fill="C0C0C0"/>
        <w:spacing w:after="0" w:line="225" w:lineRule="auto"/>
        <w:ind w:left="114" w:right="4380" w:hanging="113"/>
      </w:pPr>
      <w:r>
        <w:rPr>
          <w:rFonts w:ascii="Arial" w:eastAsia="Arial" w:hAnsi="Arial" w:cs="Arial"/>
        </w:rPr>
        <w:t xml:space="preserve"> </w:t>
      </w:r>
      <w:r>
        <w:rPr>
          <w:rFonts w:ascii="Arial" w:eastAsia="Arial" w:hAnsi="Arial" w:cs="Arial"/>
          <w:b/>
          <w:sz w:val="40"/>
        </w:rPr>
        <w:t xml:space="preserve">     STUDENT FEEDBACK FORM</w:t>
      </w:r>
      <w:r>
        <w:rPr>
          <w:rFonts w:ascii="Arial" w:eastAsia="Arial" w:hAnsi="Arial" w:cs="Arial"/>
          <w:sz w:val="20"/>
        </w:rPr>
        <w:t xml:space="preserve"> </w:t>
      </w:r>
    </w:p>
    <w:p w14:paraId="1060C324" w14:textId="77777777" w:rsidR="00ED4B21" w:rsidRDefault="00ED4B21" w:rsidP="00ED4B21">
      <w:pPr>
        <w:spacing w:after="0"/>
        <w:ind w:left="1"/>
      </w:pPr>
      <w:r>
        <w:rPr>
          <w:rFonts w:ascii="Arial" w:eastAsia="Arial" w:hAnsi="Arial" w:cs="Arial"/>
          <w:sz w:val="20"/>
        </w:rPr>
        <w:t xml:space="preserve"> </w:t>
      </w:r>
    </w:p>
    <w:p w14:paraId="6B2AEBA8" w14:textId="77777777" w:rsidR="00ED4B21" w:rsidRDefault="00ED4B21" w:rsidP="00ED4B21">
      <w:pPr>
        <w:spacing w:after="13" w:line="240" w:lineRule="auto"/>
        <w:ind w:right="109"/>
        <w:jc w:val="both"/>
      </w:pPr>
      <w:r>
        <w:rPr>
          <w:rFonts w:ascii="Arial" w:eastAsia="Arial" w:hAnsi="Arial" w:cs="Arial"/>
          <w:sz w:val="20"/>
        </w:rPr>
        <w:t xml:space="preserve">This section details the </w:t>
      </w:r>
      <w:r>
        <w:rPr>
          <w:rFonts w:ascii="Arial" w:eastAsia="Arial" w:hAnsi="Arial" w:cs="Arial"/>
          <w:i/>
          <w:sz w:val="20"/>
        </w:rPr>
        <w:t>extent</w:t>
      </w:r>
      <w:r>
        <w:rPr>
          <w:rFonts w:ascii="Arial" w:eastAsia="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 </w:t>
      </w:r>
    </w:p>
    <w:p w14:paraId="689F72FB" w14:textId="77777777" w:rsidR="00ED4B21" w:rsidRDefault="00ED4B21" w:rsidP="00ED4B21">
      <w:pPr>
        <w:spacing w:after="0"/>
        <w:ind w:left="1"/>
      </w:pPr>
      <w:r>
        <w:rPr>
          <w:rFonts w:ascii="Arial" w:eastAsia="Arial" w:hAnsi="Arial" w:cs="Arial"/>
          <w:b/>
        </w:rPr>
        <w:t xml:space="preserve"> </w:t>
      </w:r>
    </w:p>
    <w:tbl>
      <w:tblPr>
        <w:tblStyle w:val="TableGrid"/>
        <w:tblW w:w="10442" w:type="dxa"/>
        <w:tblInd w:w="7" w:type="dxa"/>
        <w:tblCellMar>
          <w:left w:w="88" w:type="dxa"/>
          <w:right w:w="115" w:type="dxa"/>
        </w:tblCellMar>
        <w:tblLook w:val="04A0" w:firstRow="1" w:lastRow="0" w:firstColumn="1" w:lastColumn="0" w:noHBand="0" w:noVBand="1"/>
      </w:tblPr>
      <w:tblGrid>
        <w:gridCol w:w="8701"/>
        <w:gridCol w:w="870"/>
        <w:gridCol w:w="871"/>
      </w:tblGrid>
      <w:tr w:rsidR="00ED4B21" w14:paraId="4E5F0CBC" w14:textId="77777777" w:rsidTr="00ED4B21">
        <w:trPr>
          <w:trHeight w:val="1012"/>
        </w:trPr>
        <w:tc>
          <w:tcPr>
            <w:tcW w:w="8706" w:type="dxa"/>
            <w:tcBorders>
              <w:top w:val="single" w:sz="4" w:space="0" w:color="000000"/>
              <w:left w:val="single" w:sz="4" w:space="0" w:color="000000"/>
              <w:bottom w:val="single" w:sz="4" w:space="0" w:color="000000"/>
              <w:right w:val="single" w:sz="4" w:space="0" w:color="000000"/>
            </w:tcBorders>
            <w:shd w:val="clear" w:color="auto" w:fill="C0C0C0"/>
            <w:vAlign w:val="center"/>
            <w:hideMark/>
          </w:tcPr>
          <w:p w14:paraId="480AF734" w14:textId="77777777" w:rsidR="00ED4B21" w:rsidRDefault="00ED4B21">
            <w:pPr>
              <w:ind w:left="18"/>
            </w:pPr>
            <w:r>
              <w:rPr>
                <w:rFonts w:ascii="Arial" w:eastAsia="Arial" w:hAnsi="Arial" w:cs="Arial"/>
                <w:b/>
              </w:rPr>
              <w:t xml:space="preserve">Generic Assessment Criteria  </w:t>
            </w:r>
          </w:p>
        </w:tc>
        <w:tc>
          <w:tcPr>
            <w:tcW w:w="870" w:type="dxa"/>
            <w:tcBorders>
              <w:top w:val="single" w:sz="4" w:space="0" w:color="000000"/>
              <w:left w:val="single" w:sz="4" w:space="0" w:color="000000"/>
              <w:bottom w:val="single" w:sz="4" w:space="0" w:color="000000"/>
              <w:right w:val="single" w:sz="4" w:space="0" w:color="000000"/>
            </w:tcBorders>
            <w:shd w:val="clear" w:color="auto" w:fill="C0C0C0"/>
            <w:hideMark/>
          </w:tcPr>
          <w:p w14:paraId="67BA4E92" w14:textId="52B99C2D" w:rsidR="00ED4B21" w:rsidRDefault="00ED4B21">
            <w:r>
              <w:rPr>
                <w:noProof/>
              </w:rPr>
              <mc:AlternateContent>
                <mc:Choice Requires="wpg">
                  <w:drawing>
                    <wp:inline distT="0" distB="0" distL="0" distR="0" wp14:anchorId="65125263" wp14:editId="7F1E9150">
                      <wp:extent cx="299085" cy="514985"/>
                      <wp:effectExtent l="0" t="133350" r="53340" b="0"/>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9085" cy="514985"/>
                                <a:chOff x="0" y="0"/>
                                <a:chExt cx="299314" cy="514884"/>
                              </a:xfrm>
                            </wpg:grpSpPr>
                            <wps:wsp>
                              <wps:cNvPr id="8" name="Rectangle 695"/>
                              <wps:cNvSpPr>
                                <a:spLocks noChangeArrowheads="1"/>
                              </wps:cNvSpPr>
                              <wps:spPr bwMode="auto">
                                <a:xfrm rot="-5399999">
                                  <a:off x="-133221" y="87771"/>
                                  <a:ext cx="484135" cy="2176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3B8975" w14:textId="77777777" w:rsidR="00ED4B21" w:rsidRDefault="00ED4B21" w:rsidP="00ED4B21">
                                    <w:r>
                                      <w:rPr>
                                        <w:rFonts w:ascii="Arial" w:eastAsia="Arial" w:hAnsi="Arial" w:cs="Arial"/>
                                        <w:b/>
                                        <w:sz w:val="18"/>
                                      </w:rPr>
                                      <w:t xml:space="preserve">Marks </w:t>
                                    </w:r>
                                  </w:p>
                                </w:txbxContent>
                              </wps:txbx>
                              <wps:bodyPr rot="0" vert="horz" wrap="square" lIns="0" tIns="0" rIns="0" bIns="0" anchor="t" anchorCtr="0" upright="1">
                                <a:noAutofit/>
                              </wps:bodyPr>
                            </wps:wsp>
                            <wps:wsp>
                              <wps:cNvPr id="9" name="Rectangle 697"/>
                              <wps:cNvSpPr>
                                <a:spLocks noChangeArrowheads="1"/>
                              </wps:cNvSpPr>
                              <wps:spPr bwMode="auto">
                                <a:xfrm rot="-5399999">
                                  <a:off x="-77623" y="83933"/>
                                  <a:ext cx="644211" cy="2176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5D68A6" w14:textId="77777777" w:rsidR="00ED4B21" w:rsidRDefault="00ED4B21" w:rsidP="00ED4B21">
                                    <w:r>
                                      <w:rPr>
                                        <w:rFonts w:ascii="Arial" w:eastAsia="Arial" w:hAnsi="Arial" w:cs="Arial"/>
                                        <w:b/>
                                        <w:sz w:val="18"/>
                                      </w:rPr>
                                      <w:t>available</w:t>
                                    </w:r>
                                  </w:p>
                                </w:txbxContent>
                              </wps:txbx>
                              <wps:bodyPr rot="0" vert="horz" wrap="square" lIns="0" tIns="0" rIns="0" bIns="0" anchor="t" anchorCtr="0" upright="1">
                                <a:noAutofit/>
                              </wps:bodyPr>
                            </wps:wsp>
                            <wps:wsp>
                              <wps:cNvPr id="10" name="Rectangle 698"/>
                              <wps:cNvSpPr>
                                <a:spLocks noChangeArrowheads="1"/>
                              </wps:cNvSpPr>
                              <wps:spPr bwMode="auto">
                                <a:xfrm rot="-5399999">
                                  <a:off x="223351" y="-98200"/>
                                  <a:ext cx="42262" cy="2176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8A623D" w14:textId="77777777" w:rsidR="00ED4B21" w:rsidRDefault="00ED4B21" w:rsidP="00ED4B21">
                                    <w:r>
                                      <w:rPr>
                                        <w:rFonts w:ascii="Arial" w:eastAsia="Arial" w:hAnsi="Arial" w:cs="Arial"/>
                                        <w:b/>
                                        <w:sz w:val="18"/>
                                      </w:rPr>
                                      <w:t xml:space="preserve"> </w:t>
                                    </w:r>
                                  </w:p>
                                </w:txbxContent>
                              </wps:txbx>
                              <wps:bodyPr rot="0" vert="horz" wrap="square" lIns="0" tIns="0" rIns="0" bIns="0" anchor="t" anchorCtr="0" upright="1">
                                <a:noAutofit/>
                              </wps:bodyPr>
                            </wps:wsp>
                          </wpg:wgp>
                        </a:graphicData>
                      </a:graphic>
                    </wp:inline>
                  </w:drawing>
                </mc:Choice>
                <mc:Fallback>
                  <w:pict>
                    <v:group w14:anchorId="65125263" id="Group 7" o:spid="_x0000_s1026" style="width:23.55pt;height:40.55pt;mso-position-horizontal-relative:char;mso-position-vertical-relative:line" coordsize="299314,5148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">
                      <v:rect id="Rectangle 695" o:spid="_x0000_s1027" style="position:absolute;left:-133221;top:87771;width:484135;height:21769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" filled="f" stroked="f">
                        <v:textbox inset="0,0,0,0">
                          <w:txbxContent>
                            <w:p w14:paraId="0E3B8975" w14:textId="77777777" w:rsidR="00ED4B21" w:rsidRDefault="00ED4B21" w:rsidP="00ED4B21">
                              <w:r>
                                <w:rPr>
                                  <w:rFonts w:ascii="Arial" w:eastAsia="Arial" w:hAnsi="Arial" w:cs="Arial"/>
                                  <w:b/>
                                  <w:sz w:val="18"/>
                                </w:rPr>
                                <w:t xml:space="preserve">Marks </w:t>
                              </w:r>
                            </w:p>
                          </w:txbxContent>
                        </v:textbox>
                      </v:rect>
                      <v:rect id="Rectangle 697" o:spid="_x0000_s1028" style="position:absolute;left:-77623;top:83933;width:644211;height:21769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" filled="f" stroked="f">
                        <v:textbox inset="0,0,0,0">
                          <w:txbxContent>
                            <w:p w14:paraId="4A5D68A6" w14:textId="77777777" w:rsidR="00ED4B21" w:rsidRDefault="00ED4B21" w:rsidP="00ED4B21">
                              <w:r>
                                <w:rPr>
                                  <w:rFonts w:ascii="Arial" w:eastAsia="Arial" w:hAnsi="Arial" w:cs="Arial"/>
                                  <w:b/>
                                  <w:sz w:val="18"/>
                                </w:rPr>
                                <w:t>available</w:t>
                              </w:r>
                            </w:p>
                          </w:txbxContent>
                        </v:textbox>
                      </v:rect>
                      <v:rect id="Rectangle 698" o:spid="_x0000_s1029" style="position:absolute;left:223351;top:-98200;width:42262;height:21769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" filled="f" stroked="f">
                        <v:textbox inset="0,0,0,0">
                          <w:txbxContent>
                            <w:p w14:paraId="018A623D" w14:textId="77777777" w:rsidR="00ED4B21" w:rsidRDefault="00ED4B21" w:rsidP="00ED4B21">
                              <w:r>
                                <w:rPr>
                                  <w:rFonts w:ascii="Arial" w:eastAsia="Arial" w:hAnsi="Arial" w:cs="Arial"/>
                                  <w:b/>
                                  <w:sz w:val="18"/>
                                </w:rPr>
                                <w:t xml:space="preserve"> </w:t>
                              </w:r>
                            </w:p>
                          </w:txbxContent>
                        </v:textbox>
                      </v:rect>
                      <w10:anchorlock/>
                    </v:group>
                  </w:pict>
                </mc:Fallback>
              </mc:AlternateContent>
            </w:r>
          </w:p>
        </w:tc>
        <w:tc>
          <w:tcPr>
            <w:tcW w:w="866" w:type="dxa"/>
            <w:tcBorders>
              <w:top w:val="single" w:sz="4" w:space="0" w:color="000000"/>
              <w:left w:val="single" w:sz="4" w:space="0" w:color="000000"/>
              <w:bottom w:val="single" w:sz="4" w:space="0" w:color="000000"/>
              <w:right w:val="single" w:sz="4" w:space="0" w:color="000000"/>
            </w:tcBorders>
            <w:shd w:val="clear" w:color="auto" w:fill="C0C0C0"/>
            <w:hideMark/>
          </w:tcPr>
          <w:p w14:paraId="71651838" w14:textId="44233944" w:rsidR="00ED4B21" w:rsidRDefault="00ED4B21">
            <w:pPr>
              <w:ind w:left="112"/>
            </w:pPr>
            <w:r>
              <w:rPr>
                <w:noProof/>
              </w:rPr>
              <mc:AlternateContent>
                <mc:Choice Requires="wpg">
                  <w:drawing>
                    <wp:inline distT="0" distB="0" distL="0" distR="0" wp14:anchorId="0AEF9049" wp14:editId="51730211">
                      <wp:extent cx="299085" cy="495300"/>
                      <wp:effectExtent l="0" t="123825" r="53340" b="0"/>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9085" cy="495300"/>
                                <a:chOff x="0" y="0"/>
                                <a:chExt cx="299314" cy="495072"/>
                              </a:xfrm>
                            </wpg:grpSpPr>
                            <wps:wsp>
                              <wps:cNvPr id="3" name="Rectangle 701"/>
                              <wps:cNvSpPr>
                                <a:spLocks noChangeArrowheads="1"/>
                              </wps:cNvSpPr>
                              <wps:spPr bwMode="auto">
                                <a:xfrm rot="-5399999">
                                  <a:off x="-133222" y="78627"/>
                                  <a:ext cx="484136" cy="2176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4CBCE3" w14:textId="77777777" w:rsidR="00ED4B21" w:rsidRDefault="00ED4B21" w:rsidP="00ED4B21">
                                    <w:r>
                                      <w:rPr>
                                        <w:rFonts w:ascii="Arial" w:eastAsia="Arial" w:hAnsi="Arial" w:cs="Arial"/>
                                        <w:b/>
                                        <w:sz w:val="18"/>
                                      </w:rPr>
                                      <w:t xml:space="preserve">Marks </w:t>
                                    </w:r>
                                  </w:p>
                                </w:txbxContent>
                              </wps:txbx>
                              <wps:bodyPr rot="0" vert="horz" wrap="square" lIns="0" tIns="0" rIns="0" bIns="0" anchor="t" anchorCtr="0" upright="1">
                                <a:noAutofit/>
                              </wps:bodyPr>
                            </wps:wsp>
                            <wps:wsp>
                              <wps:cNvPr id="4" name="Rectangle 702"/>
                              <wps:cNvSpPr>
                                <a:spLocks noChangeArrowheads="1"/>
                              </wps:cNvSpPr>
                              <wps:spPr bwMode="auto">
                                <a:xfrm rot="-5399999">
                                  <a:off x="87715" y="-63147"/>
                                  <a:ext cx="42260" cy="2176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205F73" w14:textId="77777777" w:rsidR="00ED4B21" w:rsidRDefault="00ED4B21" w:rsidP="00ED4B21">
                                    <w:r>
                                      <w:rPr>
                                        <w:rFonts w:ascii="Arial" w:eastAsia="Arial" w:hAnsi="Arial" w:cs="Arial"/>
                                        <w:b/>
                                        <w:sz w:val="18"/>
                                      </w:rPr>
                                      <w:t xml:space="preserve"> </w:t>
                                    </w:r>
                                  </w:p>
                                </w:txbxContent>
                              </wps:txbx>
                              <wps:bodyPr rot="0" vert="horz" wrap="square" lIns="0" tIns="0" rIns="0" bIns="0" anchor="t" anchorCtr="0" upright="1">
                                <a:noAutofit/>
                              </wps:bodyPr>
                            </wps:wsp>
                            <wps:wsp>
                              <wps:cNvPr id="5" name="Rectangle 704"/>
                              <wps:cNvSpPr>
                                <a:spLocks noChangeArrowheads="1"/>
                              </wps:cNvSpPr>
                              <wps:spPr bwMode="auto">
                                <a:xfrm rot="-5399999">
                                  <a:off x="-64747" y="76997"/>
                                  <a:ext cx="618460" cy="2176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76454A" w14:textId="77777777" w:rsidR="00ED4B21" w:rsidRDefault="00ED4B21" w:rsidP="00ED4B21">
                                    <w:r>
                                      <w:rPr>
                                        <w:rFonts w:ascii="Arial" w:eastAsia="Arial" w:hAnsi="Arial" w:cs="Arial"/>
                                        <w:b/>
                                        <w:sz w:val="18"/>
                                      </w:rPr>
                                      <w:t>awarded</w:t>
                                    </w:r>
                                  </w:p>
                                </w:txbxContent>
                              </wps:txbx>
                              <wps:bodyPr rot="0" vert="horz" wrap="square" lIns="0" tIns="0" rIns="0" bIns="0" anchor="t" anchorCtr="0" upright="1">
                                <a:noAutofit/>
                              </wps:bodyPr>
                            </wps:wsp>
                            <wps:wsp>
                              <wps:cNvPr id="6" name="Rectangle 705"/>
                              <wps:cNvSpPr>
                                <a:spLocks noChangeArrowheads="1"/>
                              </wps:cNvSpPr>
                              <wps:spPr bwMode="auto">
                                <a:xfrm rot="-5399999">
                                  <a:off x="223351" y="-98199"/>
                                  <a:ext cx="42260" cy="2176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52E4FC" w14:textId="77777777" w:rsidR="00ED4B21" w:rsidRDefault="00ED4B21" w:rsidP="00ED4B21">
                                    <w:r>
                                      <w:rPr>
                                        <w:rFonts w:ascii="Arial" w:eastAsia="Arial" w:hAnsi="Arial" w:cs="Arial"/>
                                        <w:b/>
                                        <w:sz w:val="18"/>
                                      </w:rPr>
                                      <w:t xml:space="preserve"> </w:t>
                                    </w:r>
                                  </w:p>
                                </w:txbxContent>
                              </wps:txbx>
                              <wps:bodyPr rot="0" vert="horz" wrap="square" lIns="0" tIns="0" rIns="0" bIns="0" anchor="t" anchorCtr="0" upright="1">
                                <a:noAutofit/>
                              </wps:bodyPr>
                            </wps:wsp>
                          </wpg:wgp>
                        </a:graphicData>
                      </a:graphic>
                    </wp:inline>
                  </w:drawing>
                </mc:Choice>
                <mc:Fallback>
                  <w:pict>
                    <v:group w14:anchorId="0AEF9049" id="Group 2" o:spid="_x0000_s1030" style="width:23.55pt;height:39pt;mso-position-horizontal-relative:char;mso-position-vertical-relative:line" coordsize="299314,4950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">
                      <v:rect id="Rectangle 701" o:spid="_x0000_s1031" style="position:absolute;left:-133222;top:78627;width:484136;height:21769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" filled="f" stroked="f">
                        <v:textbox inset="0,0,0,0">
                          <w:txbxContent>
                            <w:p w14:paraId="2F4CBCE3" w14:textId="77777777" w:rsidR="00ED4B21" w:rsidRDefault="00ED4B21" w:rsidP="00ED4B21">
                              <w:r>
                                <w:rPr>
                                  <w:rFonts w:ascii="Arial" w:eastAsia="Arial" w:hAnsi="Arial" w:cs="Arial"/>
                                  <w:b/>
                                  <w:sz w:val="18"/>
                                </w:rPr>
                                <w:t xml:space="preserve">Marks </w:t>
                              </w:r>
                            </w:p>
                          </w:txbxContent>
                        </v:textbox>
                      </v:rect>
                      <v:rect id="Rectangle 702" o:spid="_x0000_s1032" style="position:absolute;left:87715;top:-63147;width:42260;height:21769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" filled="f" stroked="f">
                        <v:textbox inset="0,0,0,0">
                          <w:txbxContent>
                            <w:p w14:paraId="7D205F73" w14:textId="77777777" w:rsidR="00ED4B21" w:rsidRDefault="00ED4B21" w:rsidP="00ED4B21">
                              <w:r>
                                <w:rPr>
                                  <w:rFonts w:ascii="Arial" w:eastAsia="Arial" w:hAnsi="Arial" w:cs="Arial"/>
                                  <w:b/>
                                  <w:sz w:val="18"/>
                                </w:rPr>
                                <w:t xml:space="preserve"> </w:t>
                              </w:r>
                            </w:p>
                          </w:txbxContent>
                        </v:textbox>
                      </v:rect>
                      <v:rect id="Rectangle 704" o:spid="_x0000_s1033" style="position:absolute;left:-64747;top:76997;width:618460;height:21769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" filled="f" stroked="f">
                        <v:textbox inset="0,0,0,0">
                          <w:txbxContent>
                            <w:p w14:paraId="7776454A" w14:textId="77777777" w:rsidR="00ED4B21" w:rsidRDefault="00ED4B21" w:rsidP="00ED4B21">
                              <w:r>
                                <w:rPr>
                                  <w:rFonts w:ascii="Arial" w:eastAsia="Arial" w:hAnsi="Arial" w:cs="Arial"/>
                                  <w:b/>
                                  <w:sz w:val="18"/>
                                </w:rPr>
                                <w:t>awarded</w:t>
                              </w:r>
                            </w:p>
                          </w:txbxContent>
                        </v:textbox>
                      </v:rect>
                      <v:rect id="Rectangle 705" o:spid="_x0000_s1034" style="position:absolute;left:223351;top:-98199;width:42260;height:21769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" filled="f" stroked="f">
                        <v:textbox inset="0,0,0,0">
                          <w:txbxContent>
                            <w:p w14:paraId="1B52E4FC" w14:textId="77777777" w:rsidR="00ED4B21" w:rsidRDefault="00ED4B21" w:rsidP="00ED4B21">
                              <w:r>
                                <w:rPr>
                                  <w:rFonts w:ascii="Arial" w:eastAsia="Arial" w:hAnsi="Arial" w:cs="Arial"/>
                                  <w:b/>
                                  <w:sz w:val="18"/>
                                </w:rPr>
                                <w:t xml:space="preserve"> </w:t>
                              </w:r>
                            </w:p>
                          </w:txbxContent>
                        </v:textbox>
                      </v:rect>
                      <w10:anchorlock/>
                    </v:group>
                  </w:pict>
                </mc:Fallback>
              </mc:AlternateContent>
            </w:r>
          </w:p>
        </w:tc>
      </w:tr>
      <w:tr w:rsidR="00ED4B21" w14:paraId="0B3F0D5C" w14:textId="77777777" w:rsidTr="00ED4B21">
        <w:trPr>
          <w:trHeight w:val="520"/>
        </w:trPr>
        <w:tc>
          <w:tcPr>
            <w:tcW w:w="8706" w:type="dxa"/>
            <w:tcBorders>
              <w:top w:val="single" w:sz="4" w:space="0" w:color="000000"/>
              <w:left w:val="single" w:sz="4" w:space="0" w:color="000000"/>
              <w:bottom w:val="single" w:sz="4" w:space="0" w:color="000000"/>
              <w:right w:val="single" w:sz="4" w:space="0" w:color="000000"/>
            </w:tcBorders>
            <w:shd w:val="clear" w:color="auto" w:fill="DADADB"/>
            <w:hideMark/>
          </w:tcPr>
          <w:p w14:paraId="2F7873D2" w14:textId="77777777" w:rsidR="00ED4B21" w:rsidRDefault="00ED4B21">
            <w:pPr>
              <w:ind w:left="18"/>
            </w:pPr>
            <w:r>
              <w:rPr>
                <w:rFonts w:ascii="Arial" w:eastAsia="Arial" w:hAnsi="Arial" w:cs="Arial"/>
                <w:b/>
                <w:sz w:val="20"/>
              </w:rPr>
              <w:t>1. Engagement with Literature Skills</w:t>
            </w:r>
            <w:r>
              <w:rPr>
                <w:rFonts w:ascii="Arial" w:eastAsia="Arial" w:hAnsi="Arial" w:cs="Arial"/>
                <w:b/>
                <w:sz w:val="16"/>
              </w:rPr>
              <w:t xml:space="preserve"> </w:t>
            </w:r>
          </w:p>
          <w:p w14:paraId="3B000BDE" w14:textId="77777777" w:rsidR="00ED4B21" w:rsidRDefault="00ED4B21">
            <w:pPr>
              <w:ind w:left="18"/>
            </w:pPr>
            <w:r>
              <w:rPr>
                <w:rFonts w:ascii="Arial" w:eastAsia="Arial" w:hAnsi="Arial" w:cs="Arial"/>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ADADB"/>
            <w:hideMark/>
          </w:tcPr>
          <w:p w14:paraId="0BD40F8E" w14:textId="77777777" w:rsidR="00ED4B21" w:rsidRDefault="00ED4B21">
            <w:pPr>
              <w:ind w:left="114"/>
              <w:jc w:val="center"/>
            </w:pPr>
            <w:r>
              <w:rPr>
                <w:rFonts w:ascii="Arial" w:eastAsia="Arial" w:hAnsi="Arial" w:cs="Arial"/>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ADADB"/>
            <w:hideMark/>
          </w:tcPr>
          <w:p w14:paraId="61656E23" w14:textId="77777777" w:rsidR="00ED4B21" w:rsidRDefault="00ED4B21">
            <w:pPr>
              <w:ind w:left="116"/>
              <w:jc w:val="center"/>
            </w:pPr>
            <w:r>
              <w:rPr>
                <w:rFonts w:ascii="Arial" w:eastAsia="Arial" w:hAnsi="Arial" w:cs="Arial"/>
                <w:sz w:val="32"/>
              </w:rPr>
              <w:t xml:space="preserve"> </w:t>
            </w:r>
          </w:p>
        </w:tc>
      </w:tr>
      <w:tr w:rsidR="00ED4B21" w14:paraId="26A3FB3D" w14:textId="77777777" w:rsidTr="00ED4B21">
        <w:trPr>
          <w:trHeight w:val="1699"/>
        </w:trPr>
        <w:tc>
          <w:tcPr>
            <w:tcW w:w="8706" w:type="dxa"/>
            <w:tcBorders>
              <w:top w:val="single" w:sz="4" w:space="0" w:color="000000"/>
              <w:left w:val="single" w:sz="4" w:space="0" w:color="000000"/>
              <w:bottom w:val="single" w:sz="4" w:space="0" w:color="000000"/>
              <w:right w:val="single" w:sz="4" w:space="0" w:color="000000"/>
            </w:tcBorders>
            <w:hideMark/>
          </w:tcPr>
          <w:p w14:paraId="0CF03155" w14:textId="77777777" w:rsidR="00ED4B21" w:rsidRDefault="00ED4B21">
            <w:pPr>
              <w:spacing w:after="108"/>
              <w:ind w:left="18"/>
            </w:pPr>
            <w:r>
              <w:rPr>
                <w:rFonts w:ascii="Arial" w:eastAsia="Arial" w:hAnsi="Arial" w:cs="Arial"/>
                <w:sz w:val="14"/>
              </w:rPr>
              <w:t xml:space="preserve"> </w:t>
            </w:r>
          </w:p>
          <w:p w14:paraId="75A1321D" w14:textId="77777777" w:rsidR="00ED4B21" w:rsidRDefault="00ED4B21">
            <w:pPr>
              <w:spacing w:after="108"/>
              <w:ind w:left="18"/>
            </w:pPr>
            <w:r>
              <w:rPr>
                <w:rFonts w:ascii="Arial" w:eastAsia="Arial" w:hAnsi="Arial" w:cs="Arial"/>
                <w:sz w:val="14"/>
              </w:rPr>
              <w:t xml:space="preserve"> </w:t>
            </w:r>
          </w:p>
          <w:p w14:paraId="440C7121" w14:textId="77777777" w:rsidR="00ED4B21" w:rsidRDefault="00ED4B21">
            <w:pPr>
              <w:spacing w:after="108"/>
              <w:ind w:left="18"/>
            </w:pPr>
            <w:r>
              <w:rPr>
                <w:rFonts w:ascii="Arial" w:eastAsia="Arial" w:hAnsi="Arial" w:cs="Arial"/>
                <w:sz w:val="14"/>
              </w:rPr>
              <w:t xml:space="preserve"> </w:t>
            </w:r>
          </w:p>
          <w:p w14:paraId="2C5CDCBA" w14:textId="77777777" w:rsidR="00ED4B21" w:rsidRDefault="00ED4B21">
            <w:pPr>
              <w:spacing w:after="110"/>
              <w:ind w:left="18"/>
            </w:pPr>
            <w:r>
              <w:rPr>
                <w:rFonts w:ascii="Arial" w:eastAsia="Arial" w:hAnsi="Arial" w:cs="Arial"/>
                <w:sz w:val="14"/>
              </w:rPr>
              <w:t xml:space="preserve"> </w:t>
            </w:r>
          </w:p>
          <w:p w14:paraId="018C87F7" w14:textId="77777777" w:rsidR="00ED4B21" w:rsidRDefault="00ED4B21">
            <w:pPr>
              <w:spacing w:after="108"/>
              <w:ind w:left="18"/>
            </w:pPr>
            <w:r>
              <w:rPr>
                <w:rFonts w:ascii="Arial" w:eastAsia="Arial" w:hAnsi="Arial" w:cs="Arial"/>
                <w:sz w:val="14"/>
              </w:rPr>
              <w:t xml:space="preserve"> </w:t>
            </w:r>
          </w:p>
          <w:p w14:paraId="0748D1A5" w14:textId="77777777" w:rsidR="00ED4B21" w:rsidRDefault="00ED4B21">
            <w:pPr>
              <w:ind w:left="18"/>
            </w:pPr>
            <w:r>
              <w:rPr>
                <w:rFonts w:ascii="Arial" w:eastAsia="Arial" w:hAnsi="Arial" w:cs="Arial"/>
                <w:sz w:val="14"/>
              </w:rPr>
              <w:t xml:space="preserve"> </w:t>
            </w:r>
          </w:p>
        </w:tc>
        <w:tc>
          <w:tcPr>
            <w:tcW w:w="870" w:type="dxa"/>
            <w:tcBorders>
              <w:top w:val="single" w:sz="4" w:space="0" w:color="000000"/>
              <w:left w:val="single" w:sz="4" w:space="0" w:color="000000"/>
              <w:bottom w:val="single" w:sz="4" w:space="0" w:color="000000"/>
              <w:right w:val="single" w:sz="4" w:space="0" w:color="000000"/>
            </w:tcBorders>
            <w:hideMark/>
          </w:tcPr>
          <w:p w14:paraId="0F9F624A" w14:textId="77777777" w:rsidR="00ED4B21" w:rsidRDefault="00ED4B21">
            <w:pPr>
              <w:spacing w:after="64"/>
              <w:ind w:left="114"/>
              <w:jc w:val="center"/>
            </w:pPr>
            <w:r>
              <w:rPr>
                <w:rFonts w:ascii="Arial" w:eastAsia="Arial" w:hAnsi="Arial" w:cs="Arial"/>
                <w:sz w:val="32"/>
              </w:rPr>
              <w:t xml:space="preserve"> </w:t>
            </w:r>
          </w:p>
          <w:p w14:paraId="708A6A76" w14:textId="77777777" w:rsidR="00ED4B21" w:rsidRDefault="00ED4B21">
            <w:pPr>
              <w:ind w:left="168"/>
            </w:pPr>
            <w:r>
              <w:rPr>
                <w:rFonts w:ascii="Arial" w:eastAsia="Arial" w:hAnsi="Arial" w:cs="Arial"/>
                <w:sz w:val="32"/>
              </w:rPr>
              <w:t xml:space="preserve">30 </w:t>
            </w:r>
          </w:p>
        </w:tc>
        <w:tc>
          <w:tcPr>
            <w:tcW w:w="866" w:type="dxa"/>
            <w:tcBorders>
              <w:top w:val="single" w:sz="4" w:space="0" w:color="000000"/>
              <w:left w:val="single" w:sz="4" w:space="0" w:color="000000"/>
              <w:bottom w:val="single" w:sz="4" w:space="0" w:color="000000"/>
              <w:right w:val="single" w:sz="4" w:space="0" w:color="000000"/>
            </w:tcBorders>
            <w:hideMark/>
          </w:tcPr>
          <w:p w14:paraId="0923348F" w14:textId="77777777" w:rsidR="00ED4B21" w:rsidRDefault="00ED4B21">
            <w:pPr>
              <w:ind w:left="116"/>
              <w:jc w:val="center"/>
            </w:pPr>
            <w:r>
              <w:rPr>
                <w:rFonts w:ascii="Arial" w:eastAsia="Arial" w:hAnsi="Arial" w:cs="Arial"/>
                <w:sz w:val="32"/>
              </w:rPr>
              <w:t xml:space="preserve"> </w:t>
            </w:r>
          </w:p>
        </w:tc>
      </w:tr>
      <w:tr w:rsidR="00ED4B21" w14:paraId="6C39E587" w14:textId="77777777" w:rsidTr="00ED4B21">
        <w:trPr>
          <w:trHeight w:val="518"/>
        </w:trPr>
        <w:tc>
          <w:tcPr>
            <w:tcW w:w="8706" w:type="dxa"/>
            <w:tcBorders>
              <w:top w:val="single" w:sz="4" w:space="0" w:color="000000"/>
              <w:left w:val="single" w:sz="4" w:space="0" w:color="000000"/>
              <w:bottom w:val="single" w:sz="4" w:space="0" w:color="000000"/>
              <w:right w:val="single" w:sz="4" w:space="0" w:color="000000"/>
            </w:tcBorders>
            <w:shd w:val="clear" w:color="auto" w:fill="DADADB"/>
            <w:hideMark/>
          </w:tcPr>
          <w:p w14:paraId="7BEA09DB" w14:textId="77777777" w:rsidR="00ED4B21" w:rsidRDefault="00ED4B21">
            <w:pPr>
              <w:ind w:left="18"/>
            </w:pPr>
            <w:r>
              <w:rPr>
                <w:rFonts w:ascii="Arial" w:eastAsia="Arial" w:hAnsi="Arial" w:cs="Arial"/>
                <w:b/>
                <w:sz w:val="20"/>
              </w:rPr>
              <w:t xml:space="preserve">2. Knowledge and Understanding Skills </w:t>
            </w:r>
          </w:p>
          <w:p w14:paraId="5C890753" w14:textId="77777777" w:rsidR="00ED4B21" w:rsidRDefault="00ED4B21">
            <w:pPr>
              <w:ind w:left="18"/>
            </w:pPr>
            <w:r>
              <w:rPr>
                <w:rFonts w:ascii="Arial" w:eastAsia="Arial" w:hAnsi="Arial" w:cs="Arial"/>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ADADB"/>
            <w:hideMark/>
          </w:tcPr>
          <w:p w14:paraId="0FEAE33B" w14:textId="77777777" w:rsidR="00ED4B21" w:rsidRDefault="00ED4B21">
            <w:pPr>
              <w:ind w:left="114"/>
              <w:jc w:val="center"/>
            </w:pPr>
            <w:r>
              <w:rPr>
                <w:rFonts w:ascii="Arial" w:eastAsia="Arial" w:hAnsi="Arial" w:cs="Arial"/>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ADADB"/>
            <w:hideMark/>
          </w:tcPr>
          <w:p w14:paraId="411C0D60" w14:textId="77777777" w:rsidR="00ED4B21" w:rsidRDefault="00ED4B21">
            <w:pPr>
              <w:ind w:left="116"/>
              <w:jc w:val="center"/>
            </w:pPr>
            <w:r>
              <w:rPr>
                <w:rFonts w:ascii="Arial" w:eastAsia="Arial" w:hAnsi="Arial" w:cs="Arial"/>
                <w:sz w:val="32"/>
              </w:rPr>
              <w:t xml:space="preserve"> </w:t>
            </w:r>
          </w:p>
        </w:tc>
      </w:tr>
      <w:tr w:rsidR="00ED4B21" w14:paraId="0DDDFAA0" w14:textId="77777777" w:rsidTr="00ED4B21">
        <w:trPr>
          <w:trHeight w:val="1698"/>
        </w:trPr>
        <w:tc>
          <w:tcPr>
            <w:tcW w:w="8706" w:type="dxa"/>
            <w:tcBorders>
              <w:top w:val="single" w:sz="4" w:space="0" w:color="000000"/>
              <w:left w:val="single" w:sz="4" w:space="0" w:color="000000"/>
              <w:bottom w:val="single" w:sz="4" w:space="0" w:color="000000"/>
              <w:right w:val="single" w:sz="4" w:space="0" w:color="000000"/>
            </w:tcBorders>
            <w:hideMark/>
          </w:tcPr>
          <w:p w14:paraId="04275B17" w14:textId="77777777" w:rsidR="00ED4B21" w:rsidRDefault="00ED4B21">
            <w:pPr>
              <w:spacing w:after="108"/>
              <w:ind w:left="18"/>
            </w:pPr>
            <w:r>
              <w:rPr>
                <w:rFonts w:ascii="Arial" w:eastAsia="Arial" w:hAnsi="Arial" w:cs="Arial"/>
                <w:sz w:val="14"/>
              </w:rPr>
              <w:t xml:space="preserve"> </w:t>
            </w:r>
          </w:p>
          <w:p w14:paraId="74DE3C52" w14:textId="77777777" w:rsidR="00ED4B21" w:rsidRDefault="00ED4B21">
            <w:pPr>
              <w:spacing w:after="108"/>
              <w:ind w:left="18"/>
            </w:pPr>
            <w:r>
              <w:rPr>
                <w:rFonts w:ascii="Arial" w:eastAsia="Arial" w:hAnsi="Arial" w:cs="Arial"/>
                <w:sz w:val="14"/>
              </w:rPr>
              <w:t xml:space="preserve"> </w:t>
            </w:r>
          </w:p>
          <w:p w14:paraId="0CBD141F" w14:textId="77777777" w:rsidR="00ED4B21" w:rsidRDefault="00ED4B21">
            <w:pPr>
              <w:spacing w:after="108"/>
              <w:ind w:left="18"/>
            </w:pPr>
            <w:r>
              <w:rPr>
                <w:rFonts w:ascii="Arial" w:eastAsia="Arial" w:hAnsi="Arial" w:cs="Arial"/>
                <w:sz w:val="14"/>
              </w:rPr>
              <w:t xml:space="preserve"> </w:t>
            </w:r>
          </w:p>
          <w:p w14:paraId="4CB9A654" w14:textId="77777777" w:rsidR="00ED4B21" w:rsidRDefault="00ED4B21">
            <w:pPr>
              <w:spacing w:after="108"/>
              <w:ind w:left="18"/>
            </w:pPr>
            <w:r>
              <w:rPr>
                <w:rFonts w:ascii="Arial" w:eastAsia="Arial" w:hAnsi="Arial" w:cs="Arial"/>
                <w:sz w:val="14"/>
              </w:rPr>
              <w:t xml:space="preserve"> </w:t>
            </w:r>
          </w:p>
          <w:p w14:paraId="092EBFC8" w14:textId="77777777" w:rsidR="00ED4B21" w:rsidRDefault="00ED4B21">
            <w:pPr>
              <w:spacing w:after="108"/>
              <w:ind w:left="18"/>
            </w:pPr>
            <w:r>
              <w:rPr>
                <w:rFonts w:ascii="Arial" w:eastAsia="Arial" w:hAnsi="Arial" w:cs="Arial"/>
                <w:sz w:val="14"/>
              </w:rPr>
              <w:t xml:space="preserve"> </w:t>
            </w:r>
          </w:p>
          <w:p w14:paraId="61801846" w14:textId="77777777" w:rsidR="00ED4B21" w:rsidRDefault="00ED4B21">
            <w:pPr>
              <w:ind w:left="18"/>
            </w:pPr>
            <w:r>
              <w:rPr>
                <w:rFonts w:ascii="Arial" w:eastAsia="Arial" w:hAnsi="Arial" w:cs="Arial"/>
                <w:sz w:val="14"/>
              </w:rPr>
              <w:t xml:space="preserve"> </w:t>
            </w:r>
          </w:p>
        </w:tc>
        <w:tc>
          <w:tcPr>
            <w:tcW w:w="870" w:type="dxa"/>
            <w:tcBorders>
              <w:top w:val="single" w:sz="4" w:space="0" w:color="000000"/>
              <w:left w:val="single" w:sz="4" w:space="0" w:color="000000"/>
              <w:bottom w:val="single" w:sz="4" w:space="0" w:color="000000"/>
              <w:right w:val="single" w:sz="4" w:space="0" w:color="000000"/>
            </w:tcBorders>
            <w:hideMark/>
          </w:tcPr>
          <w:p w14:paraId="0A300D40" w14:textId="77777777" w:rsidR="00ED4B21" w:rsidRDefault="00ED4B21">
            <w:pPr>
              <w:spacing w:after="64"/>
              <w:ind w:left="114"/>
              <w:jc w:val="center"/>
            </w:pPr>
            <w:r>
              <w:rPr>
                <w:rFonts w:ascii="Arial" w:eastAsia="Arial" w:hAnsi="Arial" w:cs="Arial"/>
                <w:sz w:val="32"/>
              </w:rPr>
              <w:t xml:space="preserve"> </w:t>
            </w:r>
          </w:p>
          <w:p w14:paraId="7078FF3A" w14:textId="77777777" w:rsidR="00ED4B21" w:rsidRDefault="00ED4B21">
            <w:pPr>
              <w:ind w:left="168"/>
            </w:pPr>
            <w:r>
              <w:rPr>
                <w:rFonts w:ascii="Arial" w:eastAsia="Arial" w:hAnsi="Arial" w:cs="Arial"/>
                <w:sz w:val="32"/>
              </w:rPr>
              <w:t xml:space="preserve">30 </w:t>
            </w:r>
          </w:p>
        </w:tc>
        <w:tc>
          <w:tcPr>
            <w:tcW w:w="866" w:type="dxa"/>
            <w:tcBorders>
              <w:top w:val="single" w:sz="4" w:space="0" w:color="000000"/>
              <w:left w:val="single" w:sz="4" w:space="0" w:color="000000"/>
              <w:bottom w:val="single" w:sz="4" w:space="0" w:color="000000"/>
              <w:right w:val="single" w:sz="4" w:space="0" w:color="000000"/>
            </w:tcBorders>
            <w:hideMark/>
          </w:tcPr>
          <w:p w14:paraId="6CE45000" w14:textId="77777777" w:rsidR="00ED4B21" w:rsidRDefault="00ED4B21">
            <w:pPr>
              <w:ind w:left="116"/>
              <w:jc w:val="center"/>
            </w:pPr>
            <w:r>
              <w:rPr>
                <w:rFonts w:ascii="Arial" w:eastAsia="Arial" w:hAnsi="Arial" w:cs="Arial"/>
                <w:sz w:val="32"/>
              </w:rPr>
              <w:t xml:space="preserve"> </w:t>
            </w:r>
          </w:p>
        </w:tc>
      </w:tr>
      <w:tr w:rsidR="00ED4B21" w14:paraId="12C4B776" w14:textId="77777777" w:rsidTr="00ED4B21">
        <w:trPr>
          <w:trHeight w:val="517"/>
        </w:trPr>
        <w:tc>
          <w:tcPr>
            <w:tcW w:w="8706" w:type="dxa"/>
            <w:tcBorders>
              <w:top w:val="single" w:sz="4" w:space="0" w:color="000000"/>
              <w:left w:val="single" w:sz="4" w:space="0" w:color="000000"/>
              <w:bottom w:val="single" w:sz="4" w:space="0" w:color="000000"/>
              <w:right w:val="single" w:sz="4" w:space="0" w:color="000000"/>
            </w:tcBorders>
            <w:shd w:val="clear" w:color="auto" w:fill="DADADB"/>
            <w:hideMark/>
          </w:tcPr>
          <w:p w14:paraId="17E491E3" w14:textId="77777777" w:rsidR="00ED4B21" w:rsidRDefault="00ED4B21">
            <w:pPr>
              <w:ind w:left="18"/>
            </w:pPr>
            <w:r>
              <w:rPr>
                <w:rFonts w:ascii="Arial" w:eastAsia="Arial" w:hAnsi="Arial" w:cs="Arial"/>
                <w:b/>
                <w:sz w:val="20"/>
              </w:rPr>
              <w:t>3. Cognitive and Intellectual Skills</w:t>
            </w:r>
            <w:r>
              <w:rPr>
                <w:rFonts w:ascii="Arial" w:eastAsia="Arial" w:hAnsi="Arial" w:cs="Arial"/>
                <w:b/>
                <w:sz w:val="16"/>
              </w:rPr>
              <w:t xml:space="preserve"> </w:t>
            </w:r>
          </w:p>
          <w:p w14:paraId="36BD6910" w14:textId="77777777" w:rsidR="00ED4B21" w:rsidRDefault="00ED4B21">
            <w:pPr>
              <w:ind w:left="18"/>
            </w:pPr>
            <w:r>
              <w:rPr>
                <w:rFonts w:ascii="Arial" w:eastAsia="Arial" w:hAnsi="Arial" w:cs="Arial"/>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ADADB"/>
            <w:hideMark/>
          </w:tcPr>
          <w:p w14:paraId="1B745C1D" w14:textId="77777777" w:rsidR="00ED4B21" w:rsidRDefault="00ED4B21">
            <w:pPr>
              <w:ind w:left="114"/>
              <w:jc w:val="center"/>
            </w:pPr>
            <w:r>
              <w:rPr>
                <w:rFonts w:ascii="Arial" w:eastAsia="Arial" w:hAnsi="Arial" w:cs="Arial"/>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ADADB"/>
            <w:hideMark/>
          </w:tcPr>
          <w:p w14:paraId="59FE7B15" w14:textId="77777777" w:rsidR="00ED4B21" w:rsidRDefault="00ED4B21">
            <w:pPr>
              <w:ind w:left="116"/>
              <w:jc w:val="center"/>
            </w:pPr>
            <w:r>
              <w:rPr>
                <w:rFonts w:ascii="Arial" w:eastAsia="Arial" w:hAnsi="Arial" w:cs="Arial"/>
                <w:sz w:val="32"/>
              </w:rPr>
              <w:t xml:space="preserve"> </w:t>
            </w:r>
          </w:p>
        </w:tc>
      </w:tr>
      <w:tr w:rsidR="00ED4B21" w14:paraId="0D7E2989" w14:textId="77777777" w:rsidTr="00ED4B21">
        <w:trPr>
          <w:trHeight w:val="1699"/>
        </w:trPr>
        <w:tc>
          <w:tcPr>
            <w:tcW w:w="8706" w:type="dxa"/>
            <w:tcBorders>
              <w:top w:val="single" w:sz="4" w:space="0" w:color="000000"/>
              <w:left w:val="single" w:sz="4" w:space="0" w:color="000000"/>
              <w:bottom w:val="single" w:sz="4" w:space="0" w:color="000000"/>
              <w:right w:val="single" w:sz="4" w:space="0" w:color="000000"/>
            </w:tcBorders>
            <w:hideMark/>
          </w:tcPr>
          <w:p w14:paraId="1FBEF3C0" w14:textId="77777777" w:rsidR="00ED4B21" w:rsidRDefault="00ED4B21">
            <w:pPr>
              <w:spacing w:after="108"/>
              <w:ind w:left="18"/>
            </w:pPr>
            <w:r>
              <w:rPr>
                <w:rFonts w:ascii="Arial" w:eastAsia="Arial" w:hAnsi="Arial" w:cs="Arial"/>
                <w:sz w:val="14"/>
              </w:rPr>
              <w:t xml:space="preserve"> </w:t>
            </w:r>
          </w:p>
          <w:p w14:paraId="7B99C3F8" w14:textId="77777777" w:rsidR="00ED4B21" w:rsidRDefault="00ED4B21">
            <w:pPr>
              <w:spacing w:after="108"/>
              <w:ind w:left="18"/>
            </w:pPr>
            <w:r>
              <w:rPr>
                <w:rFonts w:ascii="Arial" w:eastAsia="Arial" w:hAnsi="Arial" w:cs="Arial"/>
                <w:sz w:val="14"/>
              </w:rPr>
              <w:t xml:space="preserve"> </w:t>
            </w:r>
          </w:p>
          <w:p w14:paraId="54FFFC46" w14:textId="77777777" w:rsidR="00ED4B21" w:rsidRDefault="00ED4B21">
            <w:pPr>
              <w:spacing w:after="108"/>
              <w:ind w:left="18"/>
            </w:pPr>
            <w:r>
              <w:rPr>
                <w:rFonts w:ascii="Arial" w:eastAsia="Arial" w:hAnsi="Arial" w:cs="Arial"/>
                <w:sz w:val="14"/>
              </w:rPr>
              <w:t xml:space="preserve"> </w:t>
            </w:r>
          </w:p>
          <w:p w14:paraId="7B7DFAF1" w14:textId="77777777" w:rsidR="00ED4B21" w:rsidRDefault="00ED4B21">
            <w:pPr>
              <w:spacing w:after="108"/>
              <w:ind w:left="18"/>
            </w:pPr>
            <w:r>
              <w:rPr>
                <w:rFonts w:ascii="Arial" w:eastAsia="Arial" w:hAnsi="Arial" w:cs="Arial"/>
                <w:sz w:val="14"/>
              </w:rPr>
              <w:t xml:space="preserve"> </w:t>
            </w:r>
          </w:p>
          <w:p w14:paraId="2B10F6DF" w14:textId="77777777" w:rsidR="00ED4B21" w:rsidRDefault="00ED4B21">
            <w:pPr>
              <w:spacing w:after="108"/>
              <w:ind w:left="18"/>
            </w:pPr>
            <w:r>
              <w:rPr>
                <w:rFonts w:ascii="Arial" w:eastAsia="Arial" w:hAnsi="Arial" w:cs="Arial"/>
                <w:sz w:val="14"/>
              </w:rPr>
              <w:t xml:space="preserve"> </w:t>
            </w:r>
          </w:p>
          <w:p w14:paraId="44DBA4A6" w14:textId="77777777" w:rsidR="00ED4B21" w:rsidRDefault="00ED4B21">
            <w:pPr>
              <w:ind w:left="18"/>
            </w:pPr>
            <w:r>
              <w:rPr>
                <w:rFonts w:ascii="Arial" w:eastAsia="Arial" w:hAnsi="Arial" w:cs="Arial"/>
                <w:sz w:val="14"/>
              </w:rPr>
              <w:t xml:space="preserve"> </w:t>
            </w:r>
          </w:p>
        </w:tc>
        <w:tc>
          <w:tcPr>
            <w:tcW w:w="870" w:type="dxa"/>
            <w:tcBorders>
              <w:top w:val="single" w:sz="4" w:space="0" w:color="000000"/>
              <w:left w:val="single" w:sz="4" w:space="0" w:color="000000"/>
              <w:bottom w:val="single" w:sz="4" w:space="0" w:color="000000"/>
              <w:right w:val="single" w:sz="4" w:space="0" w:color="000000"/>
            </w:tcBorders>
            <w:hideMark/>
          </w:tcPr>
          <w:p w14:paraId="394853C4" w14:textId="77777777" w:rsidR="00ED4B21" w:rsidRDefault="00ED4B21">
            <w:pPr>
              <w:spacing w:after="62"/>
              <w:ind w:left="114"/>
              <w:jc w:val="center"/>
            </w:pPr>
            <w:r>
              <w:rPr>
                <w:rFonts w:ascii="Arial" w:eastAsia="Arial" w:hAnsi="Arial" w:cs="Arial"/>
                <w:sz w:val="32"/>
              </w:rPr>
              <w:t xml:space="preserve"> </w:t>
            </w:r>
          </w:p>
          <w:p w14:paraId="26C2496A" w14:textId="77777777" w:rsidR="00ED4B21" w:rsidRDefault="00ED4B21">
            <w:pPr>
              <w:ind w:left="168"/>
            </w:pPr>
            <w:r>
              <w:rPr>
                <w:rFonts w:ascii="Arial" w:eastAsia="Arial" w:hAnsi="Arial" w:cs="Arial"/>
                <w:sz w:val="32"/>
              </w:rPr>
              <w:t xml:space="preserve">30 </w:t>
            </w:r>
          </w:p>
        </w:tc>
        <w:tc>
          <w:tcPr>
            <w:tcW w:w="866" w:type="dxa"/>
            <w:tcBorders>
              <w:top w:val="single" w:sz="4" w:space="0" w:color="000000"/>
              <w:left w:val="single" w:sz="4" w:space="0" w:color="000000"/>
              <w:bottom w:val="single" w:sz="4" w:space="0" w:color="000000"/>
              <w:right w:val="single" w:sz="4" w:space="0" w:color="000000"/>
            </w:tcBorders>
            <w:hideMark/>
          </w:tcPr>
          <w:p w14:paraId="06873EBA" w14:textId="77777777" w:rsidR="00ED4B21" w:rsidRDefault="00ED4B21">
            <w:pPr>
              <w:ind w:left="116"/>
              <w:jc w:val="center"/>
            </w:pPr>
            <w:r>
              <w:rPr>
                <w:rFonts w:ascii="Arial" w:eastAsia="Arial" w:hAnsi="Arial" w:cs="Arial"/>
                <w:sz w:val="32"/>
              </w:rPr>
              <w:t xml:space="preserve"> </w:t>
            </w:r>
          </w:p>
        </w:tc>
      </w:tr>
      <w:tr w:rsidR="00ED4B21" w14:paraId="3F877488" w14:textId="77777777" w:rsidTr="00ED4B21">
        <w:trPr>
          <w:trHeight w:val="518"/>
        </w:trPr>
        <w:tc>
          <w:tcPr>
            <w:tcW w:w="8706" w:type="dxa"/>
            <w:tcBorders>
              <w:top w:val="single" w:sz="4" w:space="0" w:color="000000"/>
              <w:left w:val="single" w:sz="4" w:space="0" w:color="000000"/>
              <w:bottom w:val="single" w:sz="4" w:space="0" w:color="000000"/>
              <w:right w:val="single" w:sz="4" w:space="0" w:color="000000"/>
            </w:tcBorders>
            <w:shd w:val="clear" w:color="auto" w:fill="DADADB"/>
            <w:hideMark/>
          </w:tcPr>
          <w:p w14:paraId="3C0C1695" w14:textId="77777777" w:rsidR="00ED4B21" w:rsidRDefault="00ED4B21">
            <w:pPr>
              <w:ind w:left="18"/>
            </w:pPr>
            <w:r>
              <w:rPr>
                <w:rFonts w:ascii="Arial" w:eastAsia="Arial" w:hAnsi="Arial" w:cs="Arial"/>
                <w:b/>
                <w:sz w:val="20"/>
              </w:rPr>
              <w:t>4. Practical Application Skills</w:t>
            </w:r>
            <w:r>
              <w:rPr>
                <w:rFonts w:ascii="Arial" w:eastAsia="Arial" w:hAnsi="Arial" w:cs="Arial"/>
                <w:b/>
                <w:sz w:val="16"/>
              </w:rPr>
              <w:t xml:space="preserve"> </w:t>
            </w:r>
          </w:p>
          <w:p w14:paraId="36CB133E" w14:textId="77777777" w:rsidR="00ED4B21" w:rsidRDefault="00ED4B21">
            <w:pPr>
              <w:ind w:left="18"/>
            </w:pPr>
            <w:r>
              <w:rPr>
                <w:rFonts w:ascii="Arial" w:eastAsia="Arial" w:hAnsi="Arial" w:cs="Arial"/>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ADADB"/>
            <w:hideMark/>
          </w:tcPr>
          <w:p w14:paraId="27AE0572" w14:textId="77777777" w:rsidR="00ED4B21" w:rsidRDefault="00ED4B21">
            <w:pPr>
              <w:ind w:left="114"/>
              <w:jc w:val="center"/>
            </w:pPr>
            <w:r>
              <w:rPr>
                <w:rFonts w:ascii="Arial" w:eastAsia="Arial" w:hAnsi="Arial" w:cs="Arial"/>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ADADB"/>
            <w:hideMark/>
          </w:tcPr>
          <w:p w14:paraId="5A13AAAC" w14:textId="77777777" w:rsidR="00ED4B21" w:rsidRDefault="00ED4B21">
            <w:pPr>
              <w:ind w:left="116"/>
              <w:jc w:val="center"/>
            </w:pPr>
            <w:r>
              <w:rPr>
                <w:rFonts w:ascii="Arial" w:eastAsia="Arial" w:hAnsi="Arial" w:cs="Arial"/>
                <w:sz w:val="32"/>
              </w:rPr>
              <w:t xml:space="preserve"> </w:t>
            </w:r>
          </w:p>
        </w:tc>
      </w:tr>
      <w:tr w:rsidR="00ED4B21" w14:paraId="6025BBBD" w14:textId="77777777" w:rsidTr="00ED4B21">
        <w:trPr>
          <w:trHeight w:val="1699"/>
        </w:trPr>
        <w:tc>
          <w:tcPr>
            <w:tcW w:w="8706" w:type="dxa"/>
            <w:tcBorders>
              <w:top w:val="single" w:sz="4" w:space="0" w:color="000000"/>
              <w:left w:val="single" w:sz="4" w:space="0" w:color="000000"/>
              <w:bottom w:val="single" w:sz="4" w:space="0" w:color="000000"/>
              <w:right w:val="single" w:sz="4" w:space="0" w:color="000000"/>
            </w:tcBorders>
            <w:hideMark/>
          </w:tcPr>
          <w:p w14:paraId="4A8E5C66" w14:textId="77777777" w:rsidR="00ED4B21" w:rsidRDefault="00ED4B21">
            <w:pPr>
              <w:spacing w:after="108"/>
              <w:ind w:left="18"/>
            </w:pPr>
            <w:r>
              <w:rPr>
                <w:rFonts w:ascii="Arial" w:eastAsia="Arial" w:hAnsi="Arial" w:cs="Arial"/>
                <w:sz w:val="14"/>
              </w:rPr>
              <w:t xml:space="preserve"> </w:t>
            </w:r>
          </w:p>
          <w:p w14:paraId="527B8A79" w14:textId="77777777" w:rsidR="00ED4B21" w:rsidRDefault="00ED4B21">
            <w:pPr>
              <w:spacing w:after="108"/>
              <w:ind w:left="18"/>
            </w:pPr>
            <w:r>
              <w:rPr>
                <w:rFonts w:ascii="Arial" w:eastAsia="Arial" w:hAnsi="Arial" w:cs="Arial"/>
                <w:sz w:val="14"/>
              </w:rPr>
              <w:t xml:space="preserve"> </w:t>
            </w:r>
          </w:p>
          <w:p w14:paraId="687C207E" w14:textId="77777777" w:rsidR="00ED4B21" w:rsidRDefault="00ED4B21">
            <w:pPr>
              <w:spacing w:after="110"/>
              <w:ind w:left="18"/>
            </w:pPr>
            <w:r>
              <w:rPr>
                <w:rFonts w:ascii="Arial" w:eastAsia="Arial" w:hAnsi="Arial" w:cs="Arial"/>
                <w:sz w:val="14"/>
              </w:rPr>
              <w:t xml:space="preserve"> </w:t>
            </w:r>
          </w:p>
          <w:p w14:paraId="7CF7681F" w14:textId="77777777" w:rsidR="00ED4B21" w:rsidRDefault="00ED4B21">
            <w:pPr>
              <w:spacing w:after="108"/>
              <w:ind w:left="18"/>
            </w:pPr>
            <w:r>
              <w:rPr>
                <w:rFonts w:ascii="Arial" w:eastAsia="Arial" w:hAnsi="Arial" w:cs="Arial"/>
                <w:sz w:val="14"/>
              </w:rPr>
              <w:t xml:space="preserve"> </w:t>
            </w:r>
          </w:p>
          <w:p w14:paraId="3A62721C" w14:textId="77777777" w:rsidR="00ED4B21" w:rsidRDefault="00ED4B21">
            <w:pPr>
              <w:spacing w:after="108"/>
              <w:ind w:left="18"/>
            </w:pPr>
            <w:r>
              <w:rPr>
                <w:rFonts w:ascii="Arial" w:eastAsia="Arial" w:hAnsi="Arial" w:cs="Arial"/>
                <w:sz w:val="14"/>
              </w:rPr>
              <w:t xml:space="preserve"> </w:t>
            </w:r>
          </w:p>
          <w:p w14:paraId="6DC077F5" w14:textId="77777777" w:rsidR="00ED4B21" w:rsidRDefault="00ED4B21">
            <w:pPr>
              <w:ind w:left="18"/>
            </w:pPr>
            <w:r>
              <w:rPr>
                <w:rFonts w:ascii="Arial" w:eastAsia="Arial" w:hAnsi="Arial" w:cs="Arial"/>
                <w:sz w:val="14"/>
              </w:rPr>
              <w:t xml:space="preserve"> </w:t>
            </w:r>
          </w:p>
        </w:tc>
        <w:tc>
          <w:tcPr>
            <w:tcW w:w="870" w:type="dxa"/>
            <w:tcBorders>
              <w:top w:val="single" w:sz="4" w:space="0" w:color="000000"/>
              <w:left w:val="single" w:sz="4" w:space="0" w:color="000000"/>
              <w:bottom w:val="single" w:sz="4" w:space="0" w:color="000000"/>
              <w:right w:val="single" w:sz="4" w:space="0" w:color="000000"/>
            </w:tcBorders>
            <w:hideMark/>
          </w:tcPr>
          <w:p w14:paraId="0BC6DF67" w14:textId="77777777" w:rsidR="00ED4B21" w:rsidRDefault="00ED4B21">
            <w:pPr>
              <w:spacing w:after="64"/>
              <w:ind w:left="114"/>
              <w:jc w:val="center"/>
            </w:pPr>
            <w:r>
              <w:rPr>
                <w:rFonts w:ascii="Arial" w:eastAsia="Arial" w:hAnsi="Arial" w:cs="Arial"/>
                <w:sz w:val="32"/>
              </w:rPr>
              <w:t xml:space="preserve"> </w:t>
            </w:r>
          </w:p>
          <w:p w14:paraId="67752D62" w14:textId="77777777" w:rsidR="00ED4B21" w:rsidRDefault="00ED4B21">
            <w:pPr>
              <w:ind w:left="26"/>
              <w:jc w:val="center"/>
            </w:pPr>
            <w:r>
              <w:rPr>
                <w:rFonts w:ascii="Arial" w:eastAsia="Arial" w:hAnsi="Arial" w:cs="Arial"/>
                <w:sz w:val="32"/>
              </w:rPr>
              <w:t xml:space="preserve">5 </w:t>
            </w:r>
          </w:p>
        </w:tc>
        <w:tc>
          <w:tcPr>
            <w:tcW w:w="866" w:type="dxa"/>
            <w:tcBorders>
              <w:top w:val="single" w:sz="4" w:space="0" w:color="000000"/>
              <w:left w:val="single" w:sz="4" w:space="0" w:color="000000"/>
              <w:bottom w:val="single" w:sz="4" w:space="0" w:color="000000"/>
              <w:right w:val="single" w:sz="4" w:space="0" w:color="000000"/>
            </w:tcBorders>
            <w:hideMark/>
          </w:tcPr>
          <w:p w14:paraId="155B06EF" w14:textId="77777777" w:rsidR="00ED4B21" w:rsidRDefault="00ED4B21">
            <w:pPr>
              <w:ind w:left="116"/>
              <w:jc w:val="center"/>
            </w:pPr>
            <w:r>
              <w:rPr>
                <w:rFonts w:ascii="Arial" w:eastAsia="Arial" w:hAnsi="Arial" w:cs="Arial"/>
                <w:sz w:val="32"/>
              </w:rPr>
              <w:t xml:space="preserve"> </w:t>
            </w:r>
          </w:p>
        </w:tc>
      </w:tr>
      <w:tr w:rsidR="00ED4B21" w14:paraId="6EE3403D" w14:textId="77777777" w:rsidTr="00ED4B21">
        <w:trPr>
          <w:trHeight w:val="518"/>
        </w:trPr>
        <w:tc>
          <w:tcPr>
            <w:tcW w:w="8706" w:type="dxa"/>
            <w:tcBorders>
              <w:top w:val="single" w:sz="4" w:space="0" w:color="000000"/>
              <w:left w:val="single" w:sz="4" w:space="0" w:color="000000"/>
              <w:bottom w:val="single" w:sz="4" w:space="0" w:color="000000"/>
              <w:right w:val="single" w:sz="4" w:space="0" w:color="000000"/>
            </w:tcBorders>
            <w:shd w:val="clear" w:color="auto" w:fill="DADADB"/>
            <w:hideMark/>
          </w:tcPr>
          <w:p w14:paraId="22A0355A" w14:textId="77777777" w:rsidR="00ED4B21" w:rsidRDefault="00ED4B21">
            <w:pPr>
              <w:ind w:left="18"/>
            </w:pPr>
            <w:r>
              <w:rPr>
                <w:rFonts w:ascii="Arial" w:eastAsia="Arial" w:hAnsi="Arial" w:cs="Arial"/>
                <w:b/>
                <w:sz w:val="20"/>
              </w:rPr>
              <w:t>5. Transferable Skills for Life and Professional Practice</w:t>
            </w:r>
            <w:r>
              <w:rPr>
                <w:rFonts w:ascii="Arial" w:eastAsia="Arial" w:hAnsi="Arial" w:cs="Arial"/>
                <w:b/>
                <w:sz w:val="16"/>
              </w:rPr>
              <w:t xml:space="preserve"> </w:t>
            </w:r>
          </w:p>
          <w:p w14:paraId="772B828D" w14:textId="77777777" w:rsidR="00ED4B21" w:rsidRDefault="00ED4B21">
            <w:pPr>
              <w:ind w:left="18"/>
            </w:pPr>
            <w:r>
              <w:rPr>
                <w:rFonts w:ascii="Arial" w:eastAsia="Arial" w:hAnsi="Arial" w:cs="Arial"/>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ADADB"/>
            <w:hideMark/>
          </w:tcPr>
          <w:p w14:paraId="5B3C58A7" w14:textId="77777777" w:rsidR="00ED4B21" w:rsidRDefault="00ED4B21">
            <w:pPr>
              <w:ind w:left="114"/>
              <w:jc w:val="center"/>
            </w:pPr>
            <w:r>
              <w:rPr>
                <w:rFonts w:ascii="Arial" w:eastAsia="Arial" w:hAnsi="Arial" w:cs="Arial"/>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ADADB"/>
            <w:hideMark/>
          </w:tcPr>
          <w:p w14:paraId="3521DB35" w14:textId="77777777" w:rsidR="00ED4B21" w:rsidRDefault="00ED4B21">
            <w:pPr>
              <w:ind w:left="116"/>
              <w:jc w:val="center"/>
            </w:pPr>
            <w:r>
              <w:rPr>
                <w:rFonts w:ascii="Arial" w:eastAsia="Arial" w:hAnsi="Arial" w:cs="Arial"/>
                <w:sz w:val="32"/>
              </w:rPr>
              <w:t xml:space="preserve"> </w:t>
            </w:r>
          </w:p>
        </w:tc>
      </w:tr>
      <w:tr w:rsidR="00ED4B21" w14:paraId="5F45BD6C" w14:textId="77777777" w:rsidTr="00ED4B21">
        <w:trPr>
          <w:trHeight w:val="1136"/>
        </w:trPr>
        <w:tc>
          <w:tcPr>
            <w:tcW w:w="8706" w:type="dxa"/>
            <w:tcBorders>
              <w:top w:val="single" w:sz="4" w:space="0" w:color="000000"/>
              <w:left w:val="single" w:sz="4" w:space="0" w:color="000000"/>
              <w:bottom w:val="single" w:sz="4" w:space="0" w:color="000000"/>
              <w:right w:val="single" w:sz="4" w:space="0" w:color="000000"/>
            </w:tcBorders>
            <w:hideMark/>
          </w:tcPr>
          <w:p w14:paraId="1F246903" w14:textId="77777777" w:rsidR="00ED4B21" w:rsidRDefault="00ED4B21">
            <w:pPr>
              <w:spacing w:after="108"/>
              <w:ind w:left="18"/>
            </w:pPr>
            <w:r>
              <w:rPr>
                <w:rFonts w:ascii="Arial" w:eastAsia="Arial" w:hAnsi="Arial" w:cs="Arial"/>
                <w:sz w:val="14"/>
              </w:rPr>
              <w:lastRenderedPageBreak/>
              <w:t xml:space="preserve"> </w:t>
            </w:r>
          </w:p>
          <w:p w14:paraId="52DD4D83" w14:textId="77777777" w:rsidR="00ED4B21" w:rsidRDefault="00ED4B21">
            <w:pPr>
              <w:spacing w:after="108"/>
              <w:ind w:left="18"/>
            </w:pPr>
            <w:r>
              <w:rPr>
                <w:rFonts w:ascii="Arial" w:eastAsia="Arial" w:hAnsi="Arial" w:cs="Arial"/>
                <w:sz w:val="14"/>
              </w:rPr>
              <w:t xml:space="preserve"> </w:t>
            </w:r>
          </w:p>
          <w:p w14:paraId="0EF387FD" w14:textId="77777777" w:rsidR="00ED4B21" w:rsidRDefault="00ED4B21">
            <w:pPr>
              <w:spacing w:after="108"/>
              <w:ind w:left="18"/>
            </w:pPr>
            <w:r>
              <w:rPr>
                <w:rFonts w:ascii="Arial" w:eastAsia="Arial" w:hAnsi="Arial" w:cs="Arial"/>
                <w:sz w:val="14"/>
              </w:rPr>
              <w:t xml:space="preserve"> </w:t>
            </w:r>
          </w:p>
          <w:p w14:paraId="2FB4AFE1" w14:textId="77777777" w:rsidR="00ED4B21" w:rsidRDefault="00ED4B21">
            <w:pPr>
              <w:ind w:left="18"/>
            </w:pPr>
            <w:r>
              <w:rPr>
                <w:rFonts w:ascii="Arial" w:eastAsia="Arial" w:hAnsi="Arial" w:cs="Arial"/>
                <w:sz w:val="14"/>
              </w:rPr>
              <w:t xml:space="preserve"> </w:t>
            </w:r>
          </w:p>
        </w:tc>
        <w:tc>
          <w:tcPr>
            <w:tcW w:w="870" w:type="dxa"/>
            <w:tcBorders>
              <w:top w:val="single" w:sz="4" w:space="0" w:color="000000"/>
              <w:left w:val="single" w:sz="4" w:space="0" w:color="000000"/>
              <w:bottom w:val="single" w:sz="4" w:space="0" w:color="000000"/>
              <w:right w:val="single" w:sz="4" w:space="0" w:color="000000"/>
            </w:tcBorders>
            <w:hideMark/>
          </w:tcPr>
          <w:p w14:paraId="41CC22B4" w14:textId="77777777" w:rsidR="00ED4B21" w:rsidRDefault="00ED4B21">
            <w:pPr>
              <w:spacing w:after="64"/>
              <w:ind w:left="26"/>
              <w:jc w:val="center"/>
            </w:pPr>
            <w:r>
              <w:rPr>
                <w:rFonts w:ascii="Arial" w:eastAsia="Arial" w:hAnsi="Arial" w:cs="Arial"/>
                <w:sz w:val="32"/>
              </w:rPr>
              <w:t xml:space="preserve">5 </w:t>
            </w:r>
          </w:p>
          <w:p w14:paraId="4F5C36AC" w14:textId="77777777" w:rsidR="00ED4B21" w:rsidRDefault="00ED4B21">
            <w:pPr>
              <w:ind w:left="114"/>
              <w:jc w:val="center"/>
            </w:pPr>
            <w:r>
              <w:rPr>
                <w:rFonts w:ascii="Arial" w:eastAsia="Arial" w:hAnsi="Arial" w:cs="Arial"/>
                <w:sz w:val="32"/>
              </w:rPr>
              <w:t xml:space="preserve"> </w:t>
            </w:r>
          </w:p>
        </w:tc>
        <w:tc>
          <w:tcPr>
            <w:tcW w:w="866" w:type="dxa"/>
            <w:tcBorders>
              <w:top w:val="single" w:sz="4" w:space="0" w:color="000000"/>
              <w:left w:val="single" w:sz="4" w:space="0" w:color="000000"/>
              <w:bottom w:val="single" w:sz="4" w:space="0" w:color="000000"/>
              <w:right w:val="single" w:sz="4" w:space="0" w:color="000000"/>
            </w:tcBorders>
            <w:hideMark/>
          </w:tcPr>
          <w:p w14:paraId="1FAA31D0" w14:textId="77777777" w:rsidR="00ED4B21" w:rsidRDefault="00ED4B21">
            <w:pPr>
              <w:ind w:left="116"/>
              <w:jc w:val="center"/>
            </w:pPr>
            <w:r>
              <w:rPr>
                <w:rFonts w:ascii="Arial" w:eastAsia="Arial" w:hAnsi="Arial" w:cs="Arial"/>
                <w:sz w:val="32"/>
              </w:rPr>
              <w:t xml:space="preserve"> </w:t>
            </w:r>
          </w:p>
        </w:tc>
      </w:tr>
    </w:tbl>
    <w:p w14:paraId="1180AF4E" w14:textId="77777777" w:rsidR="00ED4B21" w:rsidRDefault="00ED4B21" w:rsidP="00ED4B21">
      <w:pPr>
        <w:spacing w:after="0"/>
        <w:ind w:left="284"/>
        <w:rPr>
          <w:rFonts w:ascii="Calibri" w:eastAsia="Calibri" w:hAnsi="Calibri" w:cs="Calibri"/>
          <w:color w:val="000000"/>
          <w:sz w:val="22"/>
          <w:szCs w:val="22"/>
        </w:rPr>
      </w:pPr>
      <w:r>
        <w:rPr>
          <w:rFonts w:ascii="Arial" w:eastAsia="Arial" w:hAnsi="Arial" w:cs="Arial"/>
          <w:b/>
          <w:sz w:val="16"/>
        </w:rPr>
        <w:t xml:space="preserve"> </w:t>
      </w:r>
    </w:p>
    <w:tbl>
      <w:tblPr>
        <w:tblStyle w:val="TableGrid"/>
        <w:tblW w:w="10664" w:type="dxa"/>
        <w:tblInd w:w="-104" w:type="dxa"/>
        <w:tblCellMar>
          <w:left w:w="107" w:type="dxa"/>
          <w:right w:w="53" w:type="dxa"/>
        </w:tblCellMar>
        <w:tblLook w:val="04A0" w:firstRow="1" w:lastRow="0" w:firstColumn="1" w:lastColumn="0" w:noHBand="0" w:noVBand="1"/>
      </w:tblPr>
      <w:tblGrid>
        <w:gridCol w:w="6061"/>
        <w:gridCol w:w="2904"/>
        <w:gridCol w:w="638"/>
        <w:gridCol w:w="1061"/>
      </w:tblGrid>
      <w:tr w:rsidR="00ED4B21" w14:paraId="7969190E" w14:textId="77777777" w:rsidTr="00ED4B21">
        <w:trPr>
          <w:trHeight w:val="376"/>
        </w:trPr>
        <w:tc>
          <w:tcPr>
            <w:tcW w:w="6061" w:type="dxa"/>
            <w:vMerge w:val="restart"/>
            <w:tcBorders>
              <w:top w:val="single" w:sz="4" w:space="0" w:color="000000"/>
              <w:left w:val="single" w:sz="4" w:space="0" w:color="000000"/>
              <w:bottom w:val="single" w:sz="4" w:space="0" w:color="000000"/>
              <w:right w:val="single" w:sz="4" w:space="0" w:color="000000"/>
            </w:tcBorders>
            <w:shd w:val="clear" w:color="auto" w:fill="DADADB"/>
            <w:hideMark/>
          </w:tcPr>
          <w:p w14:paraId="10D1F95D" w14:textId="77777777" w:rsidR="00ED4B21" w:rsidRDefault="00ED4B21">
            <w:r>
              <w:rPr>
                <w:rFonts w:ascii="Arial" w:eastAsia="Arial" w:hAnsi="Arial" w:cs="Arial"/>
                <w:b/>
              </w:rPr>
              <w:t xml:space="preserve">Assessment Mark </w:t>
            </w:r>
            <w:r>
              <w:rPr>
                <w:rFonts w:ascii="Arial" w:eastAsia="Arial" w:hAnsi="Arial" w:cs="Arial"/>
              </w:rPr>
              <w:t>(</w:t>
            </w:r>
            <w:r>
              <w:rPr>
                <w:rFonts w:ascii="Arial" w:eastAsia="Arial" w:hAnsi="Arial" w:cs="Arial"/>
                <w:sz w:val="16"/>
              </w:rPr>
              <w:t>Assessment marks are subject to ratification at the Exam Board.  These comments and marks are to give feedback on module work and are for guidance only until they are confirmed</w:t>
            </w:r>
            <w:proofErr w:type="gramStart"/>
            <w:r>
              <w:rPr>
                <w:rFonts w:ascii="Arial" w:eastAsia="Arial" w:hAnsi="Arial" w:cs="Arial"/>
                <w:sz w:val="16"/>
              </w:rPr>
              <w:t>. )</w:t>
            </w:r>
            <w:proofErr w:type="gramEnd"/>
            <w:r>
              <w:rPr>
                <w:rFonts w:ascii="Arial" w:eastAsia="Arial" w:hAnsi="Arial" w:cs="Arial"/>
                <w:sz w:val="16"/>
              </w:rPr>
              <w:t xml:space="preserve"> </w:t>
            </w:r>
          </w:p>
        </w:tc>
        <w:tc>
          <w:tcPr>
            <w:tcW w:w="2904" w:type="dxa"/>
            <w:tcBorders>
              <w:top w:val="single" w:sz="4" w:space="0" w:color="000000"/>
              <w:left w:val="single" w:sz="4" w:space="0" w:color="000000"/>
              <w:bottom w:val="single" w:sz="4" w:space="0" w:color="000000"/>
              <w:right w:val="nil"/>
            </w:tcBorders>
            <w:shd w:val="clear" w:color="auto" w:fill="DADADB"/>
            <w:hideMark/>
          </w:tcPr>
          <w:p w14:paraId="625816D6" w14:textId="77777777" w:rsidR="00ED4B21" w:rsidRDefault="00ED4B21">
            <w:pPr>
              <w:ind w:left="1"/>
            </w:pPr>
            <w:r>
              <w:rPr>
                <w:rFonts w:ascii="Arial" w:eastAsia="Arial" w:hAnsi="Arial" w:cs="Arial"/>
                <w:b/>
                <w:sz w:val="16"/>
              </w:rPr>
              <w:t xml:space="preserve">Late Submission Penalties (tick if appropriate) </w:t>
            </w:r>
          </w:p>
        </w:tc>
        <w:tc>
          <w:tcPr>
            <w:tcW w:w="638" w:type="dxa"/>
            <w:tcBorders>
              <w:top w:val="single" w:sz="4" w:space="0" w:color="000000"/>
              <w:left w:val="nil"/>
              <w:bottom w:val="single" w:sz="4" w:space="0" w:color="000000"/>
              <w:right w:val="single" w:sz="4" w:space="0" w:color="000000"/>
            </w:tcBorders>
            <w:shd w:val="clear" w:color="auto" w:fill="DADADB"/>
          </w:tcPr>
          <w:p w14:paraId="6870F677" w14:textId="77777777" w:rsidR="00ED4B21" w:rsidRDefault="00ED4B21"/>
        </w:tc>
        <w:tc>
          <w:tcPr>
            <w:tcW w:w="1061" w:type="dxa"/>
            <w:vMerge w:val="restart"/>
            <w:tcBorders>
              <w:top w:val="single" w:sz="4" w:space="0" w:color="000000"/>
              <w:left w:val="single" w:sz="4" w:space="0" w:color="000000"/>
              <w:bottom w:val="single" w:sz="4" w:space="0" w:color="000000"/>
              <w:right w:val="single" w:sz="4" w:space="0" w:color="000000"/>
            </w:tcBorders>
            <w:vAlign w:val="center"/>
            <w:hideMark/>
          </w:tcPr>
          <w:p w14:paraId="50AC348E" w14:textId="77777777" w:rsidR="00ED4B21" w:rsidRDefault="00ED4B21">
            <w:pPr>
              <w:ind w:right="56"/>
              <w:jc w:val="right"/>
            </w:pPr>
            <w:r>
              <w:rPr>
                <w:rFonts w:ascii="Arial" w:eastAsia="Arial" w:hAnsi="Arial" w:cs="Arial"/>
                <w:b/>
                <w:sz w:val="20"/>
              </w:rPr>
              <w:t xml:space="preserve">% </w:t>
            </w:r>
          </w:p>
        </w:tc>
      </w:tr>
      <w:tr w:rsidR="00ED4B21" w14:paraId="59508067" w14:textId="77777777" w:rsidTr="00ED4B21">
        <w:trPr>
          <w:trHeight w:val="196"/>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FF31663" w14:textId="77777777" w:rsidR="00ED4B21" w:rsidRDefault="00ED4B21">
            <w:pPr>
              <w:rPr>
                <w:rFonts w:ascii="Calibri" w:eastAsia="Calibri" w:hAnsi="Calibri" w:cs="Calibri"/>
                <w:color w:val="000000"/>
              </w:rPr>
            </w:pPr>
          </w:p>
        </w:tc>
        <w:tc>
          <w:tcPr>
            <w:tcW w:w="2904" w:type="dxa"/>
            <w:tcBorders>
              <w:top w:val="single" w:sz="4" w:space="0" w:color="000000"/>
              <w:left w:val="single" w:sz="4" w:space="0" w:color="000000"/>
              <w:bottom w:val="single" w:sz="4" w:space="0" w:color="000000"/>
              <w:right w:val="single" w:sz="4" w:space="0" w:color="000000"/>
            </w:tcBorders>
            <w:hideMark/>
          </w:tcPr>
          <w:p w14:paraId="3BAEA7CF" w14:textId="77777777" w:rsidR="00ED4B21" w:rsidRDefault="00ED4B21">
            <w:pPr>
              <w:ind w:left="1"/>
            </w:pPr>
            <w:r>
              <w:rPr>
                <w:rFonts w:ascii="Arial" w:eastAsia="Arial" w:hAnsi="Arial" w:cs="Arial"/>
                <w:sz w:val="16"/>
              </w:rPr>
              <w:t>Up to 1 week late (</w:t>
            </w:r>
            <w:r>
              <w:rPr>
                <w:rFonts w:ascii="Arial" w:eastAsia="Arial" w:hAnsi="Arial" w:cs="Arial"/>
                <w:sz w:val="12"/>
              </w:rPr>
              <w:t>40% Max)</w:t>
            </w:r>
            <w:r>
              <w:rPr>
                <w:rFonts w:ascii="Arial" w:eastAsia="Arial" w:hAnsi="Arial" w:cs="Arial"/>
                <w:b/>
                <w:sz w:val="16"/>
              </w:rPr>
              <w:t xml:space="preserve"> </w:t>
            </w:r>
          </w:p>
        </w:tc>
        <w:tc>
          <w:tcPr>
            <w:tcW w:w="638" w:type="dxa"/>
            <w:tcBorders>
              <w:top w:val="single" w:sz="4" w:space="0" w:color="000000"/>
              <w:left w:val="single" w:sz="4" w:space="0" w:color="000000"/>
              <w:bottom w:val="single" w:sz="4" w:space="0" w:color="000000"/>
              <w:right w:val="single" w:sz="4" w:space="0" w:color="000000"/>
            </w:tcBorders>
            <w:hideMark/>
          </w:tcPr>
          <w:p w14:paraId="366893DB" w14:textId="77777777" w:rsidR="00ED4B21" w:rsidRDefault="00ED4B21">
            <w:pPr>
              <w:ind w:right="26"/>
              <w:jc w:val="center"/>
            </w:pPr>
            <w:r>
              <w:rPr>
                <w:rFonts w:ascii="Arial" w:eastAsia="Arial" w:hAnsi="Arial" w:cs="Arial"/>
                <w:sz w:val="12"/>
              </w:rPr>
              <w:t xml:space="preserve"> </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4FD025C" w14:textId="77777777" w:rsidR="00ED4B21" w:rsidRDefault="00ED4B21">
            <w:pPr>
              <w:rPr>
                <w:rFonts w:ascii="Calibri" w:eastAsia="Calibri" w:hAnsi="Calibri" w:cs="Calibri"/>
                <w:color w:val="000000"/>
              </w:rPr>
            </w:pPr>
          </w:p>
        </w:tc>
      </w:tr>
      <w:tr w:rsidR="00ED4B21" w14:paraId="1D49FA53" w14:textId="77777777" w:rsidTr="00ED4B21">
        <w:trPr>
          <w:trHeight w:val="192"/>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05AC85D" w14:textId="77777777" w:rsidR="00ED4B21" w:rsidRDefault="00ED4B21">
            <w:pPr>
              <w:rPr>
                <w:rFonts w:ascii="Calibri" w:eastAsia="Calibri" w:hAnsi="Calibri" w:cs="Calibri"/>
                <w:color w:val="000000"/>
              </w:rPr>
            </w:pPr>
          </w:p>
        </w:tc>
        <w:tc>
          <w:tcPr>
            <w:tcW w:w="2904" w:type="dxa"/>
            <w:tcBorders>
              <w:top w:val="single" w:sz="4" w:space="0" w:color="000000"/>
              <w:left w:val="single" w:sz="4" w:space="0" w:color="000000"/>
              <w:bottom w:val="single" w:sz="4" w:space="0" w:color="000000"/>
              <w:right w:val="single" w:sz="4" w:space="0" w:color="000000"/>
            </w:tcBorders>
            <w:hideMark/>
          </w:tcPr>
          <w:p w14:paraId="35C53C34" w14:textId="77777777" w:rsidR="00ED4B21" w:rsidRDefault="00ED4B21">
            <w:pPr>
              <w:ind w:left="1"/>
            </w:pPr>
            <w:r>
              <w:rPr>
                <w:rFonts w:ascii="Arial" w:eastAsia="Arial" w:hAnsi="Arial" w:cs="Arial"/>
                <w:sz w:val="16"/>
              </w:rPr>
              <w:t>Over 1 week late (</w:t>
            </w:r>
            <w:r>
              <w:rPr>
                <w:rFonts w:ascii="Arial" w:eastAsia="Arial" w:hAnsi="Arial" w:cs="Arial"/>
                <w:sz w:val="12"/>
              </w:rPr>
              <w:t>0%)</w:t>
            </w:r>
            <w:r>
              <w:rPr>
                <w:rFonts w:ascii="Arial" w:eastAsia="Arial" w:hAnsi="Arial" w:cs="Arial"/>
                <w:b/>
                <w:sz w:val="16"/>
              </w:rPr>
              <w:t xml:space="preserve"> </w:t>
            </w:r>
          </w:p>
        </w:tc>
        <w:tc>
          <w:tcPr>
            <w:tcW w:w="638" w:type="dxa"/>
            <w:tcBorders>
              <w:top w:val="single" w:sz="4" w:space="0" w:color="000000"/>
              <w:left w:val="single" w:sz="4" w:space="0" w:color="000000"/>
              <w:bottom w:val="single" w:sz="4" w:space="0" w:color="000000"/>
              <w:right w:val="single" w:sz="4" w:space="0" w:color="000000"/>
            </w:tcBorders>
            <w:hideMark/>
          </w:tcPr>
          <w:p w14:paraId="6AA35501" w14:textId="77777777" w:rsidR="00ED4B21" w:rsidRDefault="00ED4B21">
            <w:pPr>
              <w:ind w:right="26"/>
              <w:jc w:val="center"/>
            </w:pPr>
            <w:r>
              <w:rPr>
                <w:rFonts w:ascii="Arial" w:eastAsia="Arial" w:hAnsi="Arial" w:cs="Arial"/>
                <w:sz w:val="12"/>
              </w:rPr>
              <w:t xml:space="preserve"> </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70105D8" w14:textId="77777777" w:rsidR="00ED4B21" w:rsidRDefault="00ED4B21">
            <w:pPr>
              <w:rPr>
                <w:rFonts w:ascii="Calibri" w:eastAsia="Calibri" w:hAnsi="Calibri" w:cs="Calibri"/>
                <w:color w:val="000000"/>
              </w:rPr>
            </w:pPr>
          </w:p>
        </w:tc>
      </w:tr>
    </w:tbl>
    <w:p w14:paraId="3A15073D" w14:textId="77777777" w:rsidR="00ED4B21" w:rsidRDefault="00ED4B21" w:rsidP="00ED4B21">
      <w:pPr>
        <w:spacing w:after="0"/>
        <w:sectPr w:rsidR="00ED4B21">
          <w:pgSz w:w="11894" w:h="16834"/>
          <w:pgMar w:top="688" w:right="609" w:bottom="1006" w:left="719" w:header="720" w:footer="443" w:gutter="0"/>
          <w:cols w:space="720"/>
        </w:sectPr>
      </w:pPr>
    </w:p>
    <w:p w14:paraId="6996BF2A" w14:textId="3C6FCDD3" w:rsidR="001C5FD5" w:rsidRDefault="00C84811">
      <w:r>
        <w:lastRenderedPageBreak/>
        <w:t>Graham Vaughan</w:t>
      </w:r>
    </w:p>
    <w:p w14:paraId="152A4088" w14:textId="49CFAF1D" w:rsidR="00C84811" w:rsidRDefault="00C84811">
      <w:r>
        <w:t>1902830</w:t>
      </w:r>
    </w:p>
    <w:p w14:paraId="3F7DBD5B" w14:textId="33962CB4" w:rsidR="00C84811" w:rsidRDefault="00C84811">
      <w:r>
        <w:t>Spinal 5064</w:t>
      </w:r>
    </w:p>
    <w:p w14:paraId="3033DC67" w14:textId="77777777" w:rsidR="00C84811" w:rsidRPr="00327D68" w:rsidRDefault="00C84811" w:rsidP="00C84811">
      <w:pPr>
        <w:rPr>
          <w:b/>
          <w:bCs/>
          <w:sz w:val="28"/>
          <w:szCs w:val="28"/>
          <w:u w:val="single"/>
        </w:rPr>
      </w:pPr>
      <w:r w:rsidRPr="00327D68">
        <w:rPr>
          <w:b/>
          <w:bCs/>
          <w:sz w:val="28"/>
          <w:szCs w:val="28"/>
          <w:u w:val="single"/>
        </w:rPr>
        <w:t>Mechanism of Effect of Spinal Manual Therapy for Reducing/Managing Pain</w:t>
      </w:r>
    </w:p>
    <w:p w14:paraId="673D3352" w14:textId="2252D843" w:rsidR="00C71260" w:rsidRDefault="00C71260" w:rsidP="00C71260">
      <w:r>
        <w:t xml:space="preserve">Pain, as described by Bishop </w:t>
      </w:r>
      <w:r w:rsidR="00F8283B" w:rsidRPr="00F8283B">
        <w:rPr>
          <w:i/>
          <w:iCs/>
        </w:rPr>
        <w:t>et al</w:t>
      </w:r>
      <w:r>
        <w:t xml:space="preserve">. (2015), is an emotional and unpleasant sensory experience associated with actual or potential damage to tissue or described as such and is subjective and unique to the individual. Bishop </w:t>
      </w:r>
      <w:r w:rsidR="00F8283B" w:rsidRPr="00F8283B">
        <w:rPr>
          <w:i/>
          <w:iCs/>
        </w:rPr>
        <w:t>et al</w:t>
      </w:r>
      <w:r>
        <w:t>. (2015) states</w:t>
      </w:r>
      <w:r w:rsidRPr="00A96768">
        <w:t xml:space="preserve"> </w:t>
      </w:r>
      <w:r>
        <w:t xml:space="preserve">manual therapy (MT) should be clinically reasoned in enhancing management of musculoskeletal pain and improve clinical outcomes. MT techniques, specifically on the spine, are passive movements intended to assess, diagnose and treat a variety of symptoms and conditions and promote reduction in pain and improve the patient’s pain experience (Austin, 2018; Bishop </w:t>
      </w:r>
      <w:r w:rsidR="00F8283B" w:rsidRPr="00F8283B">
        <w:rPr>
          <w:i/>
          <w:iCs/>
        </w:rPr>
        <w:t>et al</w:t>
      </w:r>
      <w:r>
        <w:t xml:space="preserve">., 2015; </w:t>
      </w:r>
      <w:proofErr w:type="spellStart"/>
      <w:r>
        <w:t>Clar</w:t>
      </w:r>
      <w:proofErr w:type="spellEnd"/>
      <w:r>
        <w:t xml:space="preserve"> </w:t>
      </w:r>
      <w:r w:rsidR="00F8283B" w:rsidRPr="00F8283B">
        <w:rPr>
          <w:i/>
          <w:iCs/>
        </w:rPr>
        <w:t>et al</w:t>
      </w:r>
      <w:r>
        <w:t xml:space="preserve">., 2014). Bialosky </w:t>
      </w:r>
      <w:r w:rsidR="00F8283B" w:rsidRPr="00F8283B">
        <w:rPr>
          <w:i/>
          <w:iCs/>
        </w:rPr>
        <w:t>et al</w:t>
      </w:r>
      <w:r>
        <w:t xml:space="preserve">. (2009) describes techniques used, such as, manipulation as passive movement of the joint beyond its normal range of motion, while mobilisations are within the normal range of motion. </w:t>
      </w:r>
    </w:p>
    <w:p w14:paraId="6A9BB764" w14:textId="646BF97B" w:rsidR="0001716C" w:rsidRDefault="0001716C" w:rsidP="0001716C">
      <w:r>
        <w:t xml:space="preserve">The hypothesised mechanisms of effect are biomechanical and/or neurophysiological (Bialosky </w:t>
      </w:r>
      <w:r w:rsidR="00F8283B" w:rsidRPr="00F8283B">
        <w:rPr>
          <w:i/>
          <w:iCs/>
        </w:rPr>
        <w:t>et al</w:t>
      </w:r>
      <w:r>
        <w:t xml:space="preserve">., 2009; Rubinstein, </w:t>
      </w:r>
      <w:r w:rsidR="00F8283B" w:rsidRPr="00F8283B">
        <w:rPr>
          <w:i/>
          <w:iCs/>
        </w:rPr>
        <w:t>et al</w:t>
      </w:r>
      <w:r>
        <w:t xml:space="preserve">., 2019). The biomechanical treatment is proposed to cause measurable movement in the targeted tissue to reduce the internal mechanical stresses within and around the tissue/joint and on functional spinal lesions (Bishop </w:t>
      </w:r>
      <w:r w:rsidR="00F8283B" w:rsidRPr="00F8283B">
        <w:rPr>
          <w:i/>
          <w:iCs/>
        </w:rPr>
        <w:t>et al</w:t>
      </w:r>
      <w:r>
        <w:t xml:space="preserve">., 2015; Rubinstein </w:t>
      </w:r>
      <w:r w:rsidR="00F8283B" w:rsidRPr="00F8283B">
        <w:rPr>
          <w:i/>
          <w:iCs/>
        </w:rPr>
        <w:t>et al</w:t>
      </w:r>
      <w:r>
        <w:t xml:space="preserve">., 2019). It speculated that MT modulates pain by sending sensory input to the central nervous system which acts as a counter irritant from noxious stimuli (Bialosky </w:t>
      </w:r>
      <w:r w:rsidR="00F8283B" w:rsidRPr="00F8283B">
        <w:rPr>
          <w:i/>
          <w:iCs/>
        </w:rPr>
        <w:t>et al</w:t>
      </w:r>
      <w:r>
        <w:t xml:space="preserve">., 2009). Problems associated with the biomechanical aspect is the research supports only transient effects which quantify motion and not lasting positional change, and palpation for movement faults and position are unreliable (Bialosky </w:t>
      </w:r>
      <w:r w:rsidR="00F8283B" w:rsidRPr="00F8283B">
        <w:rPr>
          <w:i/>
          <w:iCs/>
        </w:rPr>
        <w:t>et al</w:t>
      </w:r>
      <w:r>
        <w:t xml:space="preserve"> 2009). Also, what prohibits studies in humans is direct observation of the nervous system, unlike animal models (Bialosky </w:t>
      </w:r>
      <w:r w:rsidR="00F8283B" w:rsidRPr="00F8283B">
        <w:rPr>
          <w:i/>
          <w:iCs/>
        </w:rPr>
        <w:t>et al</w:t>
      </w:r>
      <w:r>
        <w:t xml:space="preserve">., 2018). </w:t>
      </w:r>
    </w:p>
    <w:p w14:paraId="195558EA" w14:textId="245D6489" w:rsidR="00CF4C61" w:rsidRDefault="00CF4C61" w:rsidP="00CF4C61">
      <w:r>
        <w:t xml:space="preserve">The neurophysiological mechanisms are suggested to be brought about by the complex interaction between the central and peripheral nervous systems which comprise the experience of pain (Bialosky </w:t>
      </w:r>
      <w:r w:rsidR="00F8283B" w:rsidRPr="00F8283B">
        <w:rPr>
          <w:i/>
          <w:iCs/>
        </w:rPr>
        <w:t>et al</w:t>
      </w:r>
      <w:r>
        <w:t>., 2009;</w:t>
      </w:r>
      <w:r w:rsidRPr="00BC5CB1">
        <w:t xml:space="preserve"> </w:t>
      </w:r>
      <w:proofErr w:type="spellStart"/>
      <w:r w:rsidRPr="00B31F26">
        <w:t>Lascurain-Aguirreben</w:t>
      </w:r>
      <w:r>
        <w:t>a</w:t>
      </w:r>
      <w:proofErr w:type="spellEnd"/>
      <w:r w:rsidRPr="00B31F26">
        <w:t xml:space="preserve"> </w:t>
      </w:r>
      <w:r w:rsidR="00F8283B" w:rsidRPr="00F8283B">
        <w:rPr>
          <w:i/>
          <w:iCs/>
        </w:rPr>
        <w:t>et al</w:t>
      </w:r>
      <w:r>
        <w:t xml:space="preserve">., 2016).  Bialosky </w:t>
      </w:r>
      <w:r w:rsidR="00F8283B" w:rsidRPr="00F8283B">
        <w:rPr>
          <w:i/>
          <w:iCs/>
        </w:rPr>
        <w:t>et al</w:t>
      </w:r>
      <w:r>
        <w:t xml:space="preserve">. (2009, 2018) proposes a model that mechanical force is necessary, as a contributor, which initiates a chain of responses, neurophysiological, that produce the associated outcomes </w:t>
      </w:r>
      <w:r>
        <w:lastRenderedPageBreak/>
        <w:t xml:space="preserve">proposed of MT. Lima </w:t>
      </w:r>
      <w:r w:rsidR="00F8283B" w:rsidRPr="00F8283B">
        <w:rPr>
          <w:i/>
          <w:iCs/>
        </w:rPr>
        <w:t>et al</w:t>
      </w:r>
      <w:r>
        <w:t xml:space="preserve">. (2020) shows that mobilisations modulate nocifensive reflexes potentially through a variety of central and/or peripheral mechanisms. These hypotheses suggest that there is not one, but multiple mechanisms at play most likely from the spinal cord, peripheral, and supraspinal mechanisms (Bialosky </w:t>
      </w:r>
      <w:r w:rsidR="00F8283B" w:rsidRPr="00F8283B">
        <w:rPr>
          <w:i/>
          <w:iCs/>
        </w:rPr>
        <w:t>et al</w:t>
      </w:r>
      <w:r>
        <w:t xml:space="preserve">., 2009, 2018). They also suggest the psychological factors may enhance or reduce effectiveness of techniques. This could be a positive relationship with the provider or catastrophising by the patient (Bishop </w:t>
      </w:r>
      <w:r w:rsidR="00F8283B" w:rsidRPr="00F8283B">
        <w:rPr>
          <w:i/>
          <w:iCs/>
        </w:rPr>
        <w:t>et al</w:t>
      </w:r>
      <w:r>
        <w:t xml:space="preserve">., 2015). There is also evidence of a possible placebo effect found in a systematic review by </w:t>
      </w:r>
      <w:proofErr w:type="spellStart"/>
      <w:r w:rsidRPr="00B31F26">
        <w:t>Lascurain-Aguirreben</w:t>
      </w:r>
      <w:r>
        <w:t>a</w:t>
      </w:r>
      <w:proofErr w:type="spellEnd"/>
      <w:r w:rsidRPr="00B31F26">
        <w:t xml:space="preserve"> </w:t>
      </w:r>
      <w:r w:rsidR="00F8283B" w:rsidRPr="00F8283B">
        <w:rPr>
          <w:i/>
          <w:iCs/>
        </w:rPr>
        <w:t>et al</w:t>
      </w:r>
      <w:r>
        <w:t>. (2016).</w:t>
      </w:r>
    </w:p>
    <w:p w14:paraId="675A1DB6" w14:textId="2AC8935A" w:rsidR="00D95177" w:rsidRDefault="005A0DB8" w:rsidP="00CF4C61">
      <w:r>
        <w:t xml:space="preserve">There may also be a neuroendocrine response to manual therapy. Sampath </w:t>
      </w:r>
      <w:r w:rsidR="00F8283B" w:rsidRPr="00F8283B">
        <w:rPr>
          <w:i/>
          <w:iCs/>
        </w:rPr>
        <w:t>et al</w:t>
      </w:r>
      <w:r>
        <w:t xml:space="preserve">. (2015) suggest that the nervous system may modulate the hypothalamic-pituitary-adrenal axis (HPA) function from somatic stimulation, in this case thoracic spinal MT. The reasoning behind this is that pain triggers reactions, mediated by the central nervous system (CNS), to protect the body. The adrenal glucocorticoids produced by the HPA axis, known for the immunosuppressive and anti-inflammatory effects, are produced in response to inflammation (Sampath </w:t>
      </w:r>
      <w:r w:rsidR="00F8283B" w:rsidRPr="00F8283B">
        <w:rPr>
          <w:i/>
          <w:iCs/>
        </w:rPr>
        <w:t>et al</w:t>
      </w:r>
      <w:r>
        <w:t xml:space="preserve">., 2015). If inflammation is produced due to pain/injury, and somatic stimulation (MT) induces the HPA axis and nervous system to excrete hormones that may cause an analgesic effect, MT can have a positive impact on a patients reported pain. </w:t>
      </w:r>
    </w:p>
    <w:p w14:paraId="5E5770DC" w14:textId="35D7DE2D" w:rsidR="003C7D57" w:rsidRDefault="003C7D57" w:rsidP="003C7D57">
      <w:r>
        <w:t xml:space="preserve">Analgesia, pain relief, can be induced through a few mechanisms as reported by </w:t>
      </w:r>
      <w:proofErr w:type="spellStart"/>
      <w:r>
        <w:t>Vigotsky</w:t>
      </w:r>
      <w:proofErr w:type="spellEnd"/>
      <w:r>
        <w:t xml:space="preserve"> and </w:t>
      </w:r>
      <w:proofErr w:type="spellStart"/>
      <w:r>
        <w:t>Bruhns</w:t>
      </w:r>
      <w:proofErr w:type="spellEnd"/>
      <w:r>
        <w:t xml:space="preserve"> (2015). Gate control theory is proposed to work by </w:t>
      </w:r>
      <w:proofErr w:type="spellStart"/>
      <w:r>
        <w:t>nonnoxious</w:t>
      </w:r>
      <w:proofErr w:type="spellEnd"/>
      <w:r>
        <w:t xml:space="preserve"> stimuli/ input suppressing painful output by way of inhibiting dorsal root nociceptors (</w:t>
      </w:r>
      <w:proofErr w:type="spellStart"/>
      <w:r>
        <w:t>Melzack</w:t>
      </w:r>
      <w:proofErr w:type="spellEnd"/>
      <w:r>
        <w:t xml:space="preserve"> and Wall, 1965). Often this is triggered by nonthreatening sensory input, or touch, that activates A-beta fibres which inhibit A-delta and C afferent fibres carrying nociceptive input. </w:t>
      </w:r>
      <w:r w:rsidR="004D48ED">
        <w:t xml:space="preserve">This </w:t>
      </w:r>
      <w:r w:rsidR="00AF4D0A">
        <w:t xml:space="preserve">shows there a is a possibility that just by laying hands on a patient there may be a </w:t>
      </w:r>
      <w:r w:rsidR="00F24979">
        <w:t xml:space="preserve">pain-relieving effect. </w:t>
      </w:r>
      <w:r>
        <w:t>Another mechanism that can produce analgesic response is through the descending modulatory circuits (</w:t>
      </w:r>
      <w:proofErr w:type="spellStart"/>
      <w:r>
        <w:t>Vigotsky</w:t>
      </w:r>
      <w:proofErr w:type="spellEnd"/>
      <w:r>
        <w:t xml:space="preserve"> and </w:t>
      </w:r>
      <w:proofErr w:type="spellStart"/>
      <w:r>
        <w:t>Bruhns</w:t>
      </w:r>
      <w:proofErr w:type="spellEnd"/>
      <w:r>
        <w:t xml:space="preserve">, 2015). This shows that neurotransmitters act on </w:t>
      </w:r>
      <w:proofErr w:type="spellStart"/>
      <w:r>
        <w:t>periacqueductal</w:t>
      </w:r>
      <w:proofErr w:type="spellEnd"/>
      <w:r>
        <w:t xml:space="preserve"> grey (PAG) and rostral ventromedial medulla (RVM) </w:t>
      </w:r>
      <w:r w:rsidR="00F24979">
        <w:t>to</w:t>
      </w:r>
      <w:r>
        <w:t xml:space="preserve"> modulate pain output and nociceptive circuits. Though </w:t>
      </w:r>
      <w:proofErr w:type="spellStart"/>
      <w:r>
        <w:t>Vigotsky</w:t>
      </w:r>
      <w:proofErr w:type="spellEnd"/>
      <w:r>
        <w:t xml:space="preserve"> and </w:t>
      </w:r>
      <w:proofErr w:type="spellStart"/>
      <w:r>
        <w:t>Bruhns</w:t>
      </w:r>
      <w:proofErr w:type="spellEnd"/>
      <w:r>
        <w:t xml:space="preserve"> (2015) agree that spinal MT’s analgesic properties have a neurophysiologic mechanism through the descending pain modulation pathway, they admit it is still not fully understood. Even with this admittance, the analgesia effects are still available to utilise through manual therapy. Supraspinal effects of MT investigated in humans using functional magnetic resonance imaging (fMRI) have shown immediate changes in the brain regions processing and modulating the pain experience with </w:t>
      </w:r>
      <w:r>
        <w:lastRenderedPageBreak/>
        <w:t xml:space="preserve">an immediate reduction in clinical pain (Bishop </w:t>
      </w:r>
      <w:r w:rsidR="00F8283B" w:rsidRPr="00F8283B">
        <w:rPr>
          <w:i/>
          <w:iCs/>
        </w:rPr>
        <w:t>et al</w:t>
      </w:r>
      <w:r>
        <w:t xml:space="preserve">., 2015). This also shows evidence of a neurophysiological effect attributed to manual therapy directed at the spine. </w:t>
      </w:r>
    </w:p>
    <w:p w14:paraId="6A9653C4" w14:textId="4F31412E" w:rsidR="006C7450" w:rsidRDefault="00327341" w:rsidP="003C7D57">
      <w:r>
        <w:t xml:space="preserve">Reed </w:t>
      </w:r>
      <w:r w:rsidR="00F8283B" w:rsidRPr="00F8283B">
        <w:rPr>
          <w:i/>
          <w:iCs/>
        </w:rPr>
        <w:t>et al</w:t>
      </w:r>
      <w:r>
        <w:t xml:space="preserve">. (2020) states there is a lack of knowledge of the mechanism underlying the clinical </w:t>
      </w:r>
      <w:proofErr w:type="spellStart"/>
      <w:r>
        <w:t>hypoalgesic</w:t>
      </w:r>
      <w:proofErr w:type="spellEnd"/>
      <w:r>
        <w:t xml:space="preserve"> effects. The results of this study show that spinal MT decreases spontaneous pain and has a preventative effect on developing truck mechanical hyperalgesia in nerve growth factor (NGF) induced lower back pain (LBP) in female rats. The data also recorded reduction of calcitonin gene related peptide (CGRP)-response in the dorsal root ganglia of the lumbar. NGF can upregulate pro-nociceptive neuropeptides, such as CGRP, in primary afferent neurons which are key to developing and maintaining persistent pain (Reed </w:t>
      </w:r>
      <w:r w:rsidR="00F8283B" w:rsidRPr="00F8283B">
        <w:rPr>
          <w:i/>
          <w:iCs/>
        </w:rPr>
        <w:t>et al</w:t>
      </w:r>
      <w:r>
        <w:t xml:space="preserve">., 2020). Reed </w:t>
      </w:r>
      <w:r w:rsidR="00F8283B" w:rsidRPr="00F8283B">
        <w:rPr>
          <w:i/>
          <w:iCs/>
        </w:rPr>
        <w:t>et al</w:t>
      </w:r>
      <w:r>
        <w:t xml:space="preserve">. (2020) suggests that several pain mechanisms that lead to persistent LBP can be suppressed with daily spinal MT. This is said to “prevent NGF-induced dorsal horn neuronal hyperexcitability” (Reed </w:t>
      </w:r>
      <w:r w:rsidR="00F8283B" w:rsidRPr="00F8283B">
        <w:rPr>
          <w:i/>
          <w:iCs/>
        </w:rPr>
        <w:t>et al</w:t>
      </w:r>
      <w:r>
        <w:t xml:space="preserve">., 2020). This shows that daily spinal MT soon after injury may act to prevent or at least minimise LBP by attenuating the production of pain-related neuropeptides. </w:t>
      </w:r>
    </w:p>
    <w:p w14:paraId="64DEA173" w14:textId="7BF9FF79" w:rsidR="00F2575D" w:rsidRDefault="00F2575D" w:rsidP="00F2575D">
      <w:r>
        <w:t xml:space="preserve">In terms of pain relief, there is a multitude of studies showing the analgesic effects of MT. In a systematic review and meta-analysis of randomised controlled trials of the benefits and harms of spinal MT for the treatment of chronic low back pain by Rubinstein </w:t>
      </w:r>
      <w:r w:rsidR="00F8283B" w:rsidRPr="00F8283B">
        <w:rPr>
          <w:i/>
          <w:iCs/>
        </w:rPr>
        <w:t>et al</w:t>
      </w:r>
      <w:r>
        <w:t>. (2019) there was evidence of pain-relief in the short-term. Although the evidence showed no difference of outcome versus exercise it is suggested a multimodal approach including exercise and education with MT provide better outcomes</w:t>
      </w:r>
      <w:r w:rsidRPr="00D424E2">
        <w:t xml:space="preserve"> </w:t>
      </w:r>
      <w:r>
        <w:t xml:space="preserve">(Bishop </w:t>
      </w:r>
      <w:r w:rsidR="00F8283B" w:rsidRPr="00F8283B">
        <w:rPr>
          <w:i/>
          <w:iCs/>
        </w:rPr>
        <w:t>et al</w:t>
      </w:r>
      <w:r>
        <w:t xml:space="preserve">., 2015; </w:t>
      </w:r>
      <w:proofErr w:type="spellStart"/>
      <w:r>
        <w:t>Groeneweg</w:t>
      </w:r>
      <w:proofErr w:type="spellEnd"/>
      <w:r>
        <w:t xml:space="preserve"> </w:t>
      </w:r>
      <w:r w:rsidR="00F8283B" w:rsidRPr="00F8283B">
        <w:rPr>
          <w:i/>
          <w:iCs/>
        </w:rPr>
        <w:t>et al</w:t>
      </w:r>
      <w:r>
        <w:t xml:space="preserve">., 2017; Shah and Kage, 2016). This further backed up in a systematic review by Hidalgo </w:t>
      </w:r>
      <w:r w:rsidR="00F8283B" w:rsidRPr="00F8283B">
        <w:rPr>
          <w:i/>
          <w:iCs/>
        </w:rPr>
        <w:t>et al</w:t>
      </w:r>
      <w:r>
        <w:t xml:space="preserve">. (2017) and a review by </w:t>
      </w:r>
      <w:proofErr w:type="spellStart"/>
      <w:r>
        <w:t>Thoomes</w:t>
      </w:r>
      <w:proofErr w:type="spellEnd"/>
      <w:r>
        <w:t xml:space="preserve"> (2016) that states MT with exercise produces better outcomes than exercise or MT alone. From these reviews it is reasonable to suggest that reducing a patients pain with MT while educating them on the added benefit that exercise has to further pain relief may encourage the patient to assume some responsibility for their own health and recovery. </w:t>
      </w:r>
    </w:p>
    <w:p w14:paraId="58CD771D" w14:textId="18B9F970" w:rsidR="00621C6C" w:rsidRDefault="00621C6C" w:rsidP="00621C6C">
      <w:r>
        <w:t>There are</w:t>
      </w:r>
      <w:r w:rsidR="00327341">
        <w:t xml:space="preserve"> also</w:t>
      </w:r>
      <w:r>
        <w:t xml:space="preserve"> inconsistencies in the evidence for the efficacy MT’s analgesic effects. Many studies included in systematic reviews show inconclusive evidence for MT used for pain relief (</w:t>
      </w:r>
      <w:proofErr w:type="spellStart"/>
      <w:r>
        <w:t>Clar</w:t>
      </w:r>
      <w:proofErr w:type="spellEnd"/>
      <w:r>
        <w:t xml:space="preserve"> </w:t>
      </w:r>
      <w:r w:rsidR="00F8283B" w:rsidRPr="00F8283B">
        <w:rPr>
          <w:i/>
          <w:iCs/>
        </w:rPr>
        <w:t>et al</w:t>
      </w:r>
      <w:r>
        <w:t xml:space="preserve">., 2014; Coulter </w:t>
      </w:r>
      <w:r w:rsidR="00F8283B" w:rsidRPr="00F8283B">
        <w:rPr>
          <w:i/>
          <w:iCs/>
        </w:rPr>
        <w:t>et al</w:t>
      </w:r>
      <w:r>
        <w:t xml:space="preserve">., 2019). The review by </w:t>
      </w:r>
      <w:proofErr w:type="spellStart"/>
      <w:r>
        <w:t>Thoomes</w:t>
      </w:r>
      <w:proofErr w:type="spellEnd"/>
      <w:r>
        <w:t xml:space="preserve"> (2016) also reports low level and inconsistent evidence for MT. The evidence of these reviews report in favour of the use of MT for pain relief though the inconsistencies due to reporting of methodological flaws render such evidence inconclusive or insufficient (Bishop </w:t>
      </w:r>
      <w:r w:rsidR="00F8283B" w:rsidRPr="00F8283B">
        <w:rPr>
          <w:i/>
          <w:iCs/>
        </w:rPr>
        <w:t>et al</w:t>
      </w:r>
      <w:r>
        <w:t xml:space="preserve">., 2015; </w:t>
      </w:r>
      <w:proofErr w:type="spellStart"/>
      <w:r>
        <w:t>Clar</w:t>
      </w:r>
      <w:proofErr w:type="spellEnd"/>
      <w:r>
        <w:t xml:space="preserve"> </w:t>
      </w:r>
      <w:r w:rsidR="00F8283B" w:rsidRPr="00F8283B">
        <w:rPr>
          <w:i/>
          <w:iCs/>
        </w:rPr>
        <w:t>et al</w:t>
      </w:r>
      <w:r>
        <w:t xml:space="preserve">., 2014; </w:t>
      </w:r>
      <w:r>
        <w:lastRenderedPageBreak/>
        <w:t xml:space="preserve">Coulter </w:t>
      </w:r>
      <w:r w:rsidR="00F8283B" w:rsidRPr="00F8283B">
        <w:rPr>
          <w:i/>
          <w:iCs/>
        </w:rPr>
        <w:t>et al</w:t>
      </w:r>
      <w:r>
        <w:t xml:space="preserve">., 2019). This suggest that MT works though the outcomes were not consistent. Some reasons that there are inconsistencies may be that treatment is modified by non-specific factors. These are suggested to be expectations of the patient, the setting, relationship between patient and provider, placebo effects, equipoise of the provider, differences in experience and training, inadequate reporting of techniques/interventions, and dosing of treatment modalities (sets and repetitions of said techniques) (Bishop </w:t>
      </w:r>
      <w:r w:rsidR="00F8283B" w:rsidRPr="00F8283B">
        <w:rPr>
          <w:i/>
          <w:iCs/>
        </w:rPr>
        <w:t>et al</w:t>
      </w:r>
      <w:r>
        <w:t xml:space="preserve">., 2015; </w:t>
      </w:r>
      <w:proofErr w:type="spellStart"/>
      <w:r>
        <w:t>Clar</w:t>
      </w:r>
      <w:proofErr w:type="spellEnd"/>
      <w:r>
        <w:t xml:space="preserve"> </w:t>
      </w:r>
      <w:r w:rsidR="00F8283B" w:rsidRPr="00F8283B">
        <w:rPr>
          <w:i/>
          <w:iCs/>
        </w:rPr>
        <w:t>et al</w:t>
      </w:r>
      <w:r>
        <w:t xml:space="preserve">., 2014). Coulter </w:t>
      </w:r>
      <w:r w:rsidR="00F8283B" w:rsidRPr="00F8283B">
        <w:rPr>
          <w:i/>
          <w:iCs/>
        </w:rPr>
        <w:t>et al</w:t>
      </w:r>
      <w:r>
        <w:t xml:space="preserve">. (2018) suggests that chronic pain is a such a multifactorial condition that the considerable variation on styles, techniques and dosing of MT may confer different results and what may produce positive outcome for one patient may not in another. </w:t>
      </w:r>
    </w:p>
    <w:p w14:paraId="26384C22" w14:textId="3C949752" w:rsidR="00621C6C" w:rsidRDefault="00B073C0" w:rsidP="00F2575D">
      <w:proofErr w:type="spellStart"/>
      <w:r w:rsidRPr="00B31F26">
        <w:t>Lascurain-Aguirreben</w:t>
      </w:r>
      <w:r>
        <w:t>a</w:t>
      </w:r>
      <w:proofErr w:type="spellEnd"/>
      <w:r w:rsidRPr="00B31F26">
        <w:t xml:space="preserve"> </w:t>
      </w:r>
      <w:r w:rsidR="00F8283B" w:rsidRPr="00F8283B">
        <w:rPr>
          <w:i/>
          <w:iCs/>
        </w:rPr>
        <w:t>et al</w:t>
      </w:r>
      <w:r>
        <w:t>. (2016) suggests at the possibility that mobilisations reduce muscle spindle hyperexcitability via modulating the y-motoneuron. This may contribute to a reduction of symptoms by influencing the pain-spasm-pain cycle. There is also the possibility that MT of the spine may restore appropriate activation of the musculature, or motor function normalisation, may be the result of hypoalgesia and not the direct result of MT (</w:t>
      </w:r>
      <w:proofErr w:type="spellStart"/>
      <w:r w:rsidRPr="00B31F26">
        <w:t>Lascurain-Aguirreben</w:t>
      </w:r>
      <w:r>
        <w:t>a</w:t>
      </w:r>
      <w:proofErr w:type="spellEnd"/>
      <w:r w:rsidRPr="00B31F26">
        <w:t xml:space="preserve"> </w:t>
      </w:r>
      <w:r w:rsidR="00F8283B" w:rsidRPr="00F8283B">
        <w:rPr>
          <w:i/>
          <w:iCs/>
        </w:rPr>
        <w:t>et al</w:t>
      </w:r>
      <w:r>
        <w:t xml:space="preserve">., 2016). This points toward manual therapy having more of an effect on the surrounding soft tissue, than the joint itself, by either returning the tissue to normal activation, or relaxation due to a hypoalgesia. </w:t>
      </w:r>
    </w:p>
    <w:p w14:paraId="668FE772" w14:textId="2D887AB0" w:rsidR="00BE2A7C" w:rsidRDefault="004253FF" w:rsidP="004253FF">
      <w:r>
        <w:t xml:space="preserve">Due to the proprioceptive and nociceptive afferents in ligament tissue they can be a source of musculoskeletal pain (Zhang </w:t>
      </w:r>
      <w:r w:rsidR="00F8283B" w:rsidRPr="00F8283B">
        <w:rPr>
          <w:i/>
          <w:iCs/>
        </w:rPr>
        <w:t>et al</w:t>
      </w:r>
      <w:r>
        <w:t xml:space="preserve">., 2018). The spinal facet joint is enclosed by a ligament capsule that allows articulations between adjacent vertebrae and can induce pain in the neck and back when under excessive stress (Zhang </w:t>
      </w:r>
      <w:r w:rsidR="00F8283B" w:rsidRPr="00F8283B">
        <w:rPr>
          <w:i/>
          <w:iCs/>
        </w:rPr>
        <w:t>et al</w:t>
      </w:r>
      <w:r>
        <w:t xml:space="preserve">., 2018). The pain and neuronal activation because of excessive stretch, is hypothesised, to be mediated by collagen organisation in innervated ligaments (Zhang </w:t>
      </w:r>
      <w:r w:rsidR="00F8283B" w:rsidRPr="00F8283B">
        <w:rPr>
          <w:i/>
          <w:iCs/>
        </w:rPr>
        <w:t>et al</w:t>
      </w:r>
      <w:r>
        <w:t xml:space="preserve">., 2018). The in vitro neuron-collagen construct model in the study by Zhang </w:t>
      </w:r>
      <w:r w:rsidR="00F8283B" w:rsidRPr="00F8283B">
        <w:rPr>
          <w:i/>
          <w:iCs/>
        </w:rPr>
        <w:t>et al</w:t>
      </w:r>
      <w:r>
        <w:t xml:space="preserve">. (2018) shows that “collagen organisation appears to regulate stretched-induced, pain-related signalling in neurons embedded in an extracellular matrix.” </w:t>
      </w:r>
      <w:r w:rsidR="008C4809">
        <w:t xml:space="preserve">If this </w:t>
      </w:r>
      <w:r w:rsidR="00333AD3">
        <w:t>is correct</w:t>
      </w:r>
      <w:r w:rsidR="000D43BD">
        <w:t>,</w:t>
      </w:r>
      <w:r w:rsidR="00333AD3">
        <w:t xml:space="preserve"> </w:t>
      </w:r>
      <w:proofErr w:type="gramStart"/>
      <w:r w:rsidR="00333AD3">
        <w:t>damaged</w:t>
      </w:r>
      <w:proofErr w:type="gramEnd"/>
      <w:r w:rsidR="000D43BD">
        <w:t xml:space="preserve"> </w:t>
      </w:r>
      <w:r w:rsidR="00333AD3">
        <w:t xml:space="preserve">or </w:t>
      </w:r>
      <w:r w:rsidR="000D43BD">
        <w:t xml:space="preserve">incorrectly laid down collagen fibres </w:t>
      </w:r>
      <w:r w:rsidR="002D30A6">
        <w:t xml:space="preserve">and the mechanoreceptors </w:t>
      </w:r>
      <w:r w:rsidR="00527BC5">
        <w:t xml:space="preserve">that </w:t>
      </w:r>
      <w:r w:rsidR="00BE2A7C">
        <w:t xml:space="preserve">sense change in the tissue </w:t>
      </w:r>
      <w:r w:rsidR="000D43BD">
        <w:t>may be</w:t>
      </w:r>
      <w:r w:rsidR="00911775">
        <w:t xml:space="preserve"> partially</w:t>
      </w:r>
      <w:r w:rsidR="000D43BD">
        <w:t xml:space="preserve"> responsible for </w:t>
      </w:r>
      <w:r w:rsidR="00240B65">
        <w:t xml:space="preserve">inducing a pain sensation. </w:t>
      </w:r>
    </w:p>
    <w:p w14:paraId="176FD2D0" w14:textId="42EC3AF2" w:rsidR="004253FF" w:rsidRDefault="004253FF" w:rsidP="004253FF">
      <w:r>
        <w:t xml:space="preserve">It has been demonstrated that mechanoreceptor responses occur at vertebral segments away from the site of MT (Lima </w:t>
      </w:r>
      <w:r w:rsidR="00F8283B" w:rsidRPr="00F8283B">
        <w:rPr>
          <w:i/>
          <w:iCs/>
        </w:rPr>
        <w:t>et al</w:t>
      </w:r>
      <w:r>
        <w:t xml:space="preserve">., 2020). Bishop </w:t>
      </w:r>
      <w:r w:rsidR="00F8283B" w:rsidRPr="00F8283B">
        <w:rPr>
          <w:i/>
          <w:iCs/>
        </w:rPr>
        <w:t>et al</w:t>
      </w:r>
      <w:r>
        <w:t xml:space="preserve">. (2015) also shows that MT performed on areas other than the site of disfunction produce an analgesic effect, suggesting specific mechanical parameters may be less important than thought. Further evidence of that MT application need not be applied to the symptomatic level for improving pain is provided by a </w:t>
      </w:r>
      <w:r>
        <w:lastRenderedPageBreak/>
        <w:t xml:space="preserve">systematic review by Hidalgo </w:t>
      </w:r>
      <w:r w:rsidR="00F8283B" w:rsidRPr="00F8283B">
        <w:rPr>
          <w:i/>
          <w:iCs/>
        </w:rPr>
        <w:t>et al</w:t>
      </w:r>
      <w:r>
        <w:t xml:space="preserve">. (2017). This does not completely explain the effect of pain relief of MT and shows there must be other mechanisms that need consideration. This </w:t>
      </w:r>
      <w:r w:rsidR="00C0692A">
        <w:t xml:space="preserve">is </w:t>
      </w:r>
      <w:r>
        <w:t xml:space="preserve">useful for treatment as working directly on spinal joint sprain/pain/injury may irritate it further and being able to provide an analgesic effect by working on a nearby segment may give the patient relief of pain while the site is healing. </w:t>
      </w:r>
    </w:p>
    <w:p w14:paraId="5F7D16EB" w14:textId="36CD480F" w:rsidR="00815099" w:rsidRDefault="00815099" w:rsidP="00815099">
      <w:r>
        <w:t>Another consideration is safety in applying manual therapy techniques. Mt has been proposed to be dangerous and should not be used by a clinically reasoned therapist. Though there are adverse events (AE) in applying MT to the spine the evidence points to them being common though mild and transient in nature. These are described as worsening of symptoms, temporary treatment-related soreness, and tiredness (</w:t>
      </w:r>
      <w:proofErr w:type="spellStart"/>
      <w:r>
        <w:t>Chaibi</w:t>
      </w:r>
      <w:proofErr w:type="spellEnd"/>
      <w:r>
        <w:t xml:space="preserve"> and Russel, 2019; Coulter </w:t>
      </w:r>
      <w:r w:rsidR="00F8283B" w:rsidRPr="00F8283B">
        <w:rPr>
          <w:i/>
          <w:iCs/>
        </w:rPr>
        <w:t>et al</w:t>
      </w:r>
      <w:r>
        <w:t xml:space="preserve">., 2018; </w:t>
      </w:r>
      <w:proofErr w:type="spellStart"/>
      <w:r>
        <w:t>Paanalahti</w:t>
      </w:r>
      <w:proofErr w:type="spellEnd"/>
      <w:r>
        <w:t xml:space="preserve"> </w:t>
      </w:r>
      <w:r w:rsidR="00F8283B" w:rsidRPr="00F8283B">
        <w:rPr>
          <w:i/>
          <w:iCs/>
        </w:rPr>
        <w:t>et al</w:t>
      </w:r>
      <w:r>
        <w:t xml:space="preserve">., 2014). Wong </w:t>
      </w:r>
      <w:r w:rsidR="00F8283B" w:rsidRPr="00F8283B">
        <w:rPr>
          <w:i/>
          <w:iCs/>
        </w:rPr>
        <w:t>et al</w:t>
      </w:r>
      <w:r>
        <w:t xml:space="preserve">. (2016) shows of 22 studies that reported AE’s they were mild to moderate and transient, after cervical mobilisation, and no serious neurovascular AE’s reported. Two serious events were reported but deemed as unrelated to treatment (one </w:t>
      </w:r>
      <w:proofErr w:type="spellStart"/>
      <w:r>
        <w:t>cardic</w:t>
      </w:r>
      <w:proofErr w:type="spellEnd"/>
      <w:r>
        <w:t xml:space="preserve"> event, one severe arm pain and weakness three days after treatment). Multiple studies show evidence that MT is safe, can be used for as therapy for pain reduction, and that serious AE’s are extremely rare, provided the therapy is clinically reasoned and serious pathologies are ruled out (</w:t>
      </w:r>
      <w:proofErr w:type="spellStart"/>
      <w:r>
        <w:t>Chaibi</w:t>
      </w:r>
      <w:proofErr w:type="spellEnd"/>
      <w:r>
        <w:t xml:space="preserve"> and Russel, 2019; Coulter </w:t>
      </w:r>
      <w:r w:rsidR="00F8283B" w:rsidRPr="00F8283B">
        <w:rPr>
          <w:i/>
          <w:iCs/>
        </w:rPr>
        <w:t>et al</w:t>
      </w:r>
      <w:r>
        <w:t xml:space="preserve">., 2018; </w:t>
      </w:r>
      <w:proofErr w:type="spellStart"/>
      <w:r>
        <w:t>Deyo</w:t>
      </w:r>
      <w:proofErr w:type="spellEnd"/>
      <w:r>
        <w:t xml:space="preserve">, 2017; </w:t>
      </w:r>
      <w:proofErr w:type="spellStart"/>
      <w:r>
        <w:t>Paanalahti</w:t>
      </w:r>
      <w:proofErr w:type="spellEnd"/>
      <w:r>
        <w:t xml:space="preserve"> </w:t>
      </w:r>
      <w:r w:rsidR="00F8283B" w:rsidRPr="00F8283B">
        <w:rPr>
          <w:i/>
          <w:iCs/>
        </w:rPr>
        <w:t>et al</w:t>
      </w:r>
      <w:r>
        <w:t xml:space="preserve">., 2014; Wong </w:t>
      </w:r>
      <w:r w:rsidR="00F8283B" w:rsidRPr="00F8283B">
        <w:rPr>
          <w:i/>
          <w:iCs/>
        </w:rPr>
        <w:t>et al</w:t>
      </w:r>
      <w:r>
        <w:t xml:space="preserve">., 2016). </w:t>
      </w:r>
      <w:proofErr w:type="spellStart"/>
      <w:r>
        <w:t>Chaibi</w:t>
      </w:r>
      <w:proofErr w:type="spellEnd"/>
      <w:r>
        <w:t xml:space="preserve"> and Russel (2019) discuss MT as suspected in neurovascular events of the cervical spine and conclude that it is difficult to provide direct causality. They question whether the MT provoked the neurovascular event, or the event symptoms lead the patient to seek treatment. </w:t>
      </w:r>
      <w:proofErr w:type="spellStart"/>
      <w:r>
        <w:t>Deyo</w:t>
      </w:r>
      <w:proofErr w:type="spellEnd"/>
      <w:r>
        <w:t xml:space="preserve"> (2017) and Reed </w:t>
      </w:r>
      <w:r w:rsidR="00F8283B" w:rsidRPr="00F8283B">
        <w:rPr>
          <w:i/>
          <w:iCs/>
        </w:rPr>
        <w:t>et al</w:t>
      </w:r>
      <w:r>
        <w:t>. (2020) suggest MT as a safe alternative to pharmacological interventions as the adverse events include renal and gastrointestinal complications from long term use of non-steroidal anti-inflammatory drugs and opioid based drug.</w:t>
      </w:r>
    </w:p>
    <w:p w14:paraId="065803FE" w14:textId="1EE6EF82" w:rsidR="00276D12" w:rsidRDefault="00276D12" w:rsidP="00276D12">
      <w:r>
        <w:t xml:space="preserve">The objective of this paper was to examine and understand spinal manual therapy mechanism of action and </w:t>
      </w:r>
      <w:proofErr w:type="gramStart"/>
      <w:r>
        <w:t>whether or not</w:t>
      </w:r>
      <w:proofErr w:type="gramEnd"/>
      <w:r>
        <w:t xml:space="preserve"> it should be used as a viable analgesic treatment option for patients with back and neck pain. At initial viewing of the large body of inconclusive evidence put forward regarding spinal MT’s effect it would suggest the answer would be ’no’. After further investigation of the inconclusive results, mostly due to methodological inaccuracies, also pointed to positive/favourable outcomes </w:t>
      </w:r>
      <w:proofErr w:type="gramStart"/>
      <w:r>
        <w:t>in regards to</w:t>
      </w:r>
      <w:proofErr w:type="gramEnd"/>
      <w:r>
        <w:t xml:space="preserve"> pain relief. These inconclusive results are in part due non-specific factors and some can be corrected by accurately recording treatment technique and dose. Though there is more than enough evidence that shows there is an immediate, short-term pain-relieving effect, there is little </w:t>
      </w:r>
      <w:r>
        <w:lastRenderedPageBreak/>
        <w:t xml:space="preserve">evidence on the specific pathways this mechanism acts through. There is an effect on the mechanoreceptors in the surrounding areas, even away from the treatment site, that may be breaking the pain-spasm-pain cycle and/or relaxation due to analgesia. Evidence has also been provided of a neurophysiological effect of pain relief through the nervous system and HPA axis by way of the pain gate and often induced by touch. Due diligence should always be taken with any patient to ensure treatment does not compromise health and/or cause further injury or exasperate a severe pathology, especially working on the spine. In conclusion, if the patient is physically and psychologically able, in their current circumstances, to respond to the treatment, and it is clinically reasoned by the therapist, then it may be used within a multimodal approach. With adverse events being mild and transient and severe events extremely rare, using Spinal MT for its analgesic effects is a valid, non-pharmacological treatment for pain reduction.  </w:t>
      </w:r>
    </w:p>
    <w:p w14:paraId="0B00646B" w14:textId="77777777" w:rsidR="00AF6A5F" w:rsidRDefault="00AF6A5F" w:rsidP="00276D12">
      <w:pPr>
        <w:rPr>
          <w:b/>
          <w:bCs/>
          <w:u w:val="single"/>
        </w:rPr>
      </w:pPr>
    </w:p>
    <w:p w14:paraId="44581831" w14:textId="77777777" w:rsidR="00AF6A5F" w:rsidRDefault="00AF6A5F" w:rsidP="00276D12">
      <w:pPr>
        <w:rPr>
          <w:b/>
          <w:bCs/>
          <w:u w:val="single"/>
        </w:rPr>
      </w:pPr>
    </w:p>
    <w:p w14:paraId="09202739" w14:textId="77777777" w:rsidR="00AF6A5F" w:rsidRDefault="00AF6A5F" w:rsidP="00276D12">
      <w:pPr>
        <w:rPr>
          <w:b/>
          <w:bCs/>
          <w:u w:val="single"/>
        </w:rPr>
      </w:pPr>
    </w:p>
    <w:p w14:paraId="1953D561" w14:textId="77777777" w:rsidR="00AF6A5F" w:rsidRDefault="00AF6A5F" w:rsidP="00276D12">
      <w:pPr>
        <w:rPr>
          <w:b/>
          <w:bCs/>
          <w:u w:val="single"/>
        </w:rPr>
      </w:pPr>
    </w:p>
    <w:p w14:paraId="3442B1F9" w14:textId="77777777" w:rsidR="00AF6A5F" w:rsidRDefault="00AF6A5F" w:rsidP="00276D12">
      <w:pPr>
        <w:rPr>
          <w:b/>
          <w:bCs/>
          <w:u w:val="single"/>
        </w:rPr>
      </w:pPr>
    </w:p>
    <w:p w14:paraId="404FEA89" w14:textId="77777777" w:rsidR="00AF6A5F" w:rsidRDefault="00AF6A5F" w:rsidP="00276D12">
      <w:pPr>
        <w:rPr>
          <w:b/>
          <w:bCs/>
          <w:u w:val="single"/>
        </w:rPr>
      </w:pPr>
    </w:p>
    <w:p w14:paraId="7E0036CA" w14:textId="77777777" w:rsidR="00AF6A5F" w:rsidRDefault="00AF6A5F" w:rsidP="00276D12">
      <w:pPr>
        <w:rPr>
          <w:b/>
          <w:bCs/>
          <w:u w:val="single"/>
        </w:rPr>
      </w:pPr>
    </w:p>
    <w:p w14:paraId="470D78A2" w14:textId="77777777" w:rsidR="00AF6A5F" w:rsidRDefault="00AF6A5F" w:rsidP="00276D12">
      <w:pPr>
        <w:rPr>
          <w:b/>
          <w:bCs/>
          <w:u w:val="single"/>
        </w:rPr>
      </w:pPr>
    </w:p>
    <w:p w14:paraId="3FA2F80C" w14:textId="77777777" w:rsidR="00AF6A5F" w:rsidRDefault="00AF6A5F" w:rsidP="00276D12">
      <w:pPr>
        <w:rPr>
          <w:b/>
          <w:bCs/>
          <w:u w:val="single"/>
        </w:rPr>
      </w:pPr>
    </w:p>
    <w:p w14:paraId="6CC3F470" w14:textId="77777777" w:rsidR="00AF6A5F" w:rsidRDefault="00AF6A5F" w:rsidP="00276D12">
      <w:pPr>
        <w:rPr>
          <w:b/>
          <w:bCs/>
          <w:u w:val="single"/>
        </w:rPr>
      </w:pPr>
    </w:p>
    <w:p w14:paraId="7B0E96D5" w14:textId="77777777" w:rsidR="00AF6A5F" w:rsidRDefault="00AF6A5F" w:rsidP="00276D12">
      <w:pPr>
        <w:rPr>
          <w:b/>
          <w:bCs/>
          <w:u w:val="single"/>
        </w:rPr>
      </w:pPr>
    </w:p>
    <w:p w14:paraId="744B967E" w14:textId="77777777" w:rsidR="00AF6A5F" w:rsidRDefault="00AF6A5F" w:rsidP="00276D12">
      <w:pPr>
        <w:rPr>
          <w:b/>
          <w:bCs/>
          <w:u w:val="single"/>
        </w:rPr>
      </w:pPr>
    </w:p>
    <w:p w14:paraId="38FBC34A" w14:textId="77777777" w:rsidR="00AF6A5F" w:rsidRDefault="00AF6A5F" w:rsidP="00276D12">
      <w:pPr>
        <w:rPr>
          <w:b/>
          <w:bCs/>
          <w:u w:val="single"/>
        </w:rPr>
      </w:pPr>
    </w:p>
    <w:p w14:paraId="1BCFE25A" w14:textId="77777777" w:rsidR="00AF6A5F" w:rsidRDefault="00AF6A5F" w:rsidP="00276D12">
      <w:pPr>
        <w:rPr>
          <w:b/>
          <w:bCs/>
          <w:u w:val="single"/>
        </w:rPr>
      </w:pPr>
    </w:p>
    <w:p w14:paraId="4787C88B" w14:textId="264FD87A" w:rsidR="00C87A4C" w:rsidRPr="00F8283B" w:rsidRDefault="00F8283B" w:rsidP="00276D12">
      <w:pPr>
        <w:rPr>
          <w:sz w:val="28"/>
          <w:szCs w:val="28"/>
        </w:rPr>
      </w:pPr>
      <w:r w:rsidRPr="00F8283B">
        <w:rPr>
          <w:sz w:val="28"/>
          <w:szCs w:val="28"/>
        </w:rPr>
        <w:t>Word count: 2237</w:t>
      </w:r>
    </w:p>
    <w:p w14:paraId="1C7F01DB" w14:textId="5F57D4B3" w:rsidR="00596B15" w:rsidRPr="00C87A4C" w:rsidRDefault="00596B15" w:rsidP="00276D12">
      <w:pPr>
        <w:rPr>
          <w:b/>
          <w:bCs/>
          <w:sz w:val="28"/>
          <w:szCs w:val="28"/>
          <w:u w:val="single"/>
        </w:rPr>
      </w:pPr>
      <w:r w:rsidRPr="00C87A4C">
        <w:rPr>
          <w:b/>
          <w:bCs/>
          <w:sz w:val="28"/>
          <w:szCs w:val="28"/>
          <w:u w:val="single"/>
        </w:rPr>
        <w:lastRenderedPageBreak/>
        <w:t>References</w:t>
      </w:r>
    </w:p>
    <w:p w14:paraId="4DF62A45" w14:textId="77777777" w:rsidR="00596B15" w:rsidRPr="008E5AF6" w:rsidRDefault="00596B15" w:rsidP="00596B15">
      <w:pPr>
        <w:pStyle w:val="NormalWeb"/>
        <w:shd w:val="clear" w:color="auto" w:fill="FFFFFF"/>
        <w:spacing w:before="0" w:beforeAutospacing="0" w:after="173" w:afterAutospacing="0"/>
        <w:ind w:left="450" w:hanging="450"/>
      </w:pPr>
      <w:proofErr w:type="spellStart"/>
      <w:r w:rsidRPr="008E5AF6">
        <w:t>Aguirrebeña</w:t>
      </w:r>
      <w:proofErr w:type="spellEnd"/>
      <w:r w:rsidRPr="008E5AF6">
        <w:t>, I.L., Newham, D. and Critchley, D. (2015), "The mechanism of action of spinal mobilisations: a systematic review"</w:t>
      </w:r>
      <w:r w:rsidRPr="008E5AF6">
        <w:rPr>
          <w:i/>
          <w:iCs/>
        </w:rPr>
        <w:t>, Physiotherapy, </w:t>
      </w:r>
      <w:r w:rsidRPr="008E5AF6">
        <w:t>Vol. 101, pp. e835.</w:t>
      </w:r>
    </w:p>
    <w:p w14:paraId="77C06A10" w14:textId="226974EB" w:rsidR="00596B15" w:rsidRPr="008E5AF6" w:rsidRDefault="00596B15" w:rsidP="00596B15">
      <w:pPr>
        <w:pStyle w:val="NormalWeb"/>
        <w:shd w:val="clear" w:color="auto" w:fill="FFFFFF"/>
        <w:spacing w:before="0" w:beforeAutospacing="0" w:after="173" w:afterAutospacing="0"/>
        <w:ind w:left="450" w:hanging="450"/>
      </w:pPr>
      <w:r w:rsidRPr="008E5AF6">
        <w:t>Austin, p. (2018), "</w:t>
      </w:r>
      <w:r>
        <w:t>E</w:t>
      </w:r>
      <w:r w:rsidRPr="008E5AF6">
        <w:t>fficacy of manual therapy for chronic musculoskeletal pain"</w:t>
      </w:r>
      <w:r w:rsidRPr="008E5AF6">
        <w:rPr>
          <w:i/>
          <w:iCs/>
        </w:rPr>
        <w:t>, Co-Kinetic Journa</w:t>
      </w:r>
      <w:r w:rsidR="00ED4B21">
        <w:rPr>
          <w:i/>
          <w:iCs/>
        </w:rPr>
        <w:t>l</w:t>
      </w:r>
      <w:r w:rsidRPr="008E5AF6">
        <w:t>, No. 76, pp. 32-41.</w:t>
      </w:r>
    </w:p>
    <w:p w14:paraId="2BB1CF37" w14:textId="04D0E4EE" w:rsidR="00596B15" w:rsidRPr="008E5AF6" w:rsidRDefault="00596B15" w:rsidP="00596B15">
      <w:pPr>
        <w:pStyle w:val="NormalWeb"/>
        <w:shd w:val="clear" w:color="auto" w:fill="FFFFFF"/>
        <w:spacing w:before="0" w:beforeAutospacing="0" w:after="173" w:afterAutospacing="0"/>
        <w:ind w:left="450" w:hanging="450"/>
      </w:pPr>
      <w:r w:rsidRPr="008E5AF6">
        <w:t>Bialosky, J.E., Bishop, M.D., Price, D.D., Robinson, M.E. and George, S.Z. (2009), "The mechanisms of manual therapy in the treatment of musculoskeletal pain: A comprehensive model"</w:t>
      </w:r>
      <w:r w:rsidRPr="008E5AF6">
        <w:rPr>
          <w:i/>
          <w:iCs/>
        </w:rPr>
        <w:t>, Manual therapy</w:t>
      </w:r>
      <w:r w:rsidR="00552EC2">
        <w:rPr>
          <w:i/>
          <w:iCs/>
        </w:rPr>
        <w:t>,</w:t>
      </w:r>
      <w:r w:rsidRPr="008E5AF6">
        <w:rPr>
          <w:i/>
          <w:iCs/>
        </w:rPr>
        <w:t> </w:t>
      </w:r>
      <w:r w:rsidRPr="008E5AF6">
        <w:t>Vol. 14, No. 5, pp. 531-538.</w:t>
      </w:r>
    </w:p>
    <w:p w14:paraId="5F673DEE" w14:textId="77777777" w:rsidR="00596B15" w:rsidRPr="008E5AF6" w:rsidRDefault="00596B15" w:rsidP="00596B15">
      <w:pPr>
        <w:pStyle w:val="NormalWeb"/>
        <w:shd w:val="clear" w:color="auto" w:fill="FFFFFF"/>
        <w:spacing w:before="0" w:beforeAutospacing="0" w:after="173" w:afterAutospacing="0"/>
        <w:ind w:left="450" w:hanging="450"/>
      </w:pPr>
      <w:r w:rsidRPr="008E5AF6">
        <w:t xml:space="preserve">Bialosky, J.E., </w:t>
      </w:r>
      <w:proofErr w:type="spellStart"/>
      <w:r w:rsidRPr="008E5AF6">
        <w:t>Beneciuk</w:t>
      </w:r>
      <w:proofErr w:type="spellEnd"/>
      <w:r w:rsidRPr="008E5AF6">
        <w:t>, J.M., Bishop, M.D., Coronado, R.A., Penza, C.W., Simon, C.B. and George, S.Z. (2018), "</w:t>
      </w:r>
      <w:proofErr w:type="spellStart"/>
      <w:r w:rsidRPr="008E5AF6">
        <w:t>Unraveling</w:t>
      </w:r>
      <w:proofErr w:type="spellEnd"/>
      <w:r w:rsidRPr="008E5AF6">
        <w:t xml:space="preserve"> the mechanisms of manual therapy: </w:t>
      </w:r>
      <w:proofErr w:type="spellStart"/>
      <w:r w:rsidRPr="008E5AF6">
        <w:t>modeling</w:t>
      </w:r>
      <w:proofErr w:type="spellEnd"/>
      <w:r w:rsidRPr="008E5AF6">
        <w:t xml:space="preserve"> an approach"</w:t>
      </w:r>
      <w:r w:rsidRPr="008E5AF6">
        <w:rPr>
          <w:i/>
          <w:iCs/>
        </w:rPr>
        <w:t>, journal of orthopaedic &amp; sports physical therapy, </w:t>
      </w:r>
      <w:r w:rsidRPr="008E5AF6">
        <w:t>Vol. 48, No. 1, pp. 8-18.</w:t>
      </w:r>
    </w:p>
    <w:p w14:paraId="16BFC235" w14:textId="6546BE27" w:rsidR="00596B15" w:rsidRPr="008E5AF6" w:rsidRDefault="00596B15" w:rsidP="00596B15">
      <w:pPr>
        <w:pStyle w:val="NormalWeb"/>
        <w:shd w:val="clear" w:color="auto" w:fill="FFFFFF"/>
        <w:spacing w:before="0" w:beforeAutospacing="0" w:after="173" w:afterAutospacing="0"/>
        <w:ind w:left="450" w:hanging="450"/>
      </w:pPr>
      <w:r w:rsidRPr="008E5AF6">
        <w:t>Bishop, M.D. (2015), "1, 2, 3 Rafael Torres-</w:t>
      </w:r>
      <w:proofErr w:type="spellStart"/>
      <w:r w:rsidRPr="008E5AF6">
        <w:t>Cueco</w:t>
      </w:r>
      <w:proofErr w:type="spellEnd"/>
      <w:r w:rsidRPr="008E5AF6">
        <w:t xml:space="preserve">, 4 Charles W Gay, 1, 2 Enrique </w:t>
      </w:r>
      <w:proofErr w:type="spellStart"/>
      <w:r w:rsidRPr="008E5AF6">
        <w:t>Lluch-Girbés</w:t>
      </w:r>
      <w:proofErr w:type="spellEnd"/>
      <w:r w:rsidRPr="008E5AF6">
        <w:t xml:space="preserve">, 4 Jason M </w:t>
      </w:r>
      <w:proofErr w:type="spellStart"/>
      <w:r w:rsidRPr="008E5AF6">
        <w:t>Beneciuk</w:t>
      </w:r>
      <w:proofErr w:type="spellEnd"/>
      <w:r w:rsidRPr="008E5AF6">
        <w:t>, 1, 5 and Joel E Bialosky: What effect can manual therapy have on a patient's pain experience"</w:t>
      </w:r>
      <w:r w:rsidRPr="008E5AF6">
        <w:rPr>
          <w:i/>
          <w:iCs/>
        </w:rPr>
        <w:t>, Pain Manag</w:t>
      </w:r>
      <w:r w:rsidR="00203804">
        <w:rPr>
          <w:i/>
          <w:iCs/>
        </w:rPr>
        <w:t>ement</w:t>
      </w:r>
      <w:r w:rsidRPr="008E5AF6">
        <w:rPr>
          <w:i/>
          <w:iCs/>
        </w:rPr>
        <w:t>, </w:t>
      </w:r>
      <w:r w:rsidRPr="008E5AF6">
        <w:t>Vol. 5, No. 6, pp. 455-464.</w:t>
      </w:r>
    </w:p>
    <w:p w14:paraId="558A3090" w14:textId="77777777" w:rsidR="00596B15" w:rsidRPr="008E5AF6" w:rsidRDefault="00596B15" w:rsidP="00596B15">
      <w:pPr>
        <w:pStyle w:val="NormalWeb"/>
        <w:shd w:val="clear" w:color="auto" w:fill="FFFFFF"/>
        <w:spacing w:before="0" w:beforeAutospacing="0" w:after="173" w:afterAutospacing="0"/>
        <w:ind w:left="450" w:hanging="450"/>
      </w:pPr>
      <w:proofErr w:type="spellStart"/>
      <w:r w:rsidRPr="008E5AF6">
        <w:t>Chaibi</w:t>
      </w:r>
      <w:proofErr w:type="spellEnd"/>
      <w:r w:rsidRPr="008E5AF6">
        <w:t>, A. and Russell, M.B. (2019), "A risk-benefit assessment strategy to exclude cervical artery dissection in spinal manual-therapy: a comprehensive review"</w:t>
      </w:r>
      <w:r w:rsidRPr="008E5AF6">
        <w:rPr>
          <w:i/>
          <w:iCs/>
        </w:rPr>
        <w:t>, Annals of medicine (Helsinki), </w:t>
      </w:r>
      <w:r w:rsidRPr="008E5AF6">
        <w:t>Vol. 51, No. 2, pp. 118-127.</w:t>
      </w:r>
    </w:p>
    <w:p w14:paraId="3175DED4" w14:textId="77777777" w:rsidR="00596B15" w:rsidRPr="008E5AF6" w:rsidRDefault="00596B15" w:rsidP="00596B15">
      <w:pPr>
        <w:pStyle w:val="NormalWeb"/>
        <w:shd w:val="clear" w:color="auto" w:fill="FFFFFF"/>
        <w:spacing w:before="0" w:beforeAutospacing="0" w:after="173" w:afterAutospacing="0"/>
        <w:ind w:left="450" w:hanging="450"/>
      </w:pPr>
      <w:proofErr w:type="spellStart"/>
      <w:r w:rsidRPr="008E5AF6">
        <w:t>Clar</w:t>
      </w:r>
      <w:proofErr w:type="spellEnd"/>
      <w:r w:rsidRPr="008E5AF6">
        <w:t xml:space="preserve">, C., </w:t>
      </w:r>
      <w:proofErr w:type="spellStart"/>
      <w:r w:rsidRPr="008E5AF6">
        <w:t>Tsertsvadze</w:t>
      </w:r>
      <w:proofErr w:type="spellEnd"/>
      <w:r w:rsidRPr="008E5AF6">
        <w:t xml:space="preserve">, A., </w:t>
      </w:r>
      <w:proofErr w:type="spellStart"/>
      <w:r w:rsidRPr="008E5AF6">
        <w:t>Hundt</w:t>
      </w:r>
      <w:proofErr w:type="spellEnd"/>
      <w:r w:rsidRPr="008E5AF6">
        <w:t>, G.L., Clarke, A. and Sutcliffe, P. (2014), "Clinical effectiveness of manual therapy for the management of musculoskeletal and non-musculoskeletal conditions: systematic review and update of UK evidence report"</w:t>
      </w:r>
      <w:r w:rsidRPr="008E5AF6">
        <w:rPr>
          <w:i/>
          <w:iCs/>
        </w:rPr>
        <w:t>, Chiropractic &amp; manual therapies, </w:t>
      </w:r>
      <w:r w:rsidRPr="008E5AF6">
        <w:t>Vol. 22, No. 1, pp. 12.</w:t>
      </w:r>
    </w:p>
    <w:p w14:paraId="11F22EAE" w14:textId="77777777" w:rsidR="00596B15" w:rsidRPr="008E5AF6" w:rsidRDefault="00596B15" w:rsidP="00596B15">
      <w:pPr>
        <w:pStyle w:val="NormalWeb"/>
        <w:shd w:val="clear" w:color="auto" w:fill="FFFFFF"/>
        <w:spacing w:before="0" w:beforeAutospacing="0" w:after="173" w:afterAutospacing="0"/>
        <w:ind w:left="450" w:hanging="450"/>
      </w:pPr>
      <w:r w:rsidRPr="008E5AF6">
        <w:t xml:space="preserve">Coulter, I.D., Crawford, C., Hurwitz, E.L., Vernon, H., </w:t>
      </w:r>
      <w:proofErr w:type="spellStart"/>
      <w:r w:rsidRPr="008E5AF6">
        <w:t>Khorsan</w:t>
      </w:r>
      <w:proofErr w:type="spellEnd"/>
      <w:r w:rsidRPr="008E5AF6">
        <w:t>, R., Booth, M.S. and Herman, P.M. (2018), "Manipulation and mobilization for treating chronic low back pain: a systematic review and meta-analysis"</w:t>
      </w:r>
      <w:r w:rsidRPr="008E5AF6">
        <w:rPr>
          <w:i/>
          <w:iCs/>
        </w:rPr>
        <w:t>, The Spine Journal, </w:t>
      </w:r>
      <w:r w:rsidRPr="008E5AF6">
        <w:t>Vol. 18, No. 5, pp. 866-879.</w:t>
      </w:r>
    </w:p>
    <w:p w14:paraId="12F57D84" w14:textId="77777777" w:rsidR="00596B15" w:rsidRPr="008E5AF6" w:rsidRDefault="00596B15" w:rsidP="00596B15">
      <w:pPr>
        <w:pStyle w:val="NormalWeb"/>
        <w:shd w:val="clear" w:color="auto" w:fill="FFFFFF"/>
        <w:spacing w:before="0" w:beforeAutospacing="0" w:after="173" w:afterAutospacing="0"/>
        <w:ind w:left="450" w:hanging="450"/>
      </w:pPr>
      <w:r w:rsidRPr="008E5AF6">
        <w:t xml:space="preserve">Coulter, I.D., Crawford, C., Vernon, H., Hurwitz, E.L., </w:t>
      </w:r>
      <w:proofErr w:type="spellStart"/>
      <w:r w:rsidRPr="008E5AF6">
        <w:t>Khorsan</w:t>
      </w:r>
      <w:proofErr w:type="spellEnd"/>
      <w:r w:rsidRPr="008E5AF6">
        <w:t>, R., Booth, M.S. and Herman, P.M. (2019), "Manipulation and mobilization for treating chronic nonspecific neck pain: a systematic review and meta-analysis for an appropriateness panel"</w:t>
      </w:r>
      <w:r w:rsidRPr="008E5AF6">
        <w:rPr>
          <w:i/>
          <w:iCs/>
        </w:rPr>
        <w:t>, Pain physician, </w:t>
      </w:r>
      <w:r w:rsidRPr="008E5AF6">
        <w:t>Vol. 22, No. 2, pp. E55.</w:t>
      </w:r>
    </w:p>
    <w:p w14:paraId="6EDCDC2F" w14:textId="77777777" w:rsidR="00596B15" w:rsidRPr="008E5AF6" w:rsidRDefault="00596B15" w:rsidP="00596B15">
      <w:pPr>
        <w:pStyle w:val="NormalWeb"/>
        <w:shd w:val="clear" w:color="auto" w:fill="FFFFFF"/>
        <w:spacing w:before="0" w:beforeAutospacing="0" w:after="173" w:afterAutospacing="0"/>
        <w:ind w:left="450" w:hanging="450"/>
      </w:pPr>
      <w:proofErr w:type="spellStart"/>
      <w:r w:rsidRPr="008E5AF6">
        <w:t>Deyo</w:t>
      </w:r>
      <w:proofErr w:type="spellEnd"/>
      <w:r w:rsidRPr="008E5AF6">
        <w:t>, R.A. (2017), "The role of spinal manipulation in the treatment of low back pain"</w:t>
      </w:r>
      <w:r w:rsidRPr="008E5AF6">
        <w:rPr>
          <w:i/>
          <w:iCs/>
        </w:rPr>
        <w:t>, Jama, </w:t>
      </w:r>
      <w:r w:rsidRPr="008E5AF6">
        <w:t>Vol. 317, No. 14, pp. 1418-1419.</w:t>
      </w:r>
    </w:p>
    <w:p w14:paraId="29F7EFDC" w14:textId="77777777" w:rsidR="00596B15" w:rsidRPr="008E5AF6" w:rsidRDefault="00596B15" w:rsidP="00596B15">
      <w:pPr>
        <w:pStyle w:val="NormalWeb"/>
        <w:shd w:val="clear" w:color="auto" w:fill="FFFFFF"/>
        <w:spacing w:before="0" w:beforeAutospacing="0" w:after="173" w:afterAutospacing="0"/>
        <w:ind w:left="450" w:hanging="450"/>
      </w:pPr>
      <w:proofErr w:type="spellStart"/>
      <w:r w:rsidRPr="008E5AF6">
        <w:t>Groeneweg</w:t>
      </w:r>
      <w:proofErr w:type="spellEnd"/>
      <w:r w:rsidRPr="008E5AF6">
        <w:t xml:space="preserve">, R., </w:t>
      </w:r>
      <w:proofErr w:type="spellStart"/>
      <w:r w:rsidRPr="008E5AF6">
        <w:t>Luite</w:t>
      </w:r>
      <w:proofErr w:type="spellEnd"/>
      <w:r w:rsidRPr="008E5AF6">
        <w:t xml:space="preserve"> van Assen, </w:t>
      </w:r>
      <w:proofErr w:type="spellStart"/>
      <w:r w:rsidRPr="008E5AF6">
        <w:t>Kropman</w:t>
      </w:r>
      <w:proofErr w:type="spellEnd"/>
      <w:r w:rsidRPr="008E5AF6">
        <w:t xml:space="preserve">, H., </w:t>
      </w:r>
      <w:proofErr w:type="spellStart"/>
      <w:r w:rsidRPr="008E5AF6">
        <w:t>Huco</w:t>
      </w:r>
      <w:proofErr w:type="spellEnd"/>
      <w:r w:rsidRPr="008E5AF6">
        <w:t xml:space="preserve"> Leopold, Mulder, J., </w:t>
      </w:r>
      <w:proofErr w:type="spellStart"/>
      <w:r w:rsidRPr="008E5AF6">
        <w:t>Bouwien</w:t>
      </w:r>
      <w:proofErr w:type="spellEnd"/>
      <w:r w:rsidRPr="008E5AF6">
        <w:t xml:space="preserve"> C M Smits-</w:t>
      </w:r>
      <w:proofErr w:type="spellStart"/>
      <w:r w:rsidRPr="008E5AF6">
        <w:t>Engelsman</w:t>
      </w:r>
      <w:proofErr w:type="spellEnd"/>
      <w:r w:rsidRPr="008E5AF6">
        <w:t xml:space="preserve">, Raymond W J G </w:t>
      </w:r>
      <w:proofErr w:type="spellStart"/>
      <w:r w:rsidRPr="008E5AF6">
        <w:t>Ostelo</w:t>
      </w:r>
      <w:proofErr w:type="spellEnd"/>
      <w:r w:rsidRPr="008E5AF6">
        <w:t xml:space="preserve">, </w:t>
      </w:r>
      <w:proofErr w:type="spellStart"/>
      <w:r w:rsidRPr="008E5AF6">
        <w:t>Oostendorp</w:t>
      </w:r>
      <w:proofErr w:type="spellEnd"/>
      <w:r w:rsidRPr="008E5AF6">
        <w:t xml:space="preserve">, R.A.B. and van </w:t>
      </w:r>
      <w:proofErr w:type="spellStart"/>
      <w:r w:rsidRPr="008E5AF6">
        <w:t>Tulder</w:t>
      </w:r>
      <w:proofErr w:type="spellEnd"/>
      <w:r w:rsidRPr="008E5AF6">
        <w:t>, M.W. (2017), "Manual therapy compared with physical therapy in patients with non-specific neck pain: a randomized controlled trial"</w:t>
      </w:r>
      <w:r w:rsidRPr="008E5AF6">
        <w:rPr>
          <w:i/>
          <w:iCs/>
        </w:rPr>
        <w:t>, Chiropractic &amp; Manual Therapies, </w:t>
      </w:r>
      <w:r w:rsidRPr="008E5AF6">
        <w:t>Vol. 25, pp. n/a. available at: </w:t>
      </w:r>
      <w:hyperlink r:id="rId6" w:tgtFrame="_blank" w:history="1">
        <w:r w:rsidRPr="008E5AF6">
          <w:rPr>
            <w:rStyle w:val="Hyperlink"/>
            <w:color w:val="auto"/>
          </w:rPr>
          <w:t>https://search-proquest-com.ezproxy.uwtsd.ac.uk/docview/1894793431?accountid=130472</w:t>
        </w:r>
      </w:hyperlink>
      <w:r w:rsidRPr="008E5AF6">
        <w:t>.</w:t>
      </w:r>
    </w:p>
    <w:p w14:paraId="27B99D45" w14:textId="77777777" w:rsidR="00596B15" w:rsidRPr="008E5AF6" w:rsidRDefault="00596B15" w:rsidP="00596B15">
      <w:pPr>
        <w:pStyle w:val="NormalWeb"/>
        <w:shd w:val="clear" w:color="auto" w:fill="FFFFFF"/>
        <w:spacing w:before="0" w:beforeAutospacing="0" w:after="173" w:afterAutospacing="0"/>
        <w:ind w:left="450" w:hanging="450"/>
      </w:pPr>
      <w:r w:rsidRPr="008E5AF6">
        <w:t>Hidalgo, B. (2017), "The efficacy of manual therapy and exercise for treating non-specific neck pain: A systematic review"</w:t>
      </w:r>
      <w:r w:rsidRPr="008E5AF6">
        <w:rPr>
          <w:i/>
          <w:iCs/>
        </w:rPr>
        <w:t>, Journal of Back &amp; Musculoskeletal Rehabilitation, </w:t>
      </w:r>
      <w:r w:rsidRPr="008E5AF6">
        <w:t>Vol. 30, No. 6, pp. 1149-1170.</w:t>
      </w:r>
    </w:p>
    <w:p w14:paraId="16D32B72" w14:textId="77777777" w:rsidR="00596B15" w:rsidRPr="008E5AF6" w:rsidRDefault="00596B15" w:rsidP="00596B15">
      <w:pPr>
        <w:pStyle w:val="NormalWeb"/>
        <w:shd w:val="clear" w:color="auto" w:fill="FFFFFF"/>
        <w:spacing w:before="0" w:beforeAutospacing="0" w:after="173" w:afterAutospacing="0"/>
        <w:ind w:left="450" w:hanging="450"/>
      </w:pPr>
      <w:r w:rsidRPr="008E5AF6">
        <w:lastRenderedPageBreak/>
        <w:t>Lima, C.R., Martins, D.F. and Reed, W.R. (2020), "Physiological Responses Induced by Manual Therapy in Animal Models: A Scoping Review"</w:t>
      </w:r>
      <w:r w:rsidRPr="008E5AF6">
        <w:rPr>
          <w:i/>
          <w:iCs/>
        </w:rPr>
        <w:t>, Frontiers in Neuroscience, </w:t>
      </w:r>
      <w:r w:rsidRPr="008E5AF6">
        <w:t>, pp. n/a. available at: </w:t>
      </w:r>
      <w:hyperlink r:id="rId7" w:tgtFrame="_blank" w:history="1">
        <w:r w:rsidRPr="008E5AF6">
          <w:rPr>
            <w:rStyle w:val="Hyperlink"/>
            <w:color w:val="auto"/>
          </w:rPr>
          <w:t>https://search-proquest-com.ezproxy.uwtsd.ac.uk/docview/2400015287?accountid=130472</w:t>
        </w:r>
      </w:hyperlink>
      <w:r w:rsidRPr="008E5AF6">
        <w:t>.</w:t>
      </w:r>
    </w:p>
    <w:p w14:paraId="3E3683EA" w14:textId="77777777" w:rsidR="00596B15" w:rsidRPr="008E5AF6" w:rsidRDefault="00596B15" w:rsidP="00596B15">
      <w:pPr>
        <w:pStyle w:val="NormalWeb"/>
        <w:shd w:val="clear" w:color="auto" w:fill="FFFFFF"/>
        <w:spacing w:before="0" w:beforeAutospacing="0" w:after="173" w:afterAutospacing="0"/>
        <w:ind w:left="450" w:hanging="450"/>
      </w:pPr>
      <w:proofErr w:type="spellStart"/>
      <w:r w:rsidRPr="008E5AF6">
        <w:t>Melzack</w:t>
      </w:r>
      <w:proofErr w:type="spellEnd"/>
      <w:r w:rsidRPr="008E5AF6">
        <w:t>, R. and Wall, P.D. (1965), "Pain mechanisms: a new theory"</w:t>
      </w:r>
      <w:r w:rsidRPr="008E5AF6">
        <w:rPr>
          <w:i/>
          <w:iCs/>
        </w:rPr>
        <w:t>, Science, </w:t>
      </w:r>
      <w:r w:rsidRPr="008E5AF6">
        <w:t>Vol. 150, No. 3699, pp. 971-979.</w:t>
      </w:r>
    </w:p>
    <w:p w14:paraId="4C6F7722" w14:textId="77777777" w:rsidR="00596B15" w:rsidRPr="008E5AF6" w:rsidRDefault="00596B15" w:rsidP="00596B15">
      <w:pPr>
        <w:pStyle w:val="NormalWeb"/>
        <w:shd w:val="clear" w:color="auto" w:fill="FFFFFF"/>
        <w:spacing w:before="0" w:beforeAutospacing="0" w:after="173" w:afterAutospacing="0"/>
        <w:ind w:left="450" w:hanging="450"/>
      </w:pPr>
      <w:proofErr w:type="spellStart"/>
      <w:r w:rsidRPr="008E5AF6">
        <w:t>Paanalahti</w:t>
      </w:r>
      <w:proofErr w:type="spellEnd"/>
      <w:r w:rsidRPr="008E5AF6">
        <w:t xml:space="preserve">, K., Holm, L.W., </w:t>
      </w:r>
      <w:proofErr w:type="spellStart"/>
      <w:r w:rsidRPr="008E5AF6">
        <w:t>Nordin</w:t>
      </w:r>
      <w:proofErr w:type="spellEnd"/>
      <w:r w:rsidRPr="008E5AF6">
        <w:t xml:space="preserve">, M., Asker, M., </w:t>
      </w:r>
      <w:proofErr w:type="spellStart"/>
      <w:r w:rsidRPr="008E5AF6">
        <w:t>Lyander</w:t>
      </w:r>
      <w:proofErr w:type="spellEnd"/>
      <w:r w:rsidRPr="008E5AF6">
        <w:t xml:space="preserve">, J. and </w:t>
      </w:r>
      <w:proofErr w:type="spellStart"/>
      <w:r w:rsidRPr="008E5AF6">
        <w:t>Skillgate</w:t>
      </w:r>
      <w:proofErr w:type="spellEnd"/>
      <w:r w:rsidRPr="008E5AF6">
        <w:t>, E. (2014), "Adverse events after manual therapy among patients seeking care for neck and/or back pain: a randomized controlled trial"</w:t>
      </w:r>
      <w:r w:rsidRPr="008E5AF6">
        <w:rPr>
          <w:i/>
          <w:iCs/>
        </w:rPr>
        <w:t>, BMC musculoskeletal disorders, </w:t>
      </w:r>
      <w:r w:rsidRPr="008E5AF6">
        <w:t>Vol. 15, No. 1, pp. 77.</w:t>
      </w:r>
    </w:p>
    <w:p w14:paraId="6B3A25FF" w14:textId="5CEB415F" w:rsidR="00596B15" w:rsidRPr="008E5AF6" w:rsidRDefault="00596B15" w:rsidP="00596B15">
      <w:pPr>
        <w:pStyle w:val="NormalWeb"/>
        <w:shd w:val="clear" w:color="auto" w:fill="FFFFFF"/>
        <w:spacing w:before="0" w:beforeAutospacing="0" w:after="173" w:afterAutospacing="0"/>
        <w:ind w:left="450" w:hanging="450"/>
      </w:pPr>
      <w:r w:rsidRPr="008E5AF6">
        <w:t xml:space="preserve">Rubinstein, S.M., de </w:t>
      </w:r>
      <w:proofErr w:type="spellStart"/>
      <w:r w:rsidRPr="008E5AF6">
        <w:t>Zoete</w:t>
      </w:r>
      <w:proofErr w:type="spellEnd"/>
      <w:r w:rsidRPr="008E5AF6">
        <w:t xml:space="preserve">, A., van </w:t>
      </w:r>
      <w:proofErr w:type="spellStart"/>
      <w:r w:rsidRPr="008E5AF6">
        <w:t>Middelkoop</w:t>
      </w:r>
      <w:proofErr w:type="spellEnd"/>
      <w:r w:rsidRPr="008E5AF6">
        <w:t xml:space="preserve">, M., </w:t>
      </w:r>
      <w:proofErr w:type="spellStart"/>
      <w:r w:rsidRPr="008E5AF6">
        <w:t>Assendelft</w:t>
      </w:r>
      <w:proofErr w:type="spellEnd"/>
      <w:r w:rsidRPr="008E5AF6">
        <w:t xml:space="preserve">, W.J.J., de Boer, M.,R. and van </w:t>
      </w:r>
      <w:proofErr w:type="spellStart"/>
      <w:r w:rsidRPr="008E5AF6">
        <w:t>Tulder</w:t>
      </w:r>
      <w:proofErr w:type="spellEnd"/>
      <w:r w:rsidRPr="008E5AF6">
        <w:t>, M.W. (2019), "Benefits and harms of spinal manipulative therapy for the treatment of chronic low back pain: systematic review and meta-analysis of randomised controlled trials"</w:t>
      </w:r>
      <w:r w:rsidRPr="008E5AF6">
        <w:rPr>
          <w:i/>
          <w:iCs/>
        </w:rPr>
        <w:t>, BMJ; BMJ, </w:t>
      </w:r>
      <w:r w:rsidRPr="008E5AF6">
        <w:t>Vol. 364, pp. l689.</w:t>
      </w:r>
    </w:p>
    <w:p w14:paraId="30D08EE4" w14:textId="77777777" w:rsidR="00596B15" w:rsidRPr="008E5AF6" w:rsidRDefault="00596B15" w:rsidP="00596B15">
      <w:pPr>
        <w:pStyle w:val="NormalWeb"/>
        <w:shd w:val="clear" w:color="auto" w:fill="FFFFFF"/>
        <w:spacing w:before="0" w:beforeAutospacing="0" w:after="173" w:afterAutospacing="0"/>
        <w:ind w:left="450" w:hanging="450"/>
      </w:pPr>
      <w:r w:rsidRPr="008E5AF6">
        <w:t xml:space="preserve">Sampath, K.K., Mani, R., Cotter, J.D. and </w:t>
      </w:r>
      <w:proofErr w:type="spellStart"/>
      <w:r w:rsidRPr="008E5AF6">
        <w:t>Tumilty</w:t>
      </w:r>
      <w:proofErr w:type="spellEnd"/>
      <w:r w:rsidRPr="008E5AF6">
        <w:t>, S. (2015), "</w:t>
      </w:r>
      <w:proofErr w:type="spellStart"/>
      <w:r w:rsidRPr="008E5AF6">
        <w:t>Measureable</w:t>
      </w:r>
      <w:proofErr w:type="spellEnd"/>
      <w:r w:rsidRPr="008E5AF6">
        <w:t xml:space="preserve"> changes in the neuro-endocrinal mechanism following spinal manipulation"</w:t>
      </w:r>
      <w:r w:rsidRPr="008E5AF6">
        <w:rPr>
          <w:i/>
          <w:iCs/>
        </w:rPr>
        <w:t>, Medical hypotheses, </w:t>
      </w:r>
      <w:r w:rsidRPr="008E5AF6">
        <w:t>Vol. 85, No. 6, pp. 819-824.</w:t>
      </w:r>
    </w:p>
    <w:p w14:paraId="4C067FFE" w14:textId="77777777" w:rsidR="00596B15" w:rsidRPr="008E5AF6" w:rsidRDefault="00596B15" w:rsidP="00596B15">
      <w:pPr>
        <w:pStyle w:val="NormalWeb"/>
        <w:shd w:val="clear" w:color="auto" w:fill="FFFFFF"/>
        <w:spacing w:before="0" w:beforeAutospacing="0" w:after="173" w:afterAutospacing="0"/>
        <w:ind w:left="450" w:hanging="450"/>
      </w:pPr>
      <w:r w:rsidRPr="008E5AF6">
        <w:t>Shah, S.G. and Kage, V. (2016), "Effect of seven sessions of posterior-to-anterior spinal mobilisation versus prone press-ups in non-specific low back pain–randomized clinical trial"</w:t>
      </w:r>
      <w:r w:rsidRPr="008E5AF6">
        <w:rPr>
          <w:i/>
          <w:iCs/>
        </w:rPr>
        <w:t>, Journal of Clinical and Diagnostic Research: JCDR, </w:t>
      </w:r>
      <w:r w:rsidRPr="008E5AF6">
        <w:t>Vol. 10, No. 3, pp. YC10.</w:t>
      </w:r>
    </w:p>
    <w:p w14:paraId="306911D6" w14:textId="12985B0C" w:rsidR="00596B15" w:rsidRPr="008E5AF6" w:rsidRDefault="00596B15" w:rsidP="00596B15">
      <w:pPr>
        <w:pStyle w:val="NormalWeb"/>
        <w:shd w:val="clear" w:color="auto" w:fill="FFFFFF"/>
        <w:spacing w:before="0" w:beforeAutospacing="0" w:after="173" w:afterAutospacing="0"/>
        <w:ind w:left="450" w:hanging="450"/>
      </w:pPr>
      <w:proofErr w:type="spellStart"/>
      <w:r w:rsidRPr="008E5AF6">
        <w:t>Thoomes</w:t>
      </w:r>
      <w:proofErr w:type="spellEnd"/>
      <w:r w:rsidRPr="008E5AF6">
        <w:t>, E.J. (2016), "Effectiveness of manual therapy for cervical radiculopathy, a review"</w:t>
      </w:r>
      <w:r w:rsidRPr="008E5AF6">
        <w:rPr>
          <w:i/>
          <w:iCs/>
        </w:rPr>
        <w:t>, Chiropractic &amp; manual therapies, </w:t>
      </w:r>
      <w:r w:rsidRPr="008E5AF6">
        <w:t>Vol. 24, No. 1, pp. 45.</w:t>
      </w:r>
    </w:p>
    <w:p w14:paraId="49DDFB0F" w14:textId="049CAB63" w:rsidR="00596B15" w:rsidRPr="008E5AF6" w:rsidRDefault="00596B15" w:rsidP="00596B15">
      <w:pPr>
        <w:pStyle w:val="NormalWeb"/>
        <w:shd w:val="clear" w:color="auto" w:fill="FFFFFF"/>
        <w:spacing w:before="0" w:beforeAutospacing="0" w:after="173" w:afterAutospacing="0"/>
        <w:ind w:left="450" w:hanging="450"/>
      </w:pPr>
      <w:proofErr w:type="spellStart"/>
      <w:r w:rsidRPr="008E5AF6">
        <w:t>Vigotsky</w:t>
      </w:r>
      <w:proofErr w:type="spellEnd"/>
      <w:r w:rsidRPr="008E5AF6">
        <w:t xml:space="preserve">, A.D. and </w:t>
      </w:r>
      <w:proofErr w:type="spellStart"/>
      <w:r w:rsidRPr="008E5AF6">
        <w:t>Bruhns</w:t>
      </w:r>
      <w:proofErr w:type="spellEnd"/>
      <w:r w:rsidRPr="008E5AF6">
        <w:t>, R.P. (2015), "The Role of Descending Modulation in Manual Therapy and Its Analgesic Implications: A Narrative Review"</w:t>
      </w:r>
      <w:r w:rsidRPr="008E5AF6">
        <w:rPr>
          <w:i/>
          <w:iCs/>
        </w:rPr>
        <w:t>, Pain research and treatment, </w:t>
      </w:r>
      <w:r w:rsidRPr="008E5AF6">
        <w:t>Vol. 2015, pp. 292805-11.</w:t>
      </w:r>
    </w:p>
    <w:p w14:paraId="63F550C1" w14:textId="53D7DD87" w:rsidR="00596B15" w:rsidRPr="008E5AF6" w:rsidRDefault="00596B15" w:rsidP="00596B15">
      <w:pPr>
        <w:pStyle w:val="NormalWeb"/>
        <w:shd w:val="clear" w:color="auto" w:fill="FFFFFF"/>
        <w:spacing w:before="0" w:beforeAutospacing="0" w:after="173" w:afterAutospacing="0"/>
        <w:ind w:left="450" w:hanging="450"/>
      </w:pPr>
      <w:r w:rsidRPr="008E5AF6">
        <w:t xml:space="preserve">Wong, Jessica J., </w:t>
      </w:r>
      <w:proofErr w:type="spellStart"/>
      <w:r w:rsidRPr="008E5AF6">
        <w:t>BSc,D.C</w:t>
      </w:r>
      <w:proofErr w:type="spellEnd"/>
      <w:r w:rsidRPr="008E5AF6">
        <w:t xml:space="preserve">., F.C.C.S.(C.), Shearer, Heather M., </w:t>
      </w:r>
      <w:proofErr w:type="spellStart"/>
      <w:r w:rsidRPr="008E5AF6">
        <w:t>DC,M.Sc</w:t>
      </w:r>
      <w:proofErr w:type="spellEnd"/>
      <w:r w:rsidRPr="008E5AF6">
        <w:t xml:space="preserve">, F.C.C.S.(C.), </w:t>
      </w:r>
      <w:proofErr w:type="spellStart"/>
      <w:r w:rsidRPr="008E5AF6">
        <w:t>Mior</w:t>
      </w:r>
      <w:proofErr w:type="spellEnd"/>
      <w:r w:rsidRPr="008E5AF6">
        <w:t xml:space="preserve">, </w:t>
      </w:r>
      <w:proofErr w:type="spellStart"/>
      <w:r w:rsidRPr="008E5AF6">
        <w:t>Silvano,D.C</w:t>
      </w:r>
      <w:proofErr w:type="spellEnd"/>
      <w:r w:rsidRPr="008E5AF6">
        <w:t xml:space="preserve">., PhD., Jacobs, Craig, BFA, </w:t>
      </w:r>
      <w:proofErr w:type="spellStart"/>
      <w:r w:rsidRPr="008E5AF6">
        <w:t>DC,M.Sc</w:t>
      </w:r>
      <w:proofErr w:type="spellEnd"/>
      <w:r w:rsidRPr="008E5AF6">
        <w:t xml:space="preserve">, F.C.C.S.(C.), </w:t>
      </w:r>
      <w:proofErr w:type="spellStart"/>
      <w:r w:rsidRPr="008E5AF6">
        <w:t>Côté</w:t>
      </w:r>
      <w:proofErr w:type="spellEnd"/>
      <w:r w:rsidRPr="008E5AF6">
        <w:t xml:space="preserve">, Pierre, DC, PhD, Randhawa, </w:t>
      </w:r>
      <w:proofErr w:type="spellStart"/>
      <w:r w:rsidRPr="008E5AF6">
        <w:t>Kristi,B.H.Sc</w:t>
      </w:r>
      <w:proofErr w:type="spellEnd"/>
      <w:r w:rsidRPr="008E5AF6">
        <w:t xml:space="preserve">, M.P.H., Yu, </w:t>
      </w:r>
      <w:proofErr w:type="spellStart"/>
      <w:r w:rsidRPr="008E5AF6">
        <w:t>Hainan,M.B.B.S</w:t>
      </w:r>
      <w:proofErr w:type="spellEnd"/>
      <w:r w:rsidRPr="008E5AF6">
        <w:t xml:space="preserve">., </w:t>
      </w:r>
      <w:proofErr w:type="spellStart"/>
      <w:r w:rsidRPr="008E5AF6">
        <w:t>M.Sc</w:t>
      </w:r>
      <w:proofErr w:type="spellEnd"/>
      <w:r w:rsidRPr="008E5AF6">
        <w:t xml:space="preserve">, </w:t>
      </w:r>
      <w:proofErr w:type="spellStart"/>
      <w:r w:rsidRPr="008E5AF6">
        <w:t>Southerst</w:t>
      </w:r>
      <w:proofErr w:type="spellEnd"/>
      <w:r w:rsidRPr="008E5AF6">
        <w:t xml:space="preserve">, Danielle, </w:t>
      </w:r>
      <w:proofErr w:type="spellStart"/>
      <w:r w:rsidRPr="008E5AF6">
        <w:t>BScH,D.C</w:t>
      </w:r>
      <w:proofErr w:type="spellEnd"/>
      <w:r w:rsidRPr="008E5AF6">
        <w:t xml:space="preserve">., F.C.C.S.(C.), </w:t>
      </w:r>
      <w:proofErr w:type="spellStart"/>
      <w:r w:rsidRPr="008E5AF6">
        <w:t>Varatharajan</w:t>
      </w:r>
      <w:proofErr w:type="spellEnd"/>
      <w:r w:rsidRPr="008E5AF6">
        <w:t xml:space="preserve">, </w:t>
      </w:r>
      <w:proofErr w:type="spellStart"/>
      <w:r w:rsidRPr="008E5AF6">
        <w:t>Sharanya,B.Sc</w:t>
      </w:r>
      <w:proofErr w:type="spellEnd"/>
      <w:r w:rsidRPr="008E5AF6">
        <w:t xml:space="preserve">, </w:t>
      </w:r>
      <w:proofErr w:type="spellStart"/>
      <w:r w:rsidRPr="008E5AF6">
        <w:t>M.Sc</w:t>
      </w:r>
      <w:proofErr w:type="spellEnd"/>
      <w:r w:rsidRPr="008E5AF6">
        <w:t xml:space="preserve">, Sutton, Deborah, </w:t>
      </w:r>
      <w:proofErr w:type="spellStart"/>
      <w:r w:rsidRPr="008E5AF6">
        <w:t>BScOT,M.Ed</w:t>
      </w:r>
      <w:proofErr w:type="spellEnd"/>
      <w:r w:rsidRPr="008E5AF6">
        <w:t xml:space="preserve">, </w:t>
      </w:r>
      <w:proofErr w:type="spellStart"/>
      <w:r w:rsidRPr="008E5AF6">
        <w:t>M.Sc</w:t>
      </w:r>
      <w:proofErr w:type="spellEnd"/>
      <w:r w:rsidRPr="008E5AF6">
        <w:t xml:space="preserve">, van der Velde, Gabrielle, DC, PhD, Carroll, L.J., PhD., </w:t>
      </w:r>
      <w:proofErr w:type="spellStart"/>
      <w:r w:rsidRPr="008E5AF6">
        <w:t>Ameis</w:t>
      </w:r>
      <w:proofErr w:type="spellEnd"/>
      <w:r w:rsidRPr="008E5AF6">
        <w:t xml:space="preserve">, Arthur, FRCPC,D.E.S.S., F.A.A.P.M.&amp;R., </w:t>
      </w:r>
      <w:proofErr w:type="spellStart"/>
      <w:r w:rsidRPr="008E5AF6">
        <w:t>Ammendolia</w:t>
      </w:r>
      <w:proofErr w:type="spellEnd"/>
      <w:r w:rsidRPr="008E5AF6">
        <w:t xml:space="preserve">, </w:t>
      </w:r>
      <w:proofErr w:type="spellStart"/>
      <w:r w:rsidRPr="008E5AF6">
        <w:t>Carlo,D.C</w:t>
      </w:r>
      <w:proofErr w:type="spellEnd"/>
      <w:r w:rsidRPr="008E5AF6">
        <w:t xml:space="preserve">., PhD., </w:t>
      </w:r>
      <w:proofErr w:type="spellStart"/>
      <w:r w:rsidRPr="008E5AF6">
        <w:t>Brison</w:t>
      </w:r>
      <w:proofErr w:type="spellEnd"/>
      <w:r w:rsidRPr="008E5AF6">
        <w:t xml:space="preserve">, </w:t>
      </w:r>
      <w:proofErr w:type="spellStart"/>
      <w:r w:rsidRPr="008E5AF6">
        <w:t>Robert,M.D</w:t>
      </w:r>
      <w:proofErr w:type="spellEnd"/>
      <w:r w:rsidRPr="008E5AF6">
        <w:t xml:space="preserve">., M.P.H., </w:t>
      </w:r>
      <w:proofErr w:type="spellStart"/>
      <w:r w:rsidRPr="008E5AF6">
        <w:t>Nordin</w:t>
      </w:r>
      <w:proofErr w:type="spellEnd"/>
      <w:r w:rsidRPr="008E5AF6">
        <w:t>, M.,</w:t>
      </w:r>
      <w:proofErr w:type="spellStart"/>
      <w:r w:rsidRPr="008E5AF6">
        <w:t>Dr.Med.Sci</w:t>
      </w:r>
      <w:proofErr w:type="spellEnd"/>
      <w:r w:rsidRPr="008E5AF6">
        <w:t xml:space="preserve">, </w:t>
      </w:r>
      <w:proofErr w:type="spellStart"/>
      <w:r w:rsidRPr="008E5AF6">
        <w:t>Stupar</w:t>
      </w:r>
      <w:proofErr w:type="spellEnd"/>
      <w:r w:rsidRPr="008E5AF6">
        <w:t xml:space="preserve">, </w:t>
      </w:r>
      <w:proofErr w:type="spellStart"/>
      <w:r w:rsidRPr="008E5AF6">
        <w:t>Maja,D.C</w:t>
      </w:r>
      <w:proofErr w:type="spellEnd"/>
      <w:r w:rsidRPr="008E5AF6">
        <w:t>., PhD. and Taylor-Vaisey, A. (2015), "Are manual therapies, passive physical modalities, or acupuncture effective for the management of patients with whiplash-associated disorders or neck pain and associated disorders? an update of the bone and joint decade task force on neck pain and its associated disorders by the optima collaboration"</w:t>
      </w:r>
      <w:r w:rsidRPr="008E5AF6">
        <w:rPr>
          <w:i/>
          <w:iCs/>
        </w:rPr>
        <w:t>, The spine journal, </w:t>
      </w:r>
      <w:r w:rsidRPr="008E5AF6">
        <w:t>Vol. 16, No. 12, pp. 1598-1630.</w:t>
      </w:r>
    </w:p>
    <w:p w14:paraId="5527E1F1" w14:textId="77777777" w:rsidR="00596B15" w:rsidRPr="008E5AF6" w:rsidRDefault="00596B15" w:rsidP="00596B15">
      <w:pPr>
        <w:pStyle w:val="NormalWeb"/>
        <w:shd w:val="clear" w:color="auto" w:fill="FFFFFF"/>
        <w:spacing w:before="0" w:beforeAutospacing="0" w:after="173" w:afterAutospacing="0"/>
        <w:ind w:left="450" w:hanging="450"/>
      </w:pPr>
      <w:r w:rsidRPr="008E5AF6">
        <w:t xml:space="preserve">Zhang, S., Singh, S. and </w:t>
      </w:r>
      <w:proofErr w:type="spellStart"/>
      <w:r w:rsidRPr="008E5AF6">
        <w:t>Winkelstein</w:t>
      </w:r>
      <w:proofErr w:type="spellEnd"/>
      <w:r w:rsidRPr="008E5AF6">
        <w:t>, B.A. (2018), "Collagen organization regulates stretch‐initiated pain‐related neuronal signals in vitro: Implications for structure–function relationships in innervated ligaments"</w:t>
      </w:r>
      <w:r w:rsidRPr="008E5AF6">
        <w:rPr>
          <w:i/>
          <w:iCs/>
        </w:rPr>
        <w:t>, Journal of Orthopaedic Research®, </w:t>
      </w:r>
      <w:r w:rsidRPr="008E5AF6">
        <w:t>Vol. 36, No. 2, pp. 770-777.</w:t>
      </w:r>
    </w:p>
    <w:p w14:paraId="233DBC0D" w14:textId="77777777" w:rsidR="00C84811" w:rsidRDefault="00C84811"/>
    <w:sectPr w:rsidR="00C848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5C04D6"/>
    <w:multiLevelType w:val="hybridMultilevel"/>
    <w:tmpl w:val="4FFCE2F8"/>
    <w:lvl w:ilvl="0" w:tplc="C76852C2">
      <w:start w:val="1"/>
      <w:numFmt w:val="decimal"/>
      <w:lvlText w:val="%1."/>
      <w:lvlJc w:val="left"/>
      <w:pPr>
        <w:ind w:left="72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1" w:tplc="42D8DB32">
      <w:start w:val="1"/>
      <w:numFmt w:val="lowerLetter"/>
      <w:lvlText w:val="%2"/>
      <w:lvlJc w:val="left"/>
      <w:pPr>
        <w:ind w:left="1546"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2" w:tplc="CE809440">
      <w:start w:val="1"/>
      <w:numFmt w:val="lowerRoman"/>
      <w:lvlText w:val="%3"/>
      <w:lvlJc w:val="left"/>
      <w:pPr>
        <w:ind w:left="2266"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3" w:tplc="CD62CF2C">
      <w:start w:val="1"/>
      <w:numFmt w:val="decimal"/>
      <w:lvlText w:val="%4"/>
      <w:lvlJc w:val="left"/>
      <w:pPr>
        <w:ind w:left="2986"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tplc="5A0E48C0">
      <w:start w:val="1"/>
      <w:numFmt w:val="lowerLetter"/>
      <w:lvlText w:val="%5"/>
      <w:lvlJc w:val="left"/>
      <w:pPr>
        <w:ind w:left="3706"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5" w:tplc="5CE06A2C">
      <w:start w:val="1"/>
      <w:numFmt w:val="lowerRoman"/>
      <w:lvlText w:val="%6"/>
      <w:lvlJc w:val="left"/>
      <w:pPr>
        <w:ind w:left="4426"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6" w:tplc="73F4F648">
      <w:start w:val="1"/>
      <w:numFmt w:val="decimal"/>
      <w:lvlText w:val="%7"/>
      <w:lvlJc w:val="left"/>
      <w:pPr>
        <w:ind w:left="5146"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tplc="B2003B10">
      <w:start w:val="1"/>
      <w:numFmt w:val="lowerLetter"/>
      <w:lvlText w:val="%8"/>
      <w:lvlJc w:val="left"/>
      <w:pPr>
        <w:ind w:left="5866"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8" w:tplc="1DF82FD4">
      <w:start w:val="1"/>
      <w:numFmt w:val="lowerRoman"/>
      <w:lvlText w:val="%9"/>
      <w:lvlJc w:val="left"/>
      <w:pPr>
        <w:ind w:left="6586"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4811"/>
    <w:rsid w:val="0001716C"/>
    <w:rsid w:val="000D43BD"/>
    <w:rsid w:val="001C5FD5"/>
    <w:rsid w:val="00203804"/>
    <w:rsid w:val="00240B65"/>
    <w:rsid w:val="00264137"/>
    <w:rsid w:val="00276D12"/>
    <w:rsid w:val="002D278E"/>
    <w:rsid w:val="002D30A6"/>
    <w:rsid w:val="002E13C3"/>
    <w:rsid w:val="00327341"/>
    <w:rsid w:val="00327D68"/>
    <w:rsid w:val="00333AD3"/>
    <w:rsid w:val="003C7D57"/>
    <w:rsid w:val="004253FF"/>
    <w:rsid w:val="004D48ED"/>
    <w:rsid w:val="00527BC5"/>
    <w:rsid w:val="0054082D"/>
    <w:rsid w:val="00552EC2"/>
    <w:rsid w:val="00596B15"/>
    <w:rsid w:val="005A0DB8"/>
    <w:rsid w:val="00621C6C"/>
    <w:rsid w:val="006B4BC5"/>
    <w:rsid w:val="006C7450"/>
    <w:rsid w:val="00804062"/>
    <w:rsid w:val="00815099"/>
    <w:rsid w:val="008C4809"/>
    <w:rsid w:val="00911775"/>
    <w:rsid w:val="009B2E22"/>
    <w:rsid w:val="009C5A1D"/>
    <w:rsid w:val="00AF4D0A"/>
    <w:rsid w:val="00AF6A5F"/>
    <w:rsid w:val="00B073C0"/>
    <w:rsid w:val="00BE2A7C"/>
    <w:rsid w:val="00C0692A"/>
    <w:rsid w:val="00C6648D"/>
    <w:rsid w:val="00C71260"/>
    <w:rsid w:val="00C84811"/>
    <w:rsid w:val="00C87A4C"/>
    <w:rsid w:val="00CF4C61"/>
    <w:rsid w:val="00D95177"/>
    <w:rsid w:val="00ED4B21"/>
    <w:rsid w:val="00F24979"/>
    <w:rsid w:val="00F2575D"/>
    <w:rsid w:val="00F828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C20327"/>
  <w15:chartTrackingRefBased/>
  <w15:docId w15:val="{2E114609-9D88-4AD4-A964-CCF00905E7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4"/>
        <w:szCs w:val="24"/>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Normal"/>
    <w:link w:val="Heading1Char"/>
    <w:uiPriority w:val="9"/>
    <w:qFormat/>
    <w:rsid w:val="002D278E"/>
    <w:pPr>
      <w:keepNext/>
      <w:keepLines/>
      <w:pBdr>
        <w:top w:val="single" w:sz="4" w:space="0" w:color="000000"/>
        <w:left w:val="single" w:sz="4" w:space="0" w:color="000000"/>
        <w:bottom w:val="single" w:sz="4" w:space="0" w:color="000000"/>
        <w:right w:val="single" w:sz="4" w:space="0" w:color="000000"/>
      </w:pBdr>
      <w:shd w:val="clear" w:color="auto" w:fill="C1C2C2"/>
      <w:spacing w:after="13" w:line="256" w:lineRule="auto"/>
      <w:ind w:left="146"/>
      <w:jc w:val="center"/>
      <w:outlineLvl w:val="0"/>
    </w:pPr>
    <w:rPr>
      <w:rFonts w:ascii="Arial" w:eastAsia="Arial" w:hAnsi="Arial" w:cs="Arial"/>
      <w:b/>
      <w:color w:val="000000"/>
      <w:sz w:val="40"/>
      <w:szCs w:val="2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96B15"/>
    <w:pPr>
      <w:spacing w:before="100" w:beforeAutospacing="1" w:after="100" w:afterAutospacing="1" w:line="240" w:lineRule="auto"/>
    </w:pPr>
    <w:rPr>
      <w:rFonts w:eastAsia="Times New Roman" w:cs="Times New Roman"/>
      <w:lang w:eastAsia="en-GB"/>
    </w:rPr>
  </w:style>
  <w:style w:type="character" w:styleId="Hyperlink">
    <w:name w:val="Hyperlink"/>
    <w:basedOn w:val="DefaultParagraphFont"/>
    <w:uiPriority w:val="99"/>
    <w:semiHidden/>
    <w:unhideWhenUsed/>
    <w:rsid w:val="00596B15"/>
    <w:rPr>
      <w:color w:val="0000FF"/>
      <w:u w:val="single"/>
    </w:rPr>
  </w:style>
  <w:style w:type="character" w:customStyle="1" w:styleId="Heading1Char">
    <w:name w:val="Heading 1 Char"/>
    <w:basedOn w:val="DefaultParagraphFont"/>
    <w:link w:val="Heading1"/>
    <w:uiPriority w:val="9"/>
    <w:rsid w:val="002D278E"/>
    <w:rPr>
      <w:rFonts w:ascii="Arial" w:eastAsia="Arial" w:hAnsi="Arial" w:cs="Arial"/>
      <w:b/>
      <w:color w:val="000000"/>
      <w:sz w:val="40"/>
      <w:szCs w:val="22"/>
      <w:shd w:val="clear" w:color="auto" w:fill="C1C2C2"/>
      <w:lang w:eastAsia="en-GB"/>
    </w:rPr>
  </w:style>
  <w:style w:type="table" w:customStyle="1" w:styleId="TableGrid">
    <w:name w:val="TableGrid"/>
    <w:rsid w:val="002D278E"/>
    <w:pPr>
      <w:spacing w:after="0" w:line="240" w:lineRule="auto"/>
    </w:pPr>
    <w:rPr>
      <w:rFonts w:asciiTheme="minorHAnsi" w:eastAsiaTheme="minorEastAsia" w:hAnsiTheme="minorHAnsi"/>
      <w:sz w:val="22"/>
      <w:szCs w:val="22"/>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8013188">
      <w:bodyDiv w:val="1"/>
      <w:marLeft w:val="0"/>
      <w:marRight w:val="0"/>
      <w:marTop w:val="0"/>
      <w:marBottom w:val="0"/>
      <w:divBdr>
        <w:top w:val="none" w:sz="0" w:space="0" w:color="auto"/>
        <w:left w:val="none" w:sz="0" w:space="0" w:color="auto"/>
        <w:bottom w:val="none" w:sz="0" w:space="0" w:color="auto"/>
        <w:right w:val="none" w:sz="0" w:space="0" w:color="auto"/>
      </w:divBdr>
    </w:div>
    <w:div w:id="1979995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search-proquest-com.ezproxy.uwtsd.ac.uk/docview/2400015287?accountid=13047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earch-proquest-com.ezproxy.uwtsd.ac.uk/docview/1894793431?accountid=130472"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11</Pages>
  <Words>3489</Words>
  <Characters>19890</Characters>
  <Application>Microsoft Office Word</Application>
  <DocSecurity>0</DocSecurity>
  <Lines>165</Lines>
  <Paragraphs>46</Paragraphs>
  <ScaleCrop>false</ScaleCrop>
  <Company/>
  <LinksUpToDate>false</LinksUpToDate>
  <CharactersWithSpaces>23333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Graham Vaughan</dc:creator>
  <cp:keywords/>
  <dc:description/>
  <cp:lastModifiedBy>Graham Vaughan</cp:lastModifiedBy>
  <cp:revision>43</cp:revision>
  <dcterms:created xsi:type="dcterms:W3CDTF">2020-11-25T13:03:00Z</dcterms:created>
  <dcterms:modified xsi:type="dcterms:W3CDTF">2020-11-25T14:28:00Z</dcterms:modified>
</cp:coreProperties>
</file>