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4AEAA" w14:textId="77777777" w:rsidR="009F64C5" w:rsidRPr="004410BC" w:rsidRDefault="009F64C5" w:rsidP="00236C76">
      <w:pPr>
        <w:spacing w:after="158"/>
        <w:ind w:left="49"/>
        <w:jc w:val="center"/>
        <w:rPr>
          <w:rFonts w:cs="Arial"/>
        </w:rPr>
      </w:pPr>
      <w:r w:rsidRPr="004410BC">
        <w:rPr>
          <w:rFonts w:eastAsia="Calibri" w:cs="Arial"/>
        </w:rPr>
        <w:t xml:space="preserve"> </w:t>
      </w:r>
    </w:p>
    <w:p w14:paraId="6D3D663A" w14:textId="77777777" w:rsidR="009F64C5" w:rsidRPr="004410BC" w:rsidRDefault="009F64C5" w:rsidP="00236C76">
      <w:pPr>
        <w:ind w:left="49"/>
        <w:jc w:val="center"/>
        <w:rPr>
          <w:rFonts w:cs="Arial"/>
        </w:rPr>
      </w:pPr>
      <w:r w:rsidRPr="004410BC">
        <w:rPr>
          <w:rFonts w:eastAsia="Calibri" w:cs="Arial"/>
        </w:rPr>
        <w:t xml:space="preserve"> </w:t>
      </w:r>
    </w:p>
    <w:p w14:paraId="6787C14B" w14:textId="578E474B" w:rsidR="009F64C5" w:rsidRPr="004410BC" w:rsidRDefault="009F64C5" w:rsidP="00236C76">
      <w:pPr>
        <w:spacing w:after="158"/>
        <w:ind w:left="49"/>
        <w:jc w:val="center"/>
        <w:rPr>
          <w:rFonts w:cs="Arial"/>
        </w:rPr>
      </w:pPr>
      <w:r w:rsidRPr="004410BC">
        <w:rPr>
          <w:rFonts w:cs="Arial"/>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4410BC">
        <w:rPr>
          <w:rFonts w:eastAsia="Calibri" w:cs="Arial"/>
        </w:rPr>
        <w:t xml:space="preserve"> </w:t>
      </w:r>
    </w:p>
    <w:p w14:paraId="0C4D53A1" w14:textId="11135A83" w:rsidR="009F64C5" w:rsidRPr="004410BC" w:rsidRDefault="009F64C5" w:rsidP="00236C76">
      <w:pPr>
        <w:ind w:left="49"/>
        <w:jc w:val="center"/>
        <w:rPr>
          <w:rFonts w:cs="Arial"/>
        </w:rPr>
      </w:pPr>
      <w:r w:rsidRPr="004410BC">
        <w:rPr>
          <w:rFonts w:eastAsia="Calibri" w:cs="Arial"/>
        </w:rPr>
        <w:t xml:space="preserve">  </w:t>
      </w:r>
    </w:p>
    <w:p w14:paraId="5E1E2E05" w14:textId="2E4835BB" w:rsidR="009F64C5" w:rsidRPr="004410BC" w:rsidRDefault="00F94E9A" w:rsidP="00236C76">
      <w:pPr>
        <w:spacing w:after="42"/>
        <w:ind w:left="89"/>
        <w:jc w:val="center"/>
        <w:rPr>
          <w:rFonts w:cs="Arial"/>
          <w:sz w:val="36"/>
        </w:rPr>
      </w:pPr>
      <w:r w:rsidRPr="004410BC">
        <w:rPr>
          <w:rFonts w:cs="Arial"/>
          <w:sz w:val="36"/>
        </w:rPr>
        <w:t xml:space="preserve">Dissertation Title: </w:t>
      </w:r>
      <w:r w:rsidR="00DD744B" w:rsidRPr="004410BC">
        <w:rPr>
          <w:rFonts w:cs="Arial"/>
          <w:sz w:val="36"/>
        </w:rPr>
        <w:t>Health Inequalities and Accessibility Barriers to Primary Healthcare Services Among Ethnic Minority Groups in the UK, a Systematic Review</w:t>
      </w:r>
      <w:r w:rsidR="009F64C5" w:rsidRPr="004410BC">
        <w:rPr>
          <w:rFonts w:cs="Arial"/>
          <w:sz w:val="36"/>
        </w:rPr>
        <w:t xml:space="preserve"> </w:t>
      </w:r>
    </w:p>
    <w:p w14:paraId="40974D8D" w14:textId="77777777" w:rsidR="004E16B6" w:rsidRPr="004410BC" w:rsidRDefault="004E16B6" w:rsidP="00236C76">
      <w:pPr>
        <w:spacing w:after="42"/>
        <w:ind w:left="89"/>
        <w:jc w:val="center"/>
        <w:rPr>
          <w:rFonts w:cs="Arial"/>
        </w:rPr>
      </w:pPr>
    </w:p>
    <w:p w14:paraId="75EA3561" w14:textId="29C4910B" w:rsidR="009F64C5" w:rsidRPr="004410BC" w:rsidRDefault="009F64C5" w:rsidP="00236C76">
      <w:pPr>
        <w:spacing w:after="157"/>
        <w:ind w:left="2367" w:right="2358"/>
        <w:jc w:val="center"/>
        <w:rPr>
          <w:rFonts w:cs="Arial"/>
        </w:rPr>
      </w:pPr>
      <w:r w:rsidRPr="004410BC">
        <w:rPr>
          <w:rFonts w:cs="Arial"/>
        </w:rPr>
        <w:t xml:space="preserve">by  </w:t>
      </w:r>
    </w:p>
    <w:p w14:paraId="1062A64A" w14:textId="2D04CDB6" w:rsidR="009F64C5" w:rsidRPr="004410BC" w:rsidRDefault="004E16B6" w:rsidP="00236C76">
      <w:pPr>
        <w:spacing w:after="158"/>
        <w:ind w:left="59"/>
        <w:jc w:val="center"/>
        <w:rPr>
          <w:rFonts w:cs="Arial"/>
        </w:rPr>
      </w:pPr>
      <w:r w:rsidRPr="004410BC">
        <w:rPr>
          <w:rFonts w:cs="Arial"/>
        </w:rPr>
        <w:t>Mahir Al Asif Masrur</w:t>
      </w:r>
      <w:r w:rsidR="009F64C5" w:rsidRPr="004410BC">
        <w:rPr>
          <w:rFonts w:cs="Arial"/>
        </w:rPr>
        <w:t xml:space="preserve"> </w:t>
      </w:r>
    </w:p>
    <w:p w14:paraId="5CAC7C58" w14:textId="1C9C0DA7" w:rsidR="009F64C5" w:rsidRPr="004410BC" w:rsidRDefault="009F64C5" w:rsidP="00236C76">
      <w:pPr>
        <w:spacing w:after="156"/>
        <w:ind w:left="59"/>
        <w:jc w:val="center"/>
        <w:rPr>
          <w:rFonts w:cs="Arial"/>
        </w:rPr>
      </w:pPr>
      <w:r w:rsidRPr="004410BC">
        <w:rPr>
          <w:rFonts w:cs="Arial"/>
        </w:rPr>
        <w:t xml:space="preserve">    </w:t>
      </w:r>
    </w:p>
    <w:p w14:paraId="75DE2693" w14:textId="713CCC3C" w:rsidR="009F64C5" w:rsidRPr="004410BC" w:rsidRDefault="009F64C5" w:rsidP="00236C76">
      <w:pPr>
        <w:spacing w:after="156"/>
        <w:ind w:left="59"/>
        <w:jc w:val="center"/>
        <w:rPr>
          <w:rFonts w:cs="Arial"/>
          <w:szCs w:val="24"/>
        </w:rPr>
      </w:pPr>
      <w:r w:rsidRPr="004410BC">
        <w:rPr>
          <w:rFonts w:cs="Arial"/>
          <w:szCs w:val="24"/>
        </w:rPr>
        <w:t>A Dissertation submitted in partial fulfilment of the requirements for the degree of Masters of Science in Public Health and Social Care in Practice</w:t>
      </w:r>
    </w:p>
    <w:p w14:paraId="48468714" w14:textId="77777777" w:rsidR="009F64C5" w:rsidRPr="004410BC" w:rsidRDefault="009F64C5" w:rsidP="00236C76">
      <w:pPr>
        <w:spacing w:after="169"/>
        <w:rPr>
          <w:rFonts w:cs="Arial"/>
          <w:b/>
          <w:bCs/>
        </w:rPr>
      </w:pPr>
    </w:p>
    <w:p w14:paraId="7C5AA9DE" w14:textId="3566044E" w:rsidR="009F64C5" w:rsidRPr="004410BC" w:rsidRDefault="34630932" w:rsidP="00236C76">
      <w:pPr>
        <w:spacing w:after="169"/>
        <w:jc w:val="center"/>
        <w:rPr>
          <w:rFonts w:cs="Arial"/>
          <w:b/>
          <w:bCs/>
          <w:szCs w:val="24"/>
        </w:rPr>
      </w:pPr>
      <w:r w:rsidRPr="004410BC">
        <w:rPr>
          <w:rFonts w:cs="Arial"/>
          <w:b/>
          <w:bCs/>
          <w:szCs w:val="24"/>
        </w:rPr>
        <w:t>T</w:t>
      </w:r>
      <w:r w:rsidR="009F64C5" w:rsidRPr="004410BC">
        <w:rPr>
          <w:rFonts w:cs="Arial"/>
          <w:b/>
          <w:bCs/>
          <w:szCs w:val="24"/>
        </w:rPr>
        <w:t>he Institute of Inner</w:t>
      </w:r>
      <w:r w:rsidR="4EFAA9D8" w:rsidRPr="004410BC">
        <w:rPr>
          <w:rFonts w:cs="Arial"/>
          <w:b/>
          <w:bCs/>
          <w:szCs w:val="24"/>
        </w:rPr>
        <w:t>-</w:t>
      </w:r>
      <w:r w:rsidR="009F64C5" w:rsidRPr="004410BC">
        <w:rPr>
          <w:rFonts w:cs="Arial"/>
          <w:b/>
          <w:bCs/>
          <w:szCs w:val="24"/>
        </w:rPr>
        <w:t>City Learning</w:t>
      </w:r>
    </w:p>
    <w:p w14:paraId="0A089F1E" w14:textId="7EF44560" w:rsidR="009F64C5" w:rsidRPr="004410BC" w:rsidRDefault="009F64C5" w:rsidP="00236C76">
      <w:pPr>
        <w:spacing w:after="169"/>
        <w:jc w:val="center"/>
        <w:rPr>
          <w:rFonts w:cs="Arial"/>
          <w:b/>
          <w:bCs/>
          <w:szCs w:val="24"/>
        </w:rPr>
      </w:pPr>
      <w:r w:rsidRPr="004410BC">
        <w:rPr>
          <w:rFonts w:cs="Arial"/>
          <w:b/>
          <w:bCs/>
          <w:szCs w:val="24"/>
        </w:rPr>
        <w:t>University of Wales Trinity Saint David – London Campus</w:t>
      </w:r>
    </w:p>
    <w:p w14:paraId="4C4866B4" w14:textId="77777777" w:rsidR="009F64C5" w:rsidRPr="004410BC" w:rsidRDefault="009F64C5" w:rsidP="00236C76">
      <w:pPr>
        <w:spacing w:after="157"/>
        <w:ind w:left="2367" w:right="2357"/>
        <w:jc w:val="center"/>
        <w:rPr>
          <w:rFonts w:cs="Arial"/>
          <w:b/>
          <w:bCs/>
          <w:szCs w:val="24"/>
        </w:rPr>
      </w:pPr>
    </w:p>
    <w:p w14:paraId="52A3D603" w14:textId="77777777" w:rsidR="009F64C5" w:rsidRPr="004410BC" w:rsidRDefault="009F64C5" w:rsidP="00236C76">
      <w:pPr>
        <w:spacing w:after="157"/>
        <w:ind w:left="2367" w:right="2357"/>
        <w:jc w:val="center"/>
        <w:rPr>
          <w:rFonts w:cs="Arial"/>
          <w:b/>
          <w:bCs/>
          <w:szCs w:val="24"/>
        </w:rPr>
      </w:pPr>
    </w:p>
    <w:p w14:paraId="5D8C4E6F" w14:textId="79761129" w:rsidR="00113366" w:rsidRPr="004410BC" w:rsidRDefault="00342D42" w:rsidP="00236C76">
      <w:pPr>
        <w:spacing w:after="157"/>
        <w:ind w:left="2367" w:right="2357"/>
        <w:jc w:val="center"/>
        <w:rPr>
          <w:rFonts w:cs="Arial"/>
          <w:b/>
          <w:bCs/>
          <w:szCs w:val="24"/>
        </w:rPr>
      </w:pPr>
      <w:r w:rsidRPr="004410BC">
        <w:rPr>
          <w:rFonts w:cs="Arial"/>
          <w:b/>
          <w:bCs/>
          <w:szCs w:val="24"/>
        </w:rPr>
        <w:t>August, 2026</w:t>
      </w:r>
    </w:p>
    <w:p w14:paraId="46C7FCCD" w14:textId="77777777" w:rsidR="00113366" w:rsidRPr="004410BC" w:rsidRDefault="00113366" w:rsidP="00236C76">
      <w:pPr>
        <w:rPr>
          <w:rFonts w:cs="Arial"/>
          <w:b/>
          <w:bCs/>
        </w:rPr>
      </w:pPr>
      <w:r w:rsidRPr="004410BC">
        <w:rPr>
          <w:rFonts w:cs="Arial"/>
          <w:b/>
          <w:bCs/>
        </w:rPr>
        <w:br w:type="page"/>
      </w:r>
    </w:p>
    <w:p w14:paraId="013A249C" w14:textId="77777777" w:rsidR="00113366" w:rsidRPr="004410BC" w:rsidRDefault="00113366" w:rsidP="00236C76">
      <w:pPr>
        <w:spacing w:after="200"/>
        <w:rPr>
          <w:rFonts w:eastAsia="Times New Roman" w:cs="Arial"/>
          <w:b/>
          <w:bCs/>
          <w:color w:val="000000" w:themeColor="text1"/>
          <w:szCs w:val="24"/>
          <w:lang w:val="hr-HR"/>
        </w:rPr>
      </w:pPr>
      <w:r w:rsidRPr="004410BC">
        <w:rPr>
          <w:rFonts w:eastAsia="Times New Roman" w:cs="Arial"/>
          <w:b/>
          <w:bCs/>
          <w:color w:val="000000" w:themeColor="text1"/>
          <w:szCs w:val="24"/>
          <w:lang w:val="hr-HR"/>
        </w:rPr>
        <w:lastRenderedPageBreak/>
        <w:t>DECLARATION</w:t>
      </w:r>
    </w:p>
    <w:p w14:paraId="2E9B29DF" w14:textId="77777777" w:rsidR="00113366" w:rsidRPr="004410BC" w:rsidRDefault="00113366" w:rsidP="00236C76">
      <w:pPr>
        <w:spacing w:after="200"/>
        <w:rPr>
          <w:rFonts w:eastAsia="Times New Roman" w:cs="Arial"/>
          <w:color w:val="000000" w:themeColor="text1"/>
          <w:szCs w:val="24"/>
          <w:lang w:val="hr-HR"/>
        </w:rPr>
      </w:pPr>
    </w:p>
    <w:p w14:paraId="46A549CB" w14:textId="50F32FB8" w:rsidR="00113366" w:rsidRPr="004410BC" w:rsidRDefault="00113366" w:rsidP="00236C76">
      <w:pPr>
        <w:spacing w:after="200"/>
        <w:rPr>
          <w:rFonts w:eastAsia="Times New Roman" w:cs="Arial"/>
          <w:color w:val="000000" w:themeColor="text1"/>
          <w:szCs w:val="24"/>
          <w:lang w:val="hr-HR"/>
        </w:rPr>
      </w:pPr>
      <w:r w:rsidRPr="004410BC">
        <w:rPr>
          <w:rFonts w:cs="Arial"/>
          <w:noProof/>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w16cei="http://schemas.microsoft.com/office/word/2026/wordml/cei" xmlns:w16sdtfl="http://schemas.microsoft.com/office/word/2024/wordml/sdtformatlock" xmlns:w16du="http://schemas.microsoft.com/office/word/2023/wordml/word16du" xmlns:oel="http://schemas.microsoft.com/office/2019/extlst">
            <w:pict w14:anchorId="08587703">
              <v:shapetype id="_x0000_t75" coordsize="21600,21600" filled="f" stroked="f" o:spt="75" o:preferrelative="t" path="m@4@5l@4@11@9@11@9@5xe" w14:anchorId="665027F2">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6"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CgKSHbjAAAADQEAAA8AAABkcnMvZG93bnJldi54&#10;bWxMj01OwzAQRvdI3MEaJDYodZpCFUKcCiGxoJQiAgdw42mSEo+j2G1TTs90Bbv5efrmTb4YbScO&#10;OPjWkYLpJAaBVDnTUq3g6/M5SkH4oMnozhEqOKGHRXF5kevMuCN94KEMteAQ8plW0ITQZ1L6qkGr&#10;/cT1SLzbusHqwO1QSzPoI4fbTiZxPJdWt8QXGt3jU4PVd7m3Cl6TXblcv5yWK1y/35y26Vv7szNK&#10;XV+Njw8gAo7hD4azPqtDwU4btyfjRacgmiVpwuy5ursFwUg0TWc82jAc389BFrn8/0Xx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FftHK28AQAAXQQA&#10;ABAAAAAAAAAAAAAAAAAAJwQAAGRycy9pbmsvaW5rMS54bWxQSwECLQAUAAYACAAAACEAKApIduMA&#10;AAANAQAADwAAAAAAAAAAAAAAAAARBgAAZHJzL2Rvd25yZXYueG1sUEsBAi0AFAAGAAgAAAAhAHkY&#10;vJ2/AAAAIQEAABkAAAAAAAAAAAAAAAAAIQcAAGRycy9fcmVscy9lMm9Eb2MueG1sLnJlbHNQSwUG&#10;AAAAAAYABgB4AQAAFwgAAAAA&#10;">
                <v:imagedata o:title="" r:id="rId10"/>
                <o:lock v:ext="edit" rotation="t" verticies="t" shapetype="t"/>
              </v:shape>
            </w:pict>
          </mc:Fallback>
        </mc:AlternateContent>
      </w:r>
      <w:r w:rsidRPr="004410BC">
        <w:rPr>
          <w:rFonts w:cs="Arial"/>
          <w:noProof/>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w16cei="http://schemas.microsoft.com/office/word/2026/wordml/cei" xmlns:w16sdtfl="http://schemas.microsoft.com/office/word/2024/wordml/sdtformatlock" xmlns:w16du="http://schemas.microsoft.com/office/word/2023/wordml/word16du" xmlns:oel="http://schemas.microsoft.com/office/2019/extlst">
            <w:pict w14:anchorId="1696EA42">
              <v:shape id="Ink 1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" w14:anchorId="253C97BC">
                <v:imagedata o:title="" r:id="rId10"/>
                <o:lock v:ext="edit" rotation="t" verticies="t" shapetype="t"/>
              </v:shape>
            </w:pict>
          </mc:Fallback>
        </mc:AlternateContent>
      </w:r>
      <w:r w:rsidRPr="004410BC">
        <w:rPr>
          <w:rFonts w:cs="Arial"/>
          <w:noProof/>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w16cei="http://schemas.microsoft.com/office/word/2026/wordml/cei" xmlns:w16sdtfl="http://schemas.microsoft.com/office/word/2024/wordml/sdtformatlock" xmlns:w16du="http://schemas.microsoft.com/office/word/2023/wordml/word16du" xmlns:oel="http://schemas.microsoft.com/office/2019/extlst">
            <w:pict w14:anchorId="79662B3F">
              <v:shape id="Ink 14"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Ixqtw3jAAAADQEAAA8AAABkcnMvZG93bnJldi54&#10;bWxMj8FOwzAQRO9I/IO1SFxQ6sSRUJTGqRASBwq0IvABbrxN0sZ2FLttwtezPcFtd+dpdqZYTaZn&#10;Zxx956yEZBEDQ1s73dlGwvfXS5QB80FZrXpnUcKMHlbl7U2hcu0u9hPPVWgYmVifKwltCEPOua9b&#10;NMov3ICWtL0bjQq0jg3Xo7qQuem5iONHblRn6UOrBnxusT5WJyPhTRyq9eZ1Xr/jZvsw77OP7ueg&#10;pby/m56WwAJO4Q+Ga3yKDiVl2rmT1Z71EqJUZILY65RSCUKiJEvptCM4SQTwsuD/W5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jGq3DeMA&#10;AAANAQAADwAAAAAAAAAAAAAAAAARBgAAZHJzL2Rvd25yZXYueG1sUEsBAi0AFAAGAAgAAAAhAHkY&#10;vJ2/AAAAIQEAABkAAAAAAAAAAAAAAAAAIQcAAGRycy9fcmVscy9lMm9Eb2MueG1sLnJlbHNQSwUG&#10;AAAAAAYABgB4AQAAFwgAAAAA&#10;" w14:anchorId="5680CE78">
                <v:imagedata o:title="" r:id="rId10"/>
                <o:lock v:ext="edit" rotation="t" verticies="t" shapetype="t"/>
              </v:shape>
            </w:pict>
          </mc:Fallback>
        </mc:AlternateContent>
      </w:r>
      <w:r w:rsidRPr="004410BC">
        <w:rPr>
          <w:rFonts w:cs="Arial"/>
          <w:noProof/>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w16cei="http://schemas.microsoft.com/office/word/2026/wordml/cei" xmlns:w16sdtfl="http://schemas.microsoft.com/office/word/2024/wordml/sdtformatlock" xmlns:w16du="http://schemas.microsoft.com/office/word/2023/wordml/word16du" xmlns:oel="http://schemas.microsoft.com/office/2019/extlst">
            <w:pict w14:anchorId="38135702">
              <v:shape id="Ink 11"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D1IAft4QAAAA0B&#10;AAAPAAAAAAAAAAAAAAAAAA8GAABkcnMvZG93bnJldi54bWxQSwECLQAUAAYACAAAACEAeRi8nb8A&#10;AAAhAQAAGQAAAAAAAAAAAAAAAAAdBwAAZHJzL19yZWxzL2Uyb0RvYy54bWwucmVsc1BLBQYAAAAA&#10;BgAGAHgBAAATCAAAAAA=&#10;" w14:anchorId="60C55C8D">
                <v:imagedata o:title="" r:id="rId14"/>
                <o:lock v:ext="edit" rotation="t" verticies="t" shapetype="t"/>
              </v:shape>
            </w:pict>
          </mc:Fallback>
        </mc:AlternateContent>
      </w:r>
      <w:r w:rsidR="008A73BC" w:rsidRPr="004410BC">
        <w:rPr>
          <w:rFonts w:eastAsia="Times New Roman" w:cs="Arial"/>
          <w:color w:val="000000" w:themeColor="text1"/>
          <w:szCs w:val="24"/>
          <w:lang w:val="hr-HR"/>
        </w:rPr>
        <w:t xml:space="preserve">I, </w:t>
      </w:r>
      <w:r w:rsidR="00333817" w:rsidRPr="004410BC">
        <w:rPr>
          <w:rFonts w:eastAsia="Times New Roman" w:cs="Arial"/>
          <w:color w:val="000000" w:themeColor="text1"/>
          <w:szCs w:val="24"/>
          <w:lang w:val="hr-HR"/>
        </w:rPr>
        <w:t>Mahir Al Asif Masrur</w:t>
      </w:r>
      <w:r w:rsidR="00971A83" w:rsidRPr="004410BC">
        <w:rPr>
          <w:rFonts w:eastAsia="Times New Roman" w:cs="Arial"/>
          <w:color w:val="000000" w:themeColor="text1"/>
          <w:szCs w:val="24"/>
          <w:lang w:val="hr-HR"/>
        </w:rPr>
        <w:t>,</w:t>
      </w:r>
      <w:r w:rsidR="00333817" w:rsidRPr="004410BC">
        <w:rPr>
          <w:rFonts w:eastAsia="Times New Roman" w:cs="Arial"/>
          <w:color w:val="000000" w:themeColor="text1"/>
          <w:szCs w:val="24"/>
          <w:lang w:val="hr-HR"/>
        </w:rPr>
        <w:t xml:space="preserve"> </w:t>
      </w:r>
      <w:r w:rsidR="008A73BC" w:rsidRPr="004410BC">
        <w:rPr>
          <w:rFonts w:eastAsia="Times New Roman" w:cs="Arial"/>
          <w:color w:val="000000" w:themeColor="text1"/>
          <w:szCs w:val="24"/>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4410BC">
        <w:rPr>
          <w:rFonts w:eastAsia="Times New Roman" w:cs="Arial"/>
          <w:color w:val="000000" w:themeColor="text1"/>
          <w:szCs w:val="24"/>
          <w:lang w:val="hr-HR"/>
        </w:rPr>
        <w:t>.</w:t>
      </w:r>
    </w:p>
    <w:p w14:paraId="4E0CDA9F" w14:textId="77777777" w:rsidR="00113366" w:rsidRPr="004410BC" w:rsidRDefault="00113366" w:rsidP="00236C76">
      <w:pPr>
        <w:spacing w:after="200"/>
        <w:rPr>
          <w:rFonts w:eastAsia="Times New Roman" w:cs="Arial"/>
          <w:color w:val="000000" w:themeColor="text1"/>
          <w:szCs w:val="24"/>
          <w:lang w:val="hr-HR"/>
        </w:rPr>
      </w:pPr>
    </w:p>
    <w:p w14:paraId="5E2BD27D" w14:textId="77777777" w:rsidR="00113366" w:rsidRPr="004410BC" w:rsidRDefault="00113366" w:rsidP="00236C76">
      <w:pPr>
        <w:spacing w:after="200"/>
        <w:rPr>
          <w:rFonts w:eastAsia="Times New Roman" w:cs="Arial"/>
          <w:color w:val="000000" w:themeColor="text1"/>
          <w:szCs w:val="24"/>
          <w:lang w:val="hr-HR"/>
        </w:rPr>
      </w:pPr>
    </w:p>
    <w:p w14:paraId="5236DF40" w14:textId="12C0F079" w:rsidR="00113366" w:rsidRPr="004410BC" w:rsidRDefault="00113366" w:rsidP="00236C76">
      <w:pPr>
        <w:spacing w:after="200"/>
        <w:rPr>
          <w:rFonts w:eastAsia="Times New Roman" w:cs="Arial"/>
          <w:color w:val="000000" w:themeColor="text1"/>
          <w:szCs w:val="24"/>
          <w:lang w:val="hr-HR"/>
        </w:rPr>
      </w:pPr>
      <w:r w:rsidRPr="004410BC">
        <w:rPr>
          <w:rFonts w:eastAsia="Times New Roman" w:cs="Arial"/>
          <w:color w:val="000000" w:themeColor="text1"/>
          <w:szCs w:val="24"/>
          <w:lang w:val="hr-HR"/>
        </w:rPr>
        <w:t>Signed</w:t>
      </w:r>
      <w:r w:rsidR="008A73BC" w:rsidRPr="004410BC">
        <w:rPr>
          <w:rFonts w:eastAsia="Times New Roman" w:cs="Arial"/>
          <w:color w:val="000000" w:themeColor="text1"/>
          <w:szCs w:val="24"/>
          <w:lang w:val="hr-HR"/>
        </w:rPr>
        <w:t>:</w:t>
      </w:r>
      <w:r w:rsidR="0069344D" w:rsidRPr="004410BC">
        <w:rPr>
          <w:rFonts w:eastAsia="Times New Roman" w:cs="Arial"/>
          <w:color w:val="000000" w:themeColor="text1"/>
          <w:szCs w:val="24"/>
          <w:lang w:val="hr-HR"/>
        </w:rPr>
        <w:t xml:space="preserve"> </w:t>
      </w:r>
      <w:r w:rsidR="00532B42" w:rsidRPr="004410BC">
        <w:rPr>
          <w:rFonts w:cs="Arial"/>
          <w:noProof/>
        </w:rPr>
        <w:drawing>
          <wp:inline distT="0" distB="0" distL="0" distR="0" wp14:anchorId="0ED61073" wp14:editId="7CB6CCC9">
            <wp:extent cx="2242185" cy="294198"/>
            <wp:effectExtent l="0" t="0" r="5715" b="0"/>
            <wp:docPr id="1058440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440644" name=""/>
                    <pic:cNvPicPr/>
                  </pic:nvPicPr>
                  <pic:blipFill>
                    <a:blip r:embed="rId15"/>
                    <a:stretch>
                      <a:fillRect/>
                    </a:stretch>
                  </pic:blipFill>
                  <pic:spPr>
                    <a:xfrm>
                      <a:off x="0" y="0"/>
                      <a:ext cx="2297201" cy="301417"/>
                    </a:xfrm>
                    <a:prstGeom prst="rect">
                      <a:avLst/>
                    </a:prstGeom>
                  </pic:spPr>
                </pic:pic>
              </a:graphicData>
            </a:graphic>
          </wp:inline>
        </w:drawing>
      </w:r>
    </w:p>
    <w:p w14:paraId="1E1F6BED" w14:textId="77777777" w:rsidR="00113366" w:rsidRPr="004410BC" w:rsidRDefault="00113366" w:rsidP="00236C76">
      <w:pPr>
        <w:spacing w:after="200"/>
        <w:rPr>
          <w:rFonts w:eastAsia="Times New Roman" w:cs="Arial"/>
          <w:color w:val="000000" w:themeColor="text1"/>
          <w:szCs w:val="24"/>
          <w:lang w:val="hr-HR"/>
        </w:rPr>
      </w:pPr>
    </w:p>
    <w:p w14:paraId="367C1620" w14:textId="21FD73B0" w:rsidR="00113366" w:rsidRPr="004410BC" w:rsidRDefault="00113366" w:rsidP="00236C76">
      <w:pPr>
        <w:spacing w:after="200"/>
        <w:rPr>
          <w:rFonts w:eastAsia="Times New Roman" w:cs="Arial"/>
          <w:color w:val="000000" w:themeColor="text1"/>
          <w:szCs w:val="24"/>
          <w:lang w:val="hr-HR"/>
        </w:rPr>
      </w:pPr>
      <w:r w:rsidRPr="004410BC">
        <w:rPr>
          <w:rFonts w:eastAsia="Times New Roman" w:cs="Arial"/>
          <w:color w:val="000000" w:themeColor="text1"/>
          <w:szCs w:val="24"/>
          <w:lang w:val="hr-HR"/>
        </w:rPr>
        <w:t>Date:</w:t>
      </w:r>
      <w:r w:rsidR="001C5F5F" w:rsidRPr="004410BC">
        <w:rPr>
          <w:rFonts w:eastAsia="Times New Roman" w:cs="Arial"/>
          <w:color w:val="000000" w:themeColor="text1"/>
          <w:szCs w:val="24"/>
          <w:lang w:val="hr-HR"/>
        </w:rPr>
        <w:t xml:space="preserve"> </w:t>
      </w:r>
      <w:r w:rsidR="00A36C0D" w:rsidRPr="004410BC">
        <w:rPr>
          <w:rFonts w:eastAsia="Times New Roman" w:cs="Arial"/>
          <w:color w:val="000000" w:themeColor="text1"/>
          <w:szCs w:val="24"/>
          <w:lang w:val="hr-HR"/>
        </w:rPr>
        <w:t>26/08/2026</w:t>
      </w:r>
    </w:p>
    <w:p w14:paraId="2C702A82" w14:textId="77777777" w:rsidR="009F64C5" w:rsidRPr="004410BC" w:rsidRDefault="009F64C5" w:rsidP="00236C76">
      <w:pPr>
        <w:spacing w:after="157"/>
        <w:ind w:right="2357"/>
        <w:rPr>
          <w:rFonts w:cs="Arial"/>
          <w:b/>
          <w:bCs/>
        </w:rPr>
      </w:pPr>
    </w:p>
    <w:p w14:paraId="6AA9D53C" w14:textId="77777777" w:rsidR="009F64C5" w:rsidRPr="004410BC" w:rsidRDefault="009F64C5" w:rsidP="00236C76">
      <w:pPr>
        <w:spacing w:after="0"/>
        <w:rPr>
          <w:rFonts w:cs="Arial"/>
        </w:rPr>
      </w:pPr>
      <w:r w:rsidRPr="004410BC">
        <w:rPr>
          <w:rFonts w:cs="Arial"/>
          <w:color w:val="0070C0"/>
        </w:rPr>
        <w:t xml:space="preserve"> </w:t>
      </w:r>
      <w:r w:rsidRPr="004410BC">
        <w:rPr>
          <w:rFonts w:cs="Arial"/>
          <w:color w:val="0070C0"/>
        </w:rPr>
        <w:tab/>
        <w:t xml:space="preserve"> </w:t>
      </w:r>
    </w:p>
    <w:p w14:paraId="02286F32" w14:textId="77777777" w:rsidR="009F64C5" w:rsidRPr="004410BC" w:rsidRDefault="009F64C5" w:rsidP="00236C76">
      <w:pPr>
        <w:rPr>
          <w:rFonts w:eastAsia="Times New Roman" w:cs="Arial"/>
          <w:b/>
          <w:color w:val="000000"/>
        </w:rPr>
      </w:pPr>
      <w:r w:rsidRPr="004410BC">
        <w:rPr>
          <w:rFonts w:cs="Arial"/>
        </w:rPr>
        <w:br w:type="page"/>
      </w:r>
    </w:p>
    <w:p w14:paraId="106641A1" w14:textId="7C1664DD" w:rsidR="009F64C5" w:rsidRPr="004410BC" w:rsidRDefault="009F64C5" w:rsidP="00236C76">
      <w:pPr>
        <w:pStyle w:val="Heading1"/>
        <w:rPr>
          <w:rFonts w:cs="Arial"/>
        </w:rPr>
      </w:pPr>
      <w:bookmarkStart w:id="0" w:name="_Toc238290186"/>
      <w:bookmarkStart w:id="1" w:name="_Toc240724830"/>
      <w:r w:rsidRPr="004410BC">
        <w:rPr>
          <w:rFonts w:cs="Arial"/>
        </w:rPr>
        <w:lastRenderedPageBreak/>
        <w:t>Acknowledgements</w:t>
      </w:r>
      <w:bookmarkEnd w:id="0"/>
      <w:bookmarkEnd w:id="1"/>
      <w:r w:rsidRPr="004410BC">
        <w:rPr>
          <w:rFonts w:cs="Arial"/>
        </w:rPr>
        <w:t xml:space="preserve"> </w:t>
      </w:r>
    </w:p>
    <w:p w14:paraId="3DF0875E" w14:textId="77777777" w:rsidR="009F64C5" w:rsidRPr="004410BC" w:rsidRDefault="009F64C5" w:rsidP="00236C76">
      <w:pPr>
        <w:spacing w:after="158"/>
        <w:rPr>
          <w:rFonts w:cs="Arial"/>
        </w:rPr>
      </w:pPr>
      <w:r w:rsidRPr="004410BC">
        <w:rPr>
          <w:rFonts w:cs="Arial"/>
        </w:rPr>
        <w:t xml:space="preserve"> </w:t>
      </w:r>
    </w:p>
    <w:p w14:paraId="6F4F74AD" w14:textId="065F8A6D" w:rsidR="009F64C5" w:rsidRPr="004410BC" w:rsidRDefault="00C72A93" w:rsidP="00236C76">
      <w:pPr>
        <w:spacing w:after="0"/>
        <w:rPr>
          <w:rFonts w:cs="Arial"/>
        </w:rPr>
      </w:pPr>
      <w:r w:rsidRPr="004410BC">
        <w:rPr>
          <w:rFonts w:cs="Arial"/>
        </w:rPr>
        <w:t>I sincerely thank my supervisor, Itse Olaoye, for invaluable guidance. The thoughtful feedback strengthened this dissertation and guided its direction. I am grateful to Muhammed Khan for teaching and encouragement. I also thank Diola Bijlhout for the helpful dissertation classes. Those sessions provided useful structure, clarification, and practical research direction. I appreciate my classmates for sharing ideas and offering support. My sincere gratitude extends to my family for their encouragement. Finally, I thank everyone who contributed to completing this dissertation.</w:t>
      </w:r>
      <w:r w:rsidR="009F64C5" w:rsidRPr="004410BC">
        <w:rPr>
          <w:rFonts w:cs="Arial"/>
          <w:color w:val="0070C0"/>
        </w:rPr>
        <w:t xml:space="preserve"> </w:t>
      </w:r>
      <w:r w:rsidR="009F64C5" w:rsidRPr="004410BC">
        <w:rPr>
          <w:rFonts w:cs="Arial"/>
          <w:color w:val="0070C0"/>
        </w:rPr>
        <w:tab/>
        <w:t xml:space="preserve"> </w:t>
      </w:r>
      <w:r w:rsidR="009F64C5" w:rsidRPr="004410BC">
        <w:rPr>
          <w:rFonts w:cs="Arial"/>
        </w:rPr>
        <w:br w:type="page"/>
      </w:r>
    </w:p>
    <w:p w14:paraId="59ABEE5D" w14:textId="7AA0355F" w:rsidR="009F64C5" w:rsidRPr="004410BC" w:rsidRDefault="009F64C5" w:rsidP="00236C76">
      <w:pPr>
        <w:pStyle w:val="Heading1"/>
        <w:rPr>
          <w:rFonts w:cs="Arial"/>
        </w:rPr>
      </w:pPr>
      <w:bookmarkStart w:id="2" w:name="_Toc238290187"/>
      <w:bookmarkStart w:id="3" w:name="_Toc240724831"/>
      <w:r w:rsidRPr="004410BC">
        <w:rPr>
          <w:rFonts w:cs="Arial"/>
        </w:rPr>
        <w:t>Abstract</w:t>
      </w:r>
      <w:bookmarkEnd w:id="2"/>
      <w:bookmarkEnd w:id="3"/>
    </w:p>
    <w:p w14:paraId="2DB68321" w14:textId="7951E84D" w:rsidR="006A1CF0" w:rsidRPr="004410BC" w:rsidRDefault="006A1CF0" w:rsidP="00236C76">
      <w:pPr>
        <w:spacing w:after="14"/>
        <w:rPr>
          <w:rFonts w:cs="Arial"/>
        </w:rPr>
        <w:sectPr w:rsidR="006A1CF0" w:rsidRPr="004410BC" w:rsidSect="00F40302">
          <w:footerReference w:type="default" r:id="rId16"/>
          <w:pgSz w:w="11906" w:h="16838" w:code="9"/>
          <w:pgMar w:top="1440" w:right="1440" w:bottom="1440" w:left="1440" w:header="720" w:footer="720" w:gutter="0"/>
          <w:cols w:space="720"/>
          <w:docGrid w:linePitch="360"/>
        </w:sectPr>
      </w:pPr>
      <w:r w:rsidRPr="004410BC">
        <w:rPr>
          <w:rFonts w:cs="Arial"/>
        </w:rPr>
        <w:t>In the United Kingdom, inequ</w:t>
      </w:r>
      <w:r w:rsidR="00122263" w:rsidRPr="004410BC">
        <w:rPr>
          <w:rFonts w:cs="Arial"/>
        </w:rPr>
        <w:t>al</w:t>
      </w:r>
      <w:r w:rsidRPr="004410BC">
        <w:rPr>
          <w:rFonts w:cs="Arial"/>
        </w:rPr>
        <w:t>ities in health remain a major issue; formal access to primary health care is not necessarily equitable for ethnic minority groups. This systematic review examined health inequalities, access barriers, their impact on access to services and patient experiences</w:t>
      </w:r>
      <w:r w:rsidR="00971A83" w:rsidRPr="004410BC">
        <w:rPr>
          <w:rFonts w:cs="Arial"/>
        </w:rPr>
        <w:t>,</w:t>
      </w:r>
      <w:r w:rsidRPr="004410BC">
        <w:rPr>
          <w:rFonts w:cs="Arial"/>
        </w:rPr>
        <w:t xml:space="preserve"> and strategies to facilitate access. Studies published from 2020 to 2026 were included in the search that was conducted in seven electronic databases with predetermined eligibility criteria. After systematic screening, quality appraisal</w:t>
      </w:r>
      <w:r w:rsidR="00534D31" w:rsidRPr="004410BC">
        <w:rPr>
          <w:rFonts w:cs="Arial"/>
        </w:rPr>
        <w:t>,</w:t>
      </w:r>
      <w:r w:rsidRPr="004410BC">
        <w:rPr>
          <w:rFonts w:cs="Arial"/>
        </w:rPr>
        <w:t xml:space="preserve"> and selection using PRISMA procedures, 14 studies were included. Due to methodological differences, meta-analysis was not possible</w:t>
      </w:r>
      <w:r w:rsidR="00D16693" w:rsidRPr="004410BC">
        <w:rPr>
          <w:rFonts w:cs="Arial"/>
        </w:rPr>
        <w:t>,</w:t>
      </w:r>
      <w:r w:rsidRPr="004410BC">
        <w:rPr>
          <w:rFonts w:cs="Arial"/>
        </w:rPr>
        <w:t xml:space="preserve"> and the data were extracted, then manually coded in Microsoft Excel and synthesi</w:t>
      </w:r>
      <w:r w:rsidR="00B34D86" w:rsidRPr="004410BC">
        <w:rPr>
          <w:rFonts w:cs="Arial"/>
        </w:rPr>
        <w:t>s</w:t>
      </w:r>
      <w:r w:rsidRPr="004410BC">
        <w:rPr>
          <w:rFonts w:cs="Arial"/>
        </w:rPr>
        <w:t>ed narratively. Findings identified inequalities in access to and use of health services, use of preventive and routine care, quality, safety, trust and recognition. Language and communication barriers, cultural norms, stigma and discrimination, mistrust, digital exclusion and organisation</w:t>
      </w:r>
      <w:r w:rsidR="00D16693" w:rsidRPr="004410BC">
        <w:rPr>
          <w:rFonts w:cs="Arial"/>
        </w:rPr>
        <w:t>al</w:t>
      </w:r>
      <w:r w:rsidRPr="004410BC">
        <w:rPr>
          <w:rFonts w:cs="Arial"/>
        </w:rPr>
        <w:t xml:space="preserve"> constraints were the key obstacles. These barriers were related to delayed or changed use of services, poorer patient experience, and unmet health needs. There were several suggestions that emerged as potential solutions to the issue of multilingual communication, culturally responsive care, community engagement, co-produced services, outreach, and hybrid access. </w:t>
      </w:r>
      <w:r w:rsidR="001A77CC" w:rsidRPr="004410BC">
        <w:rPr>
          <w:rFonts w:cs="Arial"/>
        </w:rPr>
        <w:t>T</w:t>
      </w:r>
      <w:r w:rsidRPr="004410BC">
        <w:rPr>
          <w:rFonts w:cs="Arial"/>
        </w:rPr>
        <w:t xml:space="preserve">here is a need for coordinated responses to patient, service, and structural barriers to achieve equitable primary health care. </w:t>
      </w:r>
    </w:p>
    <w:bookmarkStart w:id="4" w:name="_Toc12212" w:displacedByCustomXml="next"/>
    <w:sdt>
      <w:sdtPr>
        <w:rPr>
          <w:rFonts w:ascii="Arial" w:eastAsiaTheme="minorEastAsia" w:hAnsi="Arial" w:cs="Arial"/>
          <w:color w:val="auto"/>
          <w:kern w:val="2"/>
          <w:sz w:val="24"/>
          <w:szCs w:val="22"/>
          <w:lang w:val="en-GB" w:eastAsia="zh-CN"/>
          <w14:ligatures w14:val="standardContextual"/>
        </w:rPr>
        <w:id w:val="-1797601993"/>
        <w:docPartObj>
          <w:docPartGallery w:val="Table of Contents"/>
          <w:docPartUnique/>
        </w:docPartObj>
      </w:sdtPr>
      <w:sdtEndPr>
        <w:rPr>
          <w:b/>
          <w:bCs/>
          <w:noProof/>
        </w:rPr>
      </w:sdtEndPr>
      <w:sdtContent>
        <w:p w14:paraId="20CED95D" w14:textId="34F4DBA9" w:rsidR="00241C3C" w:rsidRPr="004410BC" w:rsidRDefault="004410BC" w:rsidP="00236C76">
          <w:pPr>
            <w:pStyle w:val="TOCHeading"/>
            <w:spacing w:line="360" w:lineRule="auto"/>
            <w:rPr>
              <w:rFonts w:ascii="Arial" w:hAnsi="Arial" w:cs="Arial"/>
              <w:b/>
              <w:bCs/>
            </w:rPr>
          </w:pPr>
          <w:r w:rsidRPr="004410BC">
            <w:rPr>
              <w:rFonts w:ascii="Arial" w:hAnsi="Arial" w:cs="Arial"/>
              <w:b/>
              <w:bCs/>
            </w:rPr>
            <w:t>Table of Contents</w:t>
          </w:r>
        </w:p>
        <w:p w14:paraId="363A5E00" w14:textId="467D9EF5" w:rsidR="00241C3C" w:rsidRPr="004410BC" w:rsidRDefault="00241C3C" w:rsidP="00236C76">
          <w:pPr>
            <w:pStyle w:val="TOC1"/>
            <w:tabs>
              <w:tab w:val="right" w:leader="dot" w:pos="9016"/>
            </w:tabs>
            <w:spacing w:line="360" w:lineRule="auto"/>
            <w:rPr>
              <w:rFonts w:ascii="Arial" w:eastAsiaTheme="minorEastAsia" w:hAnsi="Arial" w:cs="Arial"/>
              <w:noProof/>
              <w:color w:val="auto"/>
              <w:szCs w:val="24"/>
              <w:lang w:val="en-US" w:eastAsia="en-US"/>
            </w:rPr>
          </w:pPr>
          <w:r w:rsidRPr="004410BC">
            <w:rPr>
              <w:rFonts w:ascii="Arial" w:hAnsi="Arial" w:cs="Arial"/>
            </w:rPr>
            <w:fldChar w:fldCharType="begin"/>
          </w:r>
          <w:r w:rsidRPr="004410BC">
            <w:rPr>
              <w:rFonts w:ascii="Arial" w:hAnsi="Arial" w:cs="Arial"/>
            </w:rPr>
            <w:instrText xml:space="preserve"> TOC \o "1-3" \h \z \u </w:instrText>
          </w:r>
          <w:r w:rsidRPr="004410BC">
            <w:rPr>
              <w:rFonts w:ascii="Arial" w:hAnsi="Arial" w:cs="Arial"/>
            </w:rPr>
            <w:fldChar w:fldCharType="separate"/>
          </w:r>
          <w:hyperlink w:anchor="_Toc240724830" w:history="1">
            <w:r w:rsidRPr="004410BC">
              <w:rPr>
                <w:rStyle w:val="Hyperlink"/>
                <w:rFonts w:ascii="Arial" w:hAnsi="Arial" w:cs="Arial"/>
                <w:noProof/>
              </w:rPr>
              <w:t>Acknowledgements</w:t>
            </w:r>
            <w:r w:rsidRPr="004410BC">
              <w:rPr>
                <w:rFonts w:ascii="Arial" w:hAnsi="Arial" w:cs="Arial"/>
                <w:noProof/>
                <w:webHidden/>
              </w:rPr>
              <w:tab/>
            </w:r>
            <w:r w:rsidRPr="004410BC">
              <w:rPr>
                <w:rFonts w:ascii="Arial" w:hAnsi="Arial" w:cs="Arial"/>
                <w:noProof/>
                <w:webHidden/>
              </w:rPr>
              <w:fldChar w:fldCharType="begin"/>
            </w:r>
            <w:r w:rsidRPr="004410BC">
              <w:rPr>
                <w:rFonts w:ascii="Arial" w:hAnsi="Arial" w:cs="Arial"/>
                <w:noProof/>
                <w:webHidden/>
              </w:rPr>
              <w:instrText xml:space="preserve"> PAGEREF _Toc240724830 \h </w:instrText>
            </w:r>
            <w:r w:rsidRPr="004410BC">
              <w:rPr>
                <w:rFonts w:ascii="Arial" w:hAnsi="Arial" w:cs="Arial"/>
                <w:noProof/>
                <w:webHidden/>
              </w:rPr>
            </w:r>
            <w:r w:rsidRPr="004410BC">
              <w:rPr>
                <w:rFonts w:ascii="Arial" w:hAnsi="Arial" w:cs="Arial"/>
                <w:noProof/>
                <w:webHidden/>
              </w:rPr>
              <w:fldChar w:fldCharType="separate"/>
            </w:r>
            <w:r w:rsidRPr="004410BC">
              <w:rPr>
                <w:rFonts w:ascii="Arial" w:hAnsi="Arial" w:cs="Arial"/>
                <w:noProof/>
                <w:webHidden/>
              </w:rPr>
              <w:t>3</w:t>
            </w:r>
            <w:r w:rsidRPr="004410BC">
              <w:rPr>
                <w:rFonts w:ascii="Arial" w:hAnsi="Arial" w:cs="Arial"/>
                <w:noProof/>
                <w:webHidden/>
              </w:rPr>
              <w:fldChar w:fldCharType="end"/>
            </w:r>
          </w:hyperlink>
        </w:p>
        <w:p w14:paraId="78350289" w14:textId="24362E1D"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831" w:history="1">
            <w:r w:rsidR="00241C3C" w:rsidRPr="004410BC">
              <w:rPr>
                <w:rStyle w:val="Hyperlink"/>
                <w:rFonts w:ascii="Arial" w:hAnsi="Arial" w:cs="Arial"/>
                <w:noProof/>
              </w:rPr>
              <w:t>Abstract</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_Toc240724831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4</w:t>
            </w:r>
            <w:r w:rsidR="00241C3C" w:rsidRPr="004410BC">
              <w:rPr>
                <w:rFonts w:ascii="Arial" w:hAnsi="Arial" w:cs="Arial"/>
                <w:noProof/>
                <w:webHidden/>
              </w:rPr>
              <w:fldChar w:fldCharType="end"/>
            </w:r>
          </w:hyperlink>
        </w:p>
        <w:p w14:paraId="24AF2820" w14:textId="3DBF62A0"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832" w:history="1">
            <w:r w:rsidR="00241C3C" w:rsidRPr="004410BC">
              <w:rPr>
                <w:rStyle w:val="Hyperlink"/>
                <w:rFonts w:ascii="Arial" w:hAnsi="Arial" w:cs="Arial"/>
                <w:noProof/>
              </w:rPr>
              <w:t>List of figures</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_Toc240724832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9</w:t>
            </w:r>
            <w:r w:rsidR="00241C3C" w:rsidRPr="004410BC">
              <w:rPr>
                <w:rFonts w:ascii="Arial" w:hAnsi="Arial" w:cs="Arial"/>
                <w:noProof/>
                <w:webHidden/>
              </w:rPr>
              <w:fldChar w:fldCharType="end"/>
            </w:r>
          </w:hyperlink>
        </w:p>
        <w:p w14:paraId="6EA30BE5" w14:textId="53B90BF2"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833" w:history="1">
            <w:r w:rsidR="00241C3C" w:rsidRPr="004410BC">
              <w:rPr>
                <w:rStyle w:val="Hyperlink"/>
                <w:rFonts w:ascii="Arial" w:hAnsi="Arial" w:cs="Arial"/>
                <w:noProof/>
              </w:rPr>
              <w:t>List of tables</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_Toc240724833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10</w:t>
            </w:r>
            <w:r w:rsidR="00241C3C" w:rsidRPr="004410BC">
              <w:rPr>
                <w:rFonts w:ascii="Arial" w:hAnsi="Arial" w:cs="Arial"/>
                <w:noProof/>
                <w:webHidden/>
              </w:rPr>
              <w:fldChar w:fldCharType="end"/>
            </w:r>
          </w:hyperlink>
        </w:p>
        <w:p w14:paraId="000C39D8" w14:textId="546D2D26"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834" w:history="1">
            <w:r w:rsidR="00241C3C" w:rsidRPr="004410BC">
              <w:rPr>
                <w:rStyle w:val="Hyperlink"/>
                <w:rFonts w:ascii="Arial" w:hAnsi="Arial" w:cs="Arial"/>
                <w:noProof/>
              </w:rPr>
              <w:t>List of abbreviations</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_Toc240724834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11</w:t>
            </w:r>
            <w:r w:rsidR="00241C3C" w:rsidRPr="004410BC">
              <w:rPr>
                <w:rFonts w:ascii="Arial" w:hAnsi="Arial" w:cs="Arial"/>
                <w:noProof/>
                <w:webHidden/>
              </w:rPr>
              <w:fldChar w:fldCharType="end"/>
            </w:r>
          </w:hyperlink>
        </w:p>
        <w:p w14:paraId="7013CB70" w14:textId="27336E19"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835" w:history="1">
            <w:r w:rsidR="00241C3C" w:rsidRPr="004410BC">
              <w:rPr>
                <w:rStyle w:val="Hyperlink"/>
                <w:rFonts w:ascii="Arial" w:hAnsi="Arial" w:cs="Arial"/>
                <w:noProof/>
              </w:rPr>
              <w:t>Chapter 1: Introduction</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_Toc240724835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12</w:t>
            </w:r>
            <w:r w:rsidR="00241C3C" w:rsidRPr="004410BC">
              <w:rPr>
                <w:rFonts w:ascii="Arial" w:hAnsi="Arial" w:cs="Arial"/>
                <w:noProof/>
                <w:webHidden/>
              </w:rPr>
              <w:fldChar w:fldCharType="end"/>
            </w:r>
          </w:hyperlink>
        </w:p>
        <w:p w14:paraId="42707BD4" w14:textId="388143DB" w:rsidR="00241C3C" w:rsidRPr="004410BC" w:rsidRDefault="009F443E" w:rsidP="00236C76">
          <w:pPr>
            <w:pStyle w:val="TOC2"/>
            <w:tabs>
              <w:tab w:val="right" w:leader="dot" w:pos="9016"/>
            </w:tabs>
            <w:rPr>
              <w:rFonts w:cs="Arial"/>
              <w:noProof/>
              <w:szCs w:val="24"/>
              <w:lang w:val="en-US" w:eastAsia="en-US"/>
            </w:rPr>
          </w:pPr>
          <w:hyperlink w:anchor="_Toc240724836" w:history="1">
            <w:r w:rsidR="00241C3C" w:rsidRPr="004410BC">
              <w:rPr>
                <w:rStyle w:val="Hyperlink"/>
                <w:rFonts w:eastAsiaTheme="majorEastAsia" w:cs="Arial"/>
                <w:noProof/>
              </w:rPr>
              <w:t>1.1 Prevalence of The Problem</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_Toc240724836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12</w:t>
            </w:r>
            <w:r w:rsidR="00241C3C" w:rsidRPr="004410BC">
              <w:rPr>
                <w:rFonts w:cs="Arial"/>
                <w:noProof/>
                <w:webHidden/>
              </w:rPr>
              <w:fldChar w:fldCharType="end"/>
            </w:r>
          </w:hyperlink>
        </w:p>
        <w:p w14:paraId="704B4A1B" w14:textId="0954E863" w:rsidR="00241C3C" w:rsidRPr="004410BC" w:rsidRDefault="009F443E" w:rsidP="00236C76">
          <w:pPr>
            <w:pStyle w:val="TOC2"/>
            <w:tabs>
              <w:tab w:val="right" w:leader="dot" w:pos="9016"/>
            </w:tabs>
            <w:rPr>
              <w:rFonts w:cs="Arial"/>
              <w:noProof/>
              <w:szCs w:val="24"/>
              <w:lang w:val="en-US" w:eastAsia="en-US"/>
            </w:rPr>
          </w:pPr>
          <w:hyperlink w:anchor="_Toc240724837" w:history="1">
            <w:r w:rsidR="00241C3C" w:rsidRPr="004410BC">
              <w:rPr>
                <w:rStyle w:val="Hyperlink"/>
                <w:rFonts w:eastAsiaTheme="majorEastAsia" w:cs="Arial"/>
                <w:noProof/>
              </w:rPr>
              <w:t>1.2 Background</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_Toc240724837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13</w:t>
            </w:r>
            <w:r w:rsidR="00241C3C" w:rsidRPr="004410BC">
              <w:rPr>
                <w:rFonts w:cs="Arial"/>
                <w:noProof/>
                <w:webHidden/>
              </w:rPr>
              <w:fldChar w:fldCharType="end"/>
            </w:r>
          </w:hyperlink>
        </w:p>
        <w:p w14:paraId="1366E2B3" w14:textId="273858C6" w:rsidR="00241C3C" w:rsidRPr="004410BC" w:rsidRDefault="009F443E" w:rsidP="00236C76">
          <w:pPr>
            <w:pStyle w:val="TOC2"/>
            <w:tabs>
              <w:tab w:val="right" w:leader="dot" w:pos="9016"/>
            </w:tabs>
            <w:rPr>
              <w:rFonts w:cs="Arial"/>
              <w:noProof/>
              <w:szCs w:val="24"/>
              <w:lang w:val="en-US" w:eastAsia="en-US"/>
            </w:rPr>
          </w:pPr>
          <w:hyperlink w:anchor="_Toc240724838" w:history="1">
            <w:r w:rsidR="00241C3C" w:rsidRPr="004410BC">
              <w:rPr>
                <w:rStyle w:val="Hyperlink"/>
                <w:rFonts w:eastAsiaTheme="majorEastAsia" w:cs="Arial"/>
                <w:noProof/>
              </w:rPr>
              <w:t>1.3 Rationale, Aim, Objectives, and Questions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_Toc240724838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14</w:t>
            </w:r>
            <w:r w:rsidR="00241C3C" w:rsidRPr="004410BC">
              <w:rPr>
                <w:rFonts w:cs="Arial"/>
                <w:noProof/>
                <w:webHidden/>
              </w:rPr>
              <w:fldChar w:fldCharType="end"/>
            </w:r>
          </w:hyperlink>
        </w:p>
        <w:p w14:paraId="6D13AE4A" w14:textId="532E5BA8" w:rsidR="00241C3C" w:rsidRPr="004410BC" w:rsidRDefault="009F443E" w:rsidP="00236C76">
          <w:pPr>
            <w:pStyle w:val="TOC2"/>
            <w:tabs>
              <w:tab w:val="right" w:leader="dot" w:pos="9016"/>
            </w:tabs>
            <w:rPr>
              <w:rFonts w:cs="Arial"/>
              <w:noProof/>
              <w:szCs w:val="24"/>
              <w:lang w:val="en-US" w:eastAsia="en-US"/>
            </w:rPr>
          </w:pPr>
          <w:hyperlink w:anchor="_Toc240724839" w:history="1">
            <w:r w:rsidR="00241C3C" w:rsidRPr="004410BC">
              <w:rPr>
                <w:rStyle w:val="Hyperlink"/>
                <w:rFonts w:eastAsiaTheme="majorEastAsia" w:cs="Arial"/>
                <w:noProof/>
              </w:rPr>
              <w:t>1.4 Significance of The Study</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_Toc240724839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15</w:t>
            </w:r>
            <w:r w:rsidR="00241C3C" w:rsidRPr="004410BC">
              <w:rPr>
                <w:rFonts w:cs="Arial"/>
                <w:noProof/>
                <w:webHidden/>
              </w:rPr>
              <w:fldChar w:fldCharType="end"/>
            </w:r>
          </w:hyperlink>
        </w:p>
        <w:p w14:paraId="27122EBE" w14:textId="09182D77" w:rsidR="00241C3C" w:rsidRPr="004410BC" w:rsidRDefault="009F443E" w:rsidP="00236C76">
          <w:pPr>
            <w:pStyle w:val="TOC2"/>
            <w:tabs>
              <w:tab w:val="right" w:leader="dot" w:pos="9016"/>
            </w:tabs>
            <w:rPr>
              <w:rFonts w:cs="Arial"/>
              <w:noProof/>
              <w:szCs w:val="24"/>
              <w:lang w:val="en-US" w:eastAsia="en-US"/>
            </w:rPr>
          </w:pPr>
          <w:hyperlink w:anchor="_Toc240724840" w:history="1">
            <w:r w:rsidR="00241C3C" w:rsidRPr="004410BC">
              <w:rPr>
                <w:rStyle w:val="Hyperlink"/>
                <w:rFonts w:eastAsiaTheme="majorEastAsia" w:cs="Arial"/>
                <w:noProof/>
              </w:rPr>
              <w:t>1.5 Scope of the Study</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_Toc240724840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15</w:t>
            </w:r>
            <w:r w:rsidR="00241C3C" w:rsidRPr="004410BC">
              <w:rPr>
                <w:rFonts w:cs="Arial"/>
                <w:noProof/>
                <w:webHidden/>
              </w:rPr>
              <w:fldChar w:fldCharType="end"/>
            </w:r>
          </w:hyperlink>
        </w:p>
        <w:p w14:paraId="7F97EB30" w14:textId="0E2DA839" w:rsidR="00241C3C" w:rsidRPr="004410BC" w:rsidRDefault="009F443E" w:rsidP="00236C76">
          <w:pPr>
            <w:pStyle w:val="TOC2"/>
            <w:tabs>
              <w:tab w:val="right" w:leader="dot" w:pos="9016"/>
            </w:tabs>
            <w:rPr>
              <w:rFonts w:cs="Arial"/>
              <w:noProof/>
              <w:szCs w:val="24"/>
              <w:lang w:val="en-US" w:eastAsia="en-US"/>
            </w:rPr>
          </w:pPr>
          <w:hyperlink w:anchor="_Toc240724841" w:history="1">
            <w:r w:rsidR="00241C3C" w:rsidRPr="004410BC">
              <w:rPr>
                <w:rStyle w:val="Hyperlink"/>
                <w:rFonts w:cs="Arial"/>
                <w:noProof/>
              </w:rPr>
              <w:t>1.6 Structure of the Dissertation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_Toc240724841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16</w:t>
            </w:r>
            <w:r w:rsidR="00241C3C" w:rsidRPr="004410BC">
              <w:rPr>
                <w:rFonts w:cs="Arial"/>
                <w:noProof/>
                <w:webHidden/>
              </w:rPr>
              <w:fldChar w:fldCharType="end"/>
            </w:r>
          </w:hyperlink>
        </w:p>
        <w:p w14:paraId="02268B2D" w14:textId="46EED59C"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842" w:history="1">
            <w:r w:rsidR="00241C3C" w:rsidRPr="004410BC">
              <w:rPr>
                <w:rStyle w:val="Hyperlink"/>
                <w:rFonts w:ascii="Arial" w:hAnsi="Arial" w:cs="Arial"/>
                <w:noProof/>
              </w:rPr>
              <w:t>Chapter 2: Literature review/theoretical framework</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_Toc240724842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17</w:t>
            </w:r>
            <w:r w:rsidR="00241C3C" w:rsidRPr="004410BC">
              <w:rPr>
                <w:rFonts w:ascii="Arial" w:hAnsi="Arial" w:cs="Arial"/>
                <w:noProof/>
                <w:webHidden/>
              </w:rPr>
              <w:fldChar w:fldCharType="end"/>
            </w:r>
          </w:hyperlink>
        </w:p>
        <w:p w14:paraId="1BB5DED8" w14:textId="47BD017C" w:rsidR="00241C3C" w:rsidRPr="004410BC" w:rsidRDefault="009F443E" w:rsidP="00236C76">
          <w:pPr>
            <w:pStyle w:val="TOC2"/>
            <w:tabs>
              <w:tab w:val="right" w:leader="dot" w:pos="9016"/>
            </w:tabs>
            <w:rPr>
              <w:rFonts w:cs="Arial"/>
              <w:noProof/>
              <w:szCs w:val="24"/>
              <w:lang w:val="en-US" w:eastAsia="en-US"/>
            </w:rPr>
          </w:pPr>
          <w:hyperlink w:anchor="_Toc240724843" w:history="1">
            <w:r w:rsidR="00241C3C" w:rsidRPr="004410BC">
              <w:rPr>
                <w:rStyle w:val="Hyperlink"/>
                <w:rFonts w:eastAsiaTheme="majorEastAsia" w:cs="Arial"/>
                <w:noProof/>
              </w:rPr>
              <w:t>2.1 Introduction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_Toc240724843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17</w:t>
            </w:r>
            <w:r w:rsidR="00241C3C" w:rsidRPr="004410BC">
              <w:rPr>
                <w:rFonts w:cs="Arial"/>
                <w:noProof/>
                <w:webHidden/>
              </w:rPr>
              <w:fldChar w:fldCharType="end"/>
            </w:r>
          </w:hyperlink>
        </w:p>
        <w:p w14:paraId="2B32BF5E" w14:textId="3E0A7E60" w:rsidR="00241C3C" w:rsidRPr="004410BC" w:rsidRDefault="009F443E" w:rsidP="00236C76">
          <w:pPr>
            <w:pStyle w:val="TOC2"/>
            <w:tabs>
              <w:tab w:val="right" w:leader="dot" w:pos="9016"/>
            </w:tabs>
            <w:rPr>
              <w:rFonts w:cs="Arial"/>
              <w:noProof/>
              <w:szCs w:val="24"/>
              <w:lang w:val="en-US" w:eastAsia="en-US"/>
            </w:rPr>
          </w:pPr>
          <w:hyperlink w:anchor="_Toc240724844" w:history="1">
            <w:r w:rsidR="00241C3C" w:rsidRPr="004410BC">
              <w:rPr>
                <w:rStyle w:val="Hyperlink"/>
                <w:rFonts w:eastAsiaTheme="majorEastAsia" w:cs="Arial"/>
                <w:noProof/>
              </w:rPr>
              <w:t>2.2 Global and UK Burden of Health Inequalities among Ethnic Minority Groups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_Toc240724844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17</w:t>
            </w:r>
            <w:r w:rsidR="00241C3C" w:rsidRPr="004410BC">
              <w:rPr>
                <w:rFonts w:cs="Arial"/>
                <w:noProof/>
                <w:webHidden/>
              </w:rPr>
              <w:fldChar w:fldCharType="end"/>
            </w:r>
          </w:hyperlink>
        </w:p>
        <w:p w14:paraId="54E43AC9" w14:textId="76B0B2B8" w:rsidR="00241C3C" w:rsidRPr="004410BC" w:rsidRDefault="009F443E" w:rsidP="00236C76">
          <w:pPr>
            <w:pStyle w:val="TOC3"/>
            <w:tabs>
              <w:tab w:val="right" w:leader="dot" w:pos="9016"/>
            </w:tabs>
            <w:rPr>
              <w:rFonts w:cs="Arial"/>
              <w:noProof/>
              <w:szCs w:val="24"/>
              <w:lang w:val="en-US" w:eastAsia="en-US"/>
            </w:rPr>
          </w:pPr>
          <w:hyperlink w:anchor="_Toc240724845" w:history="1">
            <w:r w:rsidR="00241C3C" w:rsidRPr="004410BC">
              <w:rPr>
                <w:rStyle w:val="Hyperlink"/>
                <w:rFonts w:eastAsiaTheme="majorEastAsia" w:cs="Arial"/>
                <w:noProof/>
              </w:rPr>
              <w:t>2.2.1 Global Burden of Health Inequalities among Ethnic Minority Groups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_Toc240724845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17</w:t>
            </w:r>
            <w:r w:rsidR="00241C3C" w:rsidRPr="004410BC">
              <w:rPr>
                <w:rFonts w:cs="Arial"/>
                <w:noProof/>
                <w:webHidden/>
              </w:rPr>
              <w:fldChar w:fldCharType="end"/>
            </w:r>
          </w:hyperlink>
        </w:p>
        <w:p w14:paraId="52B00F5A" w14:textId="6DC169C3" w:rsidR="00241C3C" w:rsidRPr="004410BC" w:rsidRDefault="009F443E" w:rsidP="00236C76">
          <w:pPr>
            <w:pStyle w:val="TOC3"/>
            <w:tabs>
              <w:tab w:val="right" w:leader="dot" w:pos="9016"/>
            </w:tabs>
            <w:rPr>
              <w:rFonts w:cs="Arial"/>
              <w:noProof/>
              <w:szCs w:val="24"/>
              <w:lang w:val="en-US" w:eastAsia="en-US"/>
            </w:rPr>
          </w:pPr>
          <w:hyperlink w:anchor="_Toc240724846" w:history="1">
            <w:r w:rsidR="00241C3C" w:rsidRPr="004410BC">
              <w:rPr>
                <w:rStyle w:val="Hyperlink"/>
                <w:rFonts w:eastAsiaTheme="majorEastAsia" w:cs="Arial"/>
                <w:noProof/>
              </w:rPr>
              <w:t>2.2.2 UK Burden of Health Inequalities among Ethnic Minority Groups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_Toc240724846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19</w:t>
            </w:r>
            <w:r w:rsidR="00241C3C" w:rsidRPr="004410BC">
              <w:rPr>
                <w:rFonts w:cs="Arial"/>
                <w:noProof/>
                <w:webHidden/>
              </w:rPr>
              <w:fldChar w:fldCharType="end"/>
            </w:r>
          </w:hyperlink>
        </w:p>
        <w:p w14:paraId="4749E3D6" w14:textId="0C022055" w:rsidR="00241C3C" w:rsidRPr="004410BC" w:rsidRDefault="009F443E" w:rsidP="00236C76">
          <w:pPr>
            <w:pStyle w:val="TOC2"/>
            <w:tabs>
              <w:tab w:val="right" w:leader="dot" w:pos="9016"/>
            </w:tabs>
            <w:rPr>
              <w:rFonts w:cs="Arial"/>
              <w:noProof/>
              <w:szCs w:val="24"/>
              <w:lang w:val="en-US" w:eastAsia="en-US"/>
            </w:rPr>
          </w:pPr>
          <w:hyperlink w:anchor="_Toc240724847" w:history="1">
            <w:r w:rsidR="00241C3C" w:rsidRPr="004410BC">
              <w:rPr>
                <w:rStyle w:val="Hyperlink"/>
                <w:rFonts w:eastAsiaTheme="majorEastAsia" w:cs="Arial"/>
                <w:noProof/>
              </w:rPr>
              <w:t>2.3 Wider Determinants of Health Inequalities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_Toc240724847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20</w:t>
            </w:r>
            <w:r w:rsidR="00241C3C" w:rsidRPr="004410BC">
              <w:rPr>
                <w:rFonts w:cs="Arial"/>
                <w:noProof/>
                <w:webHidden/>
              </w:rPr>
              <w:fldChar w:fldCharType="end"/>
            </w:r>
          </w:hyperlink>
        </w:p>
        <w:p w14:paraId="78B6510B" w14:textId="1B17CFA7" w:rsidR="00241C3C" w:rsidRPr="004410BC" w:rsidRDefault="009F443E" w:rsidP="00236C76">
          <w:pPr>
            <w:pStyle w:val="TOC3"/>
            <w:tabs>
              <w:tab w:val="right" w:leader="dot" w:pos="9016"/>
            </w:tabs>
            <w:rPr>
              <w:rFonts w:cs="Arial"/>
              <w:noProof/>
              <w:szCs w:val="24"/>
              <w:lang w:val="en-US" w:eastAsia="en-US"/>
            </w:rPr>
          </w:pPr>
          <w:hyperlink w:anchor="_Toc240724848" w:history="1">
            <w:r w:rsidR="00241C3C" w:rsidRPr="004410BC">
              <w:rPr>
                <w:rStyle w:val="Hyperlink"/>
                <w:rFonts w:eastAsiaTheme="majorEastAsia" w:cs="Arial"/>
                <w:noProof/>
              </w:rPr>
              <w:t>2.3.1 Socioeconomic Determinants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_Toc240724848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20</w:t>
            </w:r>
            <w:r w:rsidR="00241C3C" w:rsidRPr="004410BC">
              <w:rPr>
                <w:rFonts w:cs="Arial"/>
                <w:noProof/>
                <w:webHidden/>
              </w:rPr>
              <w:fldChar w:fldCharType="end"/>
            </w:r>
          </w:hyperlink>
        </w:p>
        <w:p w14:paraId="05501E11" w14:textId="5EA7B66D" w:rsidR="00241C3C" w:rsidRPr="004410BC" w:rsidRDefault="009F443E" w:rsidP="00236C76">
          <w:pPr>
            <w:pStyle w:val="TOC3"/>
            <w:tabs>
              <w:tab w:val="right" w:leader="dot" w:pos="9016"/>
            </w:tabs>
            <w:rPr>
              <w:rFonts w:cs="Arial"/>
              <w:noProof/>
              <w:szCs w:val="24"/>
              <w:lang w:val="en-US" w:eastAsia="en-US"/>
            </w:rPr>
          </w:pPr>
          <w:hyperlink w:anchor="_Toc240724849" w:history="1">
            <w:r w:rsidR="00241C3C" w:rsidRPr="004410BC">
              <w:rPr>
                <w:rStyle w:val="Hyperlink"/>
                <w:rFonts w:eastAsiaTheme="majorEastAsia" w:cs="Arial"/>
                <w:noProof/>
              </w:rPr>
              <w:t>2.3.2 Cultural Determinants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_Toc240724849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20</w:t>
            </w:r>
            <w:r w:rsidR="00241C3C" w:rsidRPr="004410BC">
              <w:rPr>
                <w:rFonts w:cs="Arial"/>
                <w:noProof/>
                <w:webHidden/>
              </w:rPr>
              <w:fldChar w:fldCharType="end"/>
            </w:r>
          </w:hyperlink>
        </w:p>
        <w:p w14:paraId="6D9E2A72" w14:textId="3A9A66DF" w:rsidR="00241C3C" w:rsidRPr="004410BC" w:rsidRDefault="009F443E" w:rsidP="00236C76">
          <w:pPr>
            <w:pStyle w:val="TOC3"/>
            <w:tabs>
              <w:tab w:val="right" w:leader="dot" w:pos="9016"/>
            </w:tabs>
            <w:rPr>
              <w:rFonts w:cs="Arial"/>
              <w:noProof/>
              <w:szCs w:val="24"/>
              <w:lang w:val="en-US" w:eastAsia="en-US"/>
            </w:rPr>
          </w:pPr>
          <w:hyperlink w:anchor="_Toc240724850" w:history="1">
            <w:r w:rsidR="00241C3C" w:rsidRPr="004410BC">
              <w:rPr>
                <w:rStyle w:val="Hyperlink"/>
                <w:rFonts w:eastAsiaTheme="majorEastAsia" w:cs="Arial"/>
                <w:noProof/>
              </w:rPr>
              <w:t>2.3.3 Structural Determinants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_Toc240724850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21</w:t>
            </w:r>
            <w:r w:rsidR="00241C3C" w:rsidRPr="004410BC">
              <w:rPr>
                <w:rFonts w:cs="Arial"/>
                <w:noProof/>
                <w:webHidden/>
              </w:rPr>
              <w:fldChar w:fldCharType="end"/>
            </w:r>
          </w:hyperlink>
        </w:p>
        <w:p w14:paraId="67CF4110" w14:textId="73D00489" w:rsidR="00241C3C" w:rsidRPr="004410BC" w:rsidRDefault="009F443E" w:rsidP="00236C76">
          <w:pPr>
            <w:pStyle w:val="TOC3"/>
            <w:tabs>
              <w:tab w:val="right" w:leader="dot" w:pos="9016"/>
            </w:tabs>
            <w:rPr>
              <w:rFonts w:cs="Arial"/>
              <w:noProof/>
              <w:szCs w:val="24"/>
              <w:lang w:val="en-US" w:eastAsia="en-US"/>
            </w:rPr>
          </w:pPr>
          <w:hyperlink w:anchor="_Toc240724851" w:history="1">
            <w:r w:rsidR="00241C3C" w:rsidRPr="004410BC">
              <w:rPr>
                <w:rStyle w:val="Hyperlink"/>
                <w:rFonts w:eastAsiaTheme="majorEastAsia" w:cs="Arial"/>
                <w:noProof/>
              </w:rPr>
              <w:t>2.3.4 Healthcare-related Determinants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_Toc240724851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21</w:t>
            </w:r>
            <w:r w:rsidR="00241C3C" w:rsidRPr="004410BC">
              <w:rPr>
                <w:rFonts w:cs="Arial"/>
                <w:noProof/>
                <w:webHidden/>
              </w:rPr>
              <w:fldChar w:fldCharType="end"/>
            </w:r>
          </w:hyperlink>
        </w:p>
        <w:p w14:paraId="14FFE126" w14:textId="6E01CD95" w:rsidR="00241C3C" w:rsidRPr="004410BC" w:rsidRDefault="009F443E" w:rsidP="00236C76">
          <w:pPr>
            <w:pStyle w:val="TOC2"/>
            <w:tabs>
              <w:tab w:val="right" w:leader="dot" w:pos="9016"/>
            </w:tabs>
            <w:rPr>
              <w:rFonts w:cs="Arial"/>
              <w:noProof/>
              <w:szCs w:val="24"/>
              <w:lang w:val="en-US" w:eastAsia="en-US"/>
            </w:rPr>
          </w:pPr>
          <w:hyperlink w:anchor="_Toc240724852" w:history="1">
            <w:r w:rsidR="00241C3C" w:rsidRPr="004410BC">
              <w:rPr>
                <w:rStyle w:val="Hyperlink"/>
                <w:rFonts w:eastAsiaTheme="majorEastAsia" w:cs="Arial"/>
                <w:noProof/>
              </w:rPr>
              <w:t>2.4 Conceptualising Access to Healthcare</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_Toc240724852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22</w:t>
            </w:r>
            <w:r w:rsidR="00241C3C" w:rsidRPr="004410BC">
              <w:rPr>
                <w:rFonts w:cs="Arial"/>
                <w:noProof/>
                <w:webHidden/>
              </w:rPr>
              <w:fldChar w:fldCharType="end"/>
            </w:r>
          </w:hyperlink>
        </w:p>
        <w:p w14:paraId="376D3C95" w14:textId="5758DF2E" w:rsidR="00241C3C" w:rsidRPr="004410BC" w:rsidRDefault="009F443E" w:rsidP="00236C76">
          <w:pPr>
            <w:pStyle w:val="TOC3"/>
            <w:tabs>
              <w:tab w:val="right" w:leader="dot" w:pos="9016"/>
            </w:tabs>
            <w:rPr>
              <w:rFonts w:cs="Arial"/>
              <w:noProof/>
              <w:szCs w:val="24"/>
              <w:lang w:val="en-US" w:eastAsia="en-US"/>
            </w:rPr>
          </w:pPr>
          <w:hyperlink w:anchor="_Toc240724853" w:history="1">
            <w:r w:rsidR="00241C3C" w:rsidRPr="004410BC">
              <w:rPr>
                <w:rStyle w:val="Hyperlink"/>
                <w:rFonts w:eastAsiaTheme="majorEastAsia" w:cs="Arial"/>
                <w:noProof/>
              </w:rPr>
              <w:t>2.4.1 Physical and Organisational Accessibility</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_Toc240724853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22</w:t>
            </w:r>
            <w:r w:rsidR="00241C3C" w:rsidRPr="004410BC">
              <w:rPr>
                <w:rFonts w:cs="Arial"/>
                <w:noProof/>
                <w:webHidden/>
              </w:rPr>
              <w:fldChar w:fldCharType="end"/>
            </w:r>
          </w:hyperlink>
        </w:p>
        <w:p w14:paraId="74B9E86F" w14:textId="746D130D" w:rsidR="00241C3C" w:rsidRPr="004410BC" w:rsidRDefault="009F443E" w:rsidP="00236C76">
          <w:pPr>
            <w:pStyle w:val="TOC3"/>
            <w:tabs>
              <w:tab w:val="right" w:leader="dot" w:pos="9016"/>
            </w:tabs>
            <w:rPr>
              <w:rFonts w:cs="Arial"/>
              <w:noProof/>
              <w:szCs w:val="24"/>
              <w:lang w:val="en-US" w:eastAsia="en-US"/>
            </w:rPr>
          </w:pPr>
          <w:hyperlink w:anchor="_Toc240724854" w:history="1">
            <w:r w:rsidR="00241C3C" w:rsidRPr="004410BC">
              <w:rPr>
                <w:rStyle w:val="Hyperlink"/>
                <w:rFonts w:eastAsiaTheme="majorEastAsia" w:cs="Arial"/>
                <w:noProof/>
              </w:rPr>
              <w:t>2.4.2 Communication and Cultural Accessibility</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_Toc240724854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22</w:t>
            </w:r>
            <w:r w:rsidR="00241C3C" w:rsidRPr="004410BC">
              <w:rPr>
                <w:rFonts w:cs="Arial"/>
                <w:noProof/>
                <w:webHidden/>
              </w:rPr>
              <w:fldChar w:fldCharType="end"/>
            </w:r>
          </w:hyperlink>
        </w:p>
        <w:p w14:paraId="1B16CF08" w14:textId="45660892" w:rsidR="00241C3C" w:rsidRPr="004410BC" w:rsidRDefault="009F443E" w:rsidP="00236C76">
          <w:pPr>
            <w:pStyle w:val="TOC3"/>
            <w:tabs>
              <w:tab w:val="right" w:leader="dot" w:pos="9016"/>
            </w:tabs>
            <w:rPr>
              <w:rFonts w:cs="Arial"/>
              <w:noProof/>
              <w:szCs w:val="24"/>
              <w:lang w:val="en-US" w:eastAsia="en-US"/>
            </w:rPr>
          </w:pPr>
          <w:hyperlink w:anchor="_Toc240724855" w:history="1">
            <w:r w:rsidR="00241C3C" w:rsidRPr="004410BC">
              <w:rPr>
                <w:rStyle w:val="Hyperlink"/>
                <w:rFonts w:eastAsiaTheme="majorEastAsia" w:cs="Arial"/>
                <w:noProof/>
              </w:rPr>
              <w:t>2.4.3 Acceptability and Quality of Care</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_Toc240724855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23</w:t>
            </w:r>
            <w:r w:rsidR="00241C3C" w:rsidRPr="004410BC">
              <w:rPr>
                <w:rFonts w:cs="Arial"/>
                <w:noProof/>
                <w:webHidden/>
              </w:rPr>
              <w:fldChar w:fldCharType="end"/>
            </w:r>
          </w:hyperlink>
        </w:p>
        <w:p w14:paraId="55111E2D" w14:textId="685AF8AD" w:rsidR="00241C3C" w:rsidRPr="004410BC" w:rsidRDefault="009F443E" w:rsidP="00236C76">
          <w:pPr>
            <w:pStyle w:val="TOC2"/>
            <w:tabs>
              <w:tab w:val="right" w:leader="dot" w:pos="9016"/>
            </w:tabs>
            <w:rPr>
              <w:rFonts w:cs="Arial"/>
              <w:noProof/>
              <w:szCs w:val="24"/>
              <w:lang w:val="en-US" w:eastAsia="en-US"/>
            </w:rPr>
          </w:pPr>
          <w:hyperlink w:anchor="_Toc240724856" w:history="1">
            <w:r w:rsidR="00241C3C" w:rsidRPr="004410BC">
              <w:rPr>
                <w:rStyle w:val="Hyperlink"/>
                <w:rFonts w:eastAsiaTheme="majorEastAsia" w:cs="Arial"/>
                <w:noProof/>
              </w:rPr>
              <w:t>2.5 Barriers to Healthcare Access among Ethnic Minority Populations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_Toc240724856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24</w:t>
            </w:r>
            <w:r w:rsidR="00241C3C" w:rsidRPr="004410BC">
              <w:rPr>
                <w:rFonts w:cs="Arial"/>
                <w:noProof/>
                <w:webHidden/>
              </w:rPr>
              <w:fldChar w:fldCharType="end"/>
            </w:r>
          </w:hyperlink>
        </w:p>
        <w:p w14:paraId="0CBF8E00" w14:textId="5A9312B2" w:rsidR="00241C3C" w:rsidRPr="004410BC" w:rsidRDefault="009F443E" w:rsidP="00236C76">
          <w:pPr>
            <w:pStyle w:val="TOC3"/>
            <w:tabs>
              <w:tab w:val="right" w:leader="dot" w:pos="9016"/>
            </w:tabs>
            <w:rPr>
              <w:rFonts w:cs="Arial"/>
              <w:noProof/>
              <w:szCs w:val="24"/>
              <w:lang w:val="en-US" w:eastAsia="en-US"/>
            </w:rPr>
          </w:pPr>
          <w:hyperlink w:anchor="_Toc240724857" w:history="1">
            <w:r w:rsidR="00241C3C" w:rsidRPr="004410BC">
              <w:rPr>
                <w:rStyle w:val="Hyperlink"/>
                <w:rFonts w:eastAsiaTheme="majorEastAsia" w:cs="Arial"/>
                <w:noProof/>
              </w:rPr>
              <w:t>2.5.1 International Evidence</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_Toc240724857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24</w:t>
            </w:r>
            <w:r w:rsidR="00241C3C" w:rsidRPr="004410BC">
              <w:rPr>
                <w:rFonts w:cs="Arial"/>
                <w:noProof/>
                <w:webHidden/>
              </w:rPr>
              <w:fldChar w:fldCharType="end"/>
            </w:r>
          </w:hyperlink>
        </w:p>
        <w:p w14:paraId="2BB74DD3" w14:textId="7598FCBD" w:rsidR="00241C3C" w:rsidRPr="004410BC" w:rsidRDefault="009F443E" w:rsidP="00236C76">
          <w:pPr>
            <w:pStyle w:val="TOC3"/>
            <w:tabs>
              <w:tab w:val="right" w:leader="dot" w:pos="9016"/>
            </w:tabs>
            <w:rPr>
              <w:rFonts w:cs="Arial"/>
              <w:noProof/>
              <w:szCs w:val="24"/>
              <w:lang w:val="en-US" w:eastAsia="en-US"/>
            </w:rPr>
          </w:pPr>
          <w:hyperlink w:anchor="_Toc240724858" w:history="1">
            <w:r w:rsidR="00241C3C" w:rsidRPr="004410BC">
              <w:rPr>
                <w:rStyle w:val="Hyperlink"/>
                <w:rFonts w:eastAsiaTheme="majorEastAsia" w:cs="Arial"/>
                <w:noProof/>
              </w:rPr>
              <w:t>2.5.2 UK Evidence</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_Toc240724858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25</w:t>
            </w:r>
            <w:r w:rsidR="00241C3C" w:rsidRPr="004410BC">
              <w:rPr>
                <w:rFonts w:cs="Arial"/>
                <w:noProof/>
                <w:webHidden/>
              </w:rPr>
              <w:fldChar w:fldCharType="end"/>
            </w:r>
          </w:hyperlink>
        </w:p>
        <w:p w14:paraId="3231577E" w14:textId="675B4C76" w:rsidR="00241C3C" w:rsidRPr="004410BC" w:rsidRDefault="009F443E" w:rsidP="00236C76">
          <w:pPr>
            <w:pStyle w:val="TOC2"/>
            <w:tabs>
              <w:tab w:val="right" w:leader="dot" w:pos="9016"/>
            </w:tabs>
            <w:rPr>
              <w:rFonts w:cs="Arial"/>
              <w:noProof/>
              <w:szCs w:val="24"/>
              <w:lang w:val="en-US" w:eastAsia="en-US"/>
            </w:rPr>
          </w:pPr>
          <w:hyperlink w:anchor="_Toc240724859" w:history="1">
            <w:r w:rsidR="00241C3C" w:rsidRPr="004410BC">
              <w:rPr>
                <w:rStyle w:val="Hyperlink"/>
                <w:rFonts w:eastAsiaTheme="majorEastAsia" w:cs="Arial"/>
                <w:noProof/>
              </w:rPr>
              <w:t>2.6 Theoretical Framework: Levesque’s Access to Healthcare Framework</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_Toc240724859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26</w:t>
            </w:r>
            <w:r w:rsidR="00241C3C" w:rsidRPr="004410BC">
              <w:rPr>
                <w:rFonts w:cs="Arial"/>
                <w:noProof/>
                <w:webHidden/>
              </w:rPr>
              <w:fldChar w:fldCharType="end"/>
            </w:r>
          </w:hyperlink>
        </w:p>
        <w:p w14:paraId="29F64D53" w14:textId="407ED6D0" w:rsidR="00241C3C" w:rsidRPr="004410BC" w:rsidRDefault="009F443E" w:rsidP="00236C76">
          <w:pPr>
            <w:pStyle w:val="TOC2"/>
            <w:tabs>
              <w:tab w:val="right" w:leader="dot" w:pos="9016"/>
            </w:tabs>
            <w:rPr>
              <w:rFonts w:cs="Arial"/>
              <w:noProof/>
              <w:szCs w:val="24"/>
              <w:lang w:val="en-US" w:eastAsia="en-US"/>
            </w:rPr>
          </w:pPr>
          <w:hyperlink w:anchor="_Toc240724860" w:history="1">
            <w:r w:rsidR="00241C3C" w:rsidRPr="004410BC">
              <w:rPr>
                <w:rStyle w:val="Hyperlink"/>
                <w:rFonts w:eastAsiaTheme="majorEastAsia" w:cs="Arial"/>
                <w:noProof/>
              </w:rPr>
              <w:t>2.7 Research Gap</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_Toc240724860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28</w:t>
            </w:r>
            <w:r w:rsidR="00241C3C" w:rsidRPr="004410BC">
              <w:rPr>
                <w:rFonts w:cs="Arial"/>
                <w:noProof/>
                <w:webHidden/>
              </w:rPr>
              <w:fldChar w:fldCharType="end"/>
            </w:r>
          </w:hyperlink>
        </w:p>
        <w:p w14:paraId="690126BE" w14:textId="738EC20C" w:rsidR="00241C3C" w:rsidRPr="004410BC" w:rsidRDefault="009F443E" w:rsidP="00236C76">
          <w:pPr>
            <w:pStyle w:val="TOC2"/>
            <w:tabs>
              <w:tab w:val="right" w:leader="dot" w:pos="9016"/>
            </w:tabs>
            <w:rPr>
              <w:rFonts w:cs="Arial"/>
              <w:noProof/>
              <w:szCs w:val="24"/>
              <w:lang w:val="en-US" w:eastAsia="en-US"/>
            </w:rPr>
          </w:pPr>
          <w:hyperlink w:anchor="_Toc240724861" w:history="1">
            <w:r w:rsidR="00241C3C" w:rsidRPr="004410BC">
              <w:rPr>
                <w:rStyle w:val="Hyperlink"/>
                <w:rFonts w:eastAsiaTheme="majorEastAsia" w:cs="Arial"/>
                <w:noProof/>
              </w:rPr>
              <w:t>2.8 Conclusion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_Toc240724861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29</w:t>
            </w:r>
            <w:r w:rsidR="00241C3C" w:rsidRPr="004410BC">
              <w:rPr>
                <w:rFonts w:cs="Arial"/>
                <w:noProof/>
                <w:webHidden/>
              </w:rPr>
              <w:fldChar w:fldCharType="end"/>
            </w:r>
          </w:hyperlink>
        </w:p>
        <w:p w14:paraId="6C382CB3" w14:textId="7BD964FF"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862" w:history="1">
            <w:r w:rsidR="00241C3C" w:rsidRPr="004410BC">
              <w:rPr>
                <w:rStyle w:val="Hyperlink"/>
                <w:rFonts w:ascii="Arial" w:hAnsi="Arial" w:cs="Arial"/>
                <w:noProof/>
              </w:rPr>
              <w:t>Chapter 3: Research Methodology</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_Toc240724862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30</w:t>
            </w:r>
            <w:r w:rsidR="00241C3C" w:rsidRPr="004410BC">
              <w:rPr>
                <w:rFonts w:ascii="Arial" w:hAnsi="Arial" w:cs="Arial"/>
                <w:noProof/>
                <w:webHidden/>
              </w:rPr>
              <w:fldChar w:fldCharType="end"/>
            </w:r>
          </w:hyperlink>
        </w:p>
        <w:p w14:paraId="4217BB86" w14:textId="6D975FB6" w:rsidR="00241C3C" w:rsidRPr="004410BC" w:rsidRDefault="009F443E" w:rsidP="00236C76">
          <w:pPr>
            <w:pStyle w:val="TOC2"/>
            <w:tabs>
              <w:tab w:val="right" w:leader="dot" w:pos="9016"/>
            </w:tabs>
            <w:rPr>
              <w:rFonts w:cs="Arial"/>
              <w:noProof/>
              <w:szCs w:val="24"/>
              <w:lang w:val="en-US" w:eastAsia="en-US"/>
            </w:rPr>
          </w:pPr>
          <w:hyperlink w:anchor="_Toc240724863" w:history="1">
            <w:r w:rsidR="00241C3C" w:rsidRPr="004410BC">
              <w:rPr>
                <w:rStyle w:val="Hyperlink"/>
                <w:rFonts w:eastAsiaTheme="majorEastAsia" w:cs="Arial"/>
                <w:noProof/>
              </w:rPr>
              <w:t>3.1 Introduction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_Toc240724863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30</w:t>
            </w:r>
            <w:r w:rsidR="00241C3C" w:rsidRPr="004410BC">
              <w:rPr>
                <w:rFonts w:cs="Arial"/>
                <w:noProof/>
                <w:webHidden/>
              </w:rPr>
              <w:fldChar w:fldCharType="end"/>
            </w:r>
          </w:hyperlink>
        </w:p>
        <w:p w14:paraId="2381DE1F" w14:textId="1FE1CEB6" w:rsidR="00241C3C" w:rsidRPr="004410BC" w:rsidRDefault="009F443E" w:rsidP="00236C76">
          <w:pPr>
            <w:pStyle w:val="TOC2"/>
            <w:tabs>
              <w:tab w:val="right" w:leader="dot" w:pos="9016"/>
            </w:tabs>
            <w:rPr>
              <w:rFonts w:cs="Arial"/>
              <w:noProof/>
              <w:szCs w:val="24"/>
              <w:lang w:val="en-US" w:eastAsia="en-US"/>
            </w:rPr>
          </w:pPr>
          <w:hyperlink w:anchor="_Toc240724864" w:history="1">
            <w:r w:rsidR="00241C3C" w:rsidRPr="004410BC">
              <w:rPr>
                <w:rStyle w:val="Hyperlink"/>
                <w:rFonts w:eastAsiaTheme="majorEastAsia" w:cs="Arial"/>
                <w:noProof/>
              </w:rPr>
              <w:t>3.2 Research Methodology, Research Method and Research Design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_Toc240724864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30</w:t>
            </w:r>
            <w:r w:rsidR="00241C3C" w:rsidRPr="004410BC">
              <w:rPr>
                <w:rFonts w:cs="Arial"/>
                <w:noProof/>
                <w:webHidden/>
              </w:rPr>
              <w:fldChar w:fldCharType="end"/>
            </w:r>
          </w:hyperlink>
        </w:p>
        <w:p w14:paraId="483307F4" w14:textId="5758E7E1" w:rsidR="00241C3C" w:rsidRPr="004410BC" w:rsidRDefault="009F443E" w:rsidP="00236C76">
          <w:pPr>
            <w:pStyle w:val="TOC3"/>
            <w:tabs>
              <w:tab w:val="right" w:leader="dot" w:pos="9016"/>
            </w:tabs>
            <w:rPr>
              <w:rFonts w:cs="Arial"/>
              <w:noProof/>
              <w:szCs w:val="24"/>
              <w:lang w:val="en-US" w:eastAsia="en-US"/>
            </w:rPr>
          </w:pPr>
          <w:hyperlink w:anchor="_Toc240724865" w:history="1">
            <w:r w:rsidR="00241C3C" w:rsidRPr="004410BC">
              <w:rPr>
                <w:rStyle w:val="Hyperlink"/>
                <w:rFonts w:eastAsiaTheme="majorEastAsia" w:cs="Arial"/>
                <w:noProof/>
              </w:rPr>
              <w:t>3.2.1 Research Methodology</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_Toc240724865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30</w:t>
            </w:r>
            <w:r w:rsidR="00241C3C" w:rsidRPr="004410BC">
              <w:rPr>
                <w:rFonts w:cs="Arial"/>
                <w:noProof/>
                <w:webHidden/>
              </w:rPr>
              <w:fldChar w:fldCharType="end"/>
            </w:r>
          </w:hyperlink>
        </w:p>
        <w:p w14:paraId="68C4FA6C" w14:textId="78B4BFDA" w:rsidR="00241C3C" w:rsidRPr="004410BC" w:rsidRDefault="009F443E" w:rsidP="00236C76">
          <w:pPr>
            <w:pStyle w:val="TOC3"/>
            <w:tabs>
              <w:tab w:val="right" w:leader="dot" w:pos="9016"/>
            </w:tabs>
            <w:rPr>
              <w:rFonts w:cs="Arial"/>
              <w:noProof/>
              <w:szCs w:val="24"/>
              <w:lang w:val="en-US" w:eastAsia="en-US"/>
            </w:rPr>
          </w:pPr>
          <w:hyperlink w:anchor="_Toc240724866" w:history="1">
            <w:r w:rsidR="00241C3C" w:rsidRPr="004410BC">
              <w:rPr>
                <w:rStyle w:val="Hyperlink"/>
                <w:rFonts w:eastAsiaTheme="majorEastAsia" w:cs="Arial"/>
                <w:noProof/>
              </w:rPr>
              <w:t>3.2.2 Research Method</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_Toc240724866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30</w:t>
            </w:r>
            <w:r w:rsidR="00241C3C" w:rsidRPr="004410BC">
              <w:rPr>
                <w:rFonts w:cs="Arial"/>
                <w:noProof/>
                <w:webHidden/>
              </w:rPr>
              <w:fldChar w:fldCharType="end"/>
            </w:r>
          </w:hyperlink>
        </w:p>
        <w:p w14:paraId="67C7F8D1" w14:textId="78C8DEF8" w:rsidR="00241C3C" w:rsidRPr="004410BC" w:rsidRDefault="009F443E" w:rsidP="00236C76">
          <w:pPr>
            <w:pStyle w:val="TOC3"/>
            <w:tabs>
              <w:tab w:val="right" w:leader="dot" w:pos="9016"/>
            </w:tabs>
            <w:rPr>
              <w:rFonts w:cs="Arial"/>
              <w:noProof/>
              <w:szCs w:val="24"/>
              <w:lang w:val="en-US" w:eastAsia="en-US"/>
            </w:rPr>
          </w:pPr>
          <w:hyperlink w:anchor="_Toc240724867" w:history="1">
            <w:r w:rsidR="00241C3C" w:rsidRPr="004410BC">
              <w:rPr>
                <w:rStyle w:val="Hyperlink"/>
                <w:rFonts w:eastAsiaTheme="majorEastAsia" w:cs="Arial"/>
                <w:noProof/>
              </w:rPr>
              <w:t>3.2.3 Research Design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_Toc240724867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31</w:t>
            </w:r>
            <w:r w:rsidR="00241C3C" w:rsidRPr="004410BC">
              <w:rPr>
                <w:rFonts w:cs="Arial"/>
                <w:noProof/>
                <w:webHidden/>
              </w:rPr>
              <w:fldChar w:fldCharType="end"/>
            </w:r>
          </w:hyperlink>
        </w:p>
        <w:p w14:paraId="7DA1663A" w14:textId="3282E16C" w:rsidR="00241C3C" w:rsidRPr="004410BC" w:rsidRDefault="009F443E" w:rsidP="00236C76">
          <w:pPr>
            <w:pStyle w:val="TOC2"/>
            <w:tabs>
              <w:tab w:val="right" w:leader="dot" w:pos="9016"/>
            </w:tabs>
            <w:rPr>
              <w:rFonts w:cs="Arial"/>
              <w:noProof/>
              <w:szCs w:val="24"/>
              <w:lang w:val="en-US" w:eastAsia="en-US"/>
            </w:rPr>
          </w:pPr>
          <w:hyperlink w:anchor="_Toc240724868" w:history="1">
            <w:r w:rsidR="00241C3C" w:rsidRPr="004410BC">
              <w:rPr>
                <w:rStyle w:val="Hyperlink"/>
                <w:rFonts w:eastAsiaTheme="majorEastAsia" w:cs="Arial"/>
                <w:noProof/>
              </w:rPr>
              <w:t>3.3 Review Protocol and Search Strategy</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_Toc240724868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31</w:t>
            </w:r>
            <w:r w:rsidR="00241C3C" w:rsidRPr="004410BC">
              <w:rPr>
                <w:rFonts w:cs="Arial"/>
                <w:noProof/>
                <w:webHidden/>
              </w:rPr>
              <w:fldChar w:fldCharType="end"/>
            </w:r>
          </w:hyperlink>
        </w:p>
        <w:p w14:paraId="33DBCC63" w14:textId="6BF13726" w:rsidR="00241C3C" w:rsidRPr="004410BC" w:rsidRDefault="009F443E" w:rsidP="00236C76">
          <w:pPr>
            <w:pStyle w:val="TOC3"/>
            <w:tabs>
              <w:tab w:val="right" w:leader="dot" w:pos="9016"/>
            </w:tabs>
            <w:rPr>
              <w:rFonts w:cs="Arial"/>
              <w:noProof/>
              <w:szCs w:val="24"/>
              <w:lang w:val="en-US" w:eastAsia="en-US"/>
            </w:rPr>
          </w:pPr>
          <w:hyperlink w:anchor="_Toc240724869" w:history="1">
            <w:r w:rsidR="00241C3C" w:rsidRPr="004410BC">
              <w:rPr>
                <w:rStyle w:val="Hyperlink"/>
                <w:rFonts w:eastAsiaTheme="majorEastAsia" w:cs="Arial"/>
                <w:noProof/>
              </w:rPr>
              <w:t>3.3.1 Review Protocol</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_Toc240724869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31</w:t>
            </w:r>
            <w:r w:rsidR="00241C3C" w:rsidRPr="004410BC">
              <w:rPr>
                <w:rFonts w:cs="Arial"/>
                <w:noProof/>
                <w:webHidden/>
              </w:rPr>
              <w:fldChar w:fldCharType="end"/>
            </w:r>
          </w:hyperlink>
        </w:p>
        <w:p w14:paraId="123CBB9F" w14:textId="15266434" w:rsidR="00241C3C" w:rsidRPr="004410BC" w:rsidRDefault="009F443E" w:rsidP="00236C76">
          <w:pPr>
            <w:pStyle w:val="TOC3"/>
            <w:tabs>
              <w:tab w:val="right" w:leader="dot" w:pos="9016"/>
            </w:tabs>
            <w:rPr>
              <w:rFonts w:cs="Arial"/>
              <w:noProof/>
              <w:szCs w:val="24"/>
              <w:lang w:val="en-US" w:eastAsia="en-US"/>
            </w:rPr>
          </w:pPr>
          <w:hyperlink w:anchor="_Toc240724870" w:history="1">
            <w:r w:rsidR="00241C3C" w:rsidRPr="004410BC">
              <w:rPr>
                <w:rStyle w:val="Hyperlink"/>
                <w:rFonts w:eastAsiaTheme="majorEastAsia" w:cs="Arial"/>
                <w:noProof/>
              </w:rPr>
              <w:t>3.3.2 PICO Framework</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_Toc240724870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31</w:t>
            </w:r>
            <w:r w:rsidR="00241C3C" w:rsidRPr="004410BC">
              <w:rPr>
                <w:rFonts w:cs="Arial"/>
                <w:noProof/>
                <w:webHidden/>
              </w:rPr>
              <w:fldChar w:fldCharType="end"/>
            </w:r>
          </w:hyperlink>
        </w:p>
        <w:p w14:paraId="3EF68B71" w14:textId="0ECE2892" w:rsidR="00241C3C" w:rsidRPr="004410BC" w:rsidRDefault="009F443E" w:rsidP="00236C76">
          <w:pPr>
            <w:pStyle w:val="TOC3"/>
            <w:tabs>
              <w:tab w:val="right" w:leader="dot" w:pos="9016"/>
            </w:tabs>
            <w:rPr>
              <w:rFonts w:cs="Arial"/>
              <w:noProof/>
              <w:szCs w:val="24"/>
              <w:lang w:val="en-US" w:eastAsia="en-US"/>
            </w:rPr>
          </w:pPr>
          <w:hyperlink w:anchor="_Toc240724871" w:history="1">
            <w:r w:rsidR="00241C3C" w:rsidRPr="004410BC">
              <w:rPr>
                <w:rStyle w:val="Hyperlink"/>
                <w:rFonts w:eastAsiaTheme="majorEastAsia" w:cs="Arial"/>
                <w:noProof/>
              </w:rPr>
              <w:t>3.3.3 Database Selection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_Toc240724871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32</w:t>
            </w:r>
            <w:r w:rsidR="00241C3C" w:rsidRPr="004410BC">
              <w:rPr>
                <w:rFonts w:cs="Arial"/>
                <w:noProof/>
                <w:webHidden/>
              </w:rPr>
              <w:fldChar w:fldCharType="end"/>
            </w:r>
          </w:hyperlink>
        </w:p>
        <w:p w14:paraId="13504F3C" w14:textId="427597FD" w:rsidR="00241C3C" w:rsidRPr="004410BC" w:rsidRDefault="009F443E" w:rsidP="00236C76">
          <w:pPr>
            <w:pStyle w:val="TOC3"/>
            <w:tabs>
              <w:tab w:val="right" w:leader="dot" w:pos="9016"/>
            </w:tabs>
            <w:rPr>
              <w:rFonts w:cs="Arial"/>
              <w:noProof/>
              <w:szCs w:val="24"/>
              <w:lang w:val="en-US" w:eastAsia="en-US"/>
            </w:rPr>
          </w:pPr>
          <w:hyperlink w:anchor="_Toc240724872" w:history="1">
            <w:r w:rsidR="00241C3C" w:rsidRPr="004410BC">
              <w:rPr>
                <w:rStyle w:val="Hyperlink"/>
                <w:rFonts w:eastAsiaTheme="majorEastAsia" w:cs="Arial"/>
                <w:noProof/>
              </w:rPr>
              <w:t>3.3.4 Search Terms, Boolean Operators and Search Limits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_Toc240724872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33</w:t>
            </w:r>
            <w:r w:rsidR="00241C3C" w:rsidRPr="004410BC">
              <w:rPr>
                <w:rFonts w:cs="Arial"/>
                <w:noProof/>
                <w:webHidden/>
              </w:rPr>
              <w:fldChar w:fldCharType="end"/>
            </w:r>
          </w:hyperlink>
        </w:p>
        <w:p w14:paraId="0AFC7AD4" w14:textId="2EBF6D63" w:rsidR="00241C3C" w:rsidRPr="004410BC" w:rsidRDefault="009F443E" w:rsidP="00236C76">
          <w:pPr>
            <w:pStyle w:val="TOC3"/>
            <w:tabs>
              <w:tab w:val="right" w:leader="dot" w:pos="9016"/>
            </w:tabs>
            <w:rPr>
              <w:rFonts w:cs="Arial"/>
              <w:noProof/>
              <w:szCs w:val="24"/>
              <w:lang w:val="en-US" w:eastAsia="en-US"/>
            </w:rPr>
          </w:pPr>
          <w:hyperlink w:anchor="_Toc240724873" w:history="1">
            <w:r w:rsidR="00241C3C" w:rsidRPr="004410BC">
              <w:rPr>
                <w:rStyle w:val="Hyperlink"/>
                <w:rFonts w:eastAsiaTheme="majorEastAsia" w:cs="Arial"/>
                <w:noProof/>
              </w:rPr>
              <w:t>3.3.5 Duplicate Removal and Data Management</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_Toc240724873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34</w:t>
            </w:r>
            <w:r w:rsidR="00241C3C" w:rsidRPr="004410BC">
              <w:rPr>
                <w:rFonts w:cs="Arial"/>
                <w:noProof/>
                <w:webHidden/>
              </w:rPr>
              <w:fldChar w:fldCharType="end"/>
            </w:r>
          </w:hyperlink>
        </w:p>
        <w:p w14:paraId="1300DC2D" w14:textId="69112E7E" w:rsidR="00241C3C" w:rsidRPr="004410BC" w:rsidRDefault="009F443E" w:rsidP="00236C76">
          <w:pPr>
            <w:pStyle w:val="TOC2"/>
            <w:tabs>
              <w:tab w:val="right" w:leader="dot" w:pos="9016"/>
            </w:tabs>
            <w:rPr>
              <w:rFonts w:cs="Arial"/>
              <w:noProof/>
              <w:szCs w:val="24"/>
              <w:lang w:val="en-US" w:eastAsia="en-US"/>
            </w:rPr>
          </w:pPr>
          <w:hyperlink w:anchor="_Toc240724874" w:history="1">
            <w:r w:rsidR="00241C3C" w:rsidRPr="004410BC">
              <w:rPr>
                <w:rStyle w:val="Hyperlink"/>
                <w:rFonts w:eastAsiaTheme="majorEastAsia" w:cs="Arial"/>
                <w:noProof/>
              </w:rPr>
              <w:t>3.4 Study Selection Process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_Toc240724874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34</w:t>
            </w:r>
            <w:r w:rsidR="00241C3C" w:rsidRPr="004410BC">
              <w:rPr>
                <w:rFonts w:cs="Arial"/>
                <w:noProof/>
                <w:webHidden/>
              </w:rPr>
              <w:fldChar w:fldCharType="end"/>
            </w:r>
          </w:hyperlink>
        </w:p>
        <w:p w14:paraId="230B76ED" w14:textId="2C50609E" w:rsidR="00241C3C" w:rsidRPr="004410BC" w:rsidRDefault="009F443E" w:rsidP="00236C76">
          <w:pPr>
            <w:pStyle w:val="TOC3"/>
            <w:tabs>
              <w:tab w:val="right" w:leader="dot" w:pos="9016"/>
            </w:tabs>
            <w:rPr>
              <w:rFonts w:cs="Arial"/>
              <w:noProof/>
              <w:szCs w:val="24"/>
              <w:lang w:val="en-US" w:eastAsia="en-US"/>
            </w:rPr>
          </w:pPr>
          <w:hyperlink w:anchor="_Toc240724875" w:history="1">
            <w:r w:rsidR="00241C3C" w:rsidRPr="004410BC">
              <w:rPr>
                <w:rStyle w:val="Hyperlink"/>
                <w:rFonts w:eastAsiaTheme="majorEastAsia" w:cs="Arial"/>
                <w:noProof/>
              </w:rPr>
              <w:t>3.4.1 Screening Procedure</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_Toc240724875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34</w:t>
            </w:r>
            <w:r w:rsidR="00241C3C" w:rsidRPr="004410BC">
              <w:rPr>
                <w:rFonts w:cs="Arial"/>
                <w:noProof/>
                <w:webHidden/>
              </w:rPr>
              <w:fldChar w:fldCharType="end"/>
            </w:r>
          </w:hyperlink>
        </w:p>
        <w:p w14:paraId="09DE2E01" w14:textId="258B7EE5" w:rsidR="00241C3C" w:rsidRPr="004410BC" w:rsidRDefault="009F443E" w:rsidP="00236C76">
          <w:pPr>
            <w:pStyle w:val="TOC2"/>
            <w:tabs>
              <w:tab w:val="right" w:leader="dot" w:pos="9016"/>
            </w:tabs>
            <w:rPr>
              <w:rFonts w:cs="Arial"/>
              <w:noProof/>
              <w:szCs w:val="24"/>
              <w:lang w:val="en-US" w:eastAsia="en-US"/>
            </w:rPr>
          </w:pPr>
          <w:hyperlink w:anchor="_Toc240724876" w:history="1">
            <w:r w:rsidR="00241C3C" w:rsidRPr="004410BC">
              <w:rPr>
                <w:rStyle w:val="Hyperlink"/>
                <w:rFonts w:eastAsiaTheme="majorEastAsia" w:cs="Arial"/>
                <w:noProof/>
              </w:rPr>
              <w:t>3.5 Eligibility Criteria</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_Toc240724876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35</w:t>
            </w:r>
            <w:r w:rsidR="00241C3C" w:rsidRPr="004410BC">
              <w:rPr>
                <w:rFonts w:cs="Arial"/>
                <w:noProof/>
                <w:webHidden/>
              </w:rPr>
              <w:fldChar w:fldCharType="end"/>
            </w:r>
          </w:hyperlink>
        </w:p>
        <w:p w14:paraId="2B978FEA" w14:textId="70899AD5" w:rsidR="00241C3C" w:rsidRPr="004410BC" w:rsidRDefault="009F443E" w:rsidP="00236C76">
          <w:pPr>
            <w:pStyle w:val="TOC2"/>
            <w:tabs>
              <w:tab w:val="right" w:leader="dot" w:pos="9016"/>
            </w:tabs>
            <w:rPr>
              <w:rFonts w:cs="Arial"/>
              <w:noProof/>
              <w:szCs w:val="24"/>
              <w:lang w:val="en-US" w:eastAsia="en-US"/>
            </w:rPr>
          </w:pPr>
          <w:hyperlink w:anchor="_Toc240724877" w:history="1">
            <w:r w:rsidR="00241C3C" w:rsidRPr="004410BC">
              <w:rPr>
                <w:rStyle w:val="Hyperlink"/>
                <w:rFonts w:eastAsiaTheme="majorEastAsia" w:cs="Arial"/>
                <w:noProof/>
              </w:rPr>
              <w:t>3.6 Quality Appraisal</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_Toc240724877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36</w:t>
            </w:r>
            <w:r w:rsidR="00241C3C" w:rsidRPr="004410BC">
              <w:rPr>
                <w:rFonts w:cs="Arial"/>
                <w:noProof/>
                <w:webHidden/>
              </w:rPr>
              <w:fldChar w:fldCharType="end"/>
            </w:r>
          </w:hyperlink>
        </w:p>
        <w:p w14:paraId="7078DCA5" w14:textId="79CE2004" w:rsidR="00241C3C" w:rsidRPr="004410BC" w:rsidRDefault="009F443E" w:rsidP="00236C76">
          <w:pPr>
            <w:pStyle w:val="TOC2"/>
            <w:tabs>
              <w:tab w:val="right" w:leader="dot" w:pos="9016"/>
            </w:tabs>
            <w:rPr>
              <w:rFonts w:cs="Arial"/>
              <w:noProof/>
              <w:szCs w:val="24"/>
              <w:lang w:val="en-US" w:eastAsia="en-US"/>
            </w:rPr>
          </w:pPr>
          <w:hyperlink w:anchor="_Toc240724878" w:history="1">
            <w:r w:rsidR="00241C3C" w:rsidRPr="004410BC">
              <w:rPr>
                <w:rStyle w:val="Hyperlink"/>
                <w:rFonts w:eastAsiaTheme="majorEastAsia" w:cs="Arial"/>
                <w:noProof/>
              </w:rPr>
              <w:t>3.7 Data Extraction and Data Management</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_Toc240724878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36</w:t>
            </w:r>
            <w:r w:rsidR="00241C3C" w:rsidRPr="004410BC">
              <w:rPr>
                <w:rFonts w:cs="Arial"/>
                <w:noProof/>
                <w:webHidden/>
              </w:rPr>
              <w:fldChar w:fldCharType="end"/>
            </w:r>
          </w:hyperlink>
        </w:p>
        <w:p w14:paraId="67B5A192" w14:textId="24355480" w:rsidR="00241C3C" w:rsidRPr="004410BC" w:rsidRDefault="009F443E" w:rsidP="00236C76">
          <w:pPr>
            <w:pStyle w:val="TOC2"/>
            <w:tabs>
              <w:tab w:val="right" w:leader="dot" w:pos="9016"/>
            </w:tabs>
            <w:rPr>
              <w:rFonts w:cs="Arial"/>
              <w:noProof/>
              <w:szCs w:val="24"/>
              <w:lang w:val="en-US" w:eastAsia="en-US"/>
            </w:rPr>
          </w:pPr>
          <w:hyperlink w:anchor="_Toc240724879" w:history="1">
            <w:r w:rsidR="00241C3C" w:rsidRPr="004410BC">
              <w:rPr>
                <w:rStyle w:val="Hyperlink"/>
                <w:rFonts w:eastAsiaTheme="majorEastAsia" w:cs="Arial"/>
                <w:noProof/>
              </w:rPr>
              <w:t>3.8 Data Analysis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_Toc240724879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37</w:t>
            </w:r>
            <w:r w:rsidR="00241C3C" w:rsidRPr="004410BC">
              <w:rPr>
                <w:rFonts w:cs="Arial"/>
                <w:noProof/>
                <w:webHidden/>
              </w:rPr>
              <w:fldChar w:fldCharType="end"/>
            </w:r>
          </w:hyperlink>
        </w:p>
        <w:p w14:paraId="3E045327" w14:textId="2F2EBE85" w:rsidR="00241C3C" w:rsidRPr="004410BC" w:rsidRDefault="009F443E" w:rsidP="00236C76">
          <w:pPr>
            <w:pStyle w:val="TOC3"/>
            <w:tabs>
              <w:tab w:val="right" w:leader="dot" w:pos="9016"/>
            </w:tabs>
            <w:rPr>
              <w:rFonts w:cs="Arial"/>
              <w:noProof/>
              <w:szCs w:val="24"/>
              <w:lang w:val="en-US" w:eastAsia="en-US"/>
            </w:rPr>
          </w:pPr>
          <w:hyperlink w:anchor="_Toc240724880" w:history="1">
            <w:r w:rsidR="00241C3C" w:rsidRPr="004410BC">
              <w:rPr>
                <w:rStyle w:val="Hyperlink"/>
                <w:rFonts w:eastAsiaTheme="majorEastAsia" w:cs="Arial"/>
                <w:noProof/>
              </w:rPr>
              <w:t>3.8.1 Narrative Synthesis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_Toc240724880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37</w:t>
            </w:r>
            <w:r w:rsidR="00241C3C" w:rsidRPr="004410BC">
              <w:rPr>
                <w:rFonts w:cs="Arial"/>
                <w:noProof/>
                <w:webHidden/>
              </w:rPr>
              <w:fldChar w:fldCharType="end"/>
            </w:r>
          </w:hyperlink>
        </w:p>
        <w:p w14:paraId="46F6D556" w14:textId="23AA65F2" w:rsidR="00241C3C" w:rsidRPr="004410BC" w:rsidRDefault="009F443E" w:rsidP="00236C76">
          <w:pPr>
            <w:pStyle w:val="TOC3"/>
            <w:tabs>
              <w:tab w:val="right" w:leader="dot" w:pos="9016"/>
            </w:tabs>
            <w:rPr>
              <w:rFonts w:cs="Arial"/>
              <w:noProof/>
              <w:szCs w:val="24"/>
              <w:lang w:val="en-US" w:eastAsia="en-US"/>
            </w:rPr>
          </w:pPr>
          <w:hyperlink w:anchor="_Toc240724881" w:history="1">
            <w:r w:rsidR="00241C3C" w:rsidRPr="004410BC">
              <w:rPr>
                <w:rStyle w:val="Hyperlink"/>
                <w:rFonts w:eastAsiaTheme="majorEastAsia" w:cs="Arial"/>
                <w:noProof/>
              </w:rPr>
              <w:t>3.8.2 Manual Coding and Theme Development</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_Toc240724881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37</w:t>
            </w:r>
            <w:r w:rsidR="00241C3C" w:rsidRPr="004410BC">
              <w:rPr>
                <w:rFonts w:cs="Arial"/>
                <w:noProof/>
                <w:webHidden/>
              </w:rPr>
              <w:fldChar w:fldCharType="end"/>
            </w:r>
          </w:hyperlink>
        </w:p>
        <w:p w14:paraId="066319BD" w14:textId="6D5C22C9" w:rsidR="00241C3C" w:rsidRPr="004410BC" w:rsidRDefault="009F443E" w:rsidP="00236C76">
          <w:pPr>
            <w:pStyle w:val="TOC2"/>
            <w:tabs>
              <w:tab w:val="right" w:leader="dot" w:pos="9016"/>
            </w:tabs>
            <w:rPr>
              <w:rFonts w:cs="Arial"/>
              <w:noProof/>
              <w:szCs w:val="24"/>
              <w:lang w:val="en-US" w:eastAsia="en-US"/>
            </w:rPr>
          </w:pPr>
          <w:hyperlink w:anchor="_Toc240724882" w:history="1">
            <w:r w:rsidR="00241C3C" w:rsidRPr="004410BC">
              <w:rPr>
                <w:rStyle w:val="Hyperlink"/>
                <w:rFonts w:eastAsiaTheme="majorEastAsia" w:cs="Arial"/>
                <w:noProof/>
              </w:rPr>
              <w:t>3.9 Ethical Considerations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_Toc240724882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37</w:t>
            </w:r>
            <w:r w:rsidR="00241C3C" w:rsidRPr="004410BC">
              <w:rPr>
                <w:rFonts w:cs="Arial"/>
                <w:noProof/>
                <w:webHidden/>
              </w:rPr>
              <w:fldChar w:fldCharType="end"/>
            </w:r>
          </w:hyperlink>
        </w:p>
        <w:p w14:paraId="22DF24CE" w14:textId="1D9FB5ED" w:rsidR="00241C3C" w:rsidRPr="004410BC" w:rsidRDefault="009F443E" w:rsidP="00236C76">
          <w:pPr>
            <w:pStyle w:val="TOC2"/>
            <w:tabs>
              <w:tab w:val="right" w:leader="dot" w:pos="9016"/>
            </w:tabs>
            <w:rPr>
              <w:rFonts w:cs="Arial"/>
              <w:noProof/>
              <w:szCs w:val="24"/>
              <w:lang w:val="en-US" w:eastAsia="en-US"/>
            </w:rPr>
          </w:pPr>
          <w:hyperlink w:anchor="_Toc240724883" w:history="1">
            <w:r w:rsidR="00241C3C" w:rsidRPr="004410BC">
              <w:rPr>
                <w:rStyle w:val="Hyperlink"/>
                <w:rFonts w:eastAsiaTheme="majorEastAsia" w:cs="Arial"/>
                <w:noProof/>
              </w:rPr>
              <w:t>3.10 Methodological Evaluation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_Toc240724883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38</w:t>
            </w:r>
            <w:r w:rsidR="00241C3C" w:rsidRPr="004410BC">
              <w:rPr>
                <w:rFonts w:cs="Arial"/>
                <w:noProof/>
                <w:webHidden/>
              </w:rPr>
              <w:fldChar w:fldCharType="end"/>
            </w:r>
          </w:hyperlink>
        </w:p>
        <w:p w14:paraId="6593AEB4" w14:textId="5C80496D" w:rsidR="00241C3C" w:rsidRPr="004410BC" w:rsidRDefault="009F443E" w:rsidP="00236C76">
          <w:pPr>
            <w:pStyle w:val="TOC2"/>
            <w:tabs>
              <w:tab w:val="right" w:leader="dot" w:pos="9016"/>
            </w:tabs>
            <w:rPr>
              <w:rFonts w:cs="Arial"/>
              <w:noProof/>
              <w:szCs w:val="24"/>
              <w:lang w:val="en-US" w:eastAsia="en-US"/>
            </w:rPr>
          </w:pPr>
          <w:hyperlink w:anchor="_Toc240724884" w:history="1">
            <w:r w:rsidR="00241C3C" w:rsidRPr="004410BC">
              <w:rPr>
                <w:rStyle w:val="Hyperlink"/>
                <w:rFonts w:eastAsiaTheme="majorEastAsia" w:cs="Arial"/>
                <w:noProof/>
              </w:rPr>
              <w:t>3.11 Conclusion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_Toc240724884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39</w:t>
            </w:r>
            <w:r w:rsidR="00241C3C" w:rsidRPr="004410BC">
              <w:rPr>
                <w:rFonts w:cs="Arial"/>
                <w:noProof/>
                <w:webHidden/>
              </w:rPr>
              <w:fldChar w:fldCharType="end"/>
            </w:r>
          </w:hyperlink>
        </w:p>
        <w:p w14:paraId="6DA20E3F" w14:textId="18FF2AF7"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885" w:history="1">
            <w:r w:rsidR="00241C3C" w:rsidRPr="004410BC">
              <w:rPr>
                <w:rStyle w:val="Hyperlink"/>
                <w:rFonts w:ascii="Arial" w:hAnsi="Arial" w:cs="Arial"/>
                <w:noProof/>
              </w:rPr>
              <w:t>Chapter 4: Results</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_Toc240724885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40</w:t>
            </w:r>
            <w:r w:rsidR="00241C3C" w:rsidRPr="004410BC">
              <w:rPr>
                <w:rFonts w:ascii="Arial" w:hAnsi="Arial" w:cs="Arial"/>
                <w:noProof/>
                <w:webHidden/>
              </w:rPr>
              <w:fldChar w:fldCharType="end"/>
            </w:r>
          </w:hyperlink>
        </w:p>
        <w:p w14:paraId="7D098570" w14:textId="34F04034" w:rsidR="00241C3C" w:rsidRPr="004410BC" w:rsidRDefault="009F443E" w:rsidP="00236C76">
          <w:pPr>
            <w:pStyle w:val="TOC2"/>
            <w:tabs>
              <w:tab w:val="right" w:leader="dot" w:pos="9016"/>
            </w:tabs>
            <w:rPr>
              <w:rFonts w:cs="Arial"/>
              <w:noProof/>
              <w:szCs w:val="24"/>
              <w:lang w:val="en-US" w:eastAsia="en-US"/>
            </w:rPr>
          </w:pPr>
          <w:hyperlink w:anchor="_Toc240724886" w:history="1">
            <w:r w:rsidR="00241C3C" w:rsidRPr="004410BC">
              <w:rPr>
                <w:rStyle w:val="Hyperlink"/>
                <w:rFonts w:cs="Arial"/>
                <w:noProof/>
              </w:rPr>
              <w:t>4.1 Introduction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_Toc240724886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40</w:t>
            </w:r>
            <w:r w:rsidR="00241C3C" w:rsidRPr="004410BC">
              <w:rPr>
                <w:rFonts w:cs="Arial"/>
                <w:noProof/>
                <w:webHidden/>
              </w:rPr>
              <w:fldChar w:fldCharType="end"/>
            </w:r>
          </w:hyperlink>
        </w:p>
        <w:p w14:paraId="715111F2" w14:textId="311974A9" w:rsidR="00241C3C" w:rsidRPr="004410BC" w:rsidRDefault="009F443E" w:rsidP="00236C76">
          <w:pPr>
            <w:pStyle w:val="TOC2"/>
            <w:tabs>
              <w:tab w:val="right" w:leader="dot" w:pos="9016"/>
            </w:tabs>
            <w:rPr>
              <w:rFonts w:cs="Arial"/>
              <w:noProof/>
              <w:szCs w:val="24"/>
              <w:lang w:val="en-US" w:eastAsia="en-US"/>
            </w:rPr>
          </w:pPr>
          <w:hyperlink w:anchor="_Toc240724887" w:history="1">
            <w:r w:rsidR="00241C3C" w:rsidRPr="004410BC">
              <w:rPr>
                <w:rStyle w:val="Hyperlink"/>
                <w:rFonts w:cs="Arial"/>
                <w:noProof/>
              </w:rPr>
              <w:t>4.2 Selection of Studies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_Toc240724887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40</w:t>
            </w:r>
            <w:r w:rsidR="00241C3C" w:rsidRPr="004410BC">
              <w:rPr>
                <w:rFonts w:cs="Arial"/>
                <w:noProof/>
                <w:webHidden/>
              </w:rPr>
              <w:fldChar w:fldCharType="end"/>
            </w:r>
          </w:hyperlink>
        </w:p>
        <w:p w14:paraId="4E2A5F48" w14:textId="036DDD10" w:rsidR="00241C3C" w:rsidRPr="004410BC" w:rsidRDefault="009F443E" w:rsidP="00236C76">
          <w:pPr>
            <w:pStyle w:val="TOC3"/>
            <w:tabs>
              <w:tab w:val="right" w:leader="dot" w:pos="9016"/>
            </w:tabs>
            <w:rPr>
              <w:rFonts w:cs="Arial"/>
              <w:noProof/>
              <w:szCs w:val="24"/>
              <w:lang w:val="en-US" w:eastAsia="en-US"/>
            </w:rPr>
          </w:pPr>
          <w:hyperlink w:anchor="_Toc240724888" w:history="1">
            <w:r w:rsidR="00241C3C" w:rsidRPr="004410BC">
              <w:rPr>
                <w:rStyle w:val="Hyperlink"/>
                <w:rFonts w:cs="Arial"/>
                <w:noProof/>
              </w:rPr>
              <w:t>4.2.1 Characteristics of Included Studies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_Toc240724888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42</w:t>
            </w:r>
            <w:r w:rsidR="00241C3C" w:rsidRPr="004410BC">
              <w:rPr>
                <w:rFonts w:cs="Arial"/>
                <w:noProof/>
                <w:webHidden/>
              </w:rPr>
              <w:fldChar w:fldCharType="end"/>
            </w:r>
          </w:hyperlink>
        </w:p>
        <w:p w14:paraId="4A963C6D" w14:textId="5E0BBEAC" w:rsidR="00241C3C" w:rsidRPr="004410BC" w:rsidRDefault="009F443E" w:rsidP="00236C76">
          <w:pPr>
            <w:pStyle w:val="TOC2"/>
            <w:tabs>
              <w:tab w:val="right" w:leader="dot" w:pos="9016"/>
            </w:tabs>
            <w:rPr>
              <w:rFonts w:cs="Arial"/>
              <w:noProof/>
              <w:szCs w:val="24"/>
              <w:lang w:val="en-US" w:eastAsia="en-US"/>
            </w:rPr>
          </w:pPr>
          <w:hyperlink w:anchor="_Toc240724889" w:history="1">
            <w:r w:rsidR="00241C3C" w:rsidRPr="004410BC">
              <w:rPr>
                <w:rStyle w:val="Hyperlink"/>
                <w:rFonts w:cs="Arial"/>
                <w:noProof/>
              </w:rPr>
              <w:t>4.3 Health Inequalities Experienced by Ethnic Minority Groups in Accessing Primary Healthcare</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_Toc240724889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48</w:t>
            </w:r>
            <w:r w:rsidR="00241C3C" w:rsidRPr="004410BC">
              <w:rPr>
                <w:rFonts w:cs="Arial"/>
                <w:noProof/>
                <w:webHidden/>
              </w:rPr>
              <w:fldChar w:fldCharType="end"/>
            </w:r>
          </w:hyperlink>
        </w:p>
        <w:p w14:paraId="0098F153" w14:textId="7CC65D20" w:rsidR="00241C3C" w:rsidRPr="004410BC" w:rsidRDefault="009F443E" w:rsidP="00236C76">
          <w:pPr>
            <w:pStyle w:val="TOC3"/>
            <w:tabs>
              <w:tab w:val="right" w:leader="dot" w:pos="9016"/>
            </w:tabs>
            <w:rPr>
              <w:rFonts w:cs="Arial"/>
              <w:noProof/>
              <w:szCs w:val="24"/>
              <w:lang w:val="en-US" w:eastAsia="en-US"/>
            </w:rPr>
          </w:pPr>
          <w:hyperlink w:anchor="_Toc240724890" w:history="1">
            <w:r w:rsidR="00241C3C" w:rsidRPr="004410BC">
              <w:rPr>
                <w:rStyle w:val="Hyperlink"/>
                <w:rFonts w:eastAsia="MS Gothic" w:cs="Arial"/>
                <w:noProof/>
              </w:rPr>
              <w:t>4.3.1 Theme 1: Unequal patterns of healthcare access and utilisation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_Toc240724890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48</w:t>
            </w:r>
            <w:r w:rsidR="00241C3C" w:rsidRPr="004410BC">
              <w:rPr>
                <w:rFonts w:cs="Arial"/>
                <w:noProof/>
                <w:webHidden/>
              </w:rPr>
              <w:fldChar w:fldCharType="end"/>
            </w:r>
          </w:hyperlink>
        </w:p>
        <w:p w14:paraId="066EBAD2" w14:textId="617B22C7" w:rsidR="00241C3C" w:rsidRPr="004410BC" w:rsidRDefault="009F443E" w:rsidP="00236C76">
          <w:pPr>
            <w:pStyle w:val="TOC3"/>
            <w:tabs>
              <w:tab w:val="right" w:leader="dot" w:pos="9016"/>
            </w:tabs>
            <w:rPr>
              <w:rFonts w:cs="Arial"/>
              <w:noProof/>
              <w:szCs w:val="24"/>
              <w:lang w:val="en-US" w:eastAsia="en-US"/>
            </w:rPr>
          </w:pPr>
          <w:hyperlink w:anchor="_Toc240724891" w:history="1">
            <w:r w:rsidR="00241C3C" w:rsidRPr="004410BC">
              <w:rPr>
                <w:rStyle w:val="Hyperlink"/>
                <w:rFonts w:eastAsia="MS Gothic" w:cs="Arial"/>
                <w:noProof/>
              </w:rPr>
              <w:t>4.3.2 Theme 2: Inequalities in preventive, routine and condition-specific care</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_Toc240724891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48</w:t>
            </w:r>
            <w:r w:rsidR="00241C3C" w:rsidRPr="004410BC">
              <w:rPr>
                <w:rFonts w:cs="Arial"/>
                <w:noProof/>
                <w:webHidden/>
              </w:rPr>
              <w:fldChar w:fldCharType="end"/>
            </w:r>
          </w:hyperlink>
        </w:p>
        <w:p w14:paraId="6101D092" w14:textId="23A7C110" w:rsidR="00241C3C" w:rsidRPr="004410BC" w:rsidRDefault="009F443E" w:rsidP="00236C76">
          <w:pPr>
            <w:pStyle w:val="TOC3"/>
            <w:tabs>
              <w:tab w:val="right" w:leader="dot" w:pos="9016"/>
            </w:tabs>
            <w:rPr>
              <w:rFonts w:cs="Arial"/>
              <w:noProof/>
              <w:szCs w:val="24"/>
              <w:lang w:val="en-US" w:eastAsia="en-US"/>
            </w:rPr>
          </w:pPr>
          <w:hyperlink w:anchor="_Toc240724892" w:history="1">
            <w:r w:rsidR="00241C3C" w:rsidRPr="004410BC">
              <w:rPr>
                <w:rStyle w:val="Hyperlink"/>
                <w:rFonts w:eastAsia="MS Gothic" w:cs="Arial"/>
                <w:noProof/>
              </w:rPr>
              <w:t>4.3.3 Theme 3: Inequalities in quality, safety, trust and recognition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_Toc240724892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49</w:t>
            </w:r>
            <w:r w:rsidR="00241C3C" w:rsidRPr="004410BC">
              <w:rPr>
                <w:rFonts w:cs="Arial"/>
                <w:noProof/>
                <w:webHidden/>
              </w:rPr>
              <w:fldChar w:fldCharType="end"/>
            </w:r>
          </w:hyperlink>
        </w:p>
        <w:p w14:paraId="1DAB64EA" w14:textId="06691072" w:rsidR="00241C3C" w:rsidRPr="004410BC" w:rsidRDefault="009F443E" w:rsidP="00236C76">
          <w:pPr>
            <w:pStyle w:val="TOC2"/>
            <w:tabs>
              <w:tab w:val="right" w:leader="dot" w:pos="9016"/>
            </w:tabs>
            <w:rPr>
              <w:rFonts w:cs="Arial"/>
              <w:noProof/>
              <w:szCs w:val="24"/>
              <w:lang w:val="en-US" w:eastAsia="en-US"/>
            </w:rPr>
          </w:pPr>
          <w:hyperlink w:anchor="_Toc240724893" w:history="1">
            <w:r w:rsidR="00241C3C" w:rsidRPr="004410BC">
              <w:rPr>
                <w:rStyle w:val="Hyperlink"/>
                <w:rFonts w:eastAsia="MS Gothic" w:cs="Arial"/>
                <w:noProof/>
              </w:rPr>
              <w:t>4.4 Main Barriers Affecting Access to Primary Healthcare</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_Toc240724893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50</w:t>
            </w:r>
            <w:r w:rsidR="00241C3C" w:rsidRPr="004410BC">
              <w:rPr>
                <w:rFonts w:cs="Arial"/>
                <w:noProof/>
                <w:webHidden/>
              </w:rPr>
              <w:fldChar w:fldCharType="end"/>
            </w:r>
          </w:hyperlink>
        </w:p>
        <w:p w14:paraId="534B2080" w14:textId="67D08D96" w:rsidR="00241C3C" w:rsidRPr="004410BC" w:rsidRDefault="009F443E" w:rsidP="00236C76">
          <w:pPr>
            <w:pStyle w:val="TOC3"/>
            <w:tabs>
              <w:tab w:val="right" w:leader="dot" w:pos="9016"/>
            </w:tabs>
            <w:rPr>
              <w:rFonts w:cs="Arial"/>
              <w:noProof/>
              <w:szCs w:val="24"/>
              <w:lang w:val="en-US" w:eastAsia="en-US"/>
            </w:rPr>
          </w:pPr>
          <w:hyperlink w:anchor="_Toc240724894" w:history="1">
            <w:r w:rsidR="00241C3C" w:rsidRPr="004410BC">
              <w:rPr>
                <w:rStyle w:val="Hyperlink"/>
                <w:rFonts w:eastAsia="MS Gothic" w:cs="Arial"/>
                <w:noProof/>
              </w:rPr>
              <w:t>4.4.1 Theme 1: Language, communication and health information barriers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_Toc240724894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50</w:t>
            </w:r>
            <w:r w:rsidR="00241C3C" w:rsidRPr="004410BC">
              <w:rPr>
                <w:rFonts w:cs="Arial"/>
                <w:noProof/>
                <w:webHidden/>
              </w:rPr>
              <w:fldChar w:fldCharType="end"/>
            </w:r>
          </w:hyperlink>
        </w:p>
        <w:p w14:paraId="042AB0E3" w14:textId="680190B7" w:rsidR="00241C3C" w:rsidRPr="004410BC" w:rsidRDefault="009F443E" w:rsidP="00236C76">
          <w:pPr>
            <w:pStyle w:val="TOC3"/>
            <w:tabs>
              <w:tab w:val="right" w:leader="dot" w:pos="9016"/>
            </w:tabs>
            <w:rPr>
              <w:rFonts w:cs="Arial"/>
              <w:noProof/>
              <w:szCs w:val="24"/>
              <w:lang w:val="en-US" w:eastAsia="en-US"/>
            </w:rPr>
          </w:pPr>
          <w:hyperlink w:anchor="_Toc240724895" w:history="1">
            <w:r w:rsidR="00241C3C" w:rsidRPr="004410BC">
              <w:rPr>
                <w:rStyle w:val="Hyperlink"/>
                <w:rFonts w:eastAsia="MS Gothic" w:cs="Arial"/>
                <w:noProof/>
              </w:rPr>
              <w:t>4.4.2 Theme 2: Culture, stigma, discrimination and mistrust</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_Toc240724895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51</w:t>
            </w:r>
            <w:r w:rsidR="00241C3C" w:rsidRPr="004410BC">
              <w:rPr>
                <w:rFonts w:cs="Arial"/>
                <w:noProof/>
                <w:webHidden/>
              </w:rPr>
              <w:fldChar w:fldCharType="end"/>
            </w:r>
          </w:hyperlink>
        </w:p>
        <w:p w14:paraId="74D09488" w14:textId="36323C3C" w:rsidR="00241C3C" w:rsidRPr="004410BC" w:rsidRDefault="009F443E" w:rsidP="00236C76">
          <w:pPr>
            <w:pStyle w:val="TOC3"/>
            <w:tabs>
              <w:tab w:val="right" w:leader="dot" w:pos="9016"/>
            </w:tabs>
            <w:rPr>
              <w:rFonts w:cs="Arial"/>
              <w:noProof/>
              <w:szCs w:val="24"/>
              <w:lang w:val="en-US" w:eastAsia="en-US"/>
            </w:rPr>
          </w:pPr>
          <w:hyperlink w:anchor="_Toc240724896" w:history="1">
            <w:r w:rsidR="00241C3C" w:rsidRPr="004410BC">
              <w:rPr>
                <w:rStyle w:val="Hyperlink"/>
                <w:rFonts w:eastAsia="MS Gothic" w:cs="Arial"/>
                <w:noProof/>
              </w:rPr>
              <w:t>4.4.3 Theme 3: Digital exclusion and organisational barriers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_Toc240724896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51</w:t>
            </w:r>
            <w:r w:rsidR="00241C3C" w:rsidRPr="004410BC">
              <w:rPr>
                <w:rFonts w:cs="Arial"/>
                <w:noProof/>
                <w:webHidden/>
              </w:rPr>
              <w:fldChar w:fldCharType="end"/>
            </w:r>
          </w:hyperlink>
        </w:p>
        <w:p w14:paraId="00DF1BB9" w14:textId="16120908" w:rsidR="00241C3C" w:rsidRPr="004410BC" w:rsidRDefault="009F443E" w:rsidP="00236C76">
          <w:pPr>
            <w:pStyle w:val="TOC2"/>
            <w:tabs>
              <w:tab w:val="right" w:leader="dot" w:pos="9016"/>
            </w:tabs>
            <w:rPr>
              <w:rFonts w:cs="Arial"/>
              <w:noProof/>
              <w:szCs w:val="24"/>
              <w:lang w:val="en-US" w:eastAsia="en-US"/>
            </w:rPr>
          </w:pPr>
          <w:hyperlink w:anchor="_Toc240724897" w:history="1">
            <w:r w:rsidR="00241C3C" w:rsidRPr="004410BC">
              <w:rPr>
                <w:rStyle w:val="Hyperlink"/>
                <w:rFonts w:eastAsia="MS Gothic" w:cs="Arial"/>
                <w:noProof/>
              </w:rPr>
              <w:t>4.5 Effects on Service Use, Patient Experience and Health Outcomes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_Toc240724897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52</w:t>
            </w:r>
            <w:r w:rsidR="00241C3C" w:rsidRPr="004410BC">
              <w:rPr>
                <w:rFonts w:cs="Arial"/>
                <w:noProof/>
                <w:webHidden/>
              </w:rPr>
              <w:fldChar w:fldCharType="end"/>
            </w:r>
          </w:hyperlink>
        </w:p>
        <w:p w14:paraId="0A37347E" w14:textId="5A7367C6" w:rsidR="00241C3C" w:rsidRPr="004410BC" w:rsidRDefault="009F443E" w:rsidP="00236C76">
          <w:pPr>
            <w:pStyle w:val="TOC3"/>
            <w:tabs>
              <w:tab w:val="right" w:leader="dot" w:pos="9016"/>
            </w:tabs>
            <w:rPr>
              <w:rFonts w:cs="Arial"/>
              <w:noProof/>
              <w:szCs w:val="24"/>
              <w:lang w:val="en-US" w:eastAsia="en-US"/>
            </w:rPr>
          </w:pPr>
          <w:hyperlink w:anchor="_Toc240724898" w:history="1">
            <w:r w:rsidR="00241C3C" w:rsidRPr="004410BC">
              <w:rPr>
                <w:rStyle w:val="Hyperlink"/>
                <w:rFonts w:eastAsia="MS Gothic" w:cs="Arial"/>
                <w:noProof/>
              </w:rPr>
              <w:t>4.5.1 Theme 1: Reduced, delayed and altered healthcare utilisation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_Toc240724898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52</w:t>
            </w:r>
            <w:r w:rsidR="00241C3C" w:rsidRPr="004410BC">
              <w:rPr>
                <w:rFonts w:cs="Arial"/>
                <w:noProof/>
                <w:webHidden/>
              </w:rPr>
              <w:fldChar w:fldCharType="end"/>
            </w:r>
          </w:hyperlink>
        </w:p>
        <w:p w14:paraId="02E586AB" w14:textId="5B4378C1" w:rsidR="00241C3C" w:rsidRPr="004410BC" w:rsidRDefault="009F443E" w:rsidP="00236C76">
          <w:pPr>
            <w:pStyle w:val="TOC3"/>
            <w:tabs>
              <w:tab w:val="right" w:leader="dot" w:pos="9016"/>
            </w:tabs>
            <w:rPr>
              <w:rFonts w:cs="Arial"/>
              <w:noProof/>
              <w:szCs w:val="24"/>
              <w:lang w:val="en-US" w:eastAsia="en-US"/>
            </w:rPr>
          </w:pPr>
          <w:hyperlink w:anchor="_Toc240724899" w:history="1">
            <w:r w:rsidR="00241C3C" w:rsidRPr="004410BC">
              <w:rPr>
                <w:rStyle w:val="Hyperlink"/>
                <w:rFonts w:eastAsia="MS Gothic" w:cs="Arial"/>
                <w:noProof/>
              </w:rPr>
              <w:t>4.5.2 Theme 2: Patient experience, trust, choice and perceived safety</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_Toc240724899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53</w:t>
            </w:r>
            <w:r w:rsidR="00241C3C" w:rsidRPr="004410BC">
              <w:rPr>
                <w:rFonts w:cs="Arial"/>
                <w:noProof/>
                <w:webHidden/>
              </w:rPr>
              <w:fldChar w:fldCharType="end"/>
            </w:r>
          </w:hyperlink>
        </w:p>
        <w:p w14:paraId="3A6BF246" w14:textId="2BEDEE29" w:rsidR="00241C3C" w:rsidRPr="004410BC" w:rsidRDefault="009F443E" w:rsidP="00236C76">
          <w:pPr>
            <w:pStyle w:val="TOC3"/>
            <w:tabs>
              <w:tab w:val="right" w:leader="dot" w:pos="9016"/>
            </w:tabs>
            <w:rPr>
              <w:rFonts w:cs="Arial"/>
              <w:noProof/>
              <w:szCs w:val="24"/>
              <w:lang w:val="en-US" w:eastAsia="en-US"/>
            </w:rPr>
          </w:pPr>
          <w:hyperlink w:anchor="_Toc240724900" w:history="1">
            <w:r w:rsidR="00241C3C" w:rsidRPr="004410BC">
              <w:rPr>
                <w:rStyle w:val="Hyperlink"/>
                <w:rFonts w:eastAsia="MS Gothic" w:cs="Arial"/>
                <w:noProof/>
              </w:rPr>
              <w:t>4.5.3 Theme 3: Consequences for health management and unmet need</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_Toc240724900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53</w:t>
            </w:r>
            <w:r w:rsidR="00241C3C" w:rsidRPr="004410BC">
              <w:rPr>
                <w:rFonts w:cs="Arial"/>
                <w:noProof/>
                <w:webHidden/>
              </w:rPr>
              <w:fldChar w:fldCharType="end"/>
            </w:r>
          </w:hyperlink>
        </w:p>
        <w:p w14:paraId="5A3A46B4" w14:textId="778ECCE7" w:rsidR="00241C3C" w:rsidRPr="004410BC" w:rsidRDefault="009F443E" w:rsidP="00236C76">
          <w:pPr>
            <w:pStyle w:val="TOC2"/>
            <w:tabs>
              <w:tab w:val="right" w:leader="dot" w:pos="9016"/>
            </w:tabs>
            <w:rPr>
              <w:rFonts w:cs="Arial"/>
              <w:noProof/>
              <w:szCs w:val="24"/>
              <w:lang w:val="en-US" w:eastAsia="en-US"/>
            </w:rPr>
          </w:pPr>
          <w:hyperlink w:anchor="_Toc240724901" w:history="1">
            <w:r w:rsidR="00241C3C" w:rsidRPr="004410BC">
              <w:rPr>
                <w:rStyle w:val="Hyperlink"/>
                <w:rFonts w:eastAsia="MS Gothic" w:cs="Arial"/>
                <w:noProof/>
              </w:rPr>
              <w:t>4.6 Strategies, Policies, Interventions and Evidence Gaps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_Toc240724901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54</w:t>
            </w:r>
            <w:r w:rsidR="00241C3C" w:rsidRPr="004410BC">
              <w:rPr>
                <w:rFonts w:cs="Arial"/>
                <w:noProof/>
                <w:webHidden/>
              </w:rPr>
              <w:fldChar w:fldCharType="end"/>
            </w:r>
          </w:hyperlink>
        </w:p>
        <w:p w14:paraId="08B74355" w14:textId="0A8C6008" w:rsidR="00241C3C" w:rsidRPr="004410BC" w:rsidRDefault="009F443E" w:rsidP="00236C76">
          <w:pPr>
            <w:pStyle w:val="TOC3"/>
            <w:tabs>
              <w:tab w:val="right" w:leader="dot" w:pos="9016"/>
            </w:tabs>
            <w:rPr>
              <w:rFonts w:cs="Arial"/>
              <w:noProof/>
              <w:szCs w:val="24"/>
              <w:lang w:val="en-US" w:eastAsia="en-US"/>
            </w:rPr>
          </w:pPr>
          <w:hyperlink w:anchor="_Toc240724902" w:history="1">
            <w:r w:rsidR="00241C3C" w:rsidRPr="004410BC">
              <w:rPr>
                <w:rStyle w:val="Hyperlink"/>
                <w:rFonts w:eastAsia="MS Gothic" w:cs="Arial"/>
                <w:noProof/>
              </w:rPr>
              <w:t>4.6.1 Theme 1: Multilingual communication, cultural competence and co-produced care</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_Toc240724902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54</w:t>
            </w:r>
            <w:r w:rsidR="00241C3C" w:rsidRPr="004410BC">
              <w:rPr>
                <w:rFonts w:cs="Arial"/>
                <w:noProof/>
                <w:webHidden/>
              </w:rPr>
              <w:fldChar w:fldCharType="end"/>
            </w:r>
          </w:hyperlink>
        </w:p>
        <w:p w14:paraId="799EC27B" w14:textId="0C0FBC02" w:rsidR="00241C3C" w:rsidRPr="004410BC" w:rsidRDefault="009F443E" w:rsidP="00236C76">
          <w:pPr>
            <w:pStyle w:val="TOC3"/>
            <w:tabs>
              <w:tab w:val="right" w:leader="dot" w:pos="9016"/>
            </w:tabs>
            <w:rPr>
              <w:rFonts w:cs="Arial"/>
              <w:noProof/>
              <w:szCs w:val="24"/>
              <w:lang w:val="en-US" w:eastAsia="en-US"/>
            </w:rPr>
          </w:pPr>
          <w:hyperlink w:anchor="_Toc240724903" w:history="1">
            <w:r w:rsidR="00241C3C" w:rsidRPr="004410BC">
              <w:rPr>
                <w:rStyle w:val="Hyperlink"/>
                <w:rFonts w:eastAsia="MS Gothic" w:cs="Arial"/>
                <w:noProof/>
              </w:rPr>
              <w:t>4.6.2 Theme 2: Community engagement, peer support, outreach and hybrid access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_Toc240724903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55</w:t>
            </w:r>
            <w:r w:rsidR="00241C3C" w:rsidRPr="004410BC">
              <w:rPr>
                <w:rFonts w:cs="Arial"/>
                <w:noProof/>
                <w:webHidden/>
              </w:rPr>
              <w:fldChar w:fldCharType="end"/>
            </w:r>
          </w:hyperlink>
        </w:p>
        <w:p w14:paraId="5A97E823" w14:textId="36DA59BA" w:rsidR="00241C3C" w:rsidRPr="004410BC" w:rsidRDefault="009F443E" w:rsidP="00236C76">
          <w:pPr>
            <w:pStyle w:val="TOC3"/>
            <w:tabs>
              <w:tab w:val="right" w:leader="dot" w:pos="9016"/>
            </w:tabs>
            <w:rPr>
              <w:rFonts w:cs="Arial"/>
              <w:noProof/>
              <w:szCs w:val="24"/>
              <w:lang w:val="en-US" w:eastAsia="en-US"/>
            </w:rPr>
          </w:pPr>
          <w:hyperlink w:anchor="_Toc240724904" w:history="1">
            <w:r w:rsidR="00241C3C" w:rsidRPr="004410BC">
              <w:rPr>
                <w:rStyle w:val="Hyperlink"/>
                <w:rFonts w:eastAsia="MS Gothic" w:cs="Arial"/>
                <w:noProof/>
              </w:rPr>
              <w:t>4.6.3 Theme 3: Evidence gaps and limitations in intervention evidence</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_Toc240724904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55</w:t>
            </w:r>
            <w:r w:rsidR="00241C3C" w:rsidRPr="004410BC">
              <w:rPr>
                <w:rFonts w:cs="Arial"/>
                <w:noProof/>
                <w:webHidden/>
              </w:rPr>
              <w:fldChar w:fldCharType="end"/>
            </w:r>
          </w:hyperlink>
        </w:p>
        <w:p w14:paraId="10B15F82" w14:textId="304086CB" w:rsidR="00241C3C" w:rsidRPr="004410BC" w:rsidRDefault="009F443E" w:rsidP="00236C76">
          <w:pPr>
            <w:pStyle w:val="TOC2"/>
            <w:tabs>
              <w:tab w:val="right" w:leader="dot" w:pos="9016"/>
            </w:tabs>
            <w:rPr>
              <w:rFonts w:cs="Arial"/>
              <w:noProof/>
              <w:szCs w:val="24"/>
              <w:lang w:val="en-US" w:eastAsia="en-US"/>
            </w:rPr>
          </w:pPr>
          <w:hyperlink w:anchor="_Toc240724905" w:history="1">
            <w:r w:rsidR="00241C3C" w:rsidRPr="004410BC">
              <w:rPr>
                <w:rStyle w:val="Hyperlink"/>
                <w:rFonts w:eastAsia="MS Gothic" w:cs="Arial"/>
                <w:noProof/>
              </w:rPr>
              <w:t>4.7 Summary</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_Toc240724905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56</w:t>
            </w:r>
            <w:r w:rsidR="00241C3C" w:rsidRPr="004410BC">
              <w:rPr>
                <w:rFonts w:cs="Arial"/>
                <w:noProof/>
                <w:webHidden/>
              </w:rPr>
              <w:fldChar w:fldCharType="end"/>
            </w:r>
          </w:hyperlink>
        </w:p>
        <w:p w14:paraId="7FA9BB11" w14:textId="629736DB"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906" w:history="1">
            <w:r w:rsidR="00241C3C" w:rsidRPr="004410BC">
              <w:rPr>
                <w:rStyle w:val="Hyperlink"/>
                <w:rFonts w:ascii="Arial" w:hAnsi="Arial" w:cs="Arial"/>
                <w:noProof/>
              </w:rPr>
              <w:t>Chapter 5: Discussion</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_Toc240724906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57</w:t>
            </w:r>
            <w:r w:rsidR="00241C3C" w:rsidRPr="004410BC">
              <w:rPr>
                <w:rFonts w:ascii="Arial" w:hAnsi="Arial" w:cs="Arial"/>
                <w:noProof/>
                <w:webHidden/>
              </w:rPr>
              <w:fldChar w:fldCharType="end"/>
            </w:r>
          </w:hyperlink>
        </w:p>
        <w:p w14:paraId="2D7A67E6" w14:textId="1B55B592" w:rsidR="00241C3C" w:rsidRPr="004410BC" w:rsidRDefault="009F443E" w:rsidP="00236C76">
          <w:pPr>
            <w:pStyle w:val="TOC2"/>
            <w:tabs>
              <w:tab w:val="right" w:leader="dot" w:pos="9016"/>
            </w:tabs>
            <w:rPr>
              <w:rFonts w:cs="Arial"/>
              <w:noProof/>
              <w:szCs w:val="24"/>
              <w:lang w:val="en-US" w:eastAsia="en-US"/>
            </w:rPr>
          </w:pPr>
          <w:hyperlink w:anchor="_Toc240724907" w:history="1">
            <w:r w:rsidR="00241C3C" w:rsidRPr="004410BC">
              <w:rPr>
                <w:rStyle w:val="Hyperlink"/>
                <w:rFonts w:cs="Arial"/>
                <w:noProof/>
              </w:rPr>
              <w:t>5.1 Introduction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_Toc240724907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57</w:t>
            </w:r>
            <w:r w:rsidR="00241C3C" w:rsidRPr="004410BC">
              <w:rPr>
                <w:rFonts w:cs="Arial"/>
                <w:noProof/>
                <w:webHidden/>
              </w:rPr>
              <w:fldChar w:fldCharType="end"/>
            </w:r>
          </w:hyperlink>
        </w:p>
        <w:p w14:paraId="4BF0AB9C" w14:textId="60667CB1" w:rsidR="00241C3C" w:rsidRPr="004410BC" w:rsidRDefault="009F443E" w:rsidP="00236C76">
          <w:pPr>
            <w:pStyle w:val="TOC2"/>
            <w:tabs>
              <w:tab w:val="right" w:leader="dot" w:pos="9016"/>
            </w:tabs>
            <w:rPr>
              <w:rFonts w:cs="Arial"/>
              <w:noProof/>
              <w:szCs w:val="24"/>
              <w:lang w:val="en-US" w:eastAsia="en-US"/>
            </w:rPr>
          </w:pPr>
          <w:hyperlink w:anchor="_Toc240724908" w:history="1">
            <w:r w:rsidR="00241C3C" w:rsidRPr="004410BC">
              <w:rPr>
                <w:rStyle w:val="Hyperlink"/>
                <w:rFonts w:cs="Arial"/>
                <w:noProof/>
              </w:rPr>
              <w:t>5.2 Meaning and Significance of the Evidence</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_Toc240724908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57</w:t>
            </w:r>
            <w:r w:rsidR="00241C3C" w:rsidRPr="004410BC">
              <w:rPr>
                <w:rFonts w:cs="Arial"/>
                <w:noProof/>
                <w:webHidden/>
              </w:rPr>
              <w:fldChar w:fldCharType="end"/>
            </w:r>
          </w:hyperlink>
        </w:p>
        <w:p w14:paraId="6AF45D54" w14:textId="32B403EF" w:rsidR="00241C3C" w:rsidRPr="004410BC" w:rsidRDefault="009F443E" w:rsidP="00236C76">
          <w:pPr>
            <w:pStyle w:val="TOC2"/>
            <w:tabs>
              <w:tab w:val="right" w:leader="dot" w:pos="9016"/>
            </w:tabs>
            <w:rPr>
              <w:rFonts w:cs="Arial"/>
              <w:noProof/>
              <w:szCs w:val="24"/>
              <w:lang w:val="en-US" w:eastAsia="en-US"/>
            </w:rPr>
          </w:pPr>
          <w:hyperlink w:anchor="_Toc240724909" w:history="1">
            <w:r w:rsidR="00241C3C" w:rsidRPr="004410BC">
              <w:rPr>
                <w:rStyle w:val="Hyperlink"/>
                <w:rFonts w:cs="Arial"/>
                <w:noProof/>
              </w:rPr>
              <w:t>5.3 Theoretical Interpretation Through Levesque’s Framework</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_Toc240724909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58</w:t>
            </w:r>
            <w:r w:rsidR="00241C3C" w:rsidRPr="004410BC">
              <w:rPr>
                <w:rFonts w:cs="Arial"/>
                <w:noProof/>
                <w:webHidden/>
              </w:rPr>
              <w:fldChar w:fldCharType="end"/>
            </w:r>
          </w:hyperlink>
        </w:p>
        <w:p w14:paraId="3BAD61AB" w14:textId="2832E1B5" w:rsidR="00241C3C" w:rsidRPr="004410BC" w:rsidRDefault="009F443E" w:rsidP="00236C76">
          <w:pPr>
            <w:pStyle w:val="TOC2"/>
            <w:tabs>
              <w:tab w:val="right" w:leader="dot" w:pos="9016"/>
            </w:tabs>
            <w:rPr>
              <w:rFonts w:cs="Arial"/>
              <w:noProof/>
              <w:szCs w:val="24"/>
              <w:lang w:val="en-US" w:eastAsia="en-US"/>
            </w:rPr>
          </w:pPr>
          <w:hyperlink w:anchor="_Toc240724910" w:history="1">
            <w:r w:rsidR="00241C3C" w:rsidRPr="004410BC">
              <w:rPr>
                <w:rStyle w:val="Hyperlink"/>
                <w:rFonts w:cs="Arial"/>
                <w:noProof/>
              </w:rPr>
              <w:t>5.4 Implications for Equitable Primary Care</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_Toc240724910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59</w:t>
            </w:r>
            <w:r w:rsidR="00241C3C" w:rsidRPr="004410BC">
              <w:rPr>
                <w:rFonts w:cs="Arial"/>
                <w:noProof/>
                <w:webHidden/>
              </w:rPr>
              <w:fldChar w:fldCharType="end"/>
            </w:r>
          </w:hyperlink>
        </w:p>
        <w:p w14:paraId="0588A43B" w14:textId="633F1E76" w:rsidR="00241C3C" w:rsidRPr="004410BC" w:rsidRDefault="009F443E" w:rsidP="00236C76">
          <w:pPr>
            <w:pStyle w:val="TOC2"/>
            <w:tabs>
              <w:tab w:val="right" w:leader="dot" w:pos="9016"/>
            </w:tabs>
            <w:rPr>
              <w:rFonts w:cs="Arial"/>
              <w:noProof/>
              <w:szCs w:val="24"/>
              <w:lang w:val="en-US" w:eastAsia="en-US"/>
            </w:rPr>
          </w:pPr>
          <w:hyperlink w:anchor="_Toc240724911" w:history="1">
            <w:r w:rsidR="00241C3C" w:rsidRPr="004410BC">
              <w:rPr>
                <w:rStyle w:val="Hyperlink"/>
                <w:rFonts w:cs="Arial"/>
                <w:noProof/>
              </w:rPr>
              <w:t>5.5 Limitations of the Review</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_Toc240724911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60</w:t>
            </w:r>
            <w:r w:rsidR="00241C3C" w:rsidRPr="004410BC">
              <w:rPr>
                <w:rFonts w:cs="Arial"/>
                <w:noProof/>
                <w:webHidden/>
              </w:rPr>
              <w:fldChar w:fldCharType="end"/>
            </w:r>
          </w:hyperlink>
        </w:p>
        <w:p w14:paraId="66112D5E" w14:textId="6A14AE85" w:rsidR="00241C3C" w:rsidRPr="004410BC" w:rsidRDefault="009F443E" w:rsidP="00236C76">
          <w:pPr>
            <w:pStyle w:val="TOC2"/>
            <w:tabs>
              <w:tab w:val="right" w:leader="dot" w:pos="9016"/>
            </w:tabs>
            <w:rPr>
              <w:rFonts w:cs="Arial"/>
              <w:noProof/>
              <w:szCs w:val="24"/>
              <w:lang w:val="en-US" w:eastAsia="en-US"/>
            </w:rPr>
          </w:pPr>
          <w:hyperlink w:anchor="_Toc240724912" w:history="1">
            <w:r w:rsidR="00241C3C" w:rsidRPr="004410BC">
              <w:rPr>
                <w:rStyle w:val="Hyperlink"/>
                <w:rFonts w:cs="Arial"/>
                <w:noProof/>
              </w:rPr>
              <w:t>5.6 Priorities for Future Research</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_Toc240724912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60</w:t>
            </w:r>
            <w:r w:rsidR="00241C3C" w:rsidRPr="004410BC">
              <w:rPr>
                <w:rFonts w:cs="Arial"/>
                <w:noProof/>
                <w:webHidden/>
              </w:rPr>
              <w:fldChar w:fldCharType="end"/>
            </w:r>
          </w:hyperlink>
        </w:p>
        <w:p w14:paraId="3C06695B" w14:textId="3885A65A" w:rsidR="00241C3C" w:rsidRPr="004410BC" w:rsidRDefault="009F443E" w:rsidP="00236C76">
          <w:pPr>
            <w:pStyle w:val="TOC2"/>
            <w:tabs>
              <w:tab w:val="right" w:leader="dot" w:pos="9016"/>
            </w:tabs>
            <w:rPr>
              <w:rFonts w:cs="Arial"/>
              <w:noProof/>
              <w:szCs w:val="24"/>
              <w:lang w:val="en-US" w:eastAsia="en-US"/>
            </w:rPr>
          </w:pPr>
          <w:hyperlink w:anchor="_Toc240724913" w:history="1">
            <w:r w:rsidR="00241C3C" w:rsidRPr="004410BC">
              <w:rPr>
                <w:rStyle w:val="Hyperlink"/>
                <w:rFonts w:cs="Arial"/>
                <w:noProof/>
              </w:rPr>
              <w:t>5.7 Conclusion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_Toc240724913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61</w:t>
            </w:r>
            <w:r w:rsidR="00241C3C" w:rsidRPr="004410BC">
              <w:rPr>
                <w:rFonts w:cs="Arial"/>
                <w:noProof/>
                <w:webHidden/>
              </w:rPr>
              <w:fldChar w:fldCharType="end"/>
            </w:r>
          </w:hyperlink>
        </w:p>
        <w:p w14:paraId="5D04ABB6" w14:textId="44585D68"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914" w:history="1">
            <w:r w:rsidR="00241C3C" w:rsidRPr="004410BC">
              <w:rPr>
                <w:rStyle w:val="Hyperlink"/>
                <w:rFonts w:ascii="Arial" w:hAnsi="Arial" w:cs="Arial"/>
                <w:noProof/>
              </w:rPr>
              <w:t>Chapter 6: Conclusion</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_Toc240724914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62</w:t>
            </w:r>
            <w:r w:rsidR="00241C3C" w:rsidRPr="004410BC">
              <w:rPr>
                <w:rFonts w:ascii="Arial" w:hAnsi="Arial" w:cs="Arial"/>
                <w:noProof/>
                <w:webHidden/>
              </w:rPr>
              <w:fldChar w:fldCharType="end"/>
            </w:r>
          </w:hyperlink>
        </w:p>
        <w:p w14:paraId="173C554A" w14:textId="741A1328" w:rsidR="00241C3C" w:rsidRPr="004410BC" w:rsidRDefault="009F443E" w:rsidP="00236C76">
          <w:pPr>
            <w:pStyle w:val="TOC2"/>
            <w:tabs>
              <w:tab w:val="right" w:leader="dot" w:pos="9016"/>
            </w:tabs>
            <w:rPr>
              <w:rFonts w:cs="Arial"/>
              <w:noProof/>
              <w:szCs w:val="24"/>
              <w:lang w:val="en-US" w:eastAsia="en-US"/>
            </w:rPr>
          </w:pPr>
          <w:hyperlink w:anchor="_Toc240724915" w:history="1">
            <w:r w:rsidR="00241C3C" w:rsidRPr="004410BC">
              <w:rPr>
                <w:rStyle w:val="Hyperlink"/>
                <w:rFonts w:cs="Arial"/>
                <w:noProof/>
              </w:rPr>
              <w:t>6.1 Overall Conclusion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_Toc240724915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62</w:t>
            </w:r>
            <w:r w:rsidR="00241C3C" w:rsidRPr="004410BC">
              <w:rPr>
                <w:rFonts w:cs="Arial"/>
                <w:noProof/>
                <w:webHidden/>
              </w:rPr>
              <w:fldChar w:fldCharType="end"/>
            </w:r>
          </w:hyperlink>
        </w:p>
        <w:p w14:paraId="00A0A824" w14:textId="5876ECB7" w:rsidR="00241C3C" w:rsidRPr="004410BC" w:rsidRDefault="009F443E" w:rsidP="00236C76">
          <w:pPr>
            <w:pStyle w:val="TOC2"/>
            <w:tabs>
              <w:tab w:val="right" w:leader="dot" w:pos="9016"/>
            </w:tabs>
            <w:rPr>
              <w:rFonts w:cs="Arial"/>
              <w:noProof/>
              <w:szCs w:val="24"/>
              <w:lang w:val="en-US" w:eastAsia="en-US"/>
            </w:rPr>
          </w:pPr>
          <w:hyperlink w:anchor="_Toc240724916" w:history="1">
            <w:r w:rsidR="00241C3C" w:rsidRPr="004410BC">
              <w:rPr>
                <w:rStyle w:val="Hyperlink"/>
                <w:rFonts w:cs="Arial"/>
                <w:noProof/>
              </w:rPr>
              <w:t>6.2 Reflection on the Research</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_Toc240724916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63</w:t>
            </w:r>
            <w:r w:rsidR="00241C3C" w:rsidRPr="004410BC">
              <w:rPr>
                <w:rFonts w:cs="Arial"/>
                <w:noProof/>
                <w:webHidden/>
              </w:rPr>
              <w:fldChar w:fldCharType="end"/>
            </w:r>
          </w:hyperlink>
        </w:p>
        <w:p w14:paraId="2E5F1FA8" w14:textId="4A15A5D0" w:rsidR="00241C3C" w:rsidRPr="004410BC" w:rsidRDefault="009F443E" w:rsidP="00236C76">
          <w:pPr>
            <w:pStyle w:val="TOC2"/>
            <w:tabs>
              <w:tab w:val="right" w:leader="dot" w:pos="9016"/>
            </w:tabs>
            <w:rPr>
              <w:rFonts w:cs="Arial"/>
              <w:noProof/>
              <w:szCs w:val="24"/>
              <w:lang w:val="en-US" w:eastAsia="en-US"/>
            </w:rPr>
          </w:pPr>
          <w:hyperlink w:anchor="_Toc240724917" w:history="1">
            <w:r w:rsidR="00241C3C" w:rsidRPr="004410BC">
              <w:rPr>
                <w:rStyle w:val="Hyperlink"/>
                <w:rFonts w:cs="Arial"/>
                <w:noProof/>
              </w:rPr>
              <w:t>6.3 Recommendations</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_Toc240724917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63</w:t>
            </w:r>
            <w:r w:rsidR="00241C3C" w:rsidRPr="004410BC">
              <w:rPr>
                <w:rFonts w:cs="Arial"/>
                <w:noProof/>
                <w:webHidden/>
              </w:rPr>
              <w:fldChar w:fldCharType="end"/>
            </w:r>
          </w:hyperlink>
        </w:p>
        <w:p w14:paraId="124E3AD0" w14:textId="43993FBD" w:rsidR="00241C3C" w:rsidRPr="004410BC" w:rsidRDefault="009F443E" w:rsidP="00236C76">
          <w:pPr>
            <w:pStyle w:val="TOC2"/>
            <w:tabs>
              <w:tab w:val="right" w:leader="dot" w:pos="9016"/>
            </w:tabs>
            <w:rPr>
              <w:rFonts w:cs="Arial"/>
              <w:noProof/>
              <w:szCs w:val="24"/>
              <w:lang w:val="en-US" w:eastAsia="en-US"/>
            </w:rPr>
          </w:pPr>
          <w:hyperlink w:anchor="_Toc240724918" w:history="1">
            <w:r w:rsidR="00241C3C" w:rsidRPr="004410BC">
              <w:rPr>
                <w:rStyle w:val="Hyperlink"/>
                <w:rFonts w:cs="Arial"/>
                <w:noProof/>
              </w:rPr>
              <w:t>6.4 Contribution of the Study and Final Conclusion</w:t>
            </w:r>
            <w:r w:rsidR="00241C3C" w:rsidRPr="004410BC">
              <w:rPr>
                <w:rFonts w:cs="Arial"/>
                <w:noProof/>
                <w:webHidden/>
              </w:rPr>
              <w:tab/>
            </w:r>
            <w:r w:rsidR="00241C3C" w:rsidRPr="004410BC">
              <w:rPr>
                <w:rFonts w:cs="Arial"/>
                <w:noProof/>
                <w:webHidden/>
              </w:rPr>
              <w:fldChar w:fldCharType="begin"/>
            </w:r>
            <w:r w:rsidR="00241C3C" w:rsidRPr="004410BC">
              <w:rPr>
                <w:rFonts w:cs="Arial"/>
                <w:noProof/>
                <w:webHidden/>
              </w:rPr>
              <w:instrText xml:space="preserve"> PAGEREF _Toc240724918 \h </w:instrText>
            </w:r>
            <w:r w:rsidR="00241C3C" w:rsidRPr="004410BC">
              <w:rPr>
                <w:rFonts w:cs="Arial"/>
                <w:noProof/>
                <w:webHidden/>
              </w:rPr>
            </w:r>
            <w:r w:rsidR="00241C3C" w:rsidRPr="004410BC">
              <w:rPr>
                <w:rFonts w:cs="Arial"/>
                <w:noProof/>
                <w:webHidden/>
              </w:rPr>
              <w:fldChar w:fldCharType="separate"/>
            </w:r>
            <w:r w:rsidR="00241C3C" w:rsidRPr="004410BC">
              <w:rPr>
                <w:rFonts w:cs="Arial"/>
                <w:noProof/>
                <w:webHidden/>
              </w:rPr>
              <w:t>65</w:t>
            </w:r>
            <w:r w:rsidR="00241C3C" w:rsidRPr="004410BC">
              <w:rPr>
                <w:rFonts w:cs="Arial"/>
                <w:noProof/>
                <w:webHidden/>
              </w:rPr>
              <w:fldChar w:fldCharType="end"/>
            </w:r>
          </w:hyperlink>
        </w:p>
        <w:p w14:paraId="5E33072E" w14:textId="4AB7F299"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919" w:history="1">
            <w:r w:rsidR="00241C3C" w:rsidRPr="004410BC">
              <w:rPr>
                <w:rStyle w:val="Hyperlink"/>
                <w:rFonts w:ascii="Arial" w:hAnsi="Arial" w:cs="Arial"/>
                <w:noProof/>
              </w:rPr>
              <w:t>Reference list</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_Toc240724919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67</w:t>
            </w:r>
            <w:r w:rsidR="00241C3C" w:rsidRPr="004410BC">
              <w:rPr>
                <w:rFonts w:ascii="Arial" w:hAnsi="Arial" w:cs="Arial"/>
                <w:noProof/>
                <w:webHidden/>
              </w:rPr>
              <w:fldChar w:fldCharType="end"/>
            </w:r>
          </w:hyperlink>
        </w:p>
        <w:p w14:paraId="66A74816" w14:textId="4D4467D4"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920" w:history="1">
            <w:r w:rsidR="00241C3C" w:rsidRPr="004410BC">
              <w:rPr>
                <w:rStyle w:val="Hyperlink"/>
                <w:rFonts w:ascii="Arial" w:hAnsi="Arial" w:cs="Arial"/>
                <w:noProof/>
              </w:rPr>
              <w:t>Appendix 1: Quality Assessment</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_Toc240724920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76</w:t>
            </w:r>
            <w:r w:rsidR="00241C3C" w:rsidRPr="004410BC">
              <w:rPr>
                <w:rFonts w:ascii="Arial" w:hAnsi="Arial" w:cs="Arial"/>
                <w:noProof/>
                <w:webHidden/>
              </w:rPr>
              <w:fldChar w:fldCharType="end"/>
            </w:r>
          </w:hyperlink>
        </w:p>
        <w:p w14:paraId="3A856A61" w14:textId="1D3DCC3E"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921" w:history="1">
            <w:r w:rsidR="00241C3C" w:rsidRPr="004410BC">
              <w:rPr>
                <w:rStyle w:val="Hyperlink"/>
                <w:rFonts w:ascii="Arial" w:hAnsi="Arial" w:cs="Arial"/>
                <w:noProof/>
              </w:rPr>
              <w:t>Appendix 2: Conducted searches</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_Toc240724921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79</w:t>
            </w:r>
            <w:r w:rsidR="00241C3C" w:rsidRPr="004410BC">
              <w:rPr>
                <w:rFonts w:ascii="Arial" w:hAnsi="Arial" w:cs="Arial"/>
                <w:noProof/>
                <w:webHidden/>
              </w:rPr>
              <w:fldChar w:fldCharType="end"/>
            </w:r>
          </w:hyperlink>
        </w:p>
        <w:p w14:paraId="2B4EE4C7" w14:textId="00B3CE99"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922" w:history="1">
            <w:r w:rsidR="00241C3C" w:rsidRPr="004410BC">
              <w:rPr>
                <w:rStyle w:val="Hyperlink"/>
                <w:rFonts w:ascii="Arial" w:hAnsi="Arial" w:cs="Arial"/>
                <w:noProof/>
              </w:rPr>
              <w:t>Appendix 3: Screening Title Abstract</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_Toc240724922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82</w:t>
            </w:r>
            <w:r w:rsidR="00241C3C" w:rsidRPr="004410BC">
              <w:rPr>
                <w:rFonts w:ascii="Arial" w:hAnsi="Arial" w:cs="Arial"/>
                <w:noProof/>
                <w:webHidden/>
              </w:rPr>
              <w:fldChar w:fldCharType="end"/>
            </w:r>
          </w:hyperlink>
        </w:p>
        <w:p w14:paraId="0CAB8275" w14:textId="3C29CEA7"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923" w:history="1">
            <w:r w:rsidR="00241C3C" w:rsidRPr="004410BC">
              <w:rPr>
                <w:rStyle w:val="Hyperlink"/>
                <w:rFonts w:ascii="Arial" w:hAnsi="Arial" w:cs="Arial"/>
                <w:noProof/>
              </w:rPr>
              <w:t>Appendix 4: Screening full text</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_Toc240724923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107</w:t>
            </w:r>
            <w:r w:rsidR="00241C3C" w:rsidRPr="004410BC">
              <w:rPr>
                <w:rFonts w:ascii="Arial" w:hAnsi="Arial" w:cs="Arial"/>
                <w:noProof/>
                <w:webHidden/>
              </w:rPr>
              <w:fldChar w:fldCharType="end"/>
            </w:r>
          </w:hyperlink>
        </w:p>
        <w:p w14:paraId="2AB88604" w14:textId="62DEDCDD" w:rsidR="00241C3C" w:rsidRPr="004410BC" w:rsidRDefault="009F443E" w:rsidP="00236C76">
          <w:pPr>
            <w:pStyle w:val="TOC1"/>
            <w:tabs>
              <w:tab w:val="right" w:leader="dot" w:pos="9016"/>
            </w:tabs>
            <w:spacing w:line="360" w:lineRule="auto"/>
            <w:rPr>
              <w:rFonts w:ascii="Arial" w:eastAsiaTheme="minorEastAsia" w:hAnsi="Arial" w:cs="Arial"/>
              <w:noProof/>
              <w:color w:val="auto"/>
              <w:szCs w:val="24"/>
              <w:lang w:val="en-US" w:eastAsia="en-US"/>
            </w:rPr>
          </w:pPr>
          <w:hyperlink w:anchor="_Toc240724924" w:history="1">
            <w:r w:rsidR="00241C3C" w:rsidRPr="004410BC">
              <w:rPr>
                <w:rStyle w:val="Hyperlink"/>
                <w:rFonts w:ascii="Arial" w:hAnsi="Arial" w:cs="Arial"/>
                <w:noProof/>
              </w:rPr>
              <w:t>Appendix 5: Characteristics Select Article</w:t>
            </w:r>
            <w:r w:rsidR="00241C3C" w:rsidRPr="004410BC">
              <w:rPr>
                <w:rFonts w:ascii="Arial" w:hAnsi="Arial" w:cs="Arial"/>
                <w:noProof/>
                <w:webHidden/>
              </w:rPr>
              <w:tab/>
            </w:r>
            <w:r w:rsidR="00241C3C" w:rsidRPr="004410BC">
              <w:rPr>
                <w:rFonts w:ascii="Arial" w:hAnsi="Arial" w:cs="Arial"/>
                <w:noProof/>
                <w:webHidden/>
              </w:rPr>
              <w:fldChar w:fldCharType="begin"/>
            </w:r>
            <w:r w:rsidR="00241C3C" w:rsidRPr="004410BC">
              <w:rPr>
                <w:rFonts w:ascii="Arial" w:hAnsi="Arial" w:cs="Arial"/>
                <w:noProof/>
                <w:webHidden/>
              </w:rPr>
              <w:instrText xml:space="preserve"> PAGEREF _Toc240724924 \h </w:instrText>
            </w:r>
            <w:r w:rsidR="00241C3C" w:rsidRPr="004410BC">
              <w:rPr>
                <w:rFonts w:ascii="Arial" w:hAnsi="Arial" w:cs="Arial"/>
                <w:noProof/>
                <w:webHidden/>
              </w:rPr>
            </w:r>
            <w:r w:rsidR="00241C3C" w:rsidRPr="004410BC">
              <w:rPr>
                <w:rFonts w:ascii="Arial" w:hAnsi="Arial" w:cs="Arial"/>
                <w:noProof/>
                <w:webHidden/>
              </w:rPr>
              <w:fldChar w:fldCharType="separate"/>
            </w:r>
            <w:r w:rsidR="00241C3C" w:rsidRPr="004410BC">
              <w:rPr>
                <w:rFonts w:ascii="Arial" w:hAnsi="Arial" w:cs="Arial"/>
                <w:noProof/>
                <w:webHidden/>
              </w:rPr>
              <w:t>120</w:t>
            </w:r>
            <w:r w:rsidR="00241C3C" w:rsidRPr="004410BC">
              <w:rPr>
                <w:rFonts w:ascii="Arial" w:hAnsi="Arial" w:cs="Arial"/>
                <w:noProof/>
                <w:webHidden/>
              </w:rPr>
              <w:fldChar w:fldCharType="end"/>
            </w:r>
          </w:hyperlink>
        </w:p>
        <w:p w14:paraId="3A758F90" w14:textId="1ACBF9B5" w:rsidR="00241C3C" w:rsidRPr="004410BC" w:rsidRDefault="00241C3C" w:rsidP="00236C76">
          <w:pPr>
            <w:rPr>
              <w:rFonts w:cs="Arial"/>
            </w:rPr>
          </w:pPr>
          <w:r w:rsidRPr="004410BC">
            <w:rPr>
              <w:rFonts w:cs="Arial"/>
              <w:b/>
              <w:bCs/>
              <w:noProof/>
            </w:rPr>
            <w:fldChar w:fldCharType="end"/>
          </w:r>
        </w:p>
      </w:sdtContent>
    </w:sdt>
    <w:p w14:paraId="617F822A" w14:textId="77777777" w:rsidR="000555DE" w:rsidRPr="004410BC" w:rsidRDefault="000555DE" w:rsidP="00236C76">
      <w:pPr>
        <w:rPr>
          <w:rFonts w:eastAsia="Times New Roman" w:cs="Arial"/>
          <w:b/>
          <w:color w:val="000000"/>
        </w:rPr>
      </w:pPr>
      <w:r w:rsidRPr="004410BC">
        <w:rPr>
          <w:rFonts w:cs="Arial"/>
        </w:rPr>
        <w:br w:type="page"/>
      </w:r>
    </w:p>
    <w:p w14:paraId="7CF5D8CD" w14:textId="22E191F6" w:rsidR="009F64C5" w:rsidRPr="004410BC" w:rsidRDefault="009F64C5" w:rsidP="00236C76">
      <w:pPr>
        <w:pStyle w:val="Heading1"/>
        <w:spacing w:after="158"/>
        <w:ind w:left="0" w:right="0" w:firstLine="0"/>
        <w:rPr>
          <w:rFonts w:cs="Arial"/>
        </w:rPr>
      </w:pPr>
      <w:bookmarkStart w:id="5" w:name="_Toc238290189"/>
      <w:bookmarkStart w:id="6" w:name="_Toc240724832"/>
      <w:r w:rsidRPr="004410BC">
        <w:rPr>
          <w:rFonts w:cs="Arial"/>
        </w:rPr>
        <w:t>List of figures</w:t>
      </w:r>
      <w:bookmarkEnd w:id="4"/>
      <w:bookmarkEnd w:id="5"/>
      <w:bookmarkEnd w:id="6"/>
    </w:p>
    <w:p w14:paraId="7E8B3159" w14:textId="77777777" w:rsidR="009F64C5" w:rsidRPr="004410BC" w:rsidRDefault="009F64C5" w:rsidP="00236C76">
      <w:pPr>
        <w:spacing w:after="179"/>
        <w:ind w:left="59"/>
        <w:jc w:val="center"/>
        <w:rPr>
          <w:rFonts w:cs="Arial"/>
        </w:rPr>
      </w:pPr>
      <w:r w:rsidRPr="004410BC">
        <w:rPr>
          <w:rFonts w:eastAsia="Times New Roman" w:cs="Arial"/>
          <w:b/>
        </w:rPr>
        <w:t xml:space="preserve"> </w:t>
      </w:r>
    </w:p>
    <w:p w14:paraId="490DF45B" w14:textId="2B651F4B" w:rsidR="001B6C5C" w:rsidRDefault="001B6C5C" w:rsidP="00236C76">
      <w:pPr>
        <w:pStyle w:val="TableofFigures"/>
        <w:tabs>
          <w:tab w:val="right" w:leader="dot" w:pos="9016"/>
        </w:tabs>
        <w:rPr>
          <w:rFonts w:asciiTheme="minorHAnsi" w:hAnsiTheme="minorHAnsi"/>
          <w:noProof/>
          <w:szCs w:val="24"/>
          <w:lang w:val="en-US" w:eastAsia="en-US"/>
        </w:rPr>
      </w:pPr>
      <w:r>
        <w:rPr>
          <w:rFonts w:cs="Arial"/>
        </w:rPr>
        <w:fldChar w:fldCharType="begin"/>
      </w:r>
      <w:r>
        <w:rPr>
          <w:rFonts w:cs="Arial"/>
        </w:rPr>
        <w:instrText xml:space="preserve"> TOC \h \z \c "Figure" </w:instrText>
      </w:r>
      <w:r>
        <w:rPr>
          <w:rFonts w:cs="Arial"/>
        </w:rPr>
        <w:fldChar w:fldCharType="separate"/>
      </w:r>
      <w:hyperlink w:anchor="_Toc240724925" w:history="1">
        <w:r w:rsidRPr="00E64294">
          <w:rPr>
            <w:rStyle w:val="Hyperlink"/>
            <w:rFonts w:cs="Arial"/>
            <w:b/>
            <w:bCs/>
            <w:noProof/>
          </w:rPr>
          <w:t>Figure 1</w:t>
        </w:r>
        <w:r w:rsidRPr="00E64294">
          <w:rPr>
            <w:rStyle w:val="Hyperlink"/>
            <w:rFonts w:cs="Arial"/>
            <w:noProof/>
          </w:rPr>
          <w:t>: Admission rates by ethnic group category</w:t>
        </w:r>
        <w:r>
          <w:rPr>
            <w:noProof/>
            <w:webHidden/>
          </w:rPr>
          <w:tab/>
        </w:r>
        <w:r>
          <w:rPr>
            <w:noProof/>
            <w:webHidden/>
          </w:rPr>
          <w:fldChar w:fldCharType="begin"/>
        </w:r>
        <w:r>
          <w:rPr>
            <w:noProof/>
            <w:webHidden/>
          </w:rPr>
          <w:instrText xml:space="preserve"> PAGEREF _Toc240724925 \h </w:instrText>
        </w:r>
        <w:r>
          <w:rPr>
            <w:noProof/>
            <w:webHidden/>
          </w:rPr>
        </w:r>
        <w:r>
          <w:rPr>
            <w:noProof/>
            <w:webHidden/>
          </w:rPr>
          <w:fldChar w:fldCharType="separate"/>
        </w:r>
        <w:r>
          <w:rPr>
            <w:noProof/>
            <w:webHidden/>
          </w:rPr>
          <w:t>13</w:t>
        </w:r>
        <w:r>
          <w:rPr>
            <w:noProof/>
            <w:webHidden/>
          </w:rPr>
          <w:fldChar w:fldCharType="end"/>
        </w:r>
      </w:hyperlink>
    </w:p>
    <w:p w14:paraId="37641C41" w14:textId="5CAEC746" w:rsidR="001B6C5C" w:rsidRDefault="009F443E" w:rsidP="00236C76">
      <w:pPr>
        <w:pStyle w:val="TableofFigures"/>
        <w:tabs>
          <w:tab w:val="right" w:leader="dot" w:pos="9016"/>
        </w:tabs>
        <w:rPr>
          <w:rFonts w:asciiTheme="minorHAnsi" w:hAnsiTheme="minorHAnsi"/>
          <w:noProof/>
          <w:szCs w:val="24"/>
          <w:lang w:val="en-US" w:eastAsia="en-US"/>
        </w:rPr>
      </w:pPr>
      <w:hyperlink w:anchor="_Toc240724926" w:history="1">
        <w:r w:rsidR="001B6C5C" w:rsidRPr="00E64294">
          <w:rPr>
            <w:rStyle w:val="Hyperlink"/>
            <w:b/>
            <w:bCs/>
            <w:noProof/>
          </w:rPr>
          <w:t xml:space="preserve">Figure 2: </w:t>
        </w:r>
        <w:r w:rsidR="001B6C5C" w:rsidRPr="00E64294">
          <w:rPr>
            <w:rStyle w:val="Hyperlink"/>
            <w:noProof/>
          </w:rPr>
          <w:t>PRISMA diagram</w:t>
        </w:r>
        <w:r w:rsidR="001B6C5C">
          <w:rPr>
            <w:noProof/>
            <w:webHidden/>
          </w:rPr>
          <w:tab/>
        </w:r>
        <w:r w:rsidR="001B6C5C">
          <w:rPr>
            <w:noProof/>
            <w:webHidden/>
          </w:rPr>
          <w:fldChar w:fldCharType="begin"/>
        </w:r>
        <w:r w:rsidR="001B6C5C">
          <w:rPr>
            <w:noProof/>
            <w:webHidden/>
          </w:rPr>
          <w:instrText xml:space="preserve"> PAGEREF _Toc240724926 \h </w:instrText>
        </w:r>
        <w:r w:rsidR="001B6C5C">
          <w:rPr>
            <w:noProof/>
            <w:webHidden/>
          </w:rPr>
        </w:r>
        <w:r w:rsidR="001B6C5C">
          <w:rPr>
            <w:noProof/>
            <w:webHidden/>
          </w:rPr>
          <w:fldChar w:fldCharType="separate"/>
        </w:r>
        <w:r w:rsidR="001B6C5C">
          <w:rPr>
            <w:noProof/>
            <w:webHidden/>
          </w:rPr>
          <w:t>41</w:t>
        </w:r>
        <w:r w:rsidR="001B6C5C">
          <w:rPr>
            <w:noProof/>
            <w:webHidden/>
          </w:rPr>
          <w:fldChar w:fldCharType="end"/>
        </w:r>
      </w:hyperlink>
    </w:p>
    <w:p w14:paraId="4D71BB86" w14:textId="169CB13F" w:rsidR="009F64C5" w:rsidRPr="004410BC" w:rsidRDefault="001B6C5C" w:rsidP="00236C76">
      <w:pPr>
        <w:spacing w:after="158"/>
        <w:rPr>
          <w:rFonts w:cs="Arial"/>
        </w:rPr>
      </w:pPr>
      <w:r>
        <w:rPr>
          <w:rFonts w:cs="Arial"/>
        </w:rPr>
        <w:fldChar w:fldCharType="end"/>
      </w:r>
      <w:r w:rsidR="009F64C5" w:rsidRPr="004410BC">
        <w:rPr>
          <w:rFonts w:cs="Arial"/>
        </w:rPr>
        <w:t xml:space="preserve"> </w:t>
      </w:r>
    </w:p>
    <w:p w14:paraId="1F33F1E7" w14:textId="77777777" w:rsidR="009F64C5" w:rsidRPr="004410BC" w:rsidRDefault="009F64C5" w:rsidP="00236C76">
      <w:pPr>
        <w:spacing w:after="156"/>
        <w:ind w:left="59"/>
        <w:jc w:val="center"/>
        <w:rPr>
          <w:rFonts w:cs="Arial"/>
        </w:rPr>
      </w:pPr>
      <w:r w:rsidRPr="004410BC">
        <w:rPr>
          <w:rFonts w:eastAsia="Times New Roman" w:cs="Arial"/>
          <w:b/>
        </w:rPr>
        <w:t xml:space="preserve"> </w:t>
      </w:r>
    </w:p>
    <w:p w14:paraId="1028A266" w14:textId="77777777" w:rsidR="000555DE" w:rsidRPr="004410BC" w:rsidRDefault="000555DE" w:rsidP="00236C76">
      <w:pPr>
        <w:rPr>
          <w:rFonts w:eastAsia="Times New Roman" w:cs="Arial"/>
          <w:b/>
          <w:color w:val="000000"/>
        </w:rPr>
      </w:pPr>
      <w:bookmarkStart w:id="7" w:name="_Toc12213"/>
      <w:r w:rsidRPr="004410BC">
        <w:rPr>
          <w:rFonts w:cs="Arial"/>
        </w:rPr>
        <w:br w:type="page"/>
      </w:r>
    </w:p>
    <w:p w14:paraId="26D3E5D0" w14:textId="4977B35C" w:rsidR="009F64C5" w:rsidRPr="004410BC" w:rsidRDefault="009F64C5" w:rsidP="00236C76">
      <w:pPr>
        <w:pStyle w:val="Heading1"/>
        <w:ind w:left="12" w:right="4"/>
        <w:rPr>
          <w:rFonts w:cs="Arial"/>
        </w:rPr>
      </w:pPr>
      <w:bookmarkStart w:id="8" w:name="_Toc238290190"/>
      <w:bookmarkStart w:id="9" w:name="_Toc240724833"/>
      <w:r w:rsidRPr="004410BC">
        <w:rPr>
          <w:rFonts w:cs="Arial"/>
        </w:rPr>
        <w:t>List of tables</w:t>
      </w:r>
      <w:bookmarkEnd w:id="8"/>
      <w:bookmarkEnd w:id="9"/>
      <w:r w:rsidRPr="004410BC">
        <w:rPr>
          <w:rFonts w:cs="Arial"/>
        </w:rPr>
        <w:t xml:space="preserve"> </w:t>
      </w:r>
      <w:bookmarkEnd w:id="7"/>
    </w:p>
    <w:p w14:paraId="2A242D90" w14:textId="77777777" w:rsidR="009F64C5" w:rsidRPr="004410BC" w:rsidRDefault="009F64C5" w:rsidP="00236C76">
      <w:pPr>
        <w:spacing w:after="172"/>
        <w:rPr>
          <w:rFonts w:cs="Arial"/>
        </w:rPr>
      </w:pPr>
      <w:r w:rsidRPr="004410BC">
        <w:rPr>
          <w:rFonts w:eastAsia="Calibri" w:cs="Arial"/>
        </w:rPr>
        <w:t xml:space="preserve"> </w:t>
      </w:r>
    </w:p>
    <w:bookmarkStart w:id="10" w:name="_Toc12214"/>
    <w:p w14:paraId="7D807612" w14:textId="190CB89F" w:rsidR="001B6C5C" w:rsidRDefault="001B6C5C" w:rsidP="00236C76">
      <w:pPr>
        <w:pStyle w:val="TableofFigures"/>
        <w:tabs>
          <w:tab w:val="right" w:leader="dot" w:pos="9016"/>
        </w:tabs>
        <w:rPr>
          <w:rFonts w:asciiTheme="minorHAnsi" w:hAnsiTheme="minorHAnsi"/>
          <w:noProof/>
          <w:szCs w:val="24"/>
          <w:lang w:val="en-US" w:eastAsia="en-US"/>
        </w:rPr>
      </w:pPr>
      <w:r>
        <w:rPr>
          <w:rFonts w:cs="Arial"/>
        </w:rPr>
        <w:fldChar w:fldCharType="begin"/>
      </w:r>
      <w:r>
        <w:rPr>
          <w:rFonts w:cs="Arial"/>
        </w:rPr>
        <w:instrText xml:space="preserve"> TOC \h \z \c "Table" </w:instrText>
      </w:r>
      <w:r>
        <w:rPr>
          <w:rFonts w:cs="Arial"/>
        </w:rPr>
        <w:fldChar w:fldCharType="separate"/>
      </w:r>
      <w:hyperlink w:anchor="_Toc240724927" w:history="1">
        <w:r w:rsidRPr="007D5FF7">
          <w:rPr>
            <w:rStyle w:val="Hyperlink"/>
            <w:rFonts w:cs="Arial"/>
            <w:b/>
            <w:bCs/>
            <w:noProof/>
          </w:rPr>
          <w:t>Table 1: PICO Framework</w:t>
        </w:r>
        <w:r>
          <w:rPr>
            <w:noProof/>
            <w:webHidden/>
          </w:rPr>
          <w:tab/>
        </w:r>
        <w:r>
          <w:rPr>
            <w:noProof/>
            <w:webHidden/>
          </w:rPr>
          <w:fldChar w:fldCharType="begin"/>
        </w:r>
        <w:r>
          <w:rPr>
            <w:noProof/>
            <w:webHidden/>
          </w:rPr>
          <w:instrText xml:space="preserve"> PAGEREF _Toc240724927 \h </w:instrText>
        </w:r>
        <w:r>
          <w:rPr>
            <w:noProof/>
            <w:webHidden/>
          </w:rPr>
        </w:r>
        <w:r>
          <w:rPr>
            <w:noProof/>
            <w:webHidden/>
          </w:rPr>
          <w:fldChar w:fldCharType="separate"/>
        </w:r>
        <w:r>
          <w:rPr>
            <w:noProof/>
            <w:webHidden/>
          </w:rPr>
          <w:t>31</w:t>
        </w:r>
        <w:r>
          <w:rPr>
            <w:noProof/>
            <w:webHidden/>
          </w:rPr>
          <w:fldChar w:fldCharType="end"/>
        </w:r>
      </w:hyperlink>
    </w:p>
    <w:p w14:paraId="443E7F35" w14:textId="3D24D735" w:rsidR="001B6C5C" w:rsidRDefault="009F443E" w:rsidP="00236C76">
      <w:pPr>
        <w:pStyle w:val="TableofFigures"/>
        <w:tabs>
          <w:tab w:val="right" w:leader="dot" w:pos="9016"/>
        </w:tabs>
        <w:rPr>
          <w:rFonts w:asciiTheme="minorHAnsi" w:hAnsiTheme="minorHAnsi"/>
          <w:noProof/>
          <w:szCs w:val="24"/>
          <w:lang w:val="en-US" w:eastAsia="en-US"/>
        </w:rPr>
      </w:pPr>
      <w:hyperlink w:anchor="_Toc240724928" w:history="1">
        <w:r w:rsidR="001B6C5C" w:rsidRPr="007D5FF7">
          <w:rPr>
            <w:rStyle w:val="Hyperlink"/>
            <w:rFonts w:cs="Arial"/>
            <w:b/>
            <w:bCs/>
            <w:noProof/>
          </w:rPr>
          <w:t>Table 2: Databases Searched</w:t>
        </w:r>
        <w:r w:rsidR="001B6C5C">
          <w:rPr>
            <w:noProof/>
            <w:webHidden/>
          </w:rPr>
          <w:tab/>
        </w:r>
        <w:r w:rsidR="001B6C5C">
          <w:rPr>
            <w:noProof/>
            <w:webHidden/>
          </w:rPr>
          <w:fldChar w:fldCharType="begin"/>
        </w:r>
        <w:r w:rsidR="001B6C5C">
          <w:rPr>
            <w:noProof/>
            <w:webHidden/>
          </w:rPr>
          <w:instrText xml:space="preserve"> PAGEREF _Toc240724928 \h </w:instrText>
        </w:r>
        <w:r w:rsidR="001B6C5C">
          <w:rPr>
            <w:noProof/>
            <w:webHidden/>
          </w:rPr>
        </w:r>
        <w:r w:rsidR="001B6C5C">
          <w:rPr>
            <w:noProof/>
            <w:webHidden/>
          </w:rPr>
          <w:fldChar w:fldCharType="separate"/>
        </w:r>
        <w:r w:rsidR="001B6C5C">
          <w:rPr>
            <w:noProof/>
            <w:webHidden/>
          </w:rPr>
          <w:t>32</w:t>
        </w:r>
        <w:r w:rsidR="001B6C5C">
          <w:rPr>
            <w:noProof/>
            <w:webHidden/>
          </w:rPr>
          <w:fldChar w:fldCharType="end"/>
        </w:r>
      </w:hyperlink>
    </w:p>
    <w:p w14:paraId="2CA2F909" w14:textId="25BE3483" w:rsidR="001B6C5C" w:rsidRDefault="009F443E" w:rsidP="00236C76">
      <w:pPr>
        <w:pStyle w:val="TableofFigures"/>
        <w:tabs>
          <w:tab w:val="right" w:leader="dot" w:pos="9016"/>
        </w:tabs>
        <w:rPr>
          <w:rFonts w:asciiTheme="minorHAnsi" w:hAnsiTheme="minorHAnsi"/>
          <w:noProof/>
          <w:szCs w:val="24"/>
          <w:lang w:val="en-US" w:eastAsia="en-US"/>
        </w:rPr>
      </w:pPr>
      <w:hyperlink w:anchor="_Toc240724929" w:history="1">
        <w:r w:rsidR="001B6C5C" w:rsidRPr="007D5FF7">
          <w:rPr>
            <w:rStyle w:val="Hyperlink"/>
            <w:rFonts w:cs="Arial"/>
            <w:b/>
            <w:bCs/>
            <w:noProof/>
          </w:rPr>
          <w:t>Table 3: Search Keywords and Synonyms</w:t>
        </w:r>
        <w:r w:rsidR="001B6C5C">
          <w:rPr>
            <w:noProof/>
            <w:webHidden/>
          </w:rPr>
          <w:tab/>
        </w:r>
        <w:r w:rsidR="001B6C5C">
          <w:rPr>
            <w:noProof/>
            <w:webHidden/>
          </w:rPr>
          <w:fldChar w:fldCharType="begin"/>
        </w:r>
        <w:r w:rsidR="001B6C5C">
          <w:rPr>
            <w:noProof/>
            <w:webHidden/>
          </w:rPr>
          <w:instrText xml:space="preserve"> PAGEREF _Toc240724929 \h </w:instrText>
        </w:r>
        <w:r w:rsidR="001B6C5C">
          <w:rPr>
            <w:noProof/>
            <w:webHidden/>
          </w:rPr>
        </w:r>
        <w:r w:rsidR="001B6C5C">
          <w:rPr>
            <w:noProof/>
            <w:webHidden/>
          </w:rPr>
          <w:fldChar w:fldCharType="separate"/>
        </w:r>
        <w:r w:rsidR="001B6C5C">
          <w:rPr>
            <w:noProof/>
            <w:webHidden/>
          </w:rPr>
          <w:t>33</w:t>
        </w:r>
        <w:r w:rsidR="001B6C5C">
          <w:rPr>
            <w:noProof/>
            <w:webHidden/>
          </w:rPr>
          <w:fldChar w:fldCharType="end"/>
        </w:r>
      </w:hyperlink>
    </w:p>
    <w:p w14:paraId="03388D83" w14:textId="218DE027" w:rsidR="001B6C5C" w:rsidRDefault="009F443E" w:rsidP="00236C76">
      <w:pPr>
        <w:pStyle w:val="TableofFigures"/>
        <w:tabs>
          <w:tab w:val="right" w:leader="dot" w:pos="9016"/>
        </w:tabs>
        <w:rPr>
          <w:rFonts w:asciiTheme="minorHAnsi" w:hAnsiTheme="minorHAnsi"/>
          <w:noProof/>
          <w:szCs w:val="24"/>
          <w:lang w:val="en-US" w:eastAsia="en-US"/>
        </w:rPr>
      </w:pPr>
      <w:hyperlink w:anchor="_Toc240724930" w:history="1">
        <w:r w:rsidR="001B6C5C" w:rsidRPr="007D5FF7">
          <w:rPr>
            <w:rStyle w:val="Hyperlink"/>
            <w:rFonts w:cs="Arial"/>
            <w:b/>
            <w:bCs/>
            <w:noProof/>
          </w:rPr>
          <w:t>Table 4: Inclusion and Exclusion Criteria</w:t>
        </w:r>
        <w:r w:rsidR="001B6C5C">
          <w:rPr>
            <w:noProof/>
            <w:webHidden/>
          </w:rPr>
          <w:tab/>
        </w:r>
        <w:r w:rsidR="001B6C5C">
          <w:rPr>
            <w:noProof/>
            <w:webHidden/>
          </w:rPr>
          <w:fldChar w:fldCharType="begin"/>
        </w:r>
        <w:r w:rsidR="001B6C5C">
          <w:rPr>
            <w:noProof/>
            <w:webHidden/>
          </w:rPr>
          <w:instrText xml:space="preserve"> PAGEREF _Toc240724930 \h </w:instrText>
        </w:r>
        <w:r w:rsidR="001B6C5C">
          <w:rPr>
            <w:noProof/>
            <w:webHidden/>
          </w:rPr>
        </w:r>
        <w:r w:rsidR="001B6C5C">
          <w:rPr>
            <w:noProof/>
            <w:webHidden/>
          </w:rPr>
          <w:fldChar w:fldCharType="separate"/>
        </w:r>
        <w:r w:rsidR="001B6C5C">
          <w:rPr>
            <w:noProof/>
            <w:webHidden/>
          </w:rPr>
          <w:t>35</w:t>
        </w:r>
        <w:r w:rsidR="001B6C5C">
          <w:rPr>
            <w:noProof/>
            <w:webHidden/>
          </w:rPr>
          <w:fldChar w:fldCharType="end"/>
        </w:r>
      </w:hyperlink>
    </w:p>
    <w:p w14:paraId="2B9999C2" w14:textId="6D56706A" w:rsidR="001B6C5C" w:rsidRDefault="009F443E" w:rsidP="00236C76">
      <w:pPr>
        <w:pStyle w:val="TableofFigures"/>
        <w:tabs>
          <w:tab w:val="right" w:leader="dot" w:pos="9016"/>
        </w:tabs>
        <w:rPr>
          <w:rFonts w:asciiTheme="minorHAnsi" w:hAnsiTheme="minorHAnsi"/>
          <w:noProof/>
          <w:szCs w:val="24"/>
          <w:lang w:val="en-US" w:eastAsia="en-US"/>
        </w:rPr>
      </w:pPr>
      <w:hyperlink w:anchor="_Toc240724931" w:history="1">
        <w:r w:rsidR="001B6C5C" w:rsidRPr="007D5FF7">
          <w:rPr>
            <w:rStyle w:val="Hyperlink"/>
            <w:b/>
            <w:bCs/>
            <w:noProof/>
          </w:rPr>
          <w:t>Table 5: Characteristics and evidence synthesis of the 14 included studies</w:t>
        </w:r>
        <w:r w:rsidR="001B6C5C">
          <w:rPr>
            <w:noProof/>
            <w:webHidden/>
          </w:rPr>
          <w:tab/>
        </w:r>
        <w:r w:rsidR="001B6C5C">
          <w:rPr>
            <w:noProof/>
            <w:webHidden/>
          </w:rPr>
          <w:fldChar w:fldCharType="begin"/>
        </w:r>
        <w:r w:rsidR="001B6C5C">
          <w:rPr>
            <w:noProof/>
            <w:webHidden/>
          </w:rPr>
          <w:instrText xml:space="preserve"> PAGEREF _Toc240724931 \h </w:instrText>
        </w:r>
        <w:r w:rsidR="001B6C5C">
          <w:rPr>
            <w:noProof/>
            <w:webHidden/>
          </w:rPr>
        </w:r>
        <w:r w:rsidR="001B6C5C">
          <w:rPr>
            <w:noProof/>
            <w:webHidden/>
          </w:rPr>
          <w:fldChar w:fldCharType="separate"/>
        </w:r>
        <w:r w:rsidR="001B6C5C">
          <w:rPr>
            <w:noProof/>
            <w:webHidden/>
          </w:rPr>
          <w:t>43</w:t>
        </w:r>
        <w:r w:rsidR="001B6C5C">
          <w:rPr>
            <w:noProof/>
            <w:webHidden/>
          </w:rPr>
          <w:fldChar w:fldCharType="end"/>
        </w:r>
      </w:hyperlink>
    </w:p>
    <w:p w14:paraId="279143F6" w14:textId="3EAC5FAD" w:rsidR="000555DE" w:rsidRPr="004410BC" w:rsidRDefault="001B6C5C" w:rsidP="00236C76">
      <w:pPr>
        <w:rPr>
          <w:rFonts w:eastAsia="Times New Roman" w:cs="Arial"/>
          <w:b/>
          <w:color w:val="000000"/>
        </w:rPr>
      </w:pPr>
      <w:r>
        <w:rPr>
          <w:rFonts w:cs="Arial"/>
        </w:rPr>
        <w:fldChar w:fldCharType="end"/>
      </w:r>
      <w:r w:rsidR="000555DE" w:rsidRPr="004410BC">
        <w:rPr>
          <w:rFonts w:cs="Arial"/>
        </w:rPr>
        <w:br w:type="page"/>
      </w:r>
    </w:p>
    <w:p w14:paraId="3ABADF24" w14:textId="4B15EAE8" w:rsidR="009F64C5" w:rsidRPr="004410BC" w:rsidRDefault="009F64C5" w:rsidP="00236C76">
      <w:pPr>
        <w:pStyle w:val="Heading1"/>
        <w:spacing w:after="169"/>
        <w:ind w:right="0"/>
        <w:rPr>
          <w:rFonts w:cs="Arial"/>
        </w:rPr>
      </w:pPr>
      <w:bookmarkStart w:id="11" w:name="_Toc238290191"/>
      <w:bookmarkStart w:id="12" w:name="_Toc240724834"/>
      <w:r w:rsidRPr="004410BC">
        <w:rPr>
          <w:rFonts w:cs="Arial"/>
        </w:rPr>
        <w:t>List of abbreviations</w:t>
      </w:r>
      <w:bookmarkEnd w:id="10"/>
      <w:bookmarkEnd w:id="11"/>
      <w:bookmarkEnd w:id="12"/>
    </w:p>
    <w:tbl>
      <w:tblPr>
        <w:tblStyle w:val="TableGrid"/>
        <w:tblW w:w="0" w:type="auto"/>
        <w:tblLook w:val="04A0" w:firstRow="1" w:lastRow="0" w:firstColumn="1" w:lastColumn="0" w:noHBand="0" w:noVBand="1"/>
      </w:tblPr>
      <w:tblGrid>
        <w:gridCol w:w="1683"/>
        <w:gridCol w:w="7333"/>
      </w:tblGrid>
      <w:tr w:rsidR="00232B7B" w:rsidRPr="004410BC" w14:paraId="53F60253" w14:textId="77777777" w:rsidTr="00232B7B">
        <w:tc>
          <w:tcPr>
            <w:tcW w:w="0" w:type="auto"/>
            <w:hideMark/>
          </w:tcPr>
          <w:p w14:paraId="08A6FC3F" w14:textId="77777777" w:rsidR="00232B7B" w:rsidRPr="004410BC" w:rsidRDefault="00232B7B" w:rsidP="00236C76">
            <w:pPr>
              <w:jc w:val="left"/>
              <w:rPr>
                <w:b/>
                <w:bCs/>
              </w:rPr>
            </w:pPr>
            <w:r w:rsidRPr="004410BC">
              <w:rPr>
                <w:b/>
                <w:bCs/>
              </w:rPr>
              <w:t>Abbreviation</w:t>
            </w:r>
          </w:p>
        </w:tc>
        <w:tc>
          <w:tcPr>
            <w:tcW w:w="0" w:type="auto"/>
            <w:hideMark/>
          </w:tcPr>
          <w:p w14:paraId="0927B922" w14:textId="77777777" w:rsidR="00232B7B" w:rsidRPr="004410BC" w:rsidRDefault="00232B7B" w:rsidP="00236C76">
            <w:pPr>
              <w:jc w:val="left"/>
              <w:rPr>
                <w:b/>
                <w:bCs/>
              </w:rPr>
            </w:pPr>
            <w:r w:rsidRPr="004410BC">
              <w:rPr>
                <w:b/>
                <w:bCs/>
              </w:rPr>
              <w:t>Full Form</w:t>
            </w:r>
          </w:p>
        </w:tc>
      </w:tr>
      <w:tr w:rsidR="00232B7B" w:rsidRPr="004410BC" w14:paraId="0B5323CD" w14:textId="77777777" w:rsidTr="00232B7B">
        <w:tc>
          <w:tcPr>
            <w:tcW w:w="0" w:type="auto"/>
            <w:hideMark/>
          </w:tcPr>
          <w:p w14:paraId="1FC4141A" w14:textId="77777777" w:rsidR="00232B7B" w:rsidRPr="004410BC" w:rsidRDefault="00232B7B" w:rsidP="00236C76">
            <w:r w:rsidRPr="004410BC">
              <w:rPr>
                <w:b/>
                <w:bCs/>
              </w:rPr>
              <w:t>BAME</w:t>
            </w:r>
          </w:p>
        </w:tc>
        <w:tc>
          <w:tcPr>
            <w:tcW w:w="0" w:type="auto"/>
            <w:hideMark/>
          </w:tcPr>
          <w:p w14:paraId="4043FD24" w14:textId="77777777" w:rsidR="00232B7B" w:rsidRPr="004410BC" w:rsidRDefault="00232B7B" w:rsidP="00236C76">
            <w:r w:rsidRPr="004410BC">
              <w:t>Black, Asian and Minority Ethnic</w:t>
            </w:r>
          </w:p>
        </w:tc>
      </w:tr>
      <w:tr w:rsidR="00232B7B" w:rsidRPr="004410BC" w14:paraId="3B48600A" w14:textId="77777777" w:rsidTr="00232B7B">
        <w:tc>
          <w:tcPr>
            <w:tcW w:w="0" w:type="auto"/>
            <w:hideMark/>
          </w:tcPr>
          <w:p w14:paraId="0F911B29" w14:textId="77777777" w:rsidR="00232B7B" w:rsidRPr="004410BC" w:rsidRDefault="00232B7B" w:rsidP="00236C76">
            <w:r w:rsidRPr="004410BC">
              <w:rPr>
                <w:b/>
                <w:bCs/>
              </w:rPr>
              <w:t>CASP</w:t>
            </w:r>
          </w:p>
        </w:tc>
        <w:tc>
          <w:tcPr>
            <w:tcW w:w="0" w:type="auto"/>
            <w:hideMark/>
          </w:tcPr>
          <w:p w14:paraId="4CCBA366" w14:textId="77777777" w:rsidR="00232B7B" w:rsidRPr="004410BC" w:rsidRDefault="00232B7B" w:rsidP="00236C76">
            <w:r w:rsidRPr="004410BC">
              <w:t>Critical Appraisal Skills Programme</w:t>
            </w:r>
          </w:p>
        </w:tc>
      </w:tr>
      <w:tr w:rsidR="00232B7B" w:rsidRPr="004410BC" w14:paraId="670295B3" w14:textId="77777777" w:rsidTr="00232B7B">
        <w:tc>
          <w:tcPr>
            <w:tcW w:w="0" w:type="auto"/>
            <w:hideMark/>
          </w:tcPr>
          <w:p w14:paraId="62992D42" w14:textId="77777777" w:rsidR="00232B7B" w:rsidRPr="004410BC" w:rsidRDefault="00232B7B" w:rsidP="00236C76">
            <w:r w:rsidRPr="004410BC">
              <w:rPr>
                <w:b/>
                <w:bCs/>
              </w:rPr>
              <w:t>CINAHL</w:t>
            </w:r>
          </w:p>
        </w:tc>
        <w:tc>
          <w:tcPr>
            <w:tcW w:w="0" w:type="auto"/>
            <w:hideMark/>
          </w:tcPr>
          <w:p w14:paraId="296A1DB6" w14:textId="77777777" w:rsidR="00232B7B" w:rsidRPr="004410BC" w:rsidRDefault="00232B7B" w:rsidP="00236C76">
            <w:r w:rsidRPr="004410BC">
              <w:t>Cumulative Index to Nursing and Allied Health Literature</w:t>
            </w:r>
          </w:p>
        </w:tc>
      </w:tr>
      <w:tr w:rsidR="00232B7B" w:rsidRPr="004410BC" w14:paraId="5B8C6C46" w14:textId="77777777" w:rsidTr="00232B7B">
        <w:tc>
          <w:tcPr>
            <w:tcW w:w="0" w:type="auto"/>
            <w:hideMark/>
          </w:tcPr>
          <w:p w14:paraId="6935D1E9" w14:textId="77777777" w:rsidR="00232B7B" w:rsidRPr="004410BC" w:rsidRDefault="00232B7B" w:rsidP="00236C76">
            <w:r w:rsidRPr="004410BC">
              <w:rPr>
                <w:b/>
                <w:bCs/>
              </w:rPr>
              <w:t>CVD</w:t>
            </w:r>
          </w:p>
        </w:tc>
        <w:tc>
          <w:tcPr>
            <w:tcW w:w="0" w:type="auto"/>
            <w:hideMark/>
          </w:tcPr>
          <w:p w14:paraId="50C2C856" w14:textId="77777777" w:rsidR="00232B7B" w:rsidRPr="004410BC" w:rsidRDefault="00232B7B" w:rsidP="00236C76">
            <w:r w:rsidRPr="004410BC">
              <w:t>Cardiovascular Disease</w:t>
            </w:r>
          </w:p>
        </w:tc>
      </w:tr>
      <w:tr w:rsidR="00232B7B" w:rsidRPr="004410BC" w14:paraId="57D0B07A" w14:textId="77777777" w:rsidTr="00232B7B">
        <w:tc>
          <w:tcPr>
            <w:tcW w:w="0" w:type="auto"/>
            <w:hideMark/>
          </w:tcPr>
          <w:p w14:paraId="35229BE3" w14:textId="77777777" w:rsidR="00232B7B" w:rsidRPr="004410BC" w:rsidRDefault="00232B7B" w:rsidP="00236C76">
            <w:r w:rsidRPr="004410BC">
              <w:rPr>
                <w:b/>
                <w:bCs/>
              </w:rPr>
              <w:t>EMBASE</w:t>
            </w:r>
          </w:p>
        </w:tc>
        <w:tc>
          <w:tcPr>
            <w:tcW w:w="0" w:type="auto"/>
            <w:hideMark/>
          </w:tcPr>
          <w:p w14:paraId="0BC320DF" w14:textId="77777777" w:rsidR="00232B7B" w:rsidRPr="004410BC" w:rsidRDefault="00232B7B" w:rsidP="00236C76">
            <w:r w:rsidRPr="004410BC">
              <w:t>Excerpta Medica Database</w:t>
            </w:r>
          </w:p>
        </w:tc>
      </w:tr>
      <w:tr w:rsidR="00232B7B" w:rsidRPr="004410BC" w14:paraId="165B0647" w14:textId="77777777" w:rsidTr="00232B7B">
        <w:tc>
          <w:tcPr>
            <w:tcW w:w="0" w:type="auto"/>
            <w:hideMark/>
          </w:tcPr>
          <w:p w14:paraId="7C0F0B43" w14:textId="77777777" w:rsidR="00232B7B" w:rsidRPr="004410BC" w:rsidRDefault="00232B7B" w:rsidP="00236C76">
            <w:r w:rsidRPr="004410BC">
              <w:rPr>
                <w:b/>
                <w:bCs/>
              </w:rPr>
              <w:t>GP</w:t>
            </w:r>
          </w:p>
        </w:tc>
        <w:tc>
          <w:tcPr>
            <w:tcW w:w="0" w:type="auto"/>
            <w:hideMark/>
          </w:tcPr>
          <w:p w14:paraId="68300C76" w14:textId="77777777" w:rsidR="00232B7B" w:rsidRPr="004410BC" w:rsidRDefault="00232B7B" w:rsidP="00236C76">
            <w:r w:rsidRPr="004410BC">
              <w:t>General Practitioner</w:t>
            </w:r>
          </w:p>
        </w:tc>
      </w:tr>
      <w:tr w:rsidR="00232B7B" w:rsidRPr="004410BC" w14:paraId="0B5C75FA" w14:textId="77777777" w:rsidTr="00232B7B">
        <w:tc>
          <w:tcPr>
            <w:tcW w:w="0" w:type="auto"/>
            <w:hideMark/>
          </w:tcPr>
          <w:p w14:paraId="3D0C8B7D" w14:textId="77777777" w:rsidR="00232B7B" w:rsidRPr="004410BC" w:rsidRDefault="00232B7B" w:rsidP="00236C76">
            <w:r w:rsidRPr="004410BC">
              <w:rPr>
                <w:b/>
                <w:bCs/>
              </w:rPr>
              <w:t>GPPS</w:t>
            </w:r>
          </w:p>
        </w:tc>
        <w:tc>
          <w:tcPr>
            <w:tcW w:w="0" w:type="auto"/>
            <w:hideMark/>
          </w:tcPr>
          <w:p w14:paraId="25500F02" w14:textId="77777777" w:rsidR="00232B7B" w:rsidRPr="004410BC" w:rsidRDefault="00232B7B" w:rsidP="00236C76">
            <w:r w:rsidRPr="004410BC">
              <w:t>General Practice Patient Survey</w:t>
            </w:r>
          </w:p>
        </w:tc>
      </w:tr>
      <w:tr w:rsidR="00232B7B" w:rsidRPr="004410BC" w14:paraId="26DFB345" w14:textId="77777777" w:rsidTr="00232B7B">
        <w:tc>
          <w:tcPr>
            <w:tcW w:w="0" w:type="auto"/>
            <w:hideMark/>
          </w:tcPr>
          <w:p w14:paraId="7526BEC6" w14:textId="77777777" w:rsidR="00232B7B" w:rsidRPr="004410BC" w:rsidRDefault="00232B7B" w:rsidP="00236C76">
            <w:r w:rsidRPr="004410BC">
              <w:rPr>
                <w:b/>
                <w:bCs/>
              </w:rPr>
              <w:t>HRT</w:t>
            </w:r>
          </w:p>
        </w:tc>
        <w:tc>
          <w:tcPr>
            <w:tcW w:w="0" w:type="auto"/>
            <w:hideMark/>
          </w:tcPr>
          <w:p w14:paraId="6A71B2A7" w14:textId="77777777" w:rsidR="00232B7B" w:rsidRPr="004410BC" w:rsidRDefault="00232B7B" w:rsidP="00236C76">
            <w:r w:rsidRPr="004410BC">
              <w:t>Hormone Replacement Therapy</w:t>
            </w:r>
          </w:p>
        </w:tc>
      </w:tr>
      <w:tr w:rsidR="00232B7B" w:rsidRPr="004410BC" w14:paraId="0010EE86" w14:textId="77777777" w:rsidTr="00232B7B">
        <w:tc>
          <w:tcPr>
            <w:tcW w:w="0" w:type="auto"/>
            <w:hideMark/>
          </w:tcPr>
          <w:p w14:paraId="6EED288B" w14:textId="77777777" w:rsidR="00232B7B" w:rsidRPr="004410BC" w:rsidRDefault="00232B7B" w:rsidP="00236C76">
            <w:r w:rsidRPr="004410BC">
              <w:rPr>
                <w:b/>
                <w:bCs/>
              </w:rPr>
              <w:t>MEDLINE</w:t>
            </w:r>
          </w:p>
        </w:tc>
        <w:tc>
          <w:tcPr>
            <w:tcW w:w="0" w:type="auto"/>
            <w:hideMark/>
          </w:tcPr>
          <w:p w14:paraId="1B394B78" w14:textId="77777777" w:rsidR="00232B7B" w:rsidRPr="004410BC" w:rsidRDefault="00232B7B" w:rsidP="00236C76">
            <w:r w:rsidRPr="004410BC">
              <w:t>Medical Literature Analysis and Retrieval System Online</w:t>
            </w:r>
          </w:p>
        </w:tc>
      </w:tr>
      <w:tr w:rsidR="00232B7B" w:rsidRPr="004410BC" w14:paraId="351FE0CE" w14:textId="77777777" w:rsidTr="00232B7B">
        <w:tc>
          <w:tcPr>
            <w:tcW w:w="0" w:type="auto"/>
            <w:hideMark/>
          </w:tcPr>
          <w:p w14:paraId="249B3970" w14:textId="77777777" w:rsidR="00232B7B" w:rsidRPr="004410BC" w:rsidRDefault="00232B7B" w:rsidP="00236C76">
            <w:r w:rsidRPr="004410BC">
              <w:rPr>
                <w:b/>
                <w:bCs/>
              </w:rPr>
              <w:t>NHS</w:t>
            </w:r>
          </w:p>
        </w:tc>
        <w:tc>
          <w:tcPr>
            <w:tcW w:w="0" w:type="auto"/>
            <w:hideMark/>
          </w:tcPr>
          <w:p w14:paraId="71F73E59" w14:textId="77777777" w:rsidR="00232B7B" w:rsidRPr="004410BC" w:rsidRDefault="00232B7B" w:rsidP="00236C76">
            <w:r w:rsidRPr="004410BC">
              <w:t>National Health Service</w:t>
            </w:r>
          </w:p>
        </w:tc>
      </w:tr>
      <w:tr w:rsidR="00232B7B" w:rsidRPr="004410BC" w14:paraId="31006DD6" w14:textId="77777777" w:rsidTr="00232B7B">
        <w:tc>
          <w:tcPr>
            <w:tcW w:w="0" w:type="auto"/>
            <w:hideMark/>
          </w:tcPr>
          <w:p w14:paraId="23001E12" w14:textId="77777777" w:rsidR="00232B7B" w:rsidRPr="004410BC" w:rsidRDefault="00232B7B" w:rsidP="00236C76">
            <w:r w:rsidRPr="004410BC">
              <w:rPr>
                <w:b/>
                <w:bCs/>
              </w:rPr>
              <w:t>ONS</w:t>
            </w:r>
          </w:p>
        </w:tc>
        <w:tc>
          <w:tcPr>
            <w:tcW w:w="0" w:type="auto"/>
            <w:hideMark/>
          </w:tcPr>
          <w:p w14:paraId="568E6D35" w14:textId="77777777" w:rsidR="00232B7B" w:rsidRPr="004410BC" w:rsidRDefault="00232B7B" w:rsidP="00236C76">
            <w:r w:rsidRPr="004410BC">
              <w:t>Office for National Statistics</w:t>
            </w:r>
          </w:p>
        </w:tc>
      </w:tr>
      <w:tr w:rsidR="00232B7B" w:rsidRPr="004410BC" w14:paraId="65EAAA80" w14:textId="77777777" w:rsidTr="00232B7B">
        <w:tc>
          <w:tcPr>
            <w:tcW w:w="0" w:type="auto"/>
            <w:hideMark/>
          </w:tcPr>
          <w:p w14:paraId="78826D93" w14:textId="77777777" w:rsidR="00232B7B" w:rsidRPr="004410BC" w:rsidRDefault="00232B7B" w:rsidP="00236C76">
            <w:r w:rsidRPr="004410BC">
              <w:rPr>
                <w:b/>
                <w:bCs/>
              </w:rPr>
              <w:t>PICO</w:t>
            </w:r>
          </w:p>
        </w:tc>
        <w:tc>
          <w:tcPr>
            <w:tcW w:w="0" w:type="auto"/>
            <w:hideMark/>
          </w:tcPr>
          <w:p w14:paraId="3EB2A181" w14:textId="77777777" w:rsidR="00232B7B" w:rsidRPr="004410BC" w:rsidRDefault="00232B7B" w:rsidP="00236C76">
            <w:r w:rsidRPr="004410BC">
              <w:t>Population, Intervention, Comparison and Outcome</w:t>
            </w:r>
          </w:p>
        </w:tc>
      </w:tr>
      <w:tr w:rsidR="00232B7B" w:rsidRPr="004410BC" w14:paraId="6A7E32F2" w14:textId="77777777" w:rsidTr="00232B7B">
        <w:tc>
          <w:tcPr>
            <w:tcW w:w="0" w:type="auto"/>
            <w:hideMark/>
          </w:tcPr>
          <w:p w14:paraId="769BEC21" w14:textId="77777777" w:rsidR="00232B7B" w:rsidRPr="004410BC" w:rsidRDefault="00232B7B" w:rsidP="00236C76">
            <w:r w:rsidRPr="004410BC">
              <w:rPr>
                <w:b/>
                <w:bCs/>
              </w:rPr>
              <w:t>PRISMA</w:t>
            </w:r>
          </w:p>
        </w:tc>
        <w:tc>
          <w:tcPr>
            <w:tcW w:w="0" w:type="auto"/>
            <w:hideMark/>
          </w:tcPr>
          <w:p w14:paraId="56BEA2F3" w14:textId="77777777" w:rsidR="00232B7B" w:rsidRPr="004410BC" w:rsidRDefault="00232B7B" w:rsidP="00236C76">
            <w:r w:rsidRPr="004410BC">
              <w:t>Preferred Reporting Items for Systematic Reviews and Meta-Analyses</w:t>
            </w:r>
          </w:p>
        </w:tc>
      </w:tr>
      <w:tr w:rsidR="00232B7B" w:rsidRPr="004410BC" w14:paraId="41C45A8E" w14:textId="77777777" w:rsidTr="00232B7B">
        <w:tc>
          <w:tcPr>
            <w:tcW w:w="0" w:type="auto"/>
            <w:hideMark/>
          </w:tcPr>
          <w:p w14:paraId="0675529F" w14:textId="77777777" w:rsidR="00232B7B" w:rsidRPr="004410BC" w:rsidRDefault="00232B7B" w:rsidP="00236C76">
            <w:r w:rsidRPr="004410BC">
              <w:rPr>
                <w:b/>
                <w:bCs/>
              </w:rPr>
              <w:t>SLR</w:t>
            </w:r>
          </w:p>
        </w:tc>
        <w:tc>
          <w:tcPr>
            <w:tcW w:w="0" w:type="auto"/>
            <w:hideMark/>
          </w:tcPr>
          <w:p w14:paraId="5DEF5608" w14:textId="77777777" w:rsidR="00232B7B" w:rsidRPr="004410BC" w:rsidRDefault="00232B7B" w:rsidP="00236C76">
            <w:r w:rsidRPr="004410BC">
              <w:t>Systematic Literature Review</w:t>
            </w:r>
          </w:p>
        </w:tc>
      </w:tr>
      <w:tr w:rsidR="00232B7B" w:rsidRPr="004410BC" w14:paraId="40BB041D" w14:textId="77777777" w:rsidTr="00232B7B">
        <w:tc>
          <w:tcPr>
            <w:tcW w:w="0" w:type="auto"/>
            <w:hideMark/>
          </w:tcPr>
          <w:p w14:paraId="24D2D7C6" w14:textId="77777777" w:rsidR="00232B7B" w:rsidRPr="004410BC" w:rsidRDefault="00232B7B" w:rsidP="00236C76">
            <w:r w:rsidRPr="004410BC">
              <w:rPr>
                <w:b/>
                <w:bCs/>
              </w:rPr>
              <w:t>SWiM</w:t>
            </w:r>
          </w:p>
        </w:tc>
        <w:tc>
          <w:tcPr>
            <w:tcW w:w="0" w:type="auto"/>
            <w:hideMark/>
          </w:tcPr>
          <w:p w14:paraId="47AC86C5" w14:textId="77777777" w:rsidR="00232B7B" w:rsidRPr="004410BC" w:rsidRDefault="00232B7B" w:rsidP="00236C76">
            <w:r w:rsidRPr="004410BC">
              <w:t>Synthesis Without Meta-analysis</w:t>
            </w:r>
          </w:p>
        </w:tc>
      </w:tr>
    </w:tbl>
    <w:p w14:paraId="0A8DF892" w14:textId="1B6E513B" w:rsidR="009F64C5" w:rsidRPr="004410BC" w:rsidRDefault="009F64C5" w:rsidP="00236C76">
      <w:pPr>
        <w:spacing w:after="0"/>
        <w:rPr>
          <w:rFonts w:cs="Arial"/>
        </w:rPr>
      </w:pPr>
      <w:r w:rsidRPr="004410BC">
        <w:rPr>
          <w:rFonts w:eastAsia="Times New Roman" w:cs="Arial"/>
          <w:b/>
          <w:i/>
        </w:rPr>
        <w:t xml:space="preserve"> </w:t>
      </w:r>
      <w:r w:rsidRPr="004410BC">
        <w:rPr>
          <w:rFonts w:eastAsia="Times New Roman" w:cs="Arial"/>
          <w:b/>
          <w:i/>
        </w:rPr>
        <w:tab/>
        <w:t xml:space="preserve"> </w:t>
      </w:r>
    </w:p>
    <w:p w14:paraId="27F005A8" w14:textId="77777777" w:rsidR="000555DE" w:rsidRPr="004410BC" w:rsidRDefault="000555DE" w:rsidP="00236C76">
      <w:pPr>
        <w:rPr>
          <w:rFonts w:eastAsia="Times New Roman" w:cs="Arial"/>
          <w:b/>
          <w:color w:val="000000"/>
        </w:rPr>
      </w:pPr>
      <w:bookmarkStart w:id="13" w:name="_Toc12215"/>
      <w:r w:rsidRPr="004410BC">
        <w:rPr>
          <w:rFonts w:cs="Arial"/>
        </w:rPr>
        <w:br w:type="page"/>
      </w:r>
    </w:p>
    <w:bookmarkEnd w:id="13"/>
    <w:p w14:paraId="53439232" w14:textId="48C694FA" w:rsidR="009F64C5" w:rsidRPr="004410BC" w:rsidRDefault="009F64C5" w:rsidP="00236C76">
      <w:pPr>
        <w:spacing w:after="0"/>
        <w:rPr>
          <w:rFonts w:cs="Arial"/>
        </w:rPr>
      </w:pPr>
    </w:p>
    <w:p w14:paraId="624C71A9" w14:textId="3180CA0B" w:rsidR="009F64C5" w:rsidRPr="004410BC" w:rsidRDefault="00BC67C0" w:rsidP="00236C76">
      <w:pPr>
        <w:pStyle w:val="Heading1"/>
        <w:rPr>
          <w:rFonts w:cs="Arial"/>
        </w:rPr>
      </w:pPr>
      <w:bookmarkStart w:id="14" w:name="_Toc238290192"/>
      <w:bookmarkStart w:id="15" w:name="_Toc240724835"/>
      <w:bookmarkStart w:id="16" w:name="_Toc12216"/>
      <w:r w:rsidRPr="004410BC">
        <w:rPr>
          <w:rFonts w:cs="Arial"/>
        </w:rPr>
        <w:t xml:space="preserve">Chapter 1: </w:t>
      </w:r>
      <w:r w:rsidR="009F64C5" w:rsidRPr="004410BC">
        <w:rPr>
          <w:rFonts w:cs="Arial"/>
        </w:rPr>
        <w:t>Introduction</w:t>
      </w:r>
      <w:bookmarkEnd w:id="14"/>
      <w:bookmarkEnd w:id="15"/>
      <w:r w:rsidR="009F64C5" w:rsidRPr="004410BC">
        <w:rPr>
          <w:rFonts w:cs="Arial"/>
        </w:rPr>
        <w:t xml:space="preserve"> </w:t>
      </w:r>
      <w:bookmarkEnd w:id="16"/>
    </w:p>
    <w:p w14:paraId="625CB8EE" w14:textId="08A8A77D" w:rsidR="002055C3" w:rsidRPr="004410BC" w:rsidRDefault="002055C3" w:rsidP="00236C76">
      <w:pPr>
        <w:pStyle w:val="Heading2"/>
        <w:rPr>
          <w:rFonts w:eastAsiaTheme="majorEastAsia" w:cs="Arial"/>
        </w:rPr>
      </w:pPr>
      <w:bookmarkStart w:id="17" w:name="_Toc227620060"/>
      <w:bookmarkStart w:id="18" w:name="_Toc232675405"/>
      <w:bookmarkStart w:id="19" w:name="_Toc232976386"/>
      <w:bookmarkStart w:id="20" w:name="_Toc237213812"/>
      <w:bookmarkStart w:id="21" w:name="_Toc238290193"/>
      <w:bookmarkStart w:id="22" w:name="_Toc240724836"/>
      <w:r w:rsidRPr="004410BC">
        <w:rPr>
          <w:rFonts w:eastAsiaTheme="majorEastAsia" w:cs="Arial"/>
        </w:rPr>
        <w:t>1.1 Prevalence of The Problem</w:t>
      </w:r>
      <w:bookmarkEnd w:id="17"/>
      <w:bookmarkEnd w:id="18"/>
      <w:bookmarkEnd w:id="19"/>
      <w:bookmarkEnd w:id="20"/>
      <w:bookmarkEnd w:id="21"/>
      <w:bookmarkEnd w:id="22"/>
    </w:p>
    <w:p w14:paraId="15DB156B" w14:textId="02C472FC" w:rsidR="00552A4D" w:rsidRPr="004410BC" w:rsidRDefault="00552A4D" w:rsidP="00236C76">
      <w:pPr>
        <w:rPr>
          <w:rFonts w:eastAsia="Times New Roman" w:cs="Arial"/>
        </w:rPr>
      </w:pPr>
      <w:r w:rsidRPr="004410BC">
        <w:rPr>
          <w:rFonts w:eastAsia="Times New Roman" w:cs="Arial"/>
        </w:rPr>
        <w:t>An ethnically diverse population is now a key characteristic of the UK population</w:t>
      </w:r>
      <w:r w:rsidR="00534D31" w:rsidRPr="004410BC">
        <w:rPr>
          <w:rFonts w:eastAsia="Times New Roman" w:cs="Arial"/>
        </w:rPr>
        <w:t>,</w:t>
      </w:r>
      <w:r w:rsidRPr="004410BC">
        <w:rPr>
          <w:rFonts w:eastAsia="Times New Roman" w:cs="Arial"/>
        </w:rPr>
        <w:t xml:space="preserve"> and access to healthcare services in an equitable fashion is a major concern in primary care. The ONS (202</w:t>
      </w:r>
      <w:r w:rsidR="00846896" w:rsidRPr="004410BC">
        <w:rPr>
          <w:rFonts w:eastAsia="Times New Roman" w:cs="Arial"/>
        </w:rPr>
        <w:t>4</w:t>
      </w:r>
      <w:r w:rsidRPr="004410BC">
        <w:rPr>
          <w:rFonts w:eastAsia="Times New Roman" w:cs="Arial"/>
        </w:rPr>
        <w:t>) census shows that there are significant numbers of people from Asian, Black</w:t>
      </w:r>
      <w:r w:rsidR="00A41B9D" w:rsidRPr="004410BC">
        <w:rPr>
          <w:rFonts w:eastAsia="Times New Roman" w:cs="Arial"/>
        </w:rPr>
        <w:t>,</w:t>
      </w:r>
      <w:r w:rsidRPr="004410BC">
        <w:rPr>
          <w:rFonts w:eastAsia="Times New Roman" w:cs="Arial"/>
        </w:rPr>
        <w:t xml:space="preserve"> Mixed</w:t>
      </w:r>
      <w:r w:rsidR="00A41B9D" w:rsidRPr="004410BC">
        <w:rPr>
          <w:rFonts w:eastAsia="Times New Roman" w:cs="Arial"/>
        </w:rPr>
        <w:t>,</w:t>
      </w:r>
      <w:r w:rsidRPr="004410BC">
        <w:rPr>
          <w:rFonts w:eastAsia="Times New Roman" w:cs="Arial"/>
        </w:rPr>
        <w:t xml:space="preserve"> and other minority groups in England and Wales. This dissertation highlights the needs of South Asian, Black African</w:t>
      </w:r>
      <w:r w:rsidR="00A41B9D" w:rsidRPr="004410BC">
        <w:rPr>
          <w:rFonts w:eastAsia="Times New Roman" w:cs="Arial"/>
        </w:rPr>
        <w:t>,</w:t>
      </w:r>
      <w:r w:rsidRPr="004410BC">
        <w:rPr>
          <w:rFonts w:eastAsia="Times New Roman" w:cs="Arial"/>
        </w:rPr>
        <w:t xml:space="preserve"> and Black Caribbean communities in particular</w:t>
      </w:r>
      <w:r w:rsidR="00A41B9D" w:rsidRPr="004410BC">
        <w:rPr>
          <w:rFonts w:eastAsia="Times New Roman" w:cs="Arial"/>
        </w:rPr>
        <w:t>,</w:t>
      </w:r>
      <w:r w:rsidRPr="004410BC">
        <w:rPr>
          <w:rFonts w:eastAsia="Times New Roman" w:cs="Arial"/>
        </w:rPr>
        <w:t xml:space="preserve"> as the evidence base used for this work reflects the population of these communities. The sociodemographic shifts have implications for health services at the population level (Linton et al., 2025), as the disparity in routine health care access will affect populations.</w:t>
      </w:r>
    </w:p>
    <w:p w14:paraId="4A3099ED" w14:textId="50C98FCE" w:rsidR="00552A4D" w:rsidRPr="004410BC" w:rsidRDefault="00552A4D" w:rsidP="00236C76">
      <w:pPr>
        <w:rPr>
          <w:rFonts w:eastAsia="Times New Roman" w:cs="Arial"/>
        </w:rPr>
      </w:pPr>
      <w:r w:rsidRPr="004410BC">
        <w:rPr>
          <w:rFonts w:eastAsia="Times New Roman" w:cs="Arial"/>
        </w:rPr>
        <w:t xml:space="preserve">Inequality is also evident in health outcomes, with a large disparity between </w:t>
      </w:r>
      <w:r w:rsidR="002C769C" w:rsidRPr="004410BC">
        <w:rPr>
          <w:rFonts w:eastAsia="Times New Roman" w:cs="Arial"/>
        </w:rPr>
        <w:t>people.</w:t>
      </w:r>
      <w:r w:rsidRPr="004410BC">
        <w:rPr>
          <w:rFonts w:eastAsia="Times New Roman" w:cs="Arial"/>
        </w:rPr>
        <w:t xml:space="preserve"> The inequalities in morbidity and mortality persist among ethnic minority groups (Hayanga, Stafford and Bécares, 2021). Cardiovascular disease, diabetes, and maternal mortality are among other preventable outcomes that have been shown to be more common among ethnic groups and are linked to increased risk of these conditions (World Health Organization, 2025). Diabetes, chronic kidney disease, hypertension, stroke and ischaemic heart disease (IHD) have been reported with high age-standardised mortality among the Bangladeshi and Pakistani populations in England. There are also increased rates of death due to specific cancers among Black Caribbean people (ONS, 2024). The picture is similar for preventable morbidity</w:t>
      </w:r>
      <w:r w:rsidR="00A41B9D" w:rsidRPr="004410BC">
        <w:rPr>
          <w:rFonts w:eastAsia="Times New Roman" w:cs="Arial"/>
        </w:rPr>
        <w:t>,</w:t>
      </w:r>
      <w:r w:rsidRPr="004410BC">
        <w:rPr>
          <w:rFonts w:eastAsia="Times New Roman" w:cs="Arial"/>
        </w:rPr>
        <w:t xml:space="preserve"> with eight ethnic groups having a higher rate of admission to hospital with infectious diseases than the White British population, with five ethnic groups having a rate 1.25 or more times higher (UK Health Security Agency, 2025).</w:t>
      </w:r>
    </w:p>
    <w:p w14:paraId="79E50F26" w14:textId="1EF4AF2B" w:rsidR="002055C3" w:rsidRPr="004410BC" w:rsidRDefault="00552A4D" w:rsidP="00236C76">
      <w:pPr>
        <w:rPr>
          <w:rFonts w:eastAsia="Times New Roman" w:cs="Arial"/>
        </w:rPr>
      </w:pPr>
      <w:r w:rsidRPr="004410BC">
        <w:rPr>
          <w:rFonts w:eastAsia="Times New Roman" w:cs="Arial"/>
        </w:rPr>
        <w:t>Inequalities may be exacerbated by access issues. There is overlap between communication, technology and socioeconomic disadvantage, as limited English proficiency is linked to digital exclusion and to living in highly deprived neighbourhoods (Griffiths et al., 2026). NHS evidence also reveals a lack of written information in minority languages</w:t>
      </w:r>
      <w:r w:rsidR="00A41B9D" w:rsidRPr="004410BC">
        <w:rPr>
          <w:rFonts w:eastAsia="Times New Roman" w:cs="Arial"/>
        </w:rPr>
        <w:t>,</w:t>
      </w:r>
      <w:r w:rsidRPr="004410BC">
        <w:rPr>
          <w:rFonts w:eastAsia="Times New Roman" w:cs="Arial"/>
        </w:rPr>
        <w:t xml:space="preserve"> and survey results from general practice indicate that patient experience is under pressure, as is the availability of telephone access (NHS England, 2025; GP Patient Survey, 2024). Hackett et al. (2020) found that 20.4% of 4883 adults of ethnic minority groups (13.1% black and 7.3% Hispanic) reported experiencing racial discrimination that affected their physical and mental health. These can also impact trust, willingness to utilize services</w:t>
      </w:r>
      <w:r w:rsidR="00A41B9D" w:rsidRPr="004410BC">
        <w:rPr>
          <w:rFonts w:eastAsia="Times New Roman" w:cs="Arial"/>
        </w:rPr>
        <w:t>,</w:t>
      </w:r>
      <w:r w:rsidRPr="004410BC">
        <w:rPr>
          <w:rFonts w:eastAsia="Times New Roman" w:cs="Arial"/>
        </w:rPr>
        <w:t xml:space="preserve"> and perceptions of care (Pilav et al., 2022; Ekezie et al., 2022).</w:t>
      </w:r>
    </w:p>
    <w:p w14:paraId="63831379" w14:textId="77777777" w:rsidR="002055C3" w:rsidRPr="004410BC" w:rsidRDefault="002055C3" w:rsidP="00236C76">
      <w:pPr>
        <w:keepNext/>
        <w:jc w:val="center"/>
        <w:rPr>
          <w:rFonts w:cs="Arial"/>
        </w:rPr>
      </w:pPr>
      <w:r w:rsidRPr="004410BC">
        <w:rPr>
          <w:rFonts w:cs="Arial"/>
          <w:noProof/>
        </w:rPr>
        <w:drawing>
          <wp:inline distT="0" distB="0" distL="0" distR="0" wp14:anchorId="4CC8A0E7" wp14:editId="47D1A7DE">
            <wp:extent cx="5943600" cy="4297680"/>
            <wp:effectExtent l="0" t="0" r="0" b="7620"/>
            <wp:docPr id="1990823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823783" name=""/>
                    <pic:cNvPicPr/>
                  </pic:nvPicPr>
                  <pic:blipFill>
                    <a:blip r:embed="rId17"/>
                    <a:stretch>
                      <a:fillRect/>
                    </a:stretch>
                  </pic:blipFill>
                  <pic:spPr>
                    <a:xfrm>
                      <a:off x="0" y="0"/>
                      <a:ext cx="5943600" cy="4297680"/>
                    </a:xfrm>
                    <a:prstGeom prst="rect">
                      <a:avLst/>
                    </a:prstGeom>
                  </pic:spPr>
                </pic:pic>
              </a:graphicData>
            </a:graphic>
          </wp:inline>
        </w:drawing>
      </w:r>
    </w:p>
    <w:p w14:paraId="368EEDBD" w14:textId="79D796D8" w:rsidR="002055C3" w:rsidRPr="004410BC" w:rsidRDefault="002055C3" w:rsidP="00236C76">
      <w:pPr>
        <w:spacing w:after="200"/>
        <w:jc w:val="center"/>
        <w:rPr>
          <w:rFonts w:cs="Arial"/>
        </w:rPr>
      </w:pPr>
      <w:bookmarkStart w:id="23" w:name="_Toc227619199"/>
      <w:bookmarkStart w:id="24" w:name="_Toc240724925"/>
      <w:r w:rsidRPr="004410BC">
        <w:rPr>
          <w:rFonts w:cs="Arial"/>
          <w:b/>
          <w:bCs/>
        </w:rPr>
        <w:t xml:space="preserve">Figure </w:t>
      </w:r>
      <w:r w:rsidRPr="004410BC">
        <w:rPr>
          <w:rFonts w:cs="Arial"/>
          <w:b/>
          <w:bCs/>
        </w:rPr>
        <w:fldChar w:fldCharType="begin"/>
      </w:r>
      <w:r w:rsidRPr="004410BC">
        <w:rPr>
          <w:rFonts w:cs="Arial"/>
          <w:b/>
          <w:bCs/>
        </w:rPr>
        <w:instrText xml:space="preserve"> SEQ Figure \* ARABIC </w:instrText>
      </w:r>
      <w:r w:rsidRPr="004410BC">
        <w:rPr>
          <w:rFonts w:cs="Arial"/>
          <w:b/>
          <w:bCs/>
        </w:rPr>
        <w:fldChar w:fldCharType="separate"/>
      </w:r>
      <w:r w:rsidR="00C74D71" w:rsidRPr="004410BC">
        <w:rPr>
          <w:rFonts w:cs="Arial"/>
          <w:b/>
          <w:bCs/>
          <w:noProof/>
        </w:rPr>
        <w:t>1</w:t>
      </w:r>
      <w:r w:rsidRPr="004410BC">
        <w:rPr>
          <w:rFonts w:cs="Arial"/>
          <w:b/>
          <w:bCs/>
        </w:rPr>
        <w:fldChar w:fldCharType="end"/>
      </w:r>
      <w:r w:rsidRPr="004410BC">
        <w:rPr>
          <w:rFonts w:cs="Arial"/>
        </w:rPr>
        <w:t>: Admission rates by ethnic group category</w:t>
      </w:r>
      <w:bookmarkEnd w:id="23"/>
      <w:bookmarkEnd w:id="24"/>
    </w:p>
    <w:p w14:paraId="24432AE7" w14:textId="77777777" w:rsidR="002055C3" w:rsidRPr="004410BC" w:rsidRDefault="002055C3" w:rsidP="00236C76">
      <w:pPr>
        <w:jc w:val="center"/>
        <w:rPr>
          <w:rFonts w:cs="Arial"/>
        </w:rPr>
      </w:pPr>
      <w:r w:rsidRPr="004410BC">
        <w:rPr>
          <w:rFonts w:cs="Arial"/>
          <w:b/>
          <w:bCs/>
        </w:rPr>
        <w:t>Source</w:t>
      </w:r>
      <w:r w:rsidRPr="004410BC">
        <w:rPr>
          <w:rFonts w:cs="Arial"/>
        </w:rPr>
        <w:t>: (UK Health Security Agency, 2025)</w:t>
      </w:r>
    </w:p>
    <w:p w14:paraId="3FD19F15" w14:textId="4544B4FC" w:rsidR="002055C3" w:rsidRPr="004410BC" w:rsidRDefault="00533259" w:rsidP="00236C76">
      <w:pPr>
        <w:rPr>
          <w:rFonts w:cs="Arial"/>
        </w:rPr>
      </w:pPr>
      <w:r w:rsidRPr="004410BC">
        <w:rPr>
          <w:rFonts w:cs="Arial"/>
        </w:rPr>
        <w:t xml:space="preserve">Variation between ethnic groups is also shown in </w:t>
      </w:r>
      <w:r w:rsidR="00A41B9D" w:rsidRPr="004410BC">
        <w:rPr>
          <w:rFonts w:cs="Arial"/>
        </w:rPr>
        <w:t>F</w:t>
      </w:r>
      <w:r w:rsidRPr="004410BC">
        <w:rPr>
          <w:rFonts w:cs="Arial"/>
        </w:rPr>
        <w:t>igure 1. Black groups had the highest number of admissions to emergency treatment</w:t>
      </w:r>
      <w:r w:rsidR="00A41B9D" w:rsidRPr="004410BC">
        <w:rPr>
          <w:rFonts w:cs="Arial"/>
        </w:rPr>
        <w:t>,</w:t>
      </w:r>
      <w:r w:rsidRPr="004410BC">
        <w:rPr>
          <w:rFonts w:cs="Arial"/>
        </w:rPr>
        <w:t xml:space="preserve"> followed by White, Mixed, Pakistani, Asian and Bangladeshi groups. These disparities highlight the importance of considering access to health services in the context of broader health inequalities.</w:t>
      </w:r>
    </w:p>
    <w:p w14:paraId="67D0C730" w14:textId="77777777" w:rsidR="002055C3" w:rsidRPr="004410BC" w:rsidRDefault="002055C3" w:rsidP="00236C76">
      <w:pPr>
        <w:pStyle w:val="Heading2"/>
        <w:rPr>
          <w:rFonts w:eastAsiaTheme="majorEastAsia" w:cs="Arial"/>
        </w:rPr>
      </w:pPr>
      <w:bookmarkStart w:id="25" w:name="_Toc227620061"/>
      <w:bookmarkStart w:id="26" w:name="_Toc232675406"/>
      <w:bookmarkStart w:id="27" w:name="_Toc232976387"/>
      <w:bookmarkStart w:id="28" w:name="_Toc237213813"/>
      <w:bookmarkStart w:id="29" w:name="_Toc238290194"/>
      <w:bookmarkStart w:id="30" w:name="_Toc240724837"/>
      <w:r w:rsidRPr="004410BC">
        <w:rPr>
          <w:rFonts w:eastAsiaTheme="majorEastAsia" w:cs="Arial"/>
        </w:rPr>
        <w:t>1.2 Background</w:t>
      </w:r>
      <w:bookmarkEnd w:id="25"/>
      <w:bookmarkEnd w:id="26"/>
      <w:bookmarkEnd w:id="27"/>
      <w:bookmarkEnd w:id="28"/>
      <w:bookmarkEnd w:id="29"/>
      <w:bookmarkEnd w:id="30"/>
      <w:r w:rsidRPr="004410BC">
        <w:rPr>
          <w:rFonts w:eastAsiaTheme="majorEastAsia" w:cs="Arial"/>
        </w:rPr>
        <w:t xml:space="preserve"> </w:t>
      </w:r>
    </w:p>
    <w:p w14:paraId="7136FBB1" w14:textId="32F1D900" w:rsidR="00CD6AE9" w:rsidRPr="004410BC" w:rsidRDefault="00CD6AE9" w:rsidP="00236C76">
      <w:pPr>
        <w:rPr>
          <w:rFonts w:eastAsia="Times New Roman" w:cs="Arial"/>
        </w:rPr>
      </w:pPr>
      <w:r w:rsidRPr="004410BC">
        <w:rPr>
          <w:rFonts w:eastAsia="Times New Roman" w:cs="Arial"/>
        </w:rPr>
        <w:t>Primary healthcare is a significant access point to NHS care</w:t>
      </w:r>
      <w:r w:rsidR="00A41B9D" w:rsidRPr="004410BC">
        <w:rPr>
          <w:rFonts w:eastAsia="Times New Roman" w:cs="Arial"/>
        </w:rPr>
        <w:t>,</w:t>
      </w:r>
      <w:r w:rsidRPr="004410BC">
        <w:rPr>
          <w:rFonts w:eastAsia="Times New Roman" w:cs="Arial"/>
        </w:rPr>
        <w:t xml:space="preserve"> and most primary healthcare is provided through general practice (Adhav et al., 2024). Barriers at this point can impact prevention, early detection, service continuity and service use later in the life course. Availability is not the only factor that influences access, and language, literacy, previous experiences, fear</w:t>
      </w:r>
      <w:r w:rsidR="00A41B9D" w:rsidRPr="004410BC">
        <w:rPr>
          <w:rFonts w:eastAsia="Times New Roman" w:cs="Arial"/>
        </w:rPr>
        <w:t>,</w:t>
      </w:r>
      <w:r w:rsidRPr="004410BC">
        <w:rPr>
          <w:rFonts w:eastAsia="Times New Roman" w:cs="Arial"/>
        </w:rPr>
        <w:t xml:space="preserve"> and the practical organisation of care also influence access (Atherton et al., 2024)</w:t>
      </w:r>
      <w:r w:rsidR="00E945F0" w:rsidRPr="004410BC">
        <w:rPr>
          <w:rFonts w:eastAsia="Times New Roman" w:cs="Arial"/>
        </w:rPr>
        <w:t>.</w:t>
      </w:r>
    </w:p>
    <w:p w14:paraId="0B2BE435" w14:textId="31FBE626" w:rsidR="002055C3" w:rsidRPr="004410BC" w:rsidRDefault="00CD6AE9" w:rsidP="00236C76">
      <w:pPr>
        <w:rPr>
          <w:rFonts w:eastAsia="Times New Roman" w:cs="Arial"/>
        </w:rPr>
      </w:pPr>
      <w:r w:rsidRPr="004410BC">
        <w:rPr>
          <w:rFonts w:eastAsia="Times New Roman" w:cs="Arial"/>
        </w:rPr>
        <w:t>In recent studies, these barriers have been demonstrated to be at play in the typical primary care setting. Patients from South Asian communities have reported issues relating to communication, choice</w:t>
      </w:r>
      <w:r w:rsidR="00A41B9D" w:rsidRPr="004410BC">
        <w:rPr>
          <w:rFonts w:eastAsia="Times New Roman" w:cs="Arial"/>
        </w:rPr>
        <w:t>,</w:t>
      </w:r>
      <w:r w:rsidRPr="004410BC">
        <w:rPr>
          <w:rFonts w:eastAsia="Times New Roman" w:cs="Arial"/>
        </w:rPr>
        <w:t xml:space="preserve"> and remote consultations, and many patients had a preference for face-to-face consultations (Small et al., 2024). Digitalised services can also lead to additional issues if there is limited language support, lack of digital resources and inadequate staff support (Islam, Bailey and Netto, 2024). Additionally, UK evidence from earlier suggests that language, discrimination and digital exclusion are issues that impact the effective use of primary health care (Kang, Tomkow and Farrington, 2019).</w:t>
      </w:r>
    </w:p>
    <w:p w14:paraId="2DDE84B8" w14:textId="77777777" w:rsidR="002055C3" w:rsidRPr="004410BC" w:rsidRDefault="002055C3" w:rsidP="00236C76">
      <w:pPr>
        <w:pStyle w:val="Heading2"/>
        <w:rPr>
          <w:rFonts w:eastAsiaTheme="majorEastAsia" w:cs="Arial"/>
        </w:rPr>
      </w:pPr>
      <w:bookmarkStart w:id="31" w:name="_Toc227620062"/>
      <w:bookmarkStart w:id="32" w:name="_Toc232675407"/>
      <w:bookmarkStart w:id="33" w:name="_Toc232976388"/>
      <w:bookmarkStart w:id="34" w:name="_Toc237213814"/>
      <w:bookmarkStart w:id="35" w:name="_Toc238290195"/>
      <w:bookmarkStart w:id="36" w:name="_Toc240724838"/>
      <w:r w:rsidRPr="004410BC">
        <w:rPr>
          <w:rFonts w:eastAsiaTheme="majorEastAsia" w:cs="Arial"/>
        </w:rPr>
        <w:t>1.3 Rationale, Aim, Objectives, and Questions</w:t>
      </w:r>
      <w:bookmarkEnd w:id="31"/>
      <w:bookmarkEnd w:id="32"/>
      <w:bookmarkEnd w:id="33"/>
      <w:bookmarkEnd w:id="34"/>
      <w:bookmarkEnd w:id="35"/>
      <w:bookmarkEnd w:id="36"/>
    </w:p>
    <w:p w14:paraId="4C965AEA" w14:textId="6E8E3EEA" w:rsidR="002055C3" w:rsidRPr="004410BC" w:rsidRDefault="00366790" w:rsidP="00236C76">
      <w:pPr>
        <w:rPr>
          <w:rFonts w:eastAsia="Times New Roman" w:cs="Arial"/>
        </w:rPr>
      </w:pPr>
      <w:r w:rsidRPr="004410BC">
        <w:rPr>
          <w:rFonts w:eastAsia="Times New Roman" w:cs="Arial"/>
        </w:rPr>
        <w:t>The concept of health inequalities is seen as preventable and unfair health and health care differences. Equality of formal access does not always translate to equality of real access (NHS England, 2023), due to their persistence. There is evidence spread across a number of studies, and a systematic review is an appropriate approach to synthesise it into a structured framework to identify barriers, inconsistencies and gaps in knowledge (Robinson et al., 2021).</w:t>
      </w:r>
    </w:p>
    <w:p w14:paraId="3F2A9534" w14:textId="77777777" w:rsidR="002055C3" w:rsidRPr="004410BC" w:rsidRDefault="002055C3" w:rsidP="00236C76">
      <w:pPr>
        <w:rPr>
          <w:rFonts w:cs="Arial"/>
          <w:b/>
          <w:bCs/>
        </w:rPr>
      </w:pPr>
      <w:r w:rsidRPr="004410BC">
        <w:rPr>
          <w:rFonts w:cs="Arial"/>
          <w:b/>
          <w:bCs/>
        </w:rPr>
        <w:t>Aim</w:t>
      </w:r>
    </w:p>
    <w:p w14:paraId="5FAACFB2" w14:textId="77777777" w:rsidR="002055C3" w:rsidRPr="004410BC" w:rsidRDefault="002055C3" w:rsidP="00236C76">
      <w:pPr>
        <w:rPr>
          <w:rFonts w:cs="Arial"/>
        </w:rPr>
      </w:pPr>
      <w:r w:rsidRPr="004410BC">
        <w:rPr>
          <w:rFonts w:cs="Arial"/>
        </w:rPr>
        <w:t>This study aims to explore health inequalities and accessibility barriers to primary healthcare services among ethnic minority groups in the UK.</w:t>
      </w:r>
    </w:p>
    <w:p w14:paraId="36EEB768" w14:textId="77777777" w:rsidR="002055C3" w:rsidRPr="004410BC" w:rsidRDefault="002055C3" w:rsidP="00236C76">
      <w:pPr>
        <w:rPr>
          <w:rFonts w:cs="Arial"/>
        </w:rPr>
      </w:pPr>
      <w:r w:rsidRPr="004410BC">
        <w:rPr>
          <w:rFonts w:cs="Arial"/>
          <w:b/>
          <w:bCs/>
        </w:rPr>
        <w:t>Objectives</w:t>
      </w:r>
      <w:r w:rsidRPr="004410BC">
        <w:rPr>
          <w:rFonts w:cs="Arial"/>
        </w:rPr>
        <w:t>:</w:t>
      </w:r>
    </w:p>
    <w:p w14:paraId="7EFEDF27" w14:textId="77777777" w:rsidR="002055C3" w:rsidRPr="004410BC" w:rsidRDefault="002055C3" w:rsidP="00236C76">
      <w:pPr>
        <w:numPr>
          <w:ilvl w:val="0"/>
          <w:numId w:val="9"/>
        </w:numPr>
        <w:spacing w:after="0"/>
        <w:contextualSpacing/>
        <w:rPr>
          <w:rFonts w:cs="Arial"/>
        </w:rPr>
      </w:pPr>
      <w:r w:rsidRPr="004410BC">
        <w:rPr>
          <w:rFonts w:cs="Arial"/>
        </w:rPr>
        <w:t>To assess what are the health inequalities experienced by ethnic minority groups in accessing primary healthcare services in the UK.</w:t>
      </w:r>
    </w:p>
    <w:p w14:paraId="12C3DB39" w14:textId="77777777" w:rsidR="002055C3" w:rsidRPr="004410BC" w:rsidRDefault="002055C3" w:rsidP="00236C76">
      <w:pPr>
        <w:numPr>
          <w:ilvl w:val="0"/>
          <w:numId w:val="9"/>
        </w:numPr>
        <w:spacing w:after="0"/>
        <w:contextualSpacing/>
        <w:rPr>
          <w:rFonts w:cs="Arial"/>
        </w:rPr>
      </w:pPr>
      <w:r w:rsidRPr="004410BC">
        <w:rPr>
          <w:rFonts w:cs="Arial"/>
        </w:rPr>
        <w:t>To identify the main barriers that affect access to primary healthcare for ethnic minority groups, such as language, culture, discrimination, communication, and digital exclusion.</w:t>
      </w:r>
    </w:p>
    <w:p w14:paraId="7EBDDD83" w14:textId="77777777" w:rsidR="002055C3" w:rsidRPr="004410BC" w:rsidRDefault="002055C3" w:rsidP="00236C76">
      <w:pPr>
        <w:numPr>
          <w:ilvl w:val="0"/>
          <w:numId w:val="9"/>
        </w:numPr>
        <w:spacing w:after="0"/>
        <w:contextualSpacing/>
        <w:rPr>
          <w:rFonts w:cs="Arial"/>
        </w:rPr>
      </w:pPr>
      <w:r w:rsidRPr="004410BC">
        <w:rPr>
          <w:rFonts w:cs="Arial"/>
        </w:rPr>
        <w:t>To explore how these barriers influence the use of primary healthcare services, patient experience, and health outcomes among ethnic minority groups.</w:t>
      </w:r>
    </w:p>
    <w:p w14:paraId="54E7F98D" w14:textId="77777777" w:rsidR="002055C3" w:rsidRPr="004410BC" w:rsidRDefault="002055C3" w:rsidP="00236C76">
      <w:pPr>
        <w:numPr>
          <w:ilvl w:val="0"/>
          <w:numId w:val="9"/>
        </w:numPr>
        <w:spacing w:after="0"/>
        <w:contextualSpacing/>
        <w:rPr>
          <w:rFonts w:cs="Arial"/>
        </w:rPr>
      </w:pPr>
      <w:r w:rsidRPr="004410BC">
        <w:rPr>
          <w:rFonts w:cs="Arial"/>
        </w:rPr>
        <w:t>To review the strategies, policies, and interventions used to improve access to primary healthcare services for ethnic minority groups, and to identify gaps in the current evidence.</w:t>
      </w:r>
    </w:p>
    <w:p w14:paraId="625D85F0" w14:textId="77777777" w:rsidR="002055C3" w:rsidRPr="004410BC" w:rsidRDefault="002055C3" w:rsidP="00236C76">
      <w:pPr>
        <w:rPr>
          <w:rFonts w:cs="Arial"/>
          <w:b/>
          <w:bCs/>
        </w:rPr>
      </w:pPr>
      <w:r w:rsidRPr="004410BC">
        <w:rPr>
          <w:rFonts w:cs="Arial"/>
          <w:b/>
          <w:bCs/>
        </w:rPr>
        <w:t>Research questions:</w:t>
      </w:r>
    </w:p>
    <w:p w14:paraId="38E841B9" w14:textId="77777777" w:rsidR="002055C3" w:rsidRPr="004410BC" w:rsidRDefault="002055C3" w:rsidP="00236C76">
      <w:pPr>
        <w:rPr>
          <w:rFonts w:cs="Arial"/>
        </w:rPr>
      </w:pPr>
      <w:r w:rsidRPr="004410BC">
        <w:rPr>
          <w:rFonts w:cs="Arial"/>
        </w:rPr>
        <w:t>What are the health inequalities and accessibility barriers in primary healthcare encountered by Ethnic Minority communities in the UK?</w:t>
      </w:r>
    </w:p>
    <w:p w14:paraId="412E2183" w14:textId="77777777" w:rsidR="002055C3" w:rsidRPr="004410BC" w:rsidRDefault="002055C3" w:rsidP="00236C76">
      <w:pPr>
        <w:pStyle w:val="Heading2"/>
        <w:rPr>
          <w:rFonts w:eastAsiaTheme="majorEastAsia" w:cs="Arial"/>
        </w:rPr>
      </w:pPr>
      <w:bookmarkStart w:id="37" w:name="_Toc227620063"/>
      <w:bookmarkStart w:id="38" w:name="_Toc232675408"/>
      <w:bookmarkStart w:id="39" w:name="_Toc232976389"/>
      <w:bookmarkStart w:id="40" w:name="_Toc237213815"/>
      <w:bookmarkStart w:id="41" w:name="_Toc238290196"/>
      <w:bookmarkStart w:id="42" w:name="_Toc240724839"/>
      <w:r w:rsidRPr="004410BC">
        <w:rPr>
          <w:rFonts w:eastAsiaTheme="majorEastAsia" w:cs="Arial"/>
        </w:rPr>
        <w:t>1.4 Significance of The Study</w:t>
      </w:r>
      <w:bookmarkEnd w:id="37"/>
      <w:bookmarkEnd w:id="38"/>
      <w:bookmarkEnd w:id="39"/>
      <w:bookmarkEnd w:id="40"/>
      <w:bookmarkEnd w:id="41"/>
      <w:bookmarkEnd w:id="42"/>
    </w:p>
    <w:p w14:paraId="21C8671F" w14:textId="4211D760" w:rsidR="002055C3" w:rsidRPr="004410BC" w:rsidRDefault="00366790" w:rsidP="00236C76">
      <w:pPr>
        <w:rPr>
          <w:rFonts w:eastAsia="Times New Roman" w:cs="Arial"/>
        </w:rPr>
      </w:pPr>
      <w:r w:rsidRPr="004410BC">
        <w:rPr>
          <w:rFonts w:eastAsia="Times New Roman" w:cs="Arial"/>
        </w:rPr>
        <w:t>Given the critical nature of this review, it is important to understand where access challenges lie so that these can be addressed within NHS primary care and to understand which barriers need to be tackled more.</w:t>
      </w:r>
      <w:r w:rsidR="00A41B9D" w:rsidRPr="004410BC">
        <w:rPr>
          <w:rFonts w:eastAsia="Times New Roman" w:cs="Arial"/>
        </w:rPr>
        <w:t xml:space="preserve"> </w:t>
      </w:r>
      <w:r w:rsidRPr="004410BC">
        <w:rPr>
          <w:rFonts w:eastAsia="Times New Roman" w:cs="Arial"/>
        </w:rPr>
        <w:t>This is important as an understanding of where the access challenges are occurring can support improvements in NHS primary care and highlight which barriers need to be looked at more. (Robinson et al., 2022) Digital exclusion is particularly relevant as millions of people across the UK are not part of the mainstream of digital participation, making it a service access problem, as well as a wider social one. There is also some evidence that accessibility is not limited to making an appointment; lower continuity of care among some ethnic minority groups also indicates this</w:t>
      </w:r>
      <w:r w:rsidR="00350A92" w:rsidRPr="004410BC">
        <w:rPr>
          <w:rFonts w:eastAsia="Times New Roman" w:cs="Arial"/>
        </w:rPr>
        <w:t xml:space="preserve"> </w:t>
      </w:r>
      <w:r w:rsidRPr="004410BC">
        <w:rPr>
          <w:rFonts w:eastAsia="Times New Roman" w:cs="Arial"/>
        </w:rPr>
        <w:t>(Smyth et al., 2024).</w:t>
      </w:r>
    </w:p>
    <w:p w14:paraId="2028E382" w14:textId="77777777" w:rsidR="002055C3" w:rsidRPr="004410BC" w:rsidRDefault="002055C3" w:rsidP="00236C76">
      <w:pPr>
        <w:pStyle w:val="Heading2"/>
        <w:rPr>
          <w:rFonts w:eastAsiaTheme="majorEastAsia" w:cs="Arial"/>
        </w:rPr>
      </w:pPr>
      <w:bookmarkStart w:id="43" w:name="_Toc232675409"/>
      <w:bookmarkStart w:id="44" w:name="_Toc232976390"/>
      <w:bookmarkStart w:id="45" w:name="_Toc237213816"/>
      <w:bookmarkStart w:id="46" w:name="_Toc238290197"/>
      <w:bookmarkStart w:id="47" w:name="_Toc240724840"/>
      <w:r w:rsidRPr="004410BC">
        <w:rPr>
          <w:rFonts w:eastAsiaTheme="majorEastAsia" w:cs="Arial"/>
        </w:rPr>
        <w:t>1.5 Scope of the Study</w:t>
      </w:r>
      <w:bookmarkEnd w:id="43"/>
      <w:bookmarkEnd w:id="44"/>
      <w:bookmarkEnd w:id="45"/>
      <w:bookmarkEnd w:id="46"/>
      <w:bookmarkEnd w:id="47"/>
    </w:p>
    <w:p w14:paraId="5BACC47F" w14:textId="13378DAB" w:rsidR="002055C3" w:rsidRPr="004410BC" w:rsidRDefault="002055C3" w:rsidP="00236C76">
      <w:pPr>
        <w:rPr>
          <w:rFonts w:cs="Arial"/>
          <w:szCs w:val="28"/>
        </w:rPr>
      </w:pPr>
      <w:r w:rsidRPr="004410BC">
        <w:rPr>
          <w:rFonts w:cs="Arial"/>
          <w:szCs w:val="28"/>
        </w:rPr>
        <w:t xml:space="preserve">This dissertation centres on primary healthcare access for ethnic minority groups in the UK, as well as the experiences of access that are not equal across ethnic minority groups. However, recent UK evidence has demonstrated that difficulties can arise with digitalised primary care as a result of user experience issues with online systems, the lack of online support, or a lack of inclusion in digital services (Islam, Bailey and Netto, 2024). </w:t>
      </w:r>
    </w:p>
    <w:p w14:paraId="0DFB26EA" w14:textId="55429237" w:rsidR="002055C3" w:rsidRPr="004410BC" w:rsidRDefault="002055C3" w:rsidP="00236C76">
      <w:pPr>
        <w:rPr>
          <w:rFonts w:cs="Arial"/>
          <w:szCs w:val="28"/>
        </w:rPr>
      </w:pPr>
      <w:r w:rsidRPr="004410BC">
        <w:rPr>
          <w:rFonts w:cs="Arial"/>
          <w:szCs w:val="28"/>
        </w:rPr>
        <w:t>There is also research evidence that barriers are present in the care pathways as experienced by everyday users. Ethnic minority individuals ha</w:t>
      </w:r>
      <w:r w:rsidR="00D16693" w:rsidRPr="004410BC">
        <w:rPr>
          <w:rFonts w:cs="Arial"/>
          <w:szCs w:val="28"/>
        </w:rPr>
        <w:t>ve</w:t>
      </w:r>
      <w:r w:rsidRPr="004410BC">
        <w:rPr>
          <w:rFonts w:cs="Arial"/>
          <w:szCs w:val="28"/>
        </w:rPr>
        <w:t xml:space="preserve"> reported experiencing dissatisfaction and challenges accessing services, indicating that access issues may persist despite an individual's attempts to access services (Smyth et al., 2024). These are similar concerns that occur in wider access research. The scoping review of the UK identified that barriers and facilitators to access to primary care for children and youth differ between subgroups, such as children from an ethnic minority background, and that barriers and facilitators do not have a linear relationship (Herlitz et al., 2024). </w:t>
      </w:r>
    </w:p>
    <w:p w14:paraId="77108C43" w14:textId="75F0318D" w:rsidR="002055C3" w:rsidRPr="004410BC" w:rsidRDefault="002055C3" w:rsidP="00236C76">
      <w:pPr>
        <w:rPr>
          <w:rFonts w:cs="Arial"/>
          <w:szCs w:val="28"/>
        </w:rPr>
      </w:pPr>
      <w:r w:rsidRPr="004410BC">
        <w:rPr>
          <w:rFonts w:cs="Arial"/>
          <w:szCs w:val="28"/>
        </w:rPr>
        <w:t>The focus of this review, therefore, is primarily on primary health services in the UK and particularly general practice and first contact care. Does not seek to include secondary care unless it is directly compared with primary care. The review is also confined to ethnic minority communities</w:t>
      </w:r>
      <w:r w:rsidR="00770C87" w:rsidRPr="004410BC">
        <w:rPr>
          <w:rFonts w:cs="Arial"/>
          <w:szCs w:val="28"/>
        </w:rPr>
        <w:t>,</w:t>
      </w:r>
      <w:r w:rsidRPr="004410BC">
        <w:rPr>
          <w:rFonts w:cs="Arial"/>
          <w:szCs w:val="28"/>
        </w:rPr>
        <w:t xml:space="preserve"> as the evidence indicates that while access barriers may be related to language, trust, digital exclusion, and how services are organised, they are not necessarily in relation to ethnicity. Brady et al. (2025) conducted a qualitative study to understand the barriers to engagement with the NHS CVD Health Check in populations that are less likely to access it in North East England. It found problems with access, understanding, and attitudes, and also proposed that engagement with the health check could be enhanced by the presence of community champions. Limited awareness, language barriers, and resource availability are identified as concerns when designing services and communicating with ethnic minorities in the context of cancer, palliative, and end-of-life care, highlighting the need for service design and communication in other health settings (Wainwright et al., 2024). </w:t>
      </w:r>
    </w:p>
    <w:p w14:paraId="50E1DB74" w14:textId="1AA9EBCE" w:rsidR="002055C3" w:rsidRPr="004410BC" w:rsidRDefault="002055C3" w:rsidP="00236C76">
      <w:pPr>
        <w:rPr>
          <w:rFonts w:cs="Arial"/>
          <w:szCs w:val="28"/>
        </w:rPr>
      </w:pPr>
      <w:r w:rsidRPr="004410BC">
        <w:rPr>
          <w:rFonts w:cs="Arial"/>
          <w:szCs w:val="28"/>
        </w:rPr>
        <w:t>This dissertation thus explores ethnic minority groups' experiences of health inequalities, access challenges, service utili</w:t>
      </w:r>
      <w:r w:rsidR="00A46C47" w:rsidRPr="004410BC">
        <w:rPr>
          <w:rFonts w:cs="Arial"/>
          <w:szCs w:val="28"/>
        </w:rPr>
        <w:t>s</w:t>
      </w:r>
      <w:r w:rsidRPr="004410BC">
        <w:rPr>
          <w:rFonts w:cs="Arial"/>
          <w:szCs w:val="28"/>
        </w:rPr>
        <w:t xml:space="preserve">ation, patient experiences, and health outcomes in the UK. It also takes into account strategies and interventions that could help reduce inequality, as there is a literature base that indicates that equality cannot be achieved if services are expanded by themselves. </w:t>
      </w:r>
    </w:p>
    <w:p w14:paraId="03ACC763" w14:textId="77777777" w:rsidR="002055C3" w:rsidRPr="004410BC" w:rsidRDefault="002055C3" w:rsidP="00236C76">
      <w:pPr>
        <w:pStyle w:val="Heading2"/>
        <w:rPr>
          <w:rFonts w:cs="Arial"/>
        </w:rPr>
      </w:pPr>
      <w:bookmarkStart w:id="48" w:name="_Toc232675410"/>
      <w:bookmarkStart w:id="49" w:name="_Toc232976391"/>
      <w:bookmarkStart w:id="50" w:name="_Toc237213817"/>
      <w:bookmarkStart w:id="51" w:name="_Toc238290198"/>
      <w:bookmarkStart w:id="52" w:name="_Toc240724841"/>
      <w:r w:rsidRPr="004410BC">
        <w:rPr>
          <w:rFonts w:cs="Arial"/>
        </w:rPr>
        <w:t>1.6 Structure of the Dissertation</w:t>
      </w:r>
      <w:bookmarkEnd w:id="48"/>
      <w:bookmarkEnd w:id="49"/>
      <w:bookmarkEnd w:id="50"/>
      <w:bookmarkEnd w:id="51"/>
      <w:bookmarkEnd w:id="52"/>
    </w:p>
    <w:p w14:paraId="1669D711" w14:textId="21A9E9EC" w:rsidR="002055C3" w:rsidRPr="004410BC" w:rsidRDefault="002055C3" w:rsidP="00236C76">
      <w:pPr>
        <w:rPr>
          <w:rFonts w:cs="Arial"/>
          <w:szCs w:val="28"/>
        </w:rPr>
      </w:pPr>
      <w:r w:rsidRPr="004410BC">
        <w:rPr>
          <w:rFonts w:cs="Arial"/>
          <w:szCs w:val="28"/>
        </w:rPr>
        <w:t>Chapter one is an introduction that sets the scene for the study</w:t>
      </w:r>
      <w:r w:rsidR="00854A69" w:rsidRPr="004410BC">
        <w:rPr>
          <w:rFonts w:cs="Arial"/>
          <w:szCs w:val="28"/>
        </w:rPr>
        <w:t xml:space="preserve">. </w:t>
      </w:r>
      <w:r w:rsidRPr="004410BC">
        <w:rPr>
          <w:rFonts w:cs="Arial"/>
          <w:szCs w:val="28"/>
        </w:rPr>
        <w:t>The literature reviewed in Chapter Two examines the literature around health inequalities, access barriers, the consequences of inadequate access. The methodology for the systematic review is explained in Chapter Three, which encompasses the search technique, inclusion and exclusion criteria, data collection</w:t>
      </w:r>
      <w:r w:rsidR="000B52FD" w:rsidRPr="004410BC">
        <w:rPr>
          <w:rFonts w:cs="Arial"/>
          <w:szCs w:val="28"/>
        </w:rPr>
        <w:t xml:space="preserve"> etc</w:t>
      </w:r>
      <w:r w:rsidRPr="004410BC">
        <w:rPr>
          <w:rFonts w:cs="Arial"/>
          <w:szCs w:val="28"/>
        </w:rPr>
        <w:t xml:space="preserve">. The results are presented in Chapter </w:t>
      </w:r>
      <w:r w:rsidR="000B52FD" w:rsidRPr="004410BC">
        <w:rPr>
          <w:rFonts w:cs="Arial"/>
          <w:szCs w:val="28"/>
        </w:rPr>
        <w:t>F</w:t>
      </w:r>
      <w:r w:rsidRPr="004410BC">
        <w:rPr>
          <w:rFonts w:cs="Arial"/>
          <w:szCs w:val="28"/>
        </w:rPr>
        <w:t>our</w:t>
      </w:r>
      <w:r w:rsidR="000B52FD" w:rsidRPr="004410BC">
        <w:rPr>
          <w:rFonts w:cs="Arial"/>
          <w:szCs w:val="28"/>
        </w:rPr>
        <w:t xml:space="preserve"> and </w:t>
      </w:r>
      <w:r w:rsidRPr="004410BC">
        <w:rPr>
          <w:rFonts w:cs="Arial"/>
          <w:szCs w:val="28"/>
        </w:rPr>
        <w:t xml:space="preserve">Chapter </w:t>
      </w:r>
      <w:r w:rsidR="000B52FD" w:rsidRPr="004410BC">
        <w:rPr>
          <w:rFonts w:cs="Arial"/>
          <w:szCs w:val="28"/>
        </w:rPr>
        <w:t>F</w:t>
      </w:r>
      <w:r w:rsidRPr="004410BC">
        <w:rPr>
          <w:rFonts w:cs="Arial"/>
          <w:szCs w:val="28"/>
        </w:rPr>
        <w:t>ive summarises the key findings.</w:t>
      </w:r>
    </w:p>
    <w:p w14:paraId="7D53C797" w14:textId="4E592BA3" w:rsidR="009F64C5" w:rsidRPr="004410BC" w:rsidRDefault="009F64C5" w:rsidP="00236C76">
      <w:pPr>
        <w:spacing w:after="167"/>
        <w:rPr>
          <w:rFonts w:cs="Arial"/>
        </w:rPr>
      </w:pPr>
    </w:p>
    <w:p w14:paraId="0F28B479" w14:textId="77777777" w:rsidR="009706D0" w:rsidRPr="004410BC" w:rsidRDefault="009706D0" w:rsidP="00236C76">
      <w:pPr>
        <w:rPr>
          <w:rFonts w:eastAsia="Times New Roman" w:cs="Arial"/>
          <w:b/>
          <w:color w:val="000000"/>
        </w:rPr>
      </w:pPr>
      <w:bookmarkStart w:id="53" w:name="_Toc12217"/>
      <w:r w:rsidRPr="004410BC">
        <w:rPr>
          <w:rFonts w:cs="Arial"/>
        </w:rPr>
        <w:br w:type="page"/>
      </w:r>
    </w:p>
    <w:p w14:paraId="0FABF09F" w14:textId="22806584" w:rsidR="009F64C5" w:rsidRPr="004410BC" w:rsidRDefault="008D6BF7" w:rsidP="00236C76">
      <w:pPr>
        <w:pStyle w:val="Heading1"/>
        <w:rPr>
          <w:rFonts w:cs="Arial"/>
        </w:rPr>
      </w:pPr>
      <w:bookmarkStart w:id="54" w:name="_Toc238290199"/>
      <w:bookmarkStart w:id="55" w:name="_Toc240724842"/>
      <w:r w:rsidRPr="004410BC">
        <w:rPr>
          <w:rFonts w:cs="Arial"/>
        </w:rPr>
        <w:t>Chapter</w:t>
      </w:r>
      <w:r w:rsidR="00DD7AA5" w:rsidRPr="004410BC">
        <w:rPr>
          <w:rFonts w:cs="Arial"/>
        </w:rPr>
        <w:t xml:space="preserve"> 2</w:t>
      </w:r>
      <w:r w:rsidRPr="004410BC">
        <w:rPr>
          <w:rFonts w:cs="Arial"/>
        </w:rPr>
        <w:t xml:space="preserve">: </w:t>
      </w:r>
      <w:r w:rsidR="009F64C5" w:rsidRPr="004410BC">
        <w:rPr>
          <w:rFonts w:cs="Arial"/>
        </w:rPr>
        <w:t>Literature review/theoretical framework</w:t>
      </w:r>
      <w:bookmarkEnd w:id="54"/>
      <w:bookmarkEnd w:id="55"/>
      <w:r w:rsidR="009F64C5" w:rsidRPr="004410BC">
        <w:rPr>
          <w:rFonts w:cs="Arial"/>
        </w:rPr>
        <w:t xml:space="preserve"> </w:t>
      </w:r>
      <w:bookmarkEnd w:id="53"/>
    </w:p>
    <w:p w14:paraId="2C3EBB19" w14:textId="77777777" w:rsidR="00F40302" w:rsidRPr="004410BC" w:rsidRDefault="00F40302" w:rsidP="00236C76">
      <w:pPr>
        <w:pStyle w:val="Heading2"/>
        <w:rPr>
          <w:rFonts w:eastAsiaTheme="majorEastAsia" w:cs="Arial"/>
        </w:rPr>
      </w:pPr>
      <w:bookmarkStart w:id="56" w:name="_Toc232976318"/>
      <w:bookmarkStart w:id="57" w:name="_Toc234967794"/>
      <w:bookmarkStart w:id="58" w:name="_Toc237213819"/>
      <w:bookmarkStart w:id="59" w:name="_Toc238290200"/>
      <w:bookmarkStart w:id="60" w:name="_Toc240724843"/>
      <w:bookmarkStart w:id="61" w:name="_Toc12218"/>
      <w:r w:rsidRPr="004410BC">
        <w:rPr>
          <w:rFonts w:eastAsiaTheme="majorEastAsia" w:cs="Arial"/>
        </w:rPr>
        <w:t>2.1 Introduction</w:t>
      </w:r>
      <w:bookmarkEnd w:id="56"/>
      <w:bookmarkEnd w:id="57"/>
      <w:bookmarkEnd w:id="58"/>
      <w:bookmarkEnd w:id="59"/>
      <w:bookmarkEnd w:id="60"/>
    </w:p>
    <w:p w14:paraId="7D9C7808" w14:textId="7478AFFA" w:rsidR="00F40302" w:rsidRPr="004410BC" w:rsidRDefault="00F40302" w:rsidP="00236C76">
      <w:pPr>
        <w:rPr>
          <w:rFonts w:cs="Arial"/>
        </w:rPr>
      </w:pPr>
      <w:r w:rsidRPr="004410BC">
        <w:rPr>
          <w:rFonts w:cs="Arial"/>
        </w:rPr>
        <w:t>This chapter aims to critically synthesi</w:t>
      </w:r>
      <w:r w:rsidR="00D74D7F" w:rsidRPr="004410BC">
        <w:rPr>
          <w:rFonts w:cs="Arial"/>
        </w:rPr>
        <w:t>s</w:t>
      </w:r>
      <w:r w:rsidRPr="004410BC">
        <w:rPr>
          <w:rFonts w:cs="Arial"/>
        </w:rPr>
        <w:t>e the current available evidence on health inequalities and healthcare access of ethnic minority populations, which serves as the rationale for this systematic review. Instead of tackling the research objectives directly, this chapter reviews the state of the existing knowledge, pinpoints the points of agreement and disagreement, and summari</w:t>
      </w:r>
      <w:r w:rsidR="00DF2F20" w:rsidRPr="004410BC">
        <w:rPr>
          <w:rFonts w:cs="Arial"/>
        </w:rPr>
        <w:t>s</w:t>
      </w:r>
      <w:r w:rsidRPr="004410BC">
        <w:rPr>
          <w:rFonts w:cs="Arial"/>
        </w:rPr>
        <w:t>es some of the methodological shortcomings that remain a constraint on understanding healthcare accessibility. There are still significant gaps in understanding about the role of access to healthcare in sustaining health inequalities in ethnic minority populations, especially in primary healthcare within the UK (Cu et al., 2021; Hayanga, Stafford and Bécares, 2021).</w:t>
      </w:r>
    </w:p>
    <w:p w14:paraId="76B5D5D2" w14:textId="77777777" w:rsidR="00F40302" w:rsidRPr="004410BC" w:rsidRDefault="00F40302" w:rsidP="00236C76">
      <w:pPr>
        <w:pStyle w:val="Heading2"/>
        <w:rPr>
          <w:rFonts w:eastAsiaTheme="majorEastAsia" w:cs="Arial"/>
        </w:rPr>
      </w:pPr>
      <w:bookmarkStart w:id="62" w:name="_Toc235790979"/>
      <w:bookmarkStart w:id="63" w:name="_Toc237213820"/>
      <w:bookmarkStart w:id="64" w:name="_Toc238290201"/>
      <w:bookmarkStart w:id="65" w:name="_Toc240724844"/>
      <w:r w:rsidRPr="004410BC">
        <w:rPr>
          <w:rFonts w:eastAsiaTheme="majorEastAsia" w:cs="Arial"/>
        </w:rPr>
        <w:t>2.2 Global and UK Burden of Health Inequalities among Ethnic Minority Groups</w:t>
      </w:r>
      <w:bookmarkEnd w:id="62"/>
      <w:bookmarkEnd w:id="63"/>
      <w:bookmarkEnd w:id="64"/>
      <w:bookmarkEnd w:id="65"/>
    </w:p>
    <w:p w14:paraId="38D8D080" w14:textId="77777777" w:rsidR="00F40302" w:rsidRPr="004410BC" w:rsidRDefault="00F40302" w:rsidP="00236C76">
      <w:pPr>
        <w:pStyle w:val="Heading3"/>
        <w:rPr>
          <w:rFonts w:eastAsiaTheme="majorEastAsia" w:cs="Arial"/>
        </w:rPr>
      </w:pPr>
      <w:bookmarkStart w:id="66" w:name="_Toc235790980"/>
      <w:bookmarkStart w:id="67" w:name="_Toc237213821"/>
      <w:bookmarkStart w:id="68" w:name="_Toc238290202"/>
      <w:bookmarkStart w:id="69" w:name="_Toc240724845"/>
      <w:r w:rsidRPr="004410BC">
        <w:rPr>
          <w:rFonts w:eastAsiaTheme="majorEastAsia" w:cs="Arial"/>
        </w:rPr>
        <w:t>2.2.1 Global Burden of Health Inequalities among Ethnic Minority Groups</w:t>
      </w:r>
      <w:bookmarkEnd w:id="66"/>
      <w:bookmarkEnd w:id="67"/>
      <w:bookmarkEnd w:id="68"/>
      <w:bookmarkEnd w:id="69"/>
    </w:p>
    <w:p w14:paraId="70C39809" w14:textId="78E2AF45" w:rsidR="00F40302" w:rsidRPr="004410BC" w:rsidRDefault="00F40302" w:rsidP="00236C76">
      <w:pPr>
        <w:rPr>
          <w:rFonts w:cs="Arial"/>
        </w:rPr>
      </w:pPr>
      <w:r w:rsidRPr="004410BC">
        <w:rPr>
          <w:rFonts w:cs="Arial"/>
        </w:rPr>
        <w:t xml:space="preserve">All studies on health outcomes of ethnic minority groups around the world consistently show a disadvantaged status for ethnic minorities in </w:t>
      </w:r>
      <w:r w:rsidR="00D16693" w:rsidRPr="004410BC">
        <w:rPr>
          <w:rFonts w:cs="Arial"/>
        </w:rPr>
        <w:t>several</w:t>
      </w:r>
      <w:r w:rsidRPr="004410BC">
        <w:rPr>
          <w:rFonts w:cs="Arial"/>
        </w:rPr>
        <w:t xml:space="preserve"> health care systems. But the literature is growing to question explanations </w:t>
      </w:r>
      <w:r w:rsidR="00797BC6" w:rsidRPr="004410BC">
        <w:rPr>
          <w:rFonts w:cs="Arial"/>
        </w:rPr>
        <w:t>that</w:t>
      </w:r>
      <w:r w:rsidRPr="004410BC">
        <w:rPr>
          <w:rFonts w:cs="Arial"/>
        </w:rPr>
        <w:t xml:space="preserve"> see ethnicity as a stand-alone risk factor. Coates et al. (2024) propose that the social determinants of health, socioeconomic disadvantage, discrimination and inequitable access to health services over the life course are key drivers of ethnic inequalities. This interpretation is consistent with Williams, Lawrence and Davis (2019)</w:t>
      </w:r>
      <w:r w:rsidR="00D16693" w:rsidRPr="004410BC">
        <w:rPr>
          <w:rFonts w:cs="Arial"/>
        </w:rPr>
        <w:t>’s</w:t>
      </w:r>
      <w:r w:rsidRPr="004410BC">
        <w:rPr>
          <w:rFonts w:cs="Arial"/>
        </w:rPr>
        <w:t xml:space="preserve"> view that structural racism acts as a mechanism which influences exposure to health risks, access to health care services and progression to disease. These arguments are important because they provide an explanation for why disparities are likely to remain even after taking into account behaviour factors. Most observational studies, however, have an inability to distinguish between ethnic and deprivation effects as they are so closely interrelated, meaning few studies have been able to provide causal conclusions (Linton et al., 2025). </w:t>
      </w:r>
    </w:p>
    <w:p w14:paraId="1AAC93CC" w14:textId="057C6E42" w:rsidR="00F40302" w:rsidRPr="004410BC" w:rsidRDefault="00F40302" w:rsidP="00236C76">
      <w:pPr>
        <w:rPr>
          <w:rFonts w:cs="Arial"/>
        </w:rPr>
      </w:pPr>
      <w:r w:rsidRPr="004410BC">
        <w:rPr>
          <w:rFonts w:cs="Arial"/>
        </w:rPr>
        <w:t>These inequalities have been more apparent during the COVID-19 pandemic. In a recent meta-analysis of more than 200 million people in 77 studies, Irizar et al. (2023) found a significantly increased risk of infection in the Black and South Asian populations relative to the majority populations. In addition to this, Stanaway et al. (2025) identified that hospitalisation rates, intensive care unit admissions</w:t>
      </w:r>
      <w:r w:rsidR="00797BC6" w:rsidRPr="004410BC">
        <w:rPr>
          <w:rFonts w:cs="Arial"/>
        </w:rPr>
        <w:t>,</w:t>
      </w:r>
      <w:r w:rsidRPr="004410BC">
        <w:rPr>
          <w:rFonts w:cs="Arial"/>
        </w:rPr>
        <w:t xml:space="preserve"> and mortality for a number of ethnic minority groups were higher. The results of these analyses are strong evidence for a global pattern, but should be taken with a grain of caution. Irizar et al. (2023) reported high statistical heterogeneity, which may be attributed to variations in the definition of ethnicity, health care systems and public health interventions between countries. The methodological variability means that relying on the pooled estimates will not be very </w:t>
      </w:r>
      <w:r w:rsidR="00797BC6" w:rsidRPr="004410BC">
        <w:rPr>
          <w:rFonts w:cs="Arial"/>
        </w:rPr>
        <w:t>reliable</w:t>
      </w:r>
      <w:r w:rsidRPr="004410BC">
        <w:rPr>
          <w:rFonts w:cs="Arial"/>
        </w:rPr>
        <w:t xml:space="preserve"> and that the size of inequality is highly context-dependent.</w:t>
      </w:r>
    </w:p>
    <w:p w14:paraId="69AEBCC4" w14:textId="77777777" w:rsidR="00F40302" w:rsidRPr="004410BC" w:rsidRDefault="00F40302" w:rsidP="00236C76">
      <w:pPr>
        <w:rPr>
          <w:rFonts w:cs="Arial"/>
        </w:rPr>
      </w:pPr>
      <w:r w:rsidRPr="004410BC">
        <w:rPr>
          <w:rFonts w:cs="Arial"/>
        </w:rPr>
        <w:t>Further evidence from chronic disease management suggests inequalities do not just occur at the death of a child. According to Akin-Imran et al. (2023), ethnic minority individuals who had asthma were less likely to receive routine primary care services, but were more likely to attend an emergency department, be hospitalised and have a severe exacerbation. This pattern indicates that differences might be due to inadequate preventive and continuing care, not just to differences in disease prevalence. This review, however, was mostly comprised of studies conducted in high-income countries, restricting the transferability to lower-income countries with very different financing, infrastructure and patterns of disadvantage in healthcare (Katikireddi et al., 2018). The evidence of ethnic health inequalities internationally, therefore, confirms their existence without answering the relative question of the contribution of broader structural factors versus access to healthcare.</w:t>
      </w:r>
    </w:p>
    <w:p w14:paraId="6F8CAC3A" w14:textId="156C0C3D" w:rsidR="00F40302" w:rsidRPr="004410BC" w:rsidRDefault="00F40302" w:rsidP="00236C76">
      <w:pPr>
        <w:rPr>
          <w:rFonts w:cs="Arial"/>
        </w:rPr>
      </w:pPr>
      <w:r w:rsidRPr="004410BC">
        <w:rPr>
          <w:rFonts w:cs="Arial"/>
        </w:rPr>
        <w:t>This is a particularly interesting case in the UK as inequalities in health and health service access continue in a healthcare system that is based on universal coverage. Hayanga, Stafford and Bécares (2021) identified that multiple long-term conditions, the earlier they developed and the poorer the quality of the care they received, were more common for several ethnic minority groups compared with White British groups. Conclusions in studies related to health care utili</w:t>
      </w:r>
      <w:r w:rsidR="00DF2F20" w:rsidRPr="004410BC">
        <w:rPr>
          <w:rFonts w:cs="Arial"/>
        </w:rPr>
        <w:t>s</w:t>
      </w:r>
      <w:r w:rsidRPr="004410BC">
        <w:rPr>
          <w:rFonts w:cs="Arial"/>
        </w:rPr>
        <w:t>ation and health care quality were similar. There were, however, several key methodological weaknesses, such as inconsistent ethnic classifications, different outcome measures were used, and deprivation was not consistently adjusted for. While the general pattern of the evidence was the same, the variations among studies make it challenging to assess the extent of inequality and to compare results across studies.</w:t>
      </w:r>
    </w:p>
    <w:p w14:paraId="02B82509" w14:textId="119E9386" w:rsidR="00F40302" w:rsidRPr="004410BC" w:rsidRDefault="00F40302" w:rsidP="00236C76">
      <w:pPr>
        <w:rPr>
          <w:rFonts w:cs="Arial"/>
        </w:rPr>
      </w:pPr>
      <w:r w:rsidRPr="004410BC">
        <w:rPr>
          <w:rFonts w:cs="Arial"/>
        </w:rPr>
        <w:t xml:space="preserve">Burden due to chronic disease seems to be higher in the case of the South Asian and Black population (Williams et al., 2024). Hayanga, Stafford and Bécares (2021) found increased prevalence of type 2 diabetes, cardiovascular </w:t>
      </w:r>
      <w:r w:rsidR="00797BC6" w:rsidRPr="004410BC">
        <w:rPr>
          <w:rFonts w:cs="Arial"/>
        </w:rPr>
        <w:t xml:space="preserve">disease, </w:t>
      </w:r>
      <w:r w:rsidRPr="004410BC">
        <w:rPr>
          <w:rFonts w:cs="Arial"/>
        </w:rPr>
        <w:t>and chronic kidney disease, and Eto et al. (2023) found that multimorbidity tends to occur earlier in these groups and is linked to an increased burden of health services use. Importantly, many studies were conducted, and they showed that the differences persisted even after controlling for socioeconomic deprivation, which showed that material disadvantage did not account for the differences observed. Ethnicity thus seems to act on other channels, such as structural barriers, discrimination, and differences in engagement with healthcare.</w:t>
      </w:r>
    </w:p>
    <w:p w14:paraId="6D717666" w14:textId="20549264" w:rsidR="00F40302" w:rsidRPr="004410BC" w:rsidRDefault="00F40302" w:rsidP="00236C76">
      <w:pPr>
        <w:rPr>
          <w:rFonts w:cs="Arial"/>
        </w:rPr>
      </w:pPr>
      <w:r w:rsidRPr="004410BC">
        <w:rPr>
          <w:rFonts w:cs="Arial"/>
        </w:rPr>
        <w:t xml:space="preserve">This is confirmed by the evidence in the UK in relation to COVID-19. Despite having access to the NHS, Siddiq et al. (2023) reported significantly higher mortality risks among Black populations and the greater likelihood of admission to intensive care among Black, Asian and Mixed ethnic groups. </w:t>
      </w:r>
    </w:p>
    <w:p w14:paraId="34D826BC" w14:textId="77777777" w:rsidR="00F40302" w:rsidRPr="004410BC" w:rsidRDefault="00F40302" w:rsidP="00236C76">
      <w:pPr>
        <w:pStyle w:val="Heading3"/>
        <w:rPr>
          <w:rFonts w:eastAsiaTheme="majorEastAsia" w:cs="Arial"/>
        </w:rPr>
      </w:pPr>
      <w:bookmarkStart w:id="70" w:name="_Toc235790981"/>
      <w:bookmarkStart w:id="71" w:name="_Toc237213822"/>
      <w:bookmarkStart w:id="72" w:name="_Toc238290203"/>
      <w:bookmarkStart w:id="73" w:name="_Toc240724846"/>
      <w:r w:rsidRPr="004410BC">
        <w:rPr>
          <w:rFonts w:eastAsiaTheme="majorEastAsia" w:cs="Arial"/>
        </w:rPr>
        <w:t>2.2.2 UK Burden of Health Inequalities among Ethnic Minority Groups</w:t>
      </w:r>
      <w:bookmarkEnd w:id="70"/>
      <w:bookmarkEnd w:id="71"/>
      <w:bookmarkEnd w:id="72"/>
      <w:bookmarkEnd w:id="73"/>
      <w:r w:rsidRPr="004410BC">
        <w:rPr>
          <w:rFonts w:eastAsiaTheme="majorEastAsia" w:cs="Arial"/>
        </w:rPr>
        <w:t xml:space="preserve"> </w:t>
      </w:r>
    </w:p>
    <w:p w14:paraId="6352D8A1" w14:textId="3D8CC4E9" w:rsidR="00F40302" w:rsidRPr="004410BC" w:rsidRDefault="00F40302" w:rsidP="00236C76">
      <w:pPr>
        <w:rPr>
          <w:rFonts w:cs="Arial"/>
        </w:rPr>
      </w:pPr>
      <w:r w:rsidRPr="004410BC">
        <w:rPr>
          <w:rFonts w:cs="Arial"/>
        </w:rPr>
        <w:t>Although health inequalities are basic principles of the NHS, significant evidence shows that health inequalities are entrenched in the UK health system. Hayanga, Stafford and Bécares (2021) identified several ethnic minority groups who are more likely to have multiple long-term conditions, to develop these conditions at an earlier age, and who are less likely to be provided with high-quality care when compared to the White British population. Importantly, the review revealed that despite the availability of universal health care provision, in the studies included, there was a persistent inequality in the provision of health care, both in the utili</w:t>
      </w:r>
      <w:r w:rsidR="00DF2F20" w:rsidRPr="004410BC">
        <w:rPr>
          <w:rFonts w:cs="Arial"/>
        </w:rPr>
        <w:t>s</w:t>
      </w:r>
      <w:r w:rsidRPr="004410BC">
        <w:rPr>
          <w:rFonts w:cs="Arial"/>
        </w:rPr>
        <w:t>ation of health care and in the quality of health care. But this conclusion needs to be read in the context of some significant methodological caveats. There was a lack of consistency across studies, due to different classifications of ethnicity, different measures of outcomes, and different adjustments for socioeconomic deprivation, which made it difficult to accurately estimate the magnitude of disparities but did not detract from the general pattern.</w:t>
      </w:r>
    </w:p>
    <w:p w14:paraId="7C4D8CA0" w14:textId="0C7B595D" w:rsidR="00F40302" w:rsidRPr="004410BC" w:rsidRDefault="00F40302" w:rsidP="00236C76">
      <w:pPr>
        <w:rPr>
          <w:rFonts w:cs="Arial"/>
        </w:rPr>
      </w:pPr>
      <w:r w:rsidRPr="004410BC">
        <w:rPr>
          <w:rFonts w:cs="Arial"/>
        </w:rPr>
        <w:t>Chronic diseases also disproportionately affect ethnic groups. Hayanga, Stafford and Bécares (2021) found that in South Asia and among Black people, the prevalence of type 2 diabetes, cardiovascular disease, and chronic kidney disease was also higher and that they were more likely to develop these diseases at an earlier age than White people. Likewise, Eto et al. (2023) showed that having multimorbidity at an early age is associated with higher healthcare utili</w:t>
      </w:r>
      <w:r w:rsidR="00DF2F20" w:rsidRPr="004410BC">
        <w:rPr>
          <w:rFonts w:cs="Arial"/>
        </w:rPr>
        <w:t>s</w:t>
      </w:r>
      <w:r w:rsidRPr="004410BC">
        <w:rPr>
          <w:rFonts w:cs="Arial"/>
        </w:rPr>
        <w:t>ation over the lifespan. In particular, it was discovered that these gaps would not have been reduced after accounting for socioeconomic disadvantage in many studies, suggesting that it is not solely material disadvantage that drives ethnic inequalities. Rather, there is evidence that structural, organisational and healthcare-related factors influence differential health outcomes in interaction with socioeconomic factors, rather than ethnicity being a stand-alone determinant of health outcomes.</w:t>
      </w:r>
    </w:p>
    <w:p w14:paraId="4618C4CB" w14:textId="7F454AD4" w:rsidR="00F40302" w:rsidRPr="004410BC" w:rsidRDefault="00F40302" w:rsidP="00236C76">
      <w:pPr>
        <w:rPr>
          <w:rFonts w:cs="Arial"/>
        </w:rPr>
      </w:pPr>
      <w:r w:rsidRPr="004410BC">
        <w:rPr>
          <w:rFonts w:cs="Arial"/>
        </w:rPr>
        <w:t xml:space="preserve">These inequalities were exacerbated by the COVID-19 pandemic. Siddiq et al. (2023) found that, overall, there was a significantly higher mortality rate amongst black groups, and that black, Asian and Mixed ethnic groups were more likely to need intensive care even if they had access to universal healthcare. </w:t>
      </w:r>
    </w:p>
    <w:p w14:paraId="3F428486" w14:textId="77777777" w:rsidR="00F40302" w:rsidRPr="004410BC" w:rsidRDefault="00F40302" w:rsidP="00236C76">
      <w:pPr>
        <w:pStyle w:val="Heading2"/>
        <w:rPr>
          <w:rFonts w:eastAsiaTheme="majorEastAsia" w:cs="Arial"/>
        </w:rPr>
      </w:pPr>
      <w:bookmarkStart w:id="74" w:name="_Toc235790982"/>
      <w:bookmarkStart w:id="75" w:name="_Toc237213823"/>
      <w:bookmarkStart w:id="76" w:name="_Toc238290204"/>
      <w:bookmarkStart w:id="77" w:name="_Toc240724847"/>
      <w:r w:rsidRPr="004410BC">
        <w:rPr>
          <w:rFonts w:eastAsiaTheme="majorEastAsia" w:cs="Arial"/>
        </w:rPr>
        <w:t>2.3 Wider Determinants of Health Inequalities</w:t>
      </w:r>
      <w:bookmarkEnd w:id="74"/>
      <w:bookmarkEnd w:id="75"/>
      <w:bookmarkEnd w:id="76"/>
      <w:bookmarkEnd w:id="77"/>
    </w:p>
    <w:p w14:paraId="75E2EE48" w14:textId="77777777" w:rsidR="00F40302" w:rsidRPr="004410BC" w:rsidRDefault="00F40302" w:rsidP="00236C76">
      <w:pPr>
        <w:pStyle w:val="Heading3"/>
        <w:rPr>
          <w:rFonts w:eastAsiaTheme="majorEastAsia" w:cs="Arial"/>
        </w:rPr>
      </w:pPr>
      <w:bookmarkStart w:id="78" w:name="_Toc235790983"/>
      <w:bookmarkStart w:id="79" w:name="_Toc237213824"/>
      <w:bookmarkStart w:id="80" w:name="_Toc238290205"/>
      <w:bookmarkStart w:id="81" w:name="_Toc240724848"/>
      <w:r w:rsidRPr="004410BC">
        <w:rPr>
          <w:rFonts w:eastAsiaTheme="majorEastAsia" w:cs="Arial"/>
        </w:rPr>
        <w:t>2.3.1 Socioeconomic Determinants</w:t>
      </w:r>
      <w:bookmarkEnd w:id="78"/>
      <w:bookmarkEnd w:id="79"/>
      <w:bookmarkEnd w:id="80"/>
      <w:bookmarkEnd w:id="81"/>
    </w:p>
    <w:p w14:paraId="1DDC25B0" w14:textId="1E89FF4B" w:rsidR="00F40302" w:rsidRPr="004410BC" w:rsidRDefault="00F40302" w:rsidP="00236C76">
      <w:pPr>
        <w:rPr>
          <w:rFonts w:cs="Arial"/>
        </w:rPr>
      </w:pPr>
      <w:r w:rsidRPr="004410BC">
        <w:rPr>
          <w:rFonts w:cs="Arial"/>
        </w:rPr>
        <w:t xml:space="preserve">The link between socioeconomic disadvantage and ethnic health inequalities is direct through associations with exposure to health risks throughout the lifespan. There is, however, evidence that suggests that these inequalities are not just </w:t>
      </w:r>
      <w:r w:rsidR="00797BC6" w:rsidRPr="004410BC">
        <w:rPr>
          <w:rFonts w:cs="Arial"/>
        </w:rPr>
        <w:t>a matter</w:t>
      </w:r>
      <w:r w:rsidRPr="004410BC">
        <w:rPr>
          <w:rFonts w:cs="Arial"/>
        </w:rPr>
        <w:t xml:space="preserve"> of deprivation. Despite the significant disparities in how ethnicity and socioeconomic status were measured, Coates et al. (2024) reported that they both contribute more to an understanding of health outcomes than their interaction alone. This means that education, employment, income</w:t>
      </w:r>
      <w:r w:rsidR="00797BC6" w:rsidRPr="004410BC">
        <w:rPr>
          <w:rFonts w:cs="Arial"/>
        </w:rPr>
        <w:t>,</w:t>
      </w:r>
      <w:r w:rsidRPr="004410BC">
        <w:rPr>
          <w:rFonts w:cs="Arial"/>
        </w:rPr>
        <w:t xml:space="preserve"> and housing do not have independent effects on health, but rather they operate through interrelated effects. Whilst universal healthcare removes financial constraints, there are still inequalities related to broader social disadvantage, and this means that socioeconomic factors must be factored in alongside other factors (Cu et al., 2021).</w:t>
      </w:r>
    </w:p>
    <w:p w14:paraId="219E8936" w14:textId="77777777" w:rsidR="00F40302" w:rsidRPr="004410BC" w:rsidRDefault="00F40302" w:rsidP="00236C76">
      <w:pPr>
        <w:pStyle w:val="Heading3"/>
        <w:rPr>
          <w:rFonts w:eastAsiaTheme="majorEastAsia" w:cs="Arial"/>
        </w:rPr>
      </w:pPr>
      <w:bookmarkStart w:id="82" w:name="_Toc235790984"/>
      <w:bookmarkStart w:id="83" w:name="_Toc237213825"/>
      <w:bookmarkStart w:id="84" w:name="_Toc238290206"/>
      <w:bookmarkStart w:id="85" w:name="_Toc240724849"/>
      <w:r w:rsidRPr="004410BC">
        <w:rPr>
          <w:rFonts w:eastAsiaTheme="majorEastAsia" w:cs="Arial"/>
        </w:rPr>
        <w:t>2.3.2 Cultural Determinants</w:t>
      </w:r>
      <w:bookmarkEnd w:id="82"/>
      <w:bookmarkEnd w:id="83"/>
      <w:bookmarkEnd w:id="84"/>
      <w:bookmarkEnd w:id="85"/>
    </w:p>
    <w:p w14:paraId="5A029FE7" w14:textId="77777777" w:rsidR="00F40302" w:rsidRPr="004410BC" w:rsidRDefault="00F40302" w:rsidP="00236C76">
      <w:pPr>
        <w:rPr>
          <w:rFonts w:cs="Arial"/>
        </w:rPr>
      </w:pPr>
      <w:r w:rsidRPr="004410BC">
        <w:rPr>
          <w:rFonts w:cs="Arial"/>
        </w:rPr>
        <w:t>Health beliefs, communication and engagement with services, and cultural determinants are not the root cause of ethnic inequalities, but instead influence access to healthcare. Language barriers and limited health literacy, along with healthcare system use, are consistently associated with less use of preventive and primary care services (Ekezie et al., 2022; Robinson et al., 2022; Heath et al., 2023). However, it is qualitative evidence that shows that these barriers are more likely to be influenced by other societal and organisational contexts that are not just cultural. Additionally, previous experiences of discrimination can lead to a decrease in trust in health services and access to health services, but the impact of such experiences can differ among populations and contexts (Hackett et al., 2020; Brady et al., 2025). So, it is important to seek out the wider social, economic, and institutional influences on cultural determinants.</w:t>
      </w:r>
    </w:p>
    <w:p w14:paraId="31BD3F1B" w14:textId="77777777" w:rsidR="00F40302" w:rsidRPr="004410BC" w:rsidRDefault="00F40302" w:rsidP="00236C76">
      <w:pPr>
        <w:pStyle w:val="Heading3"/>
        <w:rPr>
          <w:rFonts w:eastAsiaTheme="majorEastAsia" w:cs="Arial"/>
        </w:rPr>
      </w:pPr>
      <w:bookmarkStart w:id="86" w:name="_Toc235790985"/>
      <w:bookmarkStart w:id="87" w:name="_Toc237213826"/>
      <w:bookmarkStart w:id="88" w:name="_Toc238290207"/>
      <w:bookmarkStart w:id="89" w:name="_Toc240724850"/>
      <w:r w:rsidRPr="004410BC">
        <w:rPr>
          <w:rFonts w:eastAsiaTheme="majorEastAsia" w:cs="Arial"/>
        </w:rPr>
        <w:t>2.3.3 Structural Determinants</w:t>
      </w:r>
      <w:bookmarkEnd w:id="86"/>
      <w:bookmarkEnd w:id="87"/>
      <w:bookmarkEnd w:id="88"/>
      <w:bookmarkEnd w:id="89"/>
    </w:p>
    <w:p w14:paraId="442AAEA6" w14:textId="2F139B5E" w:rsidR="00F40302" w:rsidRPr="004410BC" w:rsidRDefault="00F40302" w:rsidP="00236C76">
      <w:pPr>
        <w:rPr>
          <w:rFonts w:cs="Arial"/>
        </w:rPr>
      </w:pPr>
      <w:r w:rsidRPr="004410BC">
        <w:rPr>
          <w:rFonts w:cs="Arial"/>
        </w:rPr>
        <w:t>Structural determinants of health act through policies, institutional practices</w:t>
      </w:r>
      <w:r w:rsidR="00D16693" w:rsidRPr="004410BC">
        <w:rPr>
          <w:rFonts w:cs="Arial"/>
        </w:rPr>
        <w:t>,</w:t>
      </w:r>
      <w:r w:rsidRPr="004410BC">
        <w:rPr>
          <w:rFonts w:cs="Arial"/>
        </w:rPr>
        <w:t xml:space="preserve"> and broader social systems that impact access to health care. Repeated discrimination has been found to be correlated with worse physical and mental health outcomes, which are associated with institutional racism (Hackett et al., 2020). In practice, however, most evidence is observational and often comes from self-reported experiences, meaning that it does not allow causal interpretation (Williams et al., 2019). Likewise, qualitative research indicates that there is a context-specific barrier to accessing healthcare in a timely fashion for certain migrant communities, which is in part due to immigration policies and to the NHS 'hostile environment' (Dobbin et al., 2024). Structural factors thus seem to contribute to and aggravate socioeconomic and cultural disadvantages.</w:t>
      </w:r>
    </w:p>
    <w:p w14:paraId="347AE6DB" w14:textId="77777777" w:rsidR="00F40302" w:rsidRPr="004410BC" w:rsidRDefault="00F40302" w:rsidP="00236C76">
      <w:pPr>
        <w:pStyle w:val="Heading3"/>
        <w:rPr>
          <w:rFonts w:eastAsiaTheme="majorEastAsia" w:cs="Arial"/>
        </w:rPr>
      </w:pPr>
      <w:bookmarkStart w:id="90" w:name="_Toc235790986"/>
      <w:bookmarkStart w:id="91" w:name="_Toc237213827"/>
      <w:bookmarkStart w:id="92" w:name="_Toc238290208"/>
      <w:bookmarkStart w:id="93" w:name="_Toc240724851"/>
      <w:r w:rsidRPr="004410BC">
        <w:rPr>
          <w:rFonts w:eastAsiaTheme="majorEastAsia" w:cs="Arial"/>
        </w:rPr>
        <w:t>2.3.4 Healthcare-related Determinants</w:t>
      </w:r>
      <w:bookmarkEnd w:id="90"/>
      <w:bookmarkEnd w:id="91"/>
      <w:bookmarkEnd w:id="92"/>
      <w:bookmarkEnd w:id="93"/>
    </w:p>
    <w:p w14:paraId="69F71D26" w14:textId="77777777" w:rsidR="00F40302" w:rsidRPr="004410BC" w:rsidRDefault="00F40302" w:rsidP="00236C76">
      <w:pPr>
        <w:rPr>
          <w:rFonts w:cs="Arial"/>
        </w:rPr>
      </w:pPr>
      <w:r w:rsidRPr="004410BC">
        <w:rPr>
          <w:rFonts w:cs="Arial"/>
        </w:rPr>
        <w:t>Health determinants are factors that impact the ability of people to access and use health services. Levesque's model of access to health services is not limited to the availability of services but extends to the healthcare system as well as the patient (Cu et al., 2021). There is growing evidence that, among ethnic minority groups, language difficulties and low digital literacy may combine to create extra barriers in the healthcare context, where a shortage of interpreters is also an issue (Atherton et al., 2024; Islam, Bailey, and Netto, 2024; Heath et al., 2023). Digital services may help to increase access for some patients, but can be a potential driver to deepen inequalities if there is no consideration for diverse needs. There is also a lack of understanding of the interaction between organisational, cultural and structural determinants across the primary care pathway so far (Herlitz et al., 2024; Eveleigh et al., 2025).</w:t>
      </w:r>
    </w:p>
    <w:p w14:paraId="4826207B" w14:textId="77777777" w:rsidR="00F40302" w:rsidRPr="004410BC" w:rsidRDefault="00F40302" w:rsidP="00236C76">
      <w:pPr>
        <w:pStyle w:val="Heading2"/>
        <w:rPr>
          <w:rFonts w:eastAsiaTheme="majorEastAsia" w:cs="Arial"/>
        </w:rPr>
      </w:pPr>
      <w:bookmarkStart w:id="94" w:name="_Toc235790987"/>
      <w:bookmarkStart w:id="95" w:name="_Toc237213828"/>
      <w:bookmarkStart w:id="96" w:name="_Toc238290209"/>
      <w:bookmarkStart w:id="97" w:name="_Toc240724852"/>
      <w:r w:rsidRPr="004410BC">
        <w:rPr>
          <w:rFonts w:eastAsiaTheme="majorEastAsia" w:cs="Arial"/>
        </w:rPr>
        <w:t>2.4 Conceptualising Access to Healthcare</w:t>
      </w:r>
      <w:bookmarkEnd w:id="94"/>
      <w:bookmarkEnd w:id="95"/>
      <w:bookmarkEnd w:id="96"/>
      <w:bookmarkEnd w:id="97"/>
      <w:r w:rsidRPr="004410BC">
        <w:rPr>
          <w:rFonts w:eastAsiaTheme="majorEastAsia" w:cs="Arial"/>
        </w:rPr>
        <w:t xml:space="preserve"> </w:t>
      </w:r>
    </w:p>
    <w:p w14:paraId="79B8FB2D" w14:textId="77777777" w:rsidR="00F40302" w:rsidRPr="004410BC" w:rsidRDefault="00F40302" w:rsidP="00236C76">
      <w:pPr>
        <w:pStyle w:val="Heading3"/>
        <w:rPr>
          <w:rFonts w:eastAsiaTheme="majorEastAsia" w:cs="Arial"/>
        </w:rPr>
      </w:pPr>
      <w:bookmarkStart w:id="98" w:name="_Toc235790988"/>
      <w:bookmarkStart w:id="99" w:name="_Toc237213829"/>
      <w:bookmarkStart w:id="100" w:name="_Toc238290210"/>
      <w:bookmarkStart w:id="101" w:name="_Toc240724853"/>
      <w:r w:rsidRPr="004410BC">
        <w:rPr>
          <w:rFonts w:eastAsiaTheme="majorEastAsia" w:cs="Arial"/>
        </w:rPr>
        <w:t>2.4.1 Physical and Organisational Accessibility</w:t>
      </w:r>
      <w:bookmarkEnd w:id="98"/>
      <w:bookmarkEnd w:id="99"/>
      <w:bookmarkEnd w:id="100"/>
      <w:bookmarkEnd w:id="101"/>
      <w:r w:rsidRPr="004410BC">
        <w:rPr>
          <w:rFonts w:eastAsiaTheme="majorEastAsia" w:cs="Arial"/>
        </w:rPr>
        <w:t xml:space="preserve"> </w:t>
      </w:r>
    </w:p>
    <w:p w14:paraId="4888EE26" w14:textId="3F75275F" w:rsidR="00F40302" w:rsidRPr="004410BC" w:rsidRDefault="00F40302" w:rsidP="00236C76">
      <w:pPr>
        <w:rPr>
          <w:rFonts w:cs="Arial"/>
        </w:rPr>
      </w:pPr>
      <w:r w:rsidRPr="004410BC">
        <w:rPr>
          <w:rFonts w:cs="Arial"/>
        </w:rPr>
        <w:t>While access to health care can be seen simply as the availability of health care services, Cu et al. (2021) contend that it is a multi-dimensional process. This way of thinking moves beyond geography to the dynamic</w:t>
      </w:r>
      <w:r w:rsidR="00797BC6" w:rsidRPr="004410BC">
        <w:rPr>
          <w:rFonts w:cs="Arial"/>
        </w:rPr>
        <w:t>s</w:t>
      </w:r>
      <w:r w:rsidRPr="004410BC">
        <w:rPr>
          <w:rFonts w:cs="Arial"/>
        </w:rPr>
        <w:t xml:space="preserve"> of how health system attributes and an individual's capacity to access the right care interact and affect each other. However, physical accessibility is more than just the distance involved, and also incorporates aspects of appointment availability and opening hours, workforce capacity</w:t>
      </w:r>
      <w:r w:rsidR="00797BC6" w:rsidRPr="004410BC">
        <w:rPr>
          <w:rFonts w:cs="Arial"/>
        </w:rPr>
        <w:t>,</w:t>
      </w:r>
      <w:r w:rsidRPr="004410BC">
        <w:rPr>
          <w:rFonts w:cs="Arial"/>
        </w:rPr>
        <w:t xml:space="preserve"> and organisational flexibility. Atherton et al. (2024) and Herlitz et al. (2024) also indicate that, other than geographical barriers, the structure of the health system may play a larger role in shaping access to health care services than organisational barriers, especially in high-income countries where primary care is highly fragmented. But the significance of these factors is not agreed</w:t>
      </w:r>
      <w:r w:rsidR="00797BC6" w:rsidRPr="004410BC">
        <w:rPr>
          <w:rFonts w:cs="Arial"/>
        </w:rPr>
        <w:t xml:space="preserve"> upon</w:t>
      </w:r>
      <w:r w:rsidRPr="004410BC">
        <w:rPr>
          <w:rFonts w:cs="Arial"/>
        </w:rPr>
        <w:t>, as healthcare is provided and organised in different ways. Wainwright et al. (2024) note that there is variation in the impact of organisational arrangements across types of settings, meaning that organisational factors cannot be considered as a single factor of accessibility. Moreover, Atherton et al. (2024) and Islam, Bailey, and Netto (2024) find that digital appointment systems can enhance the convenience of digitally literate individuals, but can cause problems for older people and ethnic minority communities with lower levels of digital literacy. The conflicting results indicate that there is no automatic connection between organisational innovation and equity. Rather, it is the availability of fair access to healthcare services that is contingent on the design of services to cater to the needs of different patients. The conceptualisation offered by Cu et al. (2021) is therefore better than the previous supply-side models in explaining inequalities in accessing health care</w:t>
      </w:r>
      <w:r w:rsidR="00797BC6" w:rsidRPr="004410BC">
        <w:rPr>
          <w:rFonts w:cs="Arial"/>
        </w:rPr>
        <w:t>,</w:t>
      </w:r>
      <w:r w:rsidRPr="004410BC">
        <w:rPr>
          <w:rFonts w:cs="Arial"/>
        </w:rPr>
        <w:t xml:space="preserve"> as it considers the organisational characteristics in addition to patients' perceived, sought, reached and engaged capacities.</w:t>
      </w:r>
    </w:p>
    <w:p w14:paraId="48250AEF" w14:textId="77777777" w:rsidR="00F40302" w:rsidRPr="004410BC" w:rsidRDefault="00F40302" w:rsidP="00236C76">
      <w:pPr>
        <w:pStyle w:val="Heading3"/>
        <w:rPr>
          <w:rFonts w:eastAsiaTheme="majorEastAsia" w:cs="Arial"/>
        </w:rPr>
      </w:pPr>
      <w:bookmarkStart w:id="102" w:name="_Toc235790989"/>
      <w:bookmarkStart w:id="103" w:name="_Toc237213830"/>
      <w:bookmarkStart w:id="104" w:name="_Toc238290211"/>
      <w:bookmarkStart w:id="105" w:name="_Toc240724854"/>
      <w:r w:rsidRPr="004410BC">
        <w:rPr>
          <w:rFonts w:eastAsiaTheme="majorEastAsia" w:cs="Arial"/>
        </w:rPr>
        <w:t>2.4.2 Communication and Cultural Accessibility</w:t>
      </w:r>
      <w:bookmarkEnd w:id="102"/>
      <w:bookmarkEnd w:id="103"/>
      <w:bookmarkEnd w:id="104"/>
      <w:bookmarkEnd w:id="105"/>
      <w:r w:rsidRPr="004410BC">
        <w:rPr>
          <w:rFonts w:eastAsiaTheme="majorEastAsia" w:cs="Arial"/>
        </w:rPr>
        <w:t xml:space="preserve"> </w:t>
      </w:r>
    </w:p>
    <w:p w14:paraId="50215894" w14:textId="161D5B53" w:rsidR="00F40302" w:rsidRPr="004410BC" w:rsidRDefault="00F40302" w:rsidP="00236C76">
      <w:pPr>
        <w:rPr>
          <w:rFonts w:cs="Arial"/>
        </w:rPr>
      </w:pPr>
      <w:r w:rsidRPr="004410BC">
        <w:rPr>
          <w:rFonts w:cs="Arial"/>
        </w:rPr>
        <w:t>Effective communication is cited as a core aspect of equity in health care as it can determine if the patient is able to understand, navigate and utili</w:t>
      </w:r>
      <w:r w:rsidR="00A46C47" w:rsidRPr="004410BC">
        <w:rPr>
          <w:rFonts w:cs="Arial"/>
        </w:rPr>
        <w:t>s</w:t>
      </w:r>
      <w:r w:rsidRPr="004410BC">
        <w:rPr>
          <w:rFonts w:cs="Arial"/>
        </w:rPr>
        <w:t>e available services (Heath et al., 2023). There is systematic review evidence that professional interpreter services result in an improvement in the accuracy of communication, satisfaction of the patient, and clinical interactions. However, inequalities are not just about communication, and communication barriers are to be found in wider contexts of organisations and structures and cannot be removed with interpreter provision. Ekezie et al. (2022), Robinson et al. (2022) and Jovanović et al. (202</w:t>
      </w:r>
      <w:r w:rsidR="00770677" w:rsidRPr="004410BC">
        <w:rPr>
          <w:rFonts w:cs="Arial"/>
        </w:rPr>
        <w:t>5</w:t>
      </w:r>
      <w:r w:rsidRPr="004410BC">
        <w:rPr>
          <w:rFonts w:cs="Arial"/>
        </w:rPr>
        <w:t>) have all found that language barriers and the lack of culturally appropriate communication impact healthcare utili</w:t>
      </w:r>
      <w:r w:rsidR="00A46C47" w:rsidRPr="004410BC">
        <w:rPr>
          <w:rFonts w:cs="Arial"/>
        </w:rPr>
        <w:t>s</w:t>
      </w:r>
      <w:r w:rsidRPr="004410BC">
        <w:rPr>
          <w:rFonts w:cs="Arial"/>
        </w:rPr>
        <w:t>ation among ethnic minority groups in a negative way and delay access to care. However, research methods vary in the evidence that they provide. While quantitative studies are useful for determining statistical links between communication and patient experiences or health choices, the explanations offered by qualitative studies are detailed enough to give a sense of how communication barriers affect the patient. This means that qualitative results will have more meaning in their context, but will be less generali</w:t>
      </w:r>
      <w:r w:rsidR="00D648BC" w:rsidRPr="004410BC">
        <w:rPr>
          <w:rFonts w:cs="Arial"/>
        </w:rPr>
        <w:t>s</w:t>
      </w:r>
      <w:r w:rsidRPr="004410BC">
        <w:rPr>
          <w:rFonts w:cs="Arial"/>
        </w:rPr>
        <w:t>able, and quantitative research will have more generali</w:t>
      </w:r>
      <w:r w:rsidR="00D648BC" w:rsidRPr="004410BC">
        <w:rPr>
          <w:rFonts w:cs="Arial"/>
        </w:rPr>
        <w:t>s</w:t>
      </w:r>
      <w:r w:rsidRPr="004410BC">
        <w:rPr>
          <w:rFonts w:cs="Arial"/>
        </w:rPr>
        <w:t>ability but less meaning with regard to causal processes. The differences in methodology account for discrepancies in the literature and not inconsistencies in the data. However, communication should also not be considered as an independent factor; according to Cu et al. (2021), socioeconomic factors, organisation</w:t>
      </w:r>
      <w:r w:rsidR="00797BC6" w:rsidRPr="004410BC">
        <w:rPr>
          <w:rFonts w:cs="Arial"/>
        </w:rPr>
        <w:t>al</w:t>
      </w:r>
      <w:r w:rsidRPr="004410BC">
        <w:rPr>
          <w:rFonts w:cs="Arial"/>
        </w:rPr>
        <w:t xml:space="preserve"> and structural inequalities also affect patients' capacity to interact with health services. </w:t>
      </w:r>
    </w:p>
    <w:p w14:paraId="2A4FF2DE" w14:textId="77777777" w:rsidR="00F40302" w:rsidRPr="004410BC" w:rsidRDefault="00F40302" w:rsidP="00236C76">
      <w:pPr>
        <w:pStyle w:val="Heading3"/>
        <w:rPr>
          <w:rFonts w:eastAsiaTheme="majorEastAsia" w:cs="Arial"/>
        </w:rPr>
      </w:pPr>
      <w:bookmarkStart w:id="106" w:name="_Toc235790990"/>
      <w:bookmarkStart w:id="107" w:name="_Toc237213831"/>
      <w:bookmarkStart w:id="108" w:name="_Toc238290212"/>
      <w:bookmarkStart w:id="109" w:name="_Toc240724855"/>
      <w:r w:rsidRPr="004410BC">
        <w:rPr>
          <w:rFonts w:eastAsiaTheme="majorEastAsia" w:cs="Arial"/>
        </w:rPr>
        <w:t>2.4.3 Acceptability and Quality of Care</w:t>
      </w:r>
      <w:bookmarkEnd w:id="106"/>
      <w:bookmarkEnd w:id="107"/>
      <w:bookmarkEnd w:id="108"/>
      <w:bookmarkEnd w:id="109"/>
      <w:r w:rsidRPr="004410BC">
        <w:rPr>
          <w:rFonts w:eastAsiaTheme="majorEastAsia" w:cs="Arial"/>
        </w:rPr>
        <w:t xml:space="preserve"> </w:t>
      </w:r>
    </w:p>
    <w:p w14:paraId="582504F7" w14:textId="26E048BD" w:rsidR="00F40302" w:rsidRPr="004410BC" w:rsidRDefault="00F40302" w:rsidP="00236C76">
      <w:pPr>
        <w:rPr>
          <w:rFonts w:cs="Arial"/>
        </w:rPr>
      </w:pPr>
      <w:r w:rsidRPr="004410BC">
        <w:rPr>
          <w:rFonts w:cs="Arial"/>
        </w:rPr>
        <w:t xml:space="preserve">Brady et al. (2025) and Eccles et al. (2025) believe access to healthcare goes beyond availability to the perceived respect, trust and responsiveness of care to patients' needs. Trust and continuity of care and patient-centred communication have always been linked with increased participation of ethnic minority populations. Some differences exist, however, about which dimension is the strongest predictor of use of health services. Interpersonal relationships and culturally appropriate communication are highlighted as key factors that promote ongoing engagement with healthcare, with qualitative studies by Pilav et al. (2022) and Smyth et al. (2024) demonstrating this. By contrast, McGreevy et al. (2023) narrow their investigation to measures of the organisation's performance, as these can be subject to analysis with routine administrative data. The differences in the conclusions drawn are not due to </w:t>
      </w:r>
      <w:r w:rsidR="00797BC6" w:rsidRPr="004410BC">
        <w:rPr>
          <w:rFonts w:cs="Arial"/>
        </w:rPr>
        <w:t>a</w:t>
      </w:r>
      <w:r w:rsidRPr="004410BC">
        <w:rPr>
          <w:rFonts w:cs="Arial"/>
        </w:rPr>
        <w:t xml:space="preserve"> lack of evidence. The different conclusions are not due to a lack of evidence, but methodological differences. Administrative data offer good population-level estimates and offer minimal information about what happens to patients, and qualitative research offers detailed explanations of patients' perceptions of care, but is not generalisable. Therefore, the authors Cu et al. (2021) propose that access to healthcare must be understood as a dynamic process of interplay between physical, organisational, communicative and relational aspects of the system, and not as individual elements. This multi-dimensional approach offers a more robust analytical tool for understanding ethnic inequalities as it takes account of the fact that barriers can be interdependent.</w:t>
      </w:r>
    </w:p>
    <w:p w14:paraId="69820F28" w14:textId="77777777" w:rsidR="00F40302" w:rsidRPr="004410BC" w:rsidRDefault="00F40302" w:rsidP="00236C76">
      <w:pPr>
        <w:pStyle w:val="Heading2"/>
        <w:rPr>
          <w:rFonts w:eastAsiaTheme="majorEastAsia" w:cs="Arial"/>
        </w:rPr>
      </w:pPr>
      <w:bookmarkStart w:id="110" w:name="_Toc235790991"/>
      <w:bookmarkStart w:id="111" w:name="_Toc237213832"/>
      <w:bookmarkStart w:id="112" w:name="_Toc238290213"/>
      <w:bookmarkStart w:id="113" w:name="_Toc240724856"/>
      <w:r w:rsidRPr="004410BC">
        <w:rPr>
          <w:rFonts w:eastAsiaTheme="majorEastAsia" w:cs="Arial"/>
        </w:rPr>
        <w:t>2.5 Barriers to Healthcare Access among Ethnic Minority Populations</w:t>
      </w:r>
      <w:bookmarkEnd w:id="110"/>
      <w:bookmarkEnd w:id="111"/>
      <w:bookmarkEnd w:id="112"/>
      <w:bookmarkEnd w:id="113"/>
    </w:p>
    <w:p w14:paraId="3D8C5483" w14:textId="77777777" w:rsidR="00F40302" w:rsidRPr="004410BC" w:rsidRDefault="00F40302" w:rsidP="00236C76">
      <w:pPr>
        <w:pStyle w:val="Heading3"/>
        <w:rPr>
          <w:rFonts w:eastAsiaTheme="majorEastAsia" w:cs="Arial"/>
        </w:rPr>
      </w:pPr>
      <w:bookmarkStart w:id="114" w:name="_Toc235790992"/>
      <w:bookmarkStart w:id="115" w:name="_Toc237213833"/>
      <w:bookmarkStart w:id="116" w:name="_Toc238290214"/>
      <w:bookmarkStart w:id="117" w:name="_Toc240724857"/>
      <w:r w:rsidRPr="004410BC">
        <w:rPr>
          <w:rFonts w:eastAsiaTheme="majorEastAsia" w:cs="Arial"/>
        </w:rPr>
        <w:t>2.5.1 International Evidence</w:t>
      </w:r>
      <w:bookmarkEnd w:id="114"/>
      <w:bookmarkEnd w:id="115"/>
      <w:bookmarkEnd w:id="116"/>
      <w:bookmarkEnd w:id="117"/>
      <w:r w:rsidRPr="004410BC">
        <w:rPr>
          <w:rFonts w:eastAsiaTheme="majorEastAsia" w:cs="Arial"/>
        </w:rPr>
        <w:t xml:space="preserve"> </w:t>
      </w:r>
    </w:p>
    <w:p w14:paraId="4B92FD68" w14:textId="053FB70B" w:rsidR="00F40302" w:rsidRPr="004410BC" w:rsidRDefault="00F40302" w:rsidP="00236C76">
      <w:pPr>
        <w:rPr>
          <w:rFonts w:cs="Arial"/>
        </w:rPr>
      </w:pPr>
      <w:r w:rsidRPr="004410BC">
        <w:rPr>
          <w:rFonts w:cs="Arial"/>
        </w:rPr>
        <w:t>The key barriers to accessing health care for ethnic minority groups are shown to be language barriers, communication difficulties, discrimination, lack of trust</w:t>
      </w:r>
      <w:r w:rsidR="00797BC6" w:rsidRPr="004410BC">
        <w:rPr>
          <w:rFonts w:cs="Arial"/>
        </w:rPr>
        <w:t>,</w:t>
      </w:r>
      <w:r w:rsidRPr="004410BC">
        <w:rPr>
          <w:rFonts w:cs="Arial"/>
        </w:rPr>
        <w:t xml:space="preserve"> and problems with navigating health care systems, as reported in many national and international studies</w:t>
      </w:r>
      <w:r w:rsidR="00797BC6" w:rsidRPr="004410BC">
        <w:rPr>
          <w:rFonts w:cs="Arial"/>
        </w:rPr>
        <w:t>,</w:t>
      </w:r>
      <w:r w:rsidRPr="004410BC">
        <w:rPr>
          <w:rFonts w:cs="Arial"/>
        </w:rPr>
        <w:t xml:space="preserve"> including those by Ekezie et al. (2022) and Robinson et al. (2022). The literature, however, does not show uniformity in the importance of these barriers, since the results differ depending on the health care systems, migration policies, and characteristics of the populations. While there are many similarities, European evidence indicates that language barriers are associated with reduced effective communication and impaired doctor</w:t>
      </w:r>
      <w:r w:rsidR="00B02111" w:rsidRPr="004410BC">
        <w:rPr>
          <w:rFonts w:cs="Arial"/>
        </w:rPr>
        <w:t xml:space="preserve"> and </w:t>
      </w:r>
      <w:r w:rsidRPr="004410BC">
        <w:rPr>
          <w:rFonts w:cs="Arial"/>
        </w:rPr>
        <w:t>patient communication; there are also significant differences in healthcare structures and migrant populations between countries, making comparisons difficult (Nisar et al., 2026). It is important to note, however, that barriers that are found in one healthcare system can't simply be transferred to another system, as they are influenced by different healthcare systems and contexts.</w:t>
      </w:r>
    </w:p>
    <w:p w14:paraId="6110541F" w14:textId="7F3A5CCB" w:rsidR="00F40302" w:rsidRPr="004410BC" w:rsidRDefault="00F40302" w:rsidP="00236C76">
      <w:pPr>
        <w:rPr>
          <w:rFonts w:cs="Arial"/>
        </w:rPr>
      </w:pPr>
      <w:r w:rsidRPr="004410BC">
        <w:rPr>
          <w:rFonts w:cs="Arial"/>
        </w:rPr>
        <w:t>Atherton et al. (2024) and Islam, Bailey, and Netto (2024) also propose that digital exclusion is a new barrier that has emerged, but the evidence is mixed. Qualitative research suggests that while low digital literacy, language barriers</w:t>
      </w:r>
      <w:r w:rsidR="00D16693" w:rsidRPr="004410BC">
        <w:rPr>
          <w:rFonts w:cs="Arial"/>
        </w:rPr>
        <w:t>,</w:t>
      </w:r>
      <w:r w:rsidRPr="004410BC">
        <w:rPr>
          <w:rFonts w:cs="Arial"/>
        </w:rPr>
        <w:t xml:space="preserve"> and lack of trust in technology limit the adoption of digital health care services, the same research shows that digital exclusion is not about technology itself, but is a result of service design, cultural appropriateness</w:t>
      </w:r>
      <w:r w:rsidR="00D16693" w:rsidRPr="004410BC">
        <w:rPr>
          <w:rFonts w:cs="Arial"/>
        </w:rPr>
        <w:t>,</w:t>
      </w:r>
      <w:r w:rsidRPr="004410BC">
        <w:rPr>
          <w:rFonts w:cs="Arial"/>
        </w:rPr>
        <w:t xml:space="preserve"> and community engagement. The independent effect of each factor is not known, as few studies have been done that have compared each one's effect. In the same way, methodological differences impact conclusions about discrimination and healthcare navigation. While qualitative studies often describe the effects of discrimination on trust and confidence in healthcare providers, quantitative studies typically show statistical associations of discrimination with lower healthcare utilisation. While qualitative data gives more meaning in the context, there is less transferability with smaller sample sizes and purposive sampling. However, quantitative studies are not as informative about explaining the processes by which barriers are related to healthcare access, as are qualitative studies. </w:t>
      </w:r>
    </w:p>
    <w:p w14:paraId="4A782531" w14:textId="77777777" w:rsidR="00F40302" w:rsidRPr="004410BC" w:rsidRDefault="00F40302" w:rsidP="00236C76">
      <w:pPr>
        <w:pStyle w:val="Heading3"/>
        <w:rPr>
          <w:rFonts w:eastAsiaTheme="majorEastAsia" w:cs="Arial"/>
        </w:rPr>
      </w:pPr>
      <w:bookmarkStart w:id="118" w:name="_Toc235790993"/>
      <w:bookmarkStart w:id="119" w:name="_Toc237213834"/>
      <w:bookmarkStart w:id="120" w:name="_Toc238290215"/>
      <w:bookmarkStart w:id="121" w:name="_Toc240724858"/>
      <w:r w:rsidRPr="004410BC">
        <w:rPr>
          <w:rFonts w:eastAsiaTheme="majorEastAsia" w:cs="Arial"/>
        </w:rPr>
        <w:t>2.5.2 UK Evidence</w:t>
      </w:r>
      <w:bookmarkEnd w:id="118"/>
      <w:bookmarkEnd w:id="119"/>
      <w:bookmarkEnd w:id="120"/>
      <w:bookmarkEnd w:id="121"/>
      <w:r w:rsidRPr="004410BC">
        <w:rPr>
          <w:rFonts w:eastAsiaTheme="majorEastAsia" w:cs="Arial"/>
        </w:rPr>
        <w:t xml:space="preserve"> </w:t>
      </w:r>
    </w:p>
    <w:p w14:paraId="7E37B345" w14:textId="7D1CB951" w:rsidR="00F40302" w:rsidRPr="004410BC" w:rsidRDefault="00F40302" w:rsidP="00236C76">
      <w:pPr>
        <w:rPr>
          <w:rFonts w:cs="Arial"/>
        </w:rPr>
      </w:pPr>
      <w:r w:rsidRPr="004410BC">
        <w:rPr>
          <w:rFonts w:cs="Arial"/>
        </w:rPr>
        <w:t>Although there are universal principles behind the NHS, access to primary healthcare services is not equal among ethnic minority groups, as argued by Griffiths et al. (2026). Some evidence now shows that there are relationships between the barriers of the organisation, the relationship between the various participants, and the barriers from a socioeconomic perspective, rather than barriers working independently. Ekezie et al. (2022), Robinson et al. (2022) and Brady et al. (2025) all cite language barriers, communication issues and lack of knowledge about resources as factors that impact health care utili</w:t>
      </w:r>
      <w:r w:rsidR="00A46C47" w:rsidRPr="004410BC">
        <w:rPr>
          <w:rFonts w:cs="Arial"/>
        </w:rPr>
        <w:t>s</w:t>
      </w:r>
      <w:r w:rsidRPr="004410BC">
        <w:rPr>
          <w:rFonts w:cs="Arial"/>
        </w:rPr>
        <w:t>ation. However, there is no consensus in the literature about whether they are independent factors reducing access or are just indicators of broader organisational and socioeconomic inequalities. Supporting this latter view, Hayanga, Stafford and Bécares (2021) and McGreevy et al. (2023) show that ethnic inequ</w:t>
      </w:r>
      <w:r w:rsidR="00E641F9" w:rsidRPr="004410BC">
        <w:rPr>
          <w:rFonts w:cs="Arial"/>
        </w:rPr>
        <w:t>al</w:t>
      </w:r>
      <w:r w:rsidRPr="004410BC">
        <w:rPr>
          <w:rFonts w:cs="Arial"/>
        </w:rPr>
        <w:t>ities often remain after adjusting for communication difficulties, suggesting that overall structural factors are also playing a role in access to health services. This indicates that interventions where only communication is targeted are unlikely to eradicate inequalities.</w:t>
      </w:r>
    </w:p>
    <w:p w14:paraId="39E5628A" w14:textId="3E69E31B" w:rsidR="00F40302" w:rsidRPr="004410BC" w:rsidRDefault="00F40302" w:rsidP="00236C76">
      <w:pPr>
        <w:rPr>
          <w:rFonts w:cs="Arial"/>
        </w:rPr>
      </w:pPr>
      <w:r w:rsidRPr="004410BC">
        <w:rPr>
          <w:rFonts w:cs="Arial"/>
        </w:rPr>
        <w:t>Hackett et al. (2020) also note that racial discrimination is a significant factor that contributes to worse health outcomes, and Dobbin et al. (2024) and Smyth et al. (2024) show that past experiences of discrimination impact trust and health care-seeking within primary care. But again, methodological differences have an impact on interpretation. Qualitative studies are used to gain detailed insights into the experiences of living and interpersonal processes, while quantitative studies give better estimates of a population overall, but are less direct in including the patient's experiences. There has been an added layer of complexity in recent times</w:t>
      </w:r>
      <w:r w:rsidR="00797BC6" w:rsidRPr="004410BC">
        <w:rPr>
          <w:rFonts w:cs="Arial"/>
        </w:rPr>
        <w:t>, as</w:t>
      </w:r>
      <w:r w:rsidRPr="004410BC">
        <w:rPr>
          <w:rFonts w:cs="Arial"/>
        </w:rPr>
        <w:t xml:space="preserve"> the NHS has been digitalised. Atherton et al. (2024) and Islam, Bailey, and Netto (2024) note that a digital appointment system can lead to greater efficiencies for many patients, but can also inadvertently exacerbate inequalities within ethnic minority groups due to language barriers and limited digital literacy and access to technology. Some other research indicates that implementation of digital technology in the organisation and broader socioeconomic factors might exert a greater influence than the technology itself. </w:t>
      </w:r>
    </w:p>
    <w:p w14:paraId="3002275E" w14:textId="77777777" w:rsidR="00F40302" w:rsidRPr="004410BC" w:rsidRDefault="00F40302" w:rsidP="00236C76">
      <w:pPr>
        <w:pStyle w:val="Heading2"/>
        <w:rPr>
          <w:rFonts w:eastAsiaTheme="majorEastAsia" w:cs="Arial"/>
        </w:rPr>
      </w:pPr>
      <w:bookmarkStart w:id="122" w:name="_Toc235790994"/>
      <w:bookmarkStart w:id="123" w:name="_Toc237213835"/>
      <w:bookmarkStart w:id="124" w:name="_Toc238290216"/>
      <w:bookmarkStart w:id="125" w:name="_Toc240724859"/>
      <w:r w:rsidRPr="004410BC">
        <w:rPr>
          <w:rFonts w:eastAsiaTheme="majorEastAsia" w:cs="Arial"/>
        </w:rPr>
        <w:t>2.6 Theoretical Framework: Levesque’s Access to Healthcare Framework</w:t>
      </w:r>
      <w:bookmarkEnd w:id="122"/>
      <w:bookmarkEnd w:id="123"/>
      <w:bookmarkEnd w:id="124"/>
      <w:bookmarkEnd w:id="125"/>
      <w:r w:rsidRPr="004410BC">
        <w:rPr>
          <w:rFonts w:eastAsiaTheme="majorEastAsia" w:cs="Arial"/>
        </w:rPr>
        <w:t xml:space="preserve"> </w:t>
      </w:r>
    </w:p>
    <w:p w14:paraId="5DAD15D1" w14:textId="5D4C036D" w:rsidR="00F40302" w:rsidRPr="004410BC" w:rsidRDefault="00F40302" w:rsidP="00236C76">
      <w:pPr>
        <w:rPr>
          <w:rFonts w:cs="Arial"/>
        </w:rPr>
      </w:pPr>
      <w:r w:rsidRPr="004410BC">
        <w:rPr>
          <w:rFonts w:cs="Arial"/>
        </w:rPr>
        <w:t>After the evidence is reviewed for health inequalities and access to health services, the evidence has to be systematically organised, and an analytical structure needs to be provided, which could be done by a theoretical framework. The Access to Healthcare Framework developed by Levesque is one of the most extensive conceptual frameworks, as it conceptualises access as a process that is dynamic between the health system and the population and not just access to care. The framework is different from traditional models, which focus on service availability, and considers access to services as five dimensions of service approachability, acceptability, availability and accommodation, affordability, and appropriateness</w:t>
      </w:r>
      <w:r w:rsidR="00D16693" w:rsidRPr="004410BC">
        <w:rPr>
          <w:rFonts w:cs="Arial"/>
        </w:rPr>
        <w:t>,</w:t>
      </w:r>
      <w:r w:rsidRPr="004410BC">
        <w:rPr>
          <w:rFonts w:cs="Arial"/>
        </w:rPr>
        <w:t xml:space="preserve"> and five dimensions of patient ability </w:t>
      </w:r>
      <w:r w:rsidR="00D16693" w:rsidRPr="004410BC">
        <w:rPr>
          <w:rFonts w:cs="Arial"/>
        </w:rPr>
        <w:t xml:space="preserve">to </w:t>
      </w:r>
      <w:r w:rsidRPr="004410BC">
        <w:rPr>
          <w:rFonts w:cs="Arial"/>
        </w:rPr>
        <w:t>perceive, seek, reach, pay, and engage with services. This multidimensional approach acknowledges that access to health care can only be realised when healthcare services and capacities of patients work together and is especially pertinent to the context of ethnic inequalities where barriers are likely to occur at more than one point along the health care pathway, not at a single point. The framework thus goes beyond measurement of service provision to an understanding of the effect of the organisational characteristics and the individual capacities on access to healthcare.</w:t>
      </w:r>
    </w:p>
    <w:p w14:paraId="542AD681" w14:textId="006DEB29" w:rsidR="00F40302" w:rsidRPr="004410BC" w:rsidRDefault="00F40302" w:rsidP="00236C76">
      <w:pPr>
        <w:rPr>
          <w:rFonts w:cs="Arial"/>
        </w:rPr>
      </w:pPr>
      <w:r w:rsidRPr="004410BC">
        <w:rPr>
          <w:rFonts w:cs="Arial"/>
        </w:rPr>
        <w:t>Finally, Cu et al. (2021) suggest that Levesque's is a more comprehensive conceptuali</w:t>
      </w:r>
      <w:r w:rsidR="00D648BC" w:rsidRPr="004410BC">
        <w:rPr>
          <w:rFonts w:cs="Arial"/>
        </w:rPr>
        <w:t>s</w:t>
      </w:r>
      <w:r w:rsidRPr="004410BC">
        <w:rPr>
          <w:rFonts w:cs="Arial"/>
        </w:rPr>
        <w:t>ation than previous models, such as Penchansky and Thomas's model, which focuses on access being the “fit” between patients and health care services. While still relevant, the previous model's focus on service characteristics is not particularly helpful in explaining the variation in access outcomes for people who have a similar need for health care services. The Levesque framework explicitly includes organi</w:t>
      </w:r>
      <w:r w:rsidR="00F81824" w:rsidRPr="004410BC">
        <w:rPr>
          <w:rFonts w:cs="Arial"/>
        </w:rPr>
        <w:t>s</w:t>
      </w:r>
      <w:r w:rsidRPr="004410BC">
        <w:rPr>
          <w:rFonts w:cs="Arial"/>
        </w:rPr>
        <w:t>ational factors and patient capabilities, allowing for the capture of the interaction between organi</w:t>
      </w:r>
      <w:r w:rsidR="00F81824" w:rsidRPr="004410BC">
        <w:rPr>
          <w:rFonts w:cs="Arial"/>
        </w:rPr>
        <w:t>s</w:t>
      </w:r>
      <w:r w:rsidRPr="004410BC">
        <w:rPr>
          <w:rFonts w:cs="Arial"/>
        </w:rPr>
        <w:t>ational factors and individual experiences. This is especially significant when dealing with ethnic minority groups, as barriers often occur as a result of multiple organisational, socioeconomic and personal issues. The fact that the framework can be applied to empirical research further reinforces its choice. The framework was used in 31 empirical studies in a variety of healthcare settings, identified by Cu et al. (2021), and 147 different indicators of healthcare access were found, making it a suitable framework for both qualitative and quantitative research. However, there were methodological issues that were also noted in the review. The dimensions were used more often than others, and several barriers crossed several dimensions as well, making it difficult to categori</w:t>
      </w:r>
      <w:r w:rsidR="00F81824" w:rsidRPr="004410BC">
        <w:rPr>
          <w:rFonts w:cs="Arial"/>
        </w:rPr>
        <w:t>s</w:t>
      </w:r>
      <w:r w:rsidRPr="004410BC">
        <w:rPr>
          <w:rFonts w:cs="Arial"/>
        </w:rPr>
        <w:t>e them uniformly. Besides, the framework does not take into account the temporal changes in access to health care, which raises questions about the interpretation of its dimensions as independent or as interconnected categories.</w:t>
      </w:r>
    </w:p>
    <w:p w14:paraId="0A73FC11" w14:textId="0E7D5967" w:rsidR="00F40302" w:rsidRPr="004410BC" w:rsidRDefault="00F40302" w:rsidP="00236C76">
      <w:pPr>
        <w:rPr>
          <w:rFonts w:cs="Arial"/>
        </w:rPr>
      </w:pPr>
      <w:r w:rsidRPr="004410BC">
        <w:rPr>
          <w:rFonts w:cs="Arial"/>
        </w:rPr>
        <w:t>The advantages and disadvantages of Levesque's framework are especially relevant to the current systematic review since barriers that ethnic minority populations face seldom occur alone. Atherton et al</w:t>
      </w:r>
      <w:r w:rsidR="00633A6B" w:rsidRPr="004410BC">
        <w:rPr>
          <w:rFonts w:cs="Arial"/>
        </w:rPr>
        <w:t>.</w:t>
      </w:r>
      <w:r w:rsidRPr="004410BC">
        <w:rPr>
          <w:rFonts w:cs="Arial"/>
        </w:rPr>
        <w:t xml:space="preserve"> (2024) and Islam, Bailey, and Netto (2024) show how digital appointment systems can enhance the accessibility of services, but also decrease the accessibility for those who are not as digitally literate or proficient in English. In the same way, Heath et al. (2023) and Hackett et al. (2020) show that discrimination, communication barriers, and interpreter availability are not standalone barriers to patients' willingness and ability to engage with healthcare, but rather factors that can impact this willingness and ability. To make room for such interactions, Levesque's framework takes into account that "multiple dimensions of access interact at once</w:t>
      </w:r>
      <w:r w:rsidR="002F2FA5" w:rsidRPr="004410BC">
        <w:rPr>
          <w:rFonts w:cs="Arial"/>
        </w:rPr>
        <w:t>”</w:t>
      </w:r>
      <w:r w:rsidRPr="004410BC">
        <w:rPr>
          <w:rFonts w:cs="Arial"/>
        </w:rPr>
        <w:t>. But He et al. (2024) contend that the framework does not adequately explore intersectionality, as there are significant differences in healthcare access across ethnicities, socioeconomic statuses, migration experience, and genders. This is also in line with the findings of Thelen et al. (2024) that cannot be seen as the only explanation for unequal access based on one demographic factor. As such, Levesque's framework is best utilised as an organising framework as opposed to a causal theory concerning health inequalities. It offers a strong framework to synthesise evidence, both in terms of organisational and patient aspects, and recognises that there are broader structural influences beyond the framework itself for this systematic review.</w:t>
      </w:r>
    </w:p>
    <w:p w14:paraId="1E99CC8E" w14:textId="77777777" w:rsidR="00F40302" w:rsidRPr="004410BC" w:rsidRDefault="00F40302" w:rsidP="00236C76">
      <w:pPr>
        <w:pStyle w:val="Heading2"/>
        <w:rPr>
          <w:rFonts w:eastAsiaTheme="majorEastAsia" w:cs="Arial"/>
        </w:rPr>
      </w:pPr>
      <w:bookmarkStart w:id="126" w:name="_Toc232976326"/>
      <w:bookmarkStart w:id="127" w:name="_Toc235790995"/>
      <w:bookmarkStart w:id="128" w:name="_Toc237213836"/>
      <w:bookmarkStart w:id="129" w:name="_Toc238290217"/>
      <w:bookmarkStart w:id="130" w:name="_Toc240724860"/>
      <w:r w:rsidRPr="004410BC">
        <w:rPr>
          <w:rFonts w:eastAsiaTheme="majorEastAsia" w:cs="Arial"/>
        </w:rPr>
        <w:t>2.7 Research Gap</w:t>
      </w:r>
      <w:bookmarkEnd w:id="126"/>
      <w:bookmarkEnd w:id="127"/>
      <w:bookmarkEnd w:id="128"/>
      <w:bookmarkEnd w:id="129"/>
      <w:bookmarkEnd w:id="130"/>
    </w:p>
    <w:p w14:paraId="0D4915CB" w14:textId="77777777" w:rsidR="00F40302" w:rsidRPr="004410BC" w:rsidRDefault="00F40302" w:rsidP="00236C76">
      <w:pPr>
        <w:rPr>
          <w:rFonts w:cs="Arial"/>
        </w:rPr>
      </w:pPr>
      <w:r w:rsidRPr="004410BC">
        <w:rPr>
          <w:rFonts w:cs="Arial"/>
        </w:rPr>
        <w:t>Although there is an increasing amount of UK evidence on the experiences of ethnic minority people in primary healthcare, there are still some evidence gaps. The existing literature has been unable to examine barriers comprehensively, as these have tended to be studied in isolation, as shown by Atherton et al. (2024), Islam, Bailey and Netto (2024) and Robinson et al. (2022). These studies have helped to elucidate the various barriers, but they offer only a partial explanation of access to health services since barriers tend not to exist in isolation. Therefore, the evidence of the interactions between the organisational, communicative, cultural and structural barriers along the primary care pathway is limited. The narrow scope also prevents comparisons from being made across health care environments and compromises the ability to understand how a combination of disadvantages may interact to impact access to care. The current evidence base therefore has important lessons to offer on specific barriers and is sparse on its understanding of how these barriers interact to contribute to ethnic health inequalities.</w:t>
      </w:r>
    </w:p>
    <w:p w14:paraId="47D5B4AF" w14:textId="2FF76F5F" w:rsidR="00F40302" w:rsidRPr="004410BC" w:rsidRDefault="00F40302" w:rsidP="00236C76">
      <w:pPr>
        <w:rPr>
          <w:rFonts w:cs="Arial"/>
        </w:rPr>
      </w:pPr>
      <w:r w:rsidRPr="004410BC">
        <w:rPr>
          <w:rFonts w:cs="Arial"/>
        </w:rPr>
        <w:t>Pilav et al. (2022), Robinson et al. (2021), Robinson et al. (2022) and Jovanović et al. (202</w:t>
      </w:r>
      <w:r w:rsidR="00770677" w:rsidRPr="004410BC">
        <w:rPr>
          <w:rFonts w:cs="Arial"/>
        </w:rPr>
        <w:t>5</w:t>
      </w:r>
      <w:r w:rsidRPr="004410BC">
        <w:rPr>
          <w:rFonts w:cs="Arial"/>
        </w:rPr>
        <w:t>) also present some key methodological shortcomings found in the literature. Qualitative research offers detailed descriptions of the role of language, discrimination, trust and cultural expectations in the health care experience, but often the results of the study are only generali</w:t>
      </w:r>
      <w:r w:rsidR="00D648BC" w:rsidRPr="004410BC">
        <w:rPr>
          <w:rFonts w:cs="Arial"/>
        </w:rPr>
        <w:t>s</w:t>
      </w:r>
      <w:r w:rsidRPr="004410BC">
        <w:rPr>
          <w:rFonts w:cs="Arial"/>
        </w:rPr>
        <w:t>able to a small sample size and to a particular context. Hackett et al. (2020), Atherton et al. (2024) and He et al. (2024) offer more robust estimates of inequalities at the population level, but are based on datasets that are collected routinely and tend to be limited in scope in terms of what they explain. Hayanga, Stafford and Bécares (2021) also contend that maintaining the use of broad ethnic classifications hides important differences between ethnic sub-groups, thus making the evidence less precise and valid.</w:t>
      </w:r>
    </w:p>
    <w:p w14:paraId="6C81704B" w14:textId="0FF243E1" w:rsidR="00F40302" w:rsidRPr="004410BC" w:rsidRDefault="00F40302" w:rsidP="00236C76">
      <w:pPr>
        <w:rPr>
          <w:rFonts w:cs="Arial"/>
        </w:rPr>
      </w:pPr>
      <w:r w:rsidRPr="004410BC">
        <w:rPr>
          <w:rFonts w:cs="Arial"/>
        </w:rPr>
        <w:t>The lack of an integrated synthesis focusing on organisational, communicative, cultural and structural barriers in one conceptual framework is also pointed out by Cu et al. (2021), Herlitz et al. (2024) and Pawson et al. (2026). This systematic review thus aims to overcome these limitations by synthesi</w:t>
      </w:r>
      <w:r w:rsidR="00B34D86" w:rsidRPr="004410BC">
        <w:rPr>
          <w:rFonts w:cs="Arial"/>
        </w:rPr>
        <w:t>s</w:t>
      </w:r>
      <w:r w:rsidRPr="004410BC">
        <w:rPr>
          <w:rFonts w:cs="Arial"/>
        </w:rPr>
        <w:t xml:space="preserve">ing UK evidence within a framework of access to healthcare (Levesque's framework) and not exploring barriers on their own. </w:t>
      </w:r>
    </w:p>
    <w:p w14:paraId="3CBDDB77" w14:textId="77777777" w:rsidR="00F40302" w:rsidRPr="004410BC" w:rsidRDefault="00F40302" w:rsidP="00236C76">
      <w:pPr>
        <w:rPr>
          <w:rFonts w:cs="Arial"/>
        </w:rPr>
        <w:sectPr w:rsidR="00F40302" w:rsidRPr="004410BC" w:rsidSect="00F94E9A">
          <w:pgSz w:w="11906" w:h="16838" w:code="9"/>
          <w:pgMar w:top="1440" w:right="1440" w:bottom="1440" w:left="1440" w:header="720" w:footer="720" w:gutter="0"/>
          <w:cols w:space="720"/>
          <w:titlePg/>
          <w:docGrid w:linePitch="360"/>
        </w:sectPr>
      </w:pPr>
    </w:p>
    <w:p w14:paraId="5A994590" w14:textId="77777777" w:rsidR="00F40302" w:rsidRPr="004410BC" w:rsidRDefault="00F40302" w:rsidP="00236C76">
      <w:pPr>
        <w:pStyle w:val="Heading2"/>
        <w:rPr>
          <w:rFonts w:eastAsiaTheme="majorEastAsia" w:cs="Arial"/>
        </w:rPr>
      </w:pPr>
      <w:bookmarkStart w:id="131" w:name="_Toc235790996"/>
      <w:bookmarkStart w:id="132" w:name="_Toc237213837"/>
      <w:bookmarkStart w:id="133" w:name="_Toc238290218"/>
      <w:bookmarkStart w:id="134" w:name="_Toc240724861"/>
      <w:r w:rsidRPr="004410BC">
        <w:rPr>
          <w:rFonts w:eastAsiaTheme="majorEastAsia" w:cs="Arial"/>
        </w:rPr>
        <w:t>2.8 Conclusion</w:t>
      </w:r>
      <w:bookmarkEnd w:id="131"/>
      <w:bookmarkEnd w:id="132"/>
      <w:bookmarkEnd w:id="133"/>
      <w:bookmarkEnd w:id="134"/>
      <w:r w:rsidRPr="004410BC">
        <w:rPr>
          <w:rFonts w:eastAsiaTheme="majorEastAsia" w:cs="Arial"/>
        </w:rPr>
        <w:t xml:space="preserve"> </w:t>
      </w:r>
    </w:p>
    <w:p w14:paraId="450E7D47" w14:textId="78540164" w:rsidR="00F40302" w:rsidRPr="004410BC" w:rsidRDefault="00F40302" w:rsidP="00236C76">
      <w:pPr>
        <w:rPr>
          <w:rFonts w:cs="Arial"/>
        </w:rPr>
      </w:pPr>
      <w:r w:rsidRPr="004410BC">
        <w:rPr>
          <w:rFonts w:cs="Arial"/>
        </w:rPr>
        <w:t xml:space="preserve">This chapter has reviewed the available evidence on health inequalities and access to primary care among ethnic minorities, in a critical manner. Ethnic inequalities in health outcomes and healthcare access are consistently shown in the literature both internationally and in the UK. The review also reveals, however, that those disparities are not due to socioeconomic disadvantage alone. Rather, they are outcomes of an interplay of socio-economic, cultural, structural and health care determinants that affect access to health care across the health care continuum. </w:t>
      </w:r>
    </w:p>
    <w:p w14:paraId="57E8F012" w14:textId="77777777" w:rsidR="00F40302" w:rsidRPr="004410BC" w:rsidRDefault="00F40302" w:rsidP="00236C76">
      <w:pPr>
        <w:rPr>
          <w:rFonts w:cs="Arial"/>
        </w:rPr>
      </w:pPr>
    </w:p>
    <w:p w14:paraId="4C5FFF9D" w14:textId="77777777" w:rsidR="009706D0" w:rsidRPr="004410BC" w:rsidRDefault="009706D0" w:rsidP="00236C76">
      <w:pPr>
        <w:rPr>
          <w:rFonts w:eastAsia="Times New Roman" w:cs="Arial"/>
          <w:b/>
          <w:color w:val="000000"/>
        </w:rPr>
      </w:pPr>
      <w:r w:rsidRPr="004410BC">
        <w:rPr>
          <w:rFonts w:cs="Arial"/>
        </w:rPr>
        <w:br w:type="page"/>
      </w:r>
    </w:p>
    <w:p w14:paraId="523AB4EA" w14:textId="2C1EA36D" w:rsidR="009F64C5" w:rsidRPr="004410BC" w:rsidRDefault="00DD7AA5" w:rsidP="00236C76">
      <w:pPr>
        <w:pStyle w:val="Heading1"/>
        <w:rPr>
          <w:rFonts w:cs="Arial"/>
        </w:rPr>
      </w:pPr>
      <w:bookmarkStart w:id="135" w:name="_Toc238290219"/>
      <w:bookmarkStart w:id="136" w:name="_Toc240724862"/>
      <w:r w:rsidRPr="004410BC">
        <w:rPr>
          <w:rFonts w:cs="Arial"/>
        </w:rPr>
        <w:t xml:space="preserve">Chapter 3: </w:t>
      </w:r>
      <w:r w:rsidR="009F64C5" w:rsidRPr="004410BC">
        <w:rPr>
          <w:rFonts w:cs="Arial"/>
        </w:rPr>
        <w:t>Research Methodology</w:t>
      </w:r>
      <w:bookmarkEnd w:id="135"/>
      <w:bookmarkEnd w:id="136"/>
      <w:r w:rsidR="009F64C5" w:rsidRPr="004410BC">
        <w:rPr>
          <w:rFonts w:cs="Arial"/>
        </w:rPr>
        <w:t xml:space="preserve"> </w:t>
      </w:r>
      <w:bookmarkEnd w:id="61"/>
    </w:p>
    <w:p w14:paraId="198F3046" w14:textId="77777777" w:rsidR="00962AE4" w:rsidRPr="004410BC" w:rsidRDefault="009F64C5" w:rsidP="00236C76">
      <w:pPr>
        <w:pStyle w:val="Heading2"/>
        <w:rPr>
          <w:rFonts w:eastAsiaTheme="majorEastAsia" w:cs="Arial"/>
        </w:rPr>
      </w:pPr>
      <w:r w:rsidRPr="004410BC">
        <w:rPr>
          <w:rFonts w:cs="Arial"/>
        </w:rPr>
        <w:t xml:space="preserve"> </w:t>
      </w:r>
      <w:bookmarkStart w:id="137" w:name="_Toc234867290"/>
      <w:bookmarkStart w:id="138" w:name="_Toc234867353"/>
      <w:bookmarkStart w:id="139" w:name="_Toc237213839"/>
      <w:bookmarkStart w:id="140" w:name="_Toc238290220"/>
      <w:bookmarkStart w:id="141" w:name="_Toc240724863"/>
      <w:bookmarkStart w:id="142" w:name="_Toc12219"/>
      <w:r w:rsidR="00962AE4" w:rsidRPr="004410BC">
        <w:rPr>
          <w:rFonts w:eastAsiaTheme="majorEastAsia" w:cs="Arial"/>
        </w:rPr>
        <w:t>3.1 Introduction</w:t>
      </w:r>
      <w:bookmarkEnd w:id="137"/>
      <w:bookmarkEnd w:id="138"/>
      <w:bookmarkEnd w:id="139"/>
      <w:bookmarkEnd w:id="140"/>
      <w:bookmarkEnd w:id="141"/>
    </w:p>
    <w:p w14:paraId="253BBC8E" w14:textId="3C27597E" w:rsidR="00962AE4" w:rsidRPr="004410BC" w:rsidRDefault="00962AE4" w:rsidP="00236C76">
      <w:pPr>
        <w:rPr>
          <w:rFonts w:cs="Arial"/>
        </w:rPr>
      </w:pPr>
      <w:r w:rsidRPr="004410BC">
        <w:rPr>
          <w:rFonts w:cs="Arial"/>
        </w:rPr>
        <w:t>This chapter explains the methodology adopted to explore some of the barriers that may be causing ethnic minority groups to experience health inequalities in accessing primary health care services in the United Kingdom. It provides an account of how evidence is identified, selected, appraised, extracted</w:t>
      </w:r>
      <w:r w:rsidR="009C5CF6" w:rsidRPr="004410BC">
        <w:rPr>
          <w:rFonts w:cs="Arial"/>
        </w:rPr>
        <w:t>,</w:t>
      </w:r>
      <w:r w:rsidRPr="004410BC">
        <w:rPr>
          <w:rFonts w:cs="Arial"/>
        </w:rPr>
        <w:t xml:space="preserve"> and synthesised to answer the research aim. A systematic literature review is conducted to offer a clear and repeatable overview of the existing literature and research (Biggam, 2008). The chapter outlines the research methodology, research method, research design, review protocol, search strategy</w:t>
      </w:r>
      <w:r w:rsidR="009C5CF6" w:rsidRPr="004410BC">
        <w:rPr>
          <w:rFonts w:cs="Arial"/>
        </w:rPr>
        <w:t>,</w:t>
      </w:r>
      <w:r w:rsidRPr="004410BC">
        <w:rPr>
          <w:rFonts w:cs="Arial"/>
        </w:rPr>
        <w:t xml:space="preserve"> and subsequent review procedures, followed by methodological evaluation to ensure that the study is rigorous and credible (Aveyard, 2014; Page et al., 2021).</w:t>
      </w:r>
    </w:p>
    <w:p w14:paraId="7FBD663A" w14:textId="77777777" w:rsidR="00962AE4" w:rsidRPr="004410BC" w:rsidRDefault="00962AE4" w:rsidP="00236C76">
      <w:pPr>
        <w:pStyle w:val="Heading2"/>
        <w:rPr>
          <w:rFonts w:eastAsiaTheme="majorEastAsia" w:cs="Arial"/>
        </w:rPr>
      </w:pPr>
      <w:bookmarkStart w:id="143" w:name="_Toc234867291"/>
      <w:bookmarkStart w:id="144" w:name="_Toc234867354"/>
      <w:bookmarkStart w:id="145" w:name="_Toc237213840"/>
      <w:bookmarkStart w:id="146" w:name="_Toc238290221"/>
      <w:bookmarkStart w:id="147" w:name="_Toc240724864"/>
      <w:r w:rsidRPr="004410BC">
        <w:rPr>
          <w:rFonts w:eastAsiaTheme="majorEastAsia" w:cs="Arial"/>
        </w:rPr>
        <w:t>3.2 Research Methodology, Research Method and Research Design</w:t>
      </w:r>
      <w:bookmarkEnd w:id="143"/>
      <w:bookmarkEnd w:id="144"/>
      <w:bookmarkEnd w:id="145"/>
      <w:bookmarkEnd w:id="146"/>
      <w:bookmarkEnd w:id="147"/>
    </w:p>
    <w:p w14:paraId="2007CCB0" w14:textId="77777777" w:rsidR="00962AE4" w:rsidRPr="004410BC" w:rsidRDefault="00962AE4" w:rsidP="00236C76">
      <w:pPr>
        <w:pStyle w:val="Heading3"/>
        <w:rPr>
          <w:rFonts w:eastAsiaTheme="majorEastAsia" w:cs="Arial"/>
        </w:rPr>
      </w:pPr>
      <w:bookmarkStart w:id="148" w:name="_Toc234867292"/>
      <w:bookmarkStart w:id="149" w:name="_Toc234867355"/>
      <w:bookmarkStart w:id="150" w:name="_Toc237213841"/>
      <w:bookmarkStart w:id="151" w:name="_Toc238290222"/>
      <w:bookmarkStart w:id="152" w:name="_Toc240724865"/>
      <w:r w:rsidRPr="004410BC">
        <w:rPr>
          <w:rFonts w:eastAsiaTheme="majorEastAsia" w:cs="Arial"/>
        </w:rPr>
        <w:t>3.2.1 Research Methodology</w:t>
      </w:r>
      <w:bookmarkEnd w:id="148"/>
      <w:bookmarkEnd w:id="149"/>
      <w:bookmarkEnd w:id="150"/>
      <w:bookmarkEnd w:id="151"/>
      <w:bookmarkEnd w:id="152"/>
    </w:p>
    <w:p w14:paraId="66443B1A" w14:textId="7332DE35" w:rsidR="00962AE4" w:rsidRPr="004410BC" w:rsidRDefault="00962AE4" w:rsidP="00236C76">
      <w:pPr>
        <w:rPr>
          <w:rFonts w:cs="Arial"/>
        </w:rPr>
      </w:pPr>
      <w:r w:rsidRPr="004410BC">
        <w:rPr>
          <w:rFonts w:cs="Arial"/>
        </w:rPr>
        <w:t xml:space="preserve">This study used </w:t>
      </w:r>
      <w:r w:rsidR="00D16693" w:rsidRPr="004410BC">
        <w:rPr>
          <w:rFonts w:cs="Arial"/>
        </w:rPr>
        <w:t xml:space="preserve">a </w:t>
      </w:r>
      <w:r w:rsidRPr="004410BC">
        <w:rPr>
          <w:rFonts w:cs="Arial"/>
        </w:rPr>
        <w:t xml:space="preserve">secondary research method where data </w:t>
      </w:r>
      <w:r w:rsidR="009C5CF6" w:rsidRPr="004410BC">
        <w:rPr>
          <w:rFonts w:cs="Arial"/>
        </w:rPr>
        <w:t>are</w:t>
      </w:r>
      <w:r w:rsidRPr="004410BC">
        <w:rPr>
          <w:rFonts w:cs="Arial"/>
        </w:rPr>
        <w:t xml:space="preserve"> not collected</w:t>
      </w:r>
      <w:r w:rsidR="00D16693" w:rsidRPr="004410BC">
        <w:rPr>
          <w:rFonts w:cs="Arial"/>
        </w:rPr>
        <w:t>,</w:t>
      </w:r>
      <w:r w:rsidRPr="004410BC">
        <w:rPr>
          <w:rFonts w:cs="Arial"/>
        </w:rPr>
        <w:t xml:space="preserve"> but data already collected from published empirical sources are analysed. Secondary research is suitable for summarising and consolidating knowledge from a variety of healthcare settings and study designs, to gain a broad overview of a complex public health problem (Walker, 2014). Secondary research allowed for </w:t>
      </w:r>
      <w:r w:rsidR="009C5CF6" w:rsidRPr="004410BC">
        <w:rPr>
          <w:rFonts w:cs="Arial"/>
        </w:rPr>
        <w:t xml:space="preserve">the </w:t>
      </w:r>
      <w:r w:rsidRPr="004410BC">
        <w:rPr>
          <w:rFonts w:cs="Arial"/>
        </w:rPr>
        <w:t>identification of recurring barriers and broader evidence patterns not captured by individual qualitative studies that had been conducted into inequalities in access to primary healthcare in the UK for ethnic minorities (Hansen, 2020).</w:t>
      </w:r>
    </w:p>
    <w:p w14:paraId="629C3301" w14:textId="77777777" w:rsidR="00962AE4" w:rsidRPr="004410BC" w:rsidRDefault="00962AE4" w:rsidP="00236C76">
      <w:pPr>
        <w:pStyle w:val="Heading3"/>
        <w:rPr>
          <w:rFonts w:eastAsiaTheme="majorEastAsia" w:cs="Arial"/>
        </w:rPr>
      </w:pPr>
      <w:bookmarkStart w:id="153" w:name="_Toc234867293"/>
      <w:bookmarkStart w:id="154" w:name="_Toc234867356"/>
      <w:bookmarkStart w:id="155" w:name="_Toc237213842"/>
      <w:bookmarkStart w:id="156" w:name="_Toc238290223"/>
      <w:bookmarkStart w:id="157" w:name="_Toc240724866"/>
      <w:r w:rsidRPr="004410BC">
        <w:rPr>
          <w:rFonts w:eastAsiaTheme="majorEastAsia" w:cs="Arial"/>
        </w:rPr>
        <w:t>3.2.2 Research Method</w:t>
      </w:r>
      <w:bookmarkEnd w:id="153"/>
      <w:bookmarkEnd w:id="154"/>
      <w:bookmarkEnd w:id="155"/>
      <w:bookmarkEnd w:id="156"/>
      <w:bookmarkEnd w:id="157"/>
    </w:p>
    <w:p w14:paraId="1D5D900C" w14:textId="2E762AC6" w:rsidR="00962AE4" w:rsidRPr="004410BC" w:rsidRDefault="00962AE4" w:rsidP="00236C76">
      <w:pPr>
        <w:rPr>
          <w:rFonts w:cs="Arial"/>
        </w:rPr>
      </w:pPr>
      <w:r w:rsidRPr="004410BC">
        <w:rPr>
          <w:rFonts w:cs="Arial"/>
        </w:rPr>
        <w:t>A systematic literature review (SLR) is used to identify, assess</w:t>
      </w:r>
      <w:r w:rsidR="009C5CF6" w:rsidRPr="004410BC">
        <w:rPr>
          <w:rFonts w:cs="Arial"/>
        </w:rPr>
        <w:t>,</w:t>
      </w:r>
      <w:r w:rsidRPr="004410BC">
        <w:rPr>
          <w:rFonts w:cs="Arial"/>
        </w:rPr>
        <w:t xml:space="preserve"> and integrate the evidence following predetermined, transparent methods (Furseth and Everett, 2013). Systematic reviews are more likely to reduce selection bias and be methodologically transparent than traditional literature reviews by defining eligibility criteria and conducting a reproducible search (Page et al., 2021). This method is suitable as the evidence on ethnic minority access to primary healthcare is of mixed populations, settings</w:t>
      </w:r>
      <w:r w:rsidR="009C5CF6" w:rsidRPr="004410BC">
        <w:rPr>
          <w:rFonts w:cs="Arial"/>
        </w:rPr>
        <w:t>,</w:t>
      </w:r>
      <w:r w:rsidRPr="004410BC">
        <w:rPr>
          <w:rFonts w:cs="Arial"/>
        </w:rPr>
        <w:t xml:space="preserve"> and study designs, making it necessary to systematically synthesi</w:t>
      </w:r>
      <w:r w:rsidR="00D74D7F" w:rsidRPr="004410BC">
        <w:rPr>
          <w:rFonts w:cs="Arial"/>
        </w:rPr>
        <w:t>s</w:t>
      </w:r>
      <w:r w:rsidRPr="004410BC">
        <w:rPr>
          <w:rFonts w:cs="Arial"/>
        </w:rPr>
        <w:t>e the evidence to meet the research objective effectively (Aveyard, 2014; De Cassai et al., 2025).</w:t>
      </w:r>
    </w:p>
    <w:p w14:paraId="296BD84E" w14:textId="77777777" w:rsidR="00962AE4" w:rsidRPr="004410BC" w:rsidRDefault="00962AE4" w:rsidP="00236C76">
      <w:pPr>
        <w:pStyle w:val="Heading3"/>
        <w:rPr>
          <w:rFonts w:eastAsiaTheme="majorEastAsia" w:cs="Arial"/>
        </w:rPr>
      </w:pPr>
      <w:bookmarkStart w:id="158" w:name="_Toc234867294"/>
      <w:bookmarkStart w:id="159" w:name="_Toc234867357"/>
      <w:bookmarkStart w:id="160" w:name="_Toc237213843"/>
      <w:bookmarkStart w:id="161" w:name="_Toc238290224"/>
      <w:bookmarkStart w:id="162" w:name="_Toc240724867"/>
      <w:r w:rsidRPr="004410BC">
        <w:rPr>
          <w:rFonts w:eastAsiaTheme="majorEastAsia" w:cs="Arial"/>
        </w:rPr>
        <w:t>3.2.3 Research Design</w:t>
      </w:r>
      <w:bookmarkEnd w:id="158"/>
      <w:bookmarkEnd w:id="159"/>
      <w:bookmarkEnd w:id="160"/>
      <w:bookmarkEnd w:id="161"/>
      <w:bookmarkEnd w:id="162"/>
    </w:p>
    <w:p w14:paraId="2955E7CD" w14:textId="7271F11F" w:rsidR="00962AE4" w:rsidRPr="004410BC" w:rsidRDefault="00962AE4" w:rsidP="00236C76">
      <w:pPr>
        <w:rPr>
          <w:rFonts w:cs="Arial"/>
        </w:rPr>
      </w:pPr>
      <w:r w:rsidRPr="004410BC">
        <w:rPr>
          <w:rFonts w:cs="Arial"/>
        </w:rPr>
        <w:t>The research is carried out with the design of a systematic review with the guidance of the PRISMA 2020 and with support for narrative synthesis (Hart, 2005). The review comprised protocol development, literature search, duplicate screening, screening of titles and abstracts, screening of full text, quality assessment, data extraction and evidence synthesis. Using standardi</w:t>
      </w:r>
      <w:r w:rsidR="003C336E" w:rsidRPr="004410BC">
        <w:rPr>
          <w:rFonts w:cs="Arial"/>
        </w:rPr>
        <w:t>s</w:t>
      </w:r>
      <w:r w:rsidRPr="004410BC">
        <w:rPr>
          <w:rFonts w:cs="Arial"/>
        </w:rPr>
        <w:t>ed protocols during all these stages enhanced methodological uniformity and minimi</w:t>
      </w:r>
      <w:r w:rsidR="003C336E" w:rsidRPr="004410BC">
        <w:rPr>
          <w:rFonts w:cs="Arial"/>
        </w:rPr>
        <w:t>s</w:t>
      </w:r>
      <w:r w:rsidRPr="004410BC">
        <w:rPr>
          <w:rFonts w:cs="Arial"/>
        </w:rPr>
        <w:t xml:space="preserve">ed selection bias (Page et al., 2021). Due to methodological diversity among the studies included, the use of narrative synthesis </w:t>
      </w:r>
      <w:r w:rsidR="009C5CF6" w:rsidRPr="004410BC">
        <w:rPr>
          <w:rFonts w:cs="Arial"/>
        </w:rPr>
        <w:t>wa</w:t>
      </w:r>
      <w:r w:rsidRPr="004410BC">
        <w:rPr>
          <w:rFonts w:cs="Arial"/>
        </w:rPr>
        <w:t>s chosen, as this method is suitable for handling a diverse set of studies. However, the findings are grouped in</w:t>
      </w:r>
      <w:r w:rsidR="009C5CF6" w:rsidRPr="004410BC">
        <w:rPr>
          <w:rFonts w:cs="Arial"/>
        </w:rPr>
        <w:t>to</w:t>
      </w:r>
      <w:r w:rsidRPr="004410BC">
        <w:rPr>
          <w:rFonts w:cs="Arial"/>
        </w:rPr>
        <w:t xml:space="preserve"> themes to ensure that qualitative and quantitative data are combined and contextual differences are maintained (Rudestam and Newton,</w:t>
      </w:r>
      <w:r w:rsidR="00D521B8" w:rsidRPr="004410BC">
        <w:rPr>
          <w:rFonts w:cs="Arial"/>
        </w:rPr>
        <w:t xml:space="preserve"> </w:t>
      </w:r>
      <w:r w:rsidRPr="004410BC">
        <w:rPr>
          <w:rFonts w:cs="Arial"/>
        </w:rPr>
        <w:t>2015; De Cassai et al., 2025).</w:t>
      </w:r>
    </w:p>
    <w:p w14:paraId="5FAA778A" w14:textId="77777777" w:rsidR="00962AE4" w:rsidRPr="004410BC" w:rsidRDefault="00962AE4" w:rsidP="00236C76">
      <w:pPr>
        <w:pStyle w:val="Heading2"/>
        <w:rPr>
          <w:rFonts w:eastAsiaTheme="majorEastAsia" w:cs="Arial"/>
        </w:rPr>
      </w:pPr>
      <w:bookmarkStart w:id="163" w:name="_Toc234867295"/>
      <w:bookmarkStart w:id="164" w:name="_Toc234867358"/>
      <w:bookmarkStart w:id="165" w:name="_Toc237213844"/>
      <w:bookmarkStart w:id="166" w:name="_Toc238290225"/>
      <w:bookmarkStart w:id="167" w:name="_Toc240724868"/>
      <w:r w:rsidRPr="004410BC">
        <w:rPr>
          <w:rFonts w:eastAsiaTheme="majorEastAsia" w:cs="Arial"/>
        </w:rPr>
        <w:t>3.3 Review Protocol and Search Strategy</w:t>
      </w:r>
      <w:bookmarkEnd w:id="163"/>
      <w:bookmarkEnd w:id="164"/>
      <w:bookmarkEnd w:id="165"/>
      <w:bookmarkEnd w:id="166"/>
      <w:bookmarkEnd w:id="167"/>
    </w:p>
    <w:p w14:paraId="29B8E1B2" w14:textId="77777777" w:rsidR="00962AE4" w:rsidRPr="004410BC" w:rsidRDefault="00962AE4" w:rsidP="00236C76">
      <w:pPr>
        <w:pStyle w:val="Heading3"/>
        <w:rPr>
          <w:rFonts w:eastAsiaTheme="majorEastAsia" w:cs="Arial"/>
        </w:rPr>
      </w:pPr>
      <w:bookmarkStart w:id="168" w:name="_Toc234867296"/>
      <w:bookmarkStart w:id="169" w:name="_Toc234867359"/>
      <w:bookmarkStart w:id="170" w:name="_Toc237213845"/>
      <w:bookmarkStart w:id="171" w:name="_Toc238290226"/>
      <w:bookmarkStart w:id="172" w:name="_Toc240724869"/>
      <w:r w:rsidRPr="004410BC">
        <w:rPr>
          <w:rFonts w:eastAsiaTheme="majorEastAsia" w:cs="Arial"/>
        </w:rPr>
        <w:t>3.3.1 Review Protocol</w:t>
      </w:r>
      <w:bookmarkEnd w:id="168"/>
      <w:bookmarkEnd w:id="169"/>
      <w:bookmarkEnd w:id="170"/>
      <w:bookmarkEnd w:id="171"/>
      <w:bookmarkEnd w:id="172"/>
    </w:p>
    <w:p w14:paraId="34B7271B" w14:textId="580CD51D" w:rsidR="00962AE4" w:rsidRPr="004410BC" w:rsidRDefault="00962AE4" w:rsidP="00236C76">
      <w:pPr>
        <w:rPr>
          <w:rFonts w:cs="Arial"/>
        </w:rPr>
      </w:pPr>
      <w:r w:rsidRPr="004410BC">
        <w:rPr>
          <w:rFonts w:cs="Arial"/>
        </w:rPr>
        <w:t>In order to guarantee methodolog</w:t>
      </w:r>
      <w:r w:rsidR="009C5CF6" w:rsidRPr="004410BC">
        <w:rPr>
          <w:rFonts w:cs="Arial"/>
        </w:rPr>
        <w:t>ical</w:t>
      </w:r>
      <w:r w:rsidRPr="004410BC">
        <w:rPr>
          <w:rFonts w:cs="Arial"/>
        </w:rPr>
        <w:t xml:space="preserve"> consistency and transparency, a review protocol is </w:t>
      </w:r>
      <w:r w:rsidR="00D16693" w:rsidRPr="004410BC">
        <w:rPr>
          <w:rFonts w:cs="Arial"/>
        </w:rPr>
        <w:t>defined beforehan</w:t>
      </w:r>
      <w:r w:rsidRPr="004410BC">
        <w:rPr>
          <w:rFonts w:cs="Arial"/>
        </w:rPr>
        <w:t>d. The research goal, inclusion and exclusion criteria, search strategy, screening, quality appraisal, data extraction, and planned narrative synthesis are determined prior to beginning the process of selecting studies. The use of these procedures in advance minimised subjective decisions and allowed the review to be conducted using a systematic research process throughout (Page et al., 2021).</w:t>
      </w:r>
    </w:p>
    <w:p w14:paraId="71640E8C" w14:textId="77777777" w:rsidR="00962AE4" w:rsidRPr="004410BC" w:rsidRDefault="00962AE4" w:rsidP="00236C76">
      <w:pPr>
        <w:pStyle w:val="Heading3"/>
        <w:rPr>
          <w:rFonts w:eastAsiaTheme="majorEastAsia" w:cs="Arial"/>
        </w:rPr>
      </w:pPr>
      <w:bookmarkStart w:id="173" w:name="_Toc234867297"/>
      <w:bookmarkStart w:id="174" w:name="_Toc234867360"/>
      <w:bookmarkStart w:id="175" w:name="_Toc237213846"/>
      <w:bookmarkStart w:id="176" w:name="_Toc238290227"/>
      <w:bookmarkStart w:id="177" w:name="_Toc240724870"/>
      <w:r w:rsidRPr="004410BC">
        <w:rPr>
          <w:rFonts w:eastAsiaTheme="majorEastAsia" w:cs="Arial"/>
        </w:rPr>
        <w:t>3.3.2 PICO Framework</w:t>
      </w:r>
      <w:bookmarkEnd w:id="173"/>
      <w:bookmarkEnd w:id="174"/>
      <w:bookmarkEnd w:id="175"/>
      <w:bookmarkEnd w:id="176"/>
      <w:bookmarkEnd w:id="177"/>
    </w:p>
    <w:p w14:paraId="268F0599" w14:textId="07989355" w:rsidR="00962AE4" w:rsidRPr="004410BC" w:rsidRDefault="00962AE4" w:rsidP="00236C76">
      <w:pPr>
        <w:rPr>
          <w:rFonts w:cs="Arial"/>
        </w:rPr>
      </w:pPr>
      <w:r w:rsidRPr="004410BC">
        <w:rPr>
          <w:rFonts w:cs="Arial"/>
        </w:rPr>
        <w:t>The question is formulated in the light of the Population, Intervention, Comparison and Outcome (PICO) framework. Using PICO allowed the search strategy to be closely linked to the research aims</w:t>
      </w:r>
      <w:r w:rsidR="009C5CF6" w:rsidRPr="004410BC">
        <w:rPr>
          <w:rFonts w:cs="Arial"/>
        </w:rPr>
        <w:t>,</w:t>
      </w:r>
      <w:r w:rsidRPr="004410BC">
        <w:rPr>
          <w:rFonts w:cs="Arial"/>
        </w:rPr>
        <w:t xml:space="preserve"> as the target population, healthcare setting</w:t>
      </w:r>
      <w:r w:rsidR="009C5CF6" w:rsidRPr="004410BC">
        <w:rPr>
          <w:rFonts w:cs="Arial"/>
        </w:rPr>
        <w:t>,</w:t>
      </w:r>
      <w:r w:rsidRPr="004410BC">
        <w:rPr>
          <w:rFonts w:cs="Arial"/>
        </w:rPr>
        <w:t xml:space="preserve"> and outcomes are established prior to literature searching. The framework also contributed to the creation of search words and eligibility criteria to enhance the accuracy and uniformity of the selection of studies.</w:t>
      </w:r>
    </w:p>
    <w:p w14:paraId="57D6986C" w14:textId="57E8FB33" w:rsidR="00962AE4" w:rsidRPr="004410BC" w:rsidRDefault="00962AE4" w:rsidP="00236C76">
      <w:pPr>
        <w:spacing w:after="200"/>
        <w:rPr>
          <w:rFonts w:cs="Arial"/>
          <w:b/>
          <w:bCs/>
          <w:sz w:val="18"/>
          <w:szCs w:val="18"/>
        </w:rPr>
      </w:pPr>
      <w:bookmarkStart w:id="178" w:name="_Toc240724927"/>
      <w:r w:rsidRPr="004410BC">
        <w:rPr>
          <w:rFonts w:cs="Arial"/>
          <w:b/>
          <w:bCs/>
          <w:sz w:val="18"/>
          <w:szCs w:val="18"/>
        </w:rPr>
        <w:t xml:space="preserve">Table </w:t>
      </w:r>
      <w:r w:rsidRPr="004410BC">
        <w:rPr>
          <w:rFonts w:cs="Arial"/>
          <w:b/>
          <w:bCs/>
          <w:sz w:val="18"/>
          <w:szCs w:val="18"/>
        </w:rPr>
        <w:fldChar w:fldCharType="begin"/>
      </w:r>
      <w:r w:rsidRPr="004410BC">
        <w:rPr>
          <w:rFonts w:cs="Arial"/>
          <w:b/>
          <w:bCs/>
          <w:sz w:val="18"/>
          <w:szCs w:val="18"/>
        </w:rPr>
        <w:instrText xml:space="preserve"> SEQ Table \* ARABIC </w:instrText>
      </w:r>
      <w:r w:rsidRPr="004410BC">
        <w:rPr>
          <w:rFonts w:cs="Arial"/>
          <w:b/>
          <w:bCs/>
          <w:sz w:val="18"/>
          <w:szCs w:val="18"/>
        </w:rPr>
        <w:fldChar w:fldCharType="separate"/>
      </w:r>
      <w:r w:rsidR="00EE21DC" w:rsidRPr="004410BC">
        <w:rPr>
          <w:rFonts w:cs="Arial"/>
          <w:b/>
          <w:bCs/>
          <w:noProof/>
          <w:sz w:val="18"/>
          <w:szCs w:val="18"/>
        </w:rPr>
        <w:t>1</w:t>
      </w:r>
      <w:r w:rsidRPr="004410BC">
        <w:rPr>
          <w:rFonts w:cs="Arial"/>
          <w:b/>
          <w:bCs/>
          <w:sz w:val="18"/>
          <w:szCs w:val="18"/>
        </w:rPr>
        <w:fldChar w:fldCharType="end"/>
      </w:r>
      <w:r w:rsidRPr="004410BC">
        <w:rPr>
          <w:rFonts w:cs="Arial"/>
          <w:b/>
          <w:bCs/>
          <w:sz w:val="18"/>
          <w:szCs w:val="18"/>
        </w:rPr>
        <w:t>: PICO Framework</w:t>
      </w:r>
      <w:bookmarkEnd w:id="178"/>
    </w:p>
    <w:tbl>
      <w:tblPr>
        <w:tblStyle w:val="TableGrid"/>
        <w:tblW w:w="0" w:type="auto"/>
        <w:tblLook w:val="04A0" w:firstRow="1" w:lastRow="0" w:firstColumn="1" w:lastColumn="0" w:noHBand="0" w:noVBand="1"/>
      </w:tblPr>
      <w:tblGrid>
        <w:gridCol w:w="1643"/>
        <w:gridCol w:w="7373"/>
      </w:tblGrid>
      <w:tr w:rsidR="00962AE4" w:rsidRPr="004410BC" w14:paraId="657695B5" w14:textId="77777777" w:rsidTr="00006094">
        <w:tc>
          <w:tcPr>
            <w:tcW w:w="0" w:type="auto"/>
            <w:hideMark/>
          </w:tcPr>
          <w:p w14:paraId="5EA238E8" w14:textId="77777777" w:rsidR="00962AE4" w:rsidRPr="004410BC" w:rsidRDefault="00962AE4" w:rsidP="00236C76">
            <w:pPr>
              <w:rPr>
                <w:rFonts w:eastAsia="Times New Roman"/>
                <w:bCs/>
              </w:rPr>
            </w:pPr>
            <w:r w:rsidRPr="004410BC">
              <w:rPr>
                <w:rFonts w:eastAsia="Times New Roman"/>
                <w:bCs/>
              </w:rPr>
              <w:t>PICO element</w:t>
            </w:r>
          </w:p>
        </w:tc>
        <w:tc>
          <w:tcPr>
            <w:tcW w:w="0" w:type="auto"/>
            <w:hideMark/>
          </w:tcPr>
          <w:p w14:paraId="106DF5AD" w14:textId="77777777" w:rsidR="00962AE4" w:rsidRPr="004410BC" w:rsidRDefault="00962AE4" w:rsidP="00236C76">
            <w:pPr>
              <w:rPr>
                <w:rFonts w:eastAsia="Times New Roman"/>
                <w:bCs/>
              </w:rPr>
            </w:pPr>
            <w:r w:rsidRPr="004410BC">
              <w:rPr>
                <w:rFonts w:eastAsia="Times New Roman"/>
                <w:bCs/>
              </w:rPr>
              <w:t>Description</w:t>
            </w:r>
          </w:p>
        </w:tc>
      </w:tr>
      <w:tr w:rsidR="00962AE4" w:rsidRPr="004410BC" w14:paraId="5BBBAACB" w14:textId="77777777" w:rsidTr="00006094">
        <w:tc>
          <w:tcPr>
            <w:tcW w:w="0" w:type="auto"/>
            <w:hideMark/>
          </w:tcPr>
          <w:p w14:paraId="115A32DF" w14:textId="77777777" w:rsidR="00962AE4" w:rsidRPr="004410BC" w:rsidRDefault="00962AE4" w:rsidP="00236C76">
            <w:pPr>
              <w:rPr>
                <w:rFonts w:eastAsia="Times New Roman"/>
              </w:rPr>
            </w:pPr>
            <w:r w:rsidRPr="004410BC">
              <w:rPr>
                <w:rFonts w:eastAsia="Times New Roman"/>
              </w:rPr>
              <w:t>Population</w:t>
            </w:r>
          </w:p>
        </w:tc>
        <w:tc>
          <w:tcPr>
            <w:tcW w:w="0" w:type="auto"/>
            <w:hideMark/>
          </w:tcPr>
          <w:p w14:paraId="4C5E60FD" w14:textId="77777777" w:rsidR="00962AE4" w:rsidRPr="004410BC" w:rsidRDefault="00962AE4" w:rsidP="00236C76">
            <w:pPr>
              <w:rPr>
                <w:rFonts w:eastAsia="Times New Roman"/>
              </w:rPr>
            </w:pPr>
            <w:r w:rsidRPr="004410BC">
              <w:rPr>
                <w:rFonts w:eastAsia="Times New Roman"/>
              </w:rPr>
              <w:t>Ethnic minority populations living in the United Kingdom</w:t>
            </w:r>
          </w:p>
        </w:tc>
      </w:tr>
      <w:tr w:rsidR="00962AE4" w:rsidRPr="004410BC" w14:paraId="660AE168" w14:textId="77777777" w:rsidTr="00006094">
        <w:tc>
          <w:tcPr>
            <w:tcW w:w="0" w:type="auto"/>
            <w:hideMark/>
          </w:tcPr>
          <w:p w14:paraId="49940244" w14:textId="77777777" w:rsidR="00962AE4" w:rsidRPr="004410BC" w:rsidRDefault="00962AE4" w:rsidP="00236C76">
            <w:pPr>
              <w:rPr>
                <w:rFonts w:eastAsia="Times New Roman"/>
              </w:rPr>
            </w:pPr>
            <w:r w:rsidRPr="004410BC">
              <w:rPr>
                <w:rFonts w:eastAsia="Times New Roman"/>
              </w:rPr>
              <w:t>Intervention</w:t>
            </w:r>
          </w:p>
        </w:tc>
        <w:tc>
          <w:tcPr>
            <w:tcW w:w="0" w:type="auto"/>
            <w:hideMark/>
          </w:tcPr>
          <w:p w14:paraId="4E27C058" w14:textId="77777777" w:rsidR="00962AE4" w:rsidRPr="004410BC" w:rsidRDefault="00962AE4" w:rsidP="00236C76">
            <w:pPr>
              <w:rPr>
                <w:rFonts w:eastAsia="Times New Roman"/>
              </w:rPr>
            </w:pPr>
            <w:r w:rsidRPr="004410BC">
              <w:rPr>
                <w:rFonts w:eastAsia="Times New Roman"/>
              </w:rPr>
              <w:t>Access to primary healthcare services and barriers to access</w:t>
            </w:r>
          </w:p>
        </w:tc>
      </w:tr>
      <w:tr w:rsidR="00962AE4" w:rsidRPr="004410BC" w14:paraId="5A909483" w14:textId="77777777" w:rsidTr="00006094">
        <w:tc>
          <w:tcPr>
            <w:tcW w:w="0" w:type="auto"/>
            <w:hideMark/>
          </w:tcPr>
          <w:p w14:paraId="4A765322" w14:textId="77777777" w:rsidR="00962AE4" w:rsidRPr="004410BC" w:rsidRDefault="00962AE4" w:rsidP="00236C76">
            <w:pPr>
              <w:rPr>
                <w:rFonts w:eastAsia="Times New Roman"/>
              </w:rPr>
            </w:pPr>
            <w:r w:rsidRPr="004410BC">
              <w:rPr>
                <w:rFonts w:eastAsia="Times New Roman"/>
              </w:rPr>
              <w:t>Comparison</w:t>
            </w:r>
          </w:p>
        </w:tc>
        <w:tc>
          <w:tcPr>
            <w:tcW w:w="0" w:type="auto"/>
            <w:hideMark/>
          </w:tcPr>
          <w:p w14:paraId="38601EF6" w14:textId="77777777" w:rsidR="00962AE4" w:rsidRPr="004410BC" w:rsidRDefault="00962AE4" w:rsidP="00236C76">
            <w:pPr>
              <w:rPr>
                <w:rFonts w:eastAsia="Times New Roman"/>
              </w:rPr>
            </w:pPr>
            <w:r w:rsidRPr="004410BC">
              <w:rPr>
                <w:rFonts w:eastAsia="Times New Roman"/>
              </w:rPr>
              <w:t>White British or majority population where available</w:t>
            </w:r>
          </w:p>
        </w:tc>
      </w:tr>
      <w:tr w:rsidR="00962AE4" w:rsidRPr="004410BC" w14:paraId="25EC5E31" w14:textId="77777777" w:rsidTr="00006094">
        <w:tc>
          <w:tcPr>
            <w:tcW w:w="0" w:type="auto"/>
            <w:hideMark/>
          </w:tcPr>
          <w:p w14:paraId="779E5AED" w14:textId="77777777" w:rsidR="00962AE4" w:rsidRPr="004410BC" w:rsidRDefault="00962AE4" w:rsidP="00236C76">
            <w:pPr>
              <w:rPr>
                <w:rFonts w:eastAsia="Times New Roman"/>
              </w:rPr>
            </w:pPr>
            <w:r w:rsidRPr="004410BC">
              <w:rPr>
                <w:rFonts w:eastAsia="Times New Roman"/>
              </w:rPr>
              <w:t>Outcome</w:t>
            </w:r>
          </w:p>
        </w:tc>
        <w:tc>
          <w:tcPr>
            <w:tcW w:w="0" w:type="auto"/>
            <w:hideMark/>
          </w:tcPr>
          <w:p w14:paraId="1113212C" w14:textId="77777777" w:rsidR="00962AE4" w:rsidRPr="004410BC" w:rsidRDefault="00962AE4" w:rsidP="00236C76">
            <w:pPr>
              <w:rPr>
                <w:rFonts w:eastAsia="Times New Roman"/>
              </w:rPr>
            </w:pPr>
            <w:r w:rsidRPr="004410BC">
              <w:rPr>
                <w:rFonts w:eastAsia="Times New Roman"/>
              </w:rPr>
              <w:t>Healthcare inequalities, access barriers, patient experiences, service utilisation and health outcomes</w:t>
            </w:r>
          </w:p>
        </w:tc>
      </w:tr>
    </w:tbl>
    <w:p w14:paraId="77E64308" w14:textId="77777777" w:rsidR="00962AE4" w:rsidRPr="004410BC" w:rsidRDefault="00962AE4" w:rsidP="00236C76">
      <w:pPr>
        <w:rPr>
          <w:rFonts w:cs="Arial"/>
        </w:rPr>
      </w:pPr>
    </w:p>
    <w:p w14:paraId="57A683D0" w14:textId="77777777" w:rsidR="00962AE4" w:rsidRPr="004410BC" w:rsidRDefault="00962AE4" w:rsidP="00236C76">
      <w:pPr>
        <w:pStyle w:val="Heading3"/>
        <w:rPr>
          <w:rFonts w:eastAsiaTheme="majorEastAsia" w:cs="Arial"/>
        </w:rPr>
      </w:pPr>
      <w:bookmarkStart w:id="179" w:name="_Toc234867298"/>
      <w:bookmarkStart w:id="180" w:name="_Toc234867361"/>
      <w:bookmarkStart w:id="181" w:name="_Toc237213847"/>
      <w:bookmarkStart w:id="182" w:name="_Toc238290228"/>
      <w:bookmarkStart w:id="183" w:name="_Toc240724871"/>
      <w:r w:rsidRPr="004410BC">
        <w:rPr>
          <w:rFonts w:eastAsiaTheme="majorEastAsia" w:cs="Arial"/>
        </w:rPr>
        <w:t>3.3.3 Database Selection</w:t>
      </w:r>
      <w:bookmarkEnd w:id="179"/>
      <w:bookmarkEnd w:id="180"/>
      <w:bookmarkEnd w:id="181"/>
      <w:bookmarkEnd w:id="182"/>
      <w:bookmarkEnd w:id="183"/>
    </w:p>
    <w:p w14:paraId="2A1BB0C9" w14:textId="0358C753" w:rsidR="00962AE4" w:rsidRPr="004410BC" w:rsidRDefault="00962AE4" w:rsidP="00236C76">
      <w:pPr>
        <w:rPr>
          <w:rFonts w:cs="Arial"/>
        </w:rPr>
      </w:pPr>
      <w:r w:rsidRPr="004410BC">
        <w:rPr>
          <w:rFonts w:cs="Arial"/>
        </w:rPr>
        <w:t>A systematic search of the seven electronic databases is undertaken to ensure that the literature is as extensive as possible in covering relevant literature. The databases used are PubMed, MEDLINE, CINAHL, EMBASE, Web of Science</w:t>
      </w:r>
      <w:r w:rsidR="00D16693" w:rsidRPr="004410BC">
        <w:rPr>
          <w:rFonts w:cs="Arial"/>
        </w:rPr>
        <w:t>,</w:t>
      </w:r>
      <w:r w:rsidRPr="004410BC">
        <w:rPr>
          <w:rFonts w:cs="Arial"/>
        </w:rPr>
        <w:t xml:space="preserve"> Cochrane Library</w:t>
      </w:r>
      <w:r w:rsidR="009C5CF6" w:rsidRPr="004410BC">
        <w:rPr>
          <w:rFonts w:cs="Arial"/>
        </w:rPr>
        <w:t>,</w:t>
      </w:r>
      <w:r w:rsidRPr="004410BC">
        <w:rPr>
          <w:rFonts w:cs="Arial"/>
        </w:rPr>
        <w:t xml:space="preserve"> and Google Scholar. Each database is chosen because they are each used for different topics of health research. There are several sources that include biomedical and public health literature as well, such as PubMed and MEDLINE, while CINAHL emphasi</w:t>
      </w:r>
      <w:r w:rsidR="00AF637C" w:rsidRPr="004410BC">
        <w:rPr>
          <w:rFonts w:cs="Arial"/>
        </w:rPr>
        <w:t>s</w:t>
      </w:r>
      <w:r w:rsidRPr="004410BC">
        <w:rPr>
          <w:rFonts w:cs="Arial"/>
        </w:rPr>
        <w:t>es nursing and allied health research. Both EMBASE and Web of Science provide complementary coverage to MEDLINE: EMBASE is used for expanding the international biomedical journal coverage</w:t>
      </w:r>
      <w:r w:rsidR="00D16693" w:rsidRPr="004410BC">
        <w:rPr>
          <w:rFonts w:cs="Arial"/>
        </w:rPr>
        <w:t>,</w:t>
      </w:r>
      <w:r w:rsidRPr="004410BC">
        <w:rPr>
          <w:rFonts w:cs="Arial"/>
        </w:rPr>
        <w:t xml:space="preserve"> and Web of Science is used for extending the coverage to multidisciplinary journals. To assist evidence-based healthcare research, </w:t>
      </w:r>
      <w:r w:rsidR="00D16693" w:rsidRPr="004410BC">
        <w:rPr>
          <w:rFonts w:cs="Arial"/>
        </w:rPr>
        <w:t xml:space="preserve">the </w:t>
      </w:r>
      <w:r w:rsidRPr="004410BC">
        <w:rPr>
          <w:rFonts w:cs="Arial"/>
        </w:rPr>
        <w:t>Cochrane Library is used as a search source to look for other peer-reviewed studies, which may not have been indexed in any other search source, and Google Scholar is used as a complementary search source.</w:t>
      </w:r>
    </w:p>
    <w:p w14:paraId="0359C9EB" w14:textId="5BA73216" w:rsidR="00962AE4" w:rsidRPr="004410BC" w:rsidRDefault="00962AE4" w:rsidP="00236C76">
      <w:pPr>
        <w:rPr>
          <w:rFonts w:cs="Arial"/>
        </w:rPr>
      </w:pPr>
      <w:r w:rsidRPr="004410BC">
        <w:rPr>
          <w:rFonts w:cs="Arial"/>
        </w:rPr>
        <w:t>All searches are carried out from 10 June 2026 to 1 July 2026</w:t>
      </w:r>
      <w:r w:rsidR="00D16693" w:rsidRPr="004410BC">
        <w:rPr>
          <w:rFonts w:cs="Arial"/>
        </w:rPr>
        <w:t>,</w:t>
      </w:r>
      <w:r w:rsidRPr="004410BC">
        <w:rPr>
          <w:rFonts w:cs="Arial"/>
        </w:rPr>
        <w:t xml:space="preserve"> and the same eligibility criteria </w:t>
      </w:r>
      <w:r w:rsidR="00D16693" w:rsidRPr="004410BC">
        <w:rPr>
          <w:rFonts w:cs="Arial"/>
        </w:rPr>
        <w:t xml:space="preserve">are </w:t>
      </w:r>
      <w:r w:rsidRPr="004410BC">
        <w:rPr>
          <w:rFonts w:cs="Arial"/>
        </w:rPr>
        <w:t>used in all databases to ensure consistency in search results. Documentation of the database sources and search dates improves methodological transparency and helps to reproduce the review.</w:t>
      </w:r>
    </w:p>
    <w:p w14:paraId="26A3E702" w14:textId="0D56B217" w:rsidR="00962AE4" w:rsidRPr="004410BC" w:rsidRDefault="00962AE4" w:rsidP="00236C76">
      <w:pPr>
        <w:spacing w:after="200"/>
        <w:rPr>
          <w:rFonts w:cs="Arial"/>
          <w:b/>
          <w:bCs/>
          <w:sz w:val="18"/>
          <w:szCs w:val="18"/>
        </w:rPr>
      </w:pPr>
      <w:bookmarkStart w:id="184" w:name="_Toc240724928"/>
      <w:r w:rsidRPr="004410BC">
        <w:rPr>
          <w:rFonts w:cs="Arial"/>
          <w:b/>
          <w:bCs/>
          <w:sz w:val="18"/>
          <w:szCs w:val="18"/>
        </w:rPr>
        <w:t xml:space="preserve">Table </w:t>
      </w:r>
      <w:r w:rsidRPr="004410BC">
        <w:rPr>
          <w:rFonts w:cs="Arial"/>
          <w:b/>
          <w:bCs/>
          <w:sz w:val="18"/>
          <w:szCs w:val="18"/>
        </w:rPr>
        <w:fldChar w:fldCharType="begin"/>
      </w:r>
      <w:r w:rsidRPr="004410BC">
        <w:rPr>
          <w:rFonts w:cs="Arial"/>
          <w:b/>
          <w:bCs/>
          <w:sz w:val="18"/>
          <w:szCs w:val="18"/>
        </w:rPr>
        <w:instrText xml:space="preserve"> SEQ Table \* ARABIC </w:instrText>
      </w:r>
      <w:r w:rsidRPr="004410BC">
        <w:rPr>
          <w:rFonts w:cs="Arial"/>
          <w:b/>
          <w:bCs/>
          <w:sz w:val="18"/>
          <w:szCs w:val="18"/>
        </w:rPr>
        <w:fldChar w:fldCharType="separate"/>
      </w:r>
      <w:r w:rsidR="00EE21DC" w:rsidRPr="004410BC">
        <w:rPr>
          <w:rFonts w:cs="Arial"/>
          <w:b/>
          <w:bCs/>
          <w:noProof/>
          <w:sz w:val="18"/>
          <w:szCs w:val="18"/>
        </w:rPr>
        <w:t>2</w:t>
      </w:r>
      <w:r w:rsidRPr="004410BC">
        <w:rPr>
          <w:rFonts w:cs="Arial"/>
          <w:b/>
          <w:bCs/>
          <w:sz w:val="18"/>
          <w:szCs w:val="18"/>
        </w:rPr>
        <w:fldChar w:fldCharType="end"/>
      </w:r>
      <w:r w:rsidRPr="004410BC">
        <w:rPr>
          <w:rFonts w:cs="Arial"/>
          <w:b/>
          <w:bCs/>
          <w:sz w:val="18"/>
          <w:szCs w:val="18"/>
        </w:rPr>
        <w:t>: Databases Searched</w:t>
      </w:r>
      <w:bookmarkEnd w:id="184"/>
    </w:p>
    <w:tbl>
      <w:tblPr>
        <w:tblStyle w:val="TableGrid"/>
        <w:tblW w:w="0" w:type="auto"/>
        <w:tblLook w:val="04A0" w:firstRow="1" w:lastRow="0" w:firstColumn="1" w:lastColumn="0" w:noHBand="0" w:noVBand="1"/>
      </w:tblPr>
      <w:tblGrid>
        <w:gridCol w:w="2057"/>
        <w:gridCol w:w="4272"/>
      </w:tblGrid>
      <w:tr w:rsidR="00962AE4" w:rsidRPr="004410BC" w14:paraId="01707AFE" w14:textId="77777777" w:rsidTr="00006094">
        <w:tc>
          <w:tcPr>
            <w:tcW w:w="0" w:type="auto"/>
            <w:hideMark/>
          </w:tcPr>
          <w:p w14:paraId="78E1F8C3" w14:textId="77777777" w:rsidR="00962AE4" w:rsidRPr="004410BC" w:rsidRDefault="00962AE4" w:rsidP="00236C76">
            <w:pPr>
              <w:rPr>
                <w:rFonts w:eastAsia="Times New Roman"/>
                <w:bCs/>
              </w:rPr>
            </w:pPr>
            <w:r w:rsidRPr="004410BC">
              <w:rPr>
                <w:rFonts w:eastAsia="Times New Roman"/>
                <w:bCs/>
              </w:rPr>
              <w:t>Database</w:t>
            </w:r>
          </w:p>
        </w:tc>
        <w:tc>
          <w:tcPr>
            <w:tcW w:w="0" w:type="auto"/>
            <w:hideMark/>
          </w:tcPr>
          <w:p w14:paraId="10114428" w14:textId="77777777" w:rsidR="00962AE4" w:rsidRPr="004410BC" w:rsidRDefault="00962AE4" w:rsidP="00236C76">
            <w:pPr>
              <w:rPr>
                <w:rFonts w:eastAsia="Times New Roman"/>
                <w:bCs/>
              </w:rPr>
            </w:pPr>
            <w:r w:rsidRPr="004410BC">
              <w:rPr>
                <w:rFonts w:eastAsia="Times New Roman"/>
                <w:bCs/>
              </w:rPr>
              <w:t>Purpose</w:t>
            </w:r>
          </w:p>
        </w:tc>
      </w:tr>
      <w:tr w:rsidR="00962AE4" w:rsidRPr="004410BC" w14:paraId="742E8DE0" w14:textId="77777777" w:rsidTr="00006094">
        <w:tc>
          <w:tcPr>
            <w:tcW w:w="0" w:type="auto"/>
            <w:hideMark/>
          </w:tcPr>
          <w:p w14:paraId="532B0830" w14:textId="77777777" w:rsidR="00962AE4" w:rsidRPr="004410BC" w:rsidRDefault="00962AE4" w:rsidP="00236C76">
            <w:pPr>
              <w:rPr>
                <w:rFonts w:eastAsia="Times New Roman"/>
              </w:rPr>
            </w:pPr>
            <w:r w:rsidRPr="004410BC">
              <w:rPr>
                <w:rFonts w:eastAsia="Times New Roman"/>
              </w:rPr>
              <w:t>PubMed</w:t>
            </w:r>
          </w:p>
        </w:tc>
        <w:tc>
          <w:tcPr>
            <w:tcW w:w="0" w:type="auto"/>
            <w:hideMark/>
          </w:tcPr>
          <w:p w14:paraId="34E5EFD5" w14:textId="77777777" w:rsidR="00962AE4" w:rsidRPr="004410BC" w:rsidRDefault="00962AE4" w:rsidP="00236C76">
            <w:pPr>
              <w:rPr>
                <w:rFonts w:eastAsia="Times New Roman"/>
              </w:rPr>
            </w:pPr>
            <w:r w:rsidRPr="004410BC">
              <w:rPr>
                <w:rFonts w:eastAsia="Times New Roman"/>
              </w:rPr>
              <w:t>Biomedical and public health literature</w:t>
            </w:r>
          </w:p>
        </w:tc>
      </w:tr>
      <w:tr w:rsidR="00962AE4" w:rsidRPr="004410BC" w14:paraId="5106B8B6" w14:textId="77777777" w:rsidTr="00006094">
        <w:tc>
          <w:tcPr>
            <w:tcW w:w="0" w:type="auto"/>
            <w:hideMark/>
          </w:tcPr>
          <w:p w14:paraId="3905BFDD" w14:textId="77777777" w:rsidR="00962AE4" w:rsidRPr="004410BC" w:rsidRDefault="00962AE4" w:rsidP="00236C76">
            <w:pPr>
              <w:rPr>
                <w:rFonts w:eastAsia="Times New Roman"/>
              </w:rPr>
            </w:pPr>
            <w:r w:rsidRPr="004410BC">
              <w:rPr>
                <w:rFonts w:eastAsia="Times New Roman"/>
              </w:rPr>
              <w:t>MEDLINE</w:t>
            </w:r>
          </w:p>
        </w:tc>
        <w:tc>
          <w:tcPr>
            <w:tcW w:w="0" w:type="auto"/>
            <w:hideMark/>
          </w:tcPr>
          <w:p w14:paraId="2C9E53EF" w14:textId="77777777" w:rsidR="00962AE4" w:rsidRPr="004410BC" w:rsidRDefault="00962AE4" w:rsidP="00236C76">
            <w:pPr>
              <w:rPr>
                <w:rFonts w:eastAsia="Times New Roman"/>
              </w:rPr>
            </w:pPr>
            <w:r w:rsidRPr="004410BC">
              <w:rPr>
                <w:rFonts w:eastAsia="Times New Roman"/>
              </w:rPr>
              <w:t>Medical research</w:t>
            </w:r>
          </w:p>
        </w:tc>
      </w:tr>
      <w:tr w:rsidR="00962AE4" w:rsidRPr="004410BC" w14:paraId="3BF5D066" w14:textId="77777777" w:rsidTr="00006094">
        <w:tc>
          <w:tcPr>
            <w:tcW w:w="0" w:type="auto"/>
            <w:hideMark/>
          </w:tcPr>
          <w:p w14:paraId="09E90380" w14:textId="77777777" w:rsidR="00962AE4" w:rsidRPr="004410BC" w:rsidRDefault="00962AE4" w:rsidP="00236C76">
            <w:pPr>
              <w:rPr>
                <w:rFonts w:eastAsia="Times New Roman"/>
              </w:rPr>
            </w:pPr>
            <w:r w:rsidRPr="004410BC">
              <w:rPr>
                <w:rFonts w:eastAsia="Times New Roman"/>
              </w:rPr>
              <w:t>CINAHL</w:t>
            </w:r>
          </w:p>
        </w:tc>
        <w:tc>
          <w:tcPr>
            <w:tcW w:w="0" w:type="auto"/>
            <w:hideMark/>
          </w:tcPr>
          <w:p w14:paraId="4B37EFC2" w14:textId="77777777" w:rsidR="00962AE4" w:rsidRPr="004410BC" w:rsidRDefault="00962AE4" w:rsidP="00236C76">
            <w:pPr>
              <w:rPr>
                <w:rFonts w:eastAsia="Times New Roman"/>
              </w:rPr>
            </w:pPr>
            <w:r w:rsidRPr="004410BC">
              <w:rPr>
                <w:rFonts w:eastAsia="Times New Roman"/>
              </w:rPr>
              <w:t>Nursing and allied health</w:t>
            </w:r>
          </w:p>
        </w:tc>
      </w:tr>
      <w:tr w:rsidR="00962AE4" w:rsidRPr="004410BC" w14:paraId="6B2BAE69" w14:textId="77777777" w:rsidTr="00006094">
        <w:tc>
          <w:tcPr>
            <w:tcW w:w="0" w:type="auto"/>
            <w:hideMark/>
          </w:tcPr>
          <w:p w14:paraId="6048BA9C" w14:textId="77777777" w:rsidR="00962AE4" w:rsidRPr="004410BC" w:rsidRDefault="00962AE4" w:rsidP="00236C76">
            <w:pPr>
              <w:rPr>
                <w:rFonts w:eastAsia="Times New Roman"/>
              </w:rPr>
            </w:pPr>
            <w:r w:rsidRPr="004410BC">
              <w:rPr>
                <w:rFonts w:eastAsia="Times New Roman"/>
              </w:rPr>
              <w:t>EMBASE</w:t>
            </w:r>
          </w:p>
        </w:tc>
        <w:tc>
          <w:tcPr>
            <w:tcW w:w="0" w:type="auto"/>
            <w:hideMark/>
          </w:tcPr>
          <w:p w14:paraId="612BDF8A" w14:textId="77777777" w:rsidR="00962AE4" w:rsidRPr="004410BC" w:rsidRDefault="00962AE4" w:rsidP="00236C76">
            <w:pPr>
              <w:rPr>
                <w:rFonts w:eastAsia="Times New Roman"/>
              </w:rPr>
            </w:pPr>
            <w:r w:rsidRPr="004410BC">
              <w:rPr>
                <w:rFonts w:eastAsia="Times New Roman"/>
              </w:rPr>
              <w:t>International biomedical literature</w:t>
            </w:r>
          </w:p>
        </w:tc>
      </w:tr>
      <w:tr w:rsidR="00962AE4" w:rsidRPr="004410BC" w14:paraId="41D78A3E" w14:textId="77777777" w:rsidTr="00006094">
        <w:tc>
          <w:tcPr>
            <w:tcW w:w="0" w:type="auto"/>
            <w:hideMark/>
          </w:tcPr>
          <w:p w14:paraId="05CEE6F6" w14:textId="77777777" w:rsidR="00962AE4" w:rsidRPr="004410BC" w:rsidRDefault="00962AE4" w:rsidP="00236C76">
            <w:pPr>
              <w:rPr>
                <w:rFonts w:eastAsia="Times New Roman"/>
              </w:rPr>
            </w:pPr>
            <w:r w:rsidRPr="004410BC">
              <w:rPr>
                <w:rFonts w:eastAsia="Times New Roman"/>
              </w:rPr>
              <w:t>Web of Science</w:t>
            </w:r>
          </w:p>
        </w:tc>
        <w:tc>
          <w:tcPr>
            <w:tcW w:w="0" w:type="auto"/>
            <w:hideMark/>
          </w:tcPr>
          <w:p w14:paraId="6D7F25BC" w14:textId="77777777" w:rsidR="00962AE4" w:rsidRPr="004410BC" w:rsidRDefault="00962AE4" w:rsidP="00236C76">
            <w:pPr>
              <w:rPr>
                <w:rFonts w:eastAsia="Times New Roman"/>
              </w:rPr>
            </w:pPr>
            <w:r w:rsidRPr="004410BC">
              <w:rPr>
                <w:rFonts w:eastAsia="Times New Roman"/>
              </w:rPr>
              <w:t>Multidisciplinary research</w:t>
            </w:r>
          </w:p>
        </w:tc>
      </w:tr>
      <w:tr w:rsidR="00962AE4" w:rsidRPr="004410BC" w14:paraId="6FDF9EC5" w14:textId="77777777" w:rsidTr="00006094">
        <w:tc>
          <w:tcPr>
            <w:tcW w:w="0" w:type="auto"/>
            <w:hideMark/>
          </w:tcPr>
          <w:p w14:paraId="04DF4A90" w14:textId="77777777" w:rsidR="00962AE4" w:rsidRPr="004410BC" w:rsidRDefault="00962AE4" w:rsidP="00236C76">
            <w:pPr>
              <w:rPr>
                <w:rFonts w:eastAsia="Times New Roman"/>
              </w:rPr>
            </w:pPr>
            <w:r w:rsidRPr="004410BC">
              <w:rPr>
                <w:rFonts w:eastAsia="Times New Roman"/>
              </w:rPr>
              <w:t>Cochrane Library</w:t>
            </w:r>
          </w:p>
        </w:tc>
        <w:tc>
          <w:tcPr>
            <w:tcW w:w="0" w:type="auto"/>
            <w:hideMark/>
          </w:tcPr>
          <w:p w14:paraId="053C2838" w14:textId="77777777" w:rsidR="00962AE4" w:rsidRPr="004410BC" w:rsidRDefault="00962AE4" w:rsidP="00236C76">
            <w:pPr>
              <w:rPr>
                <w:rFonts w:eastAsia="Times New Roman"/>
              </w:rPr>
            </w:pPr>
            <w:r w:rsidRPr="004410BC">
              <w:rPr>
                <w:rFonts w:eastAsia="Times New Roman"/>
              </w:rPr>
              <w:t>Evidence-based healthcare</w:t>
            </w:r>
          </w:p>
        </w:tc>
      </w:tr>
      <w:tr w:rsidR="00962AE4" w:rsidRPr="004410BC" w14:paraId="1E5107F1" w14:textId="77777777" w:rsidTr="00006094">
        <w:tc>
          <w:tcPr>
            <w:tcW w:w="0" w:type="auto"/>
            <w:hideMark/>
          </w:tcPr>
          <w:p w14:paraId="70DACEC5" w14:textId="77777777" w:rsidR="00962AE4" w:rsidRPr="004410BC" w:rsidRDefault="00962AE4" w:rsidP="00236C76">
            <w:pPr>
              <w:rPr>
                <w:rFonts w:eastAsia="Times New Roman"/>
              </w:rPr>
            </w:pPr>
            <w:r w:rsidRPr="004410BC">
              <w:rPr>
                <w:rFonts w:eastAsia="Times New Roman"/>
              </w:rPr>
              <w:t>Google Scholar</w:t>
            </w:r>
          </w:p>
        </w:tc>
        <w:tc>
          <w:tcPr>
            <w:tcW w:w="0" w:type="auto"/>
            <w:hideMark/>
          </w:tcPr>
          <w:p w14:paraId="153B484A" w14:textId="77777777" w:rsidR="00962AE4" w:rsidRPr="004410BC" w:rsidRDefault="00962AE4" w:rsidP="00236C76">
            <w:pPr>
              <w:rPr>
                <w:rFonts w:eastAsia="Times New Roman"/>
              </w:rPr>
            </w:pPr>
            <w:r w:rsidRPr="004410BC">
              <w:rPr>
                <w:rFonts w:eastAsia="Times New Roman"/>
              </w:rPr>
              <w:t>Supplementary peer-reviewed search</w:t>
            </w:r>
          </w:p>
        </w:tc>
      </w:tr>
    </w:tbl>
    <w:p w14:paraId="25AA5FDA" w14:textId="77777777" w:rsidR="00962AE4" w:rsidRPr="004410BC" w:rsidRDefault="00962AE4" w:rsidP="00236C76">
      <w:pPr>
        <w:rPr>
          <w:rFonts w:cs="Arial"/>
        </w:rPr>
      </w:pPr>
    </w:p>
    <w:p w14:paraId="142BE39F" w14:textId="77777777" w:rsidR="00962AE4" w:rsidRPr="004410BC" w:rsidRDefault="00962AE4" w:rsidP="00236C76">
      <w:pPr>
        <w:pStyle w:val="Heading3"/>
        <w:rPr>
          <w:rFonts w:eastAsiaTheme="majorEastAsia" w:cs="Arial"/>
        </w:rPr>
      </w:pPr>
      <w:bookmarkStart w:id="185" w:name="_Toc234867299"/>
      <w:bookmarkStart w:id="186" w:name="_Toc234867362"/>
      <w:bookmarkStart w:id="187" w:name="_Toc237213848"/>
      <w:bookmarkStart w:id="188" w:name="_Toc238290229"/>
      <w:bookmarkStart w:id="189" w:name="_Toc240724872"/>
      <w:r w:rsidRPr="004410BC">
        <w:rPr>
          <w:rFonts w:eastAsiaTheme="majorEastAsia" w:cs="Arial"/>
        </w:rPr>
        <w:t>3.3.4 Search Terms, Boolean Operators and Search Limits</w:t>
      </w:r>
      <w:bookmarkEnd w:id="185"/>
      <w:bookmarkEnd w:id="186"/>
      <w:bookmarkEnd w:id="187"/>
      <w:bookmarkEnd w:id="188"/>
      <w:bookmarkEnd w:id="189"/>
    </w:p>
    <w:p w14:paraId="72C811CA" w14:textId="529C4DB8" w:rsidR="00962AE4" w:rsidRPr="004410BC" w:rsidRDefault="00962AE4" w:rsidP="00236C76">
      <w:pPr>
        <w:rPr>
          <w:rFonts w:cs="Arial"/>
        </w:rPr>
      </w:pPr>
      <w:r w:rsidRPr="004410BC">
        <w:rPr>
          <w:rFonts w:cs="Arial"/>
        </w:rPr>
        <w:t xml:space="preserve">The search strategy </w:t>
      </w:r>
      <w:r w:rsidR="009C5CF6" w:rsidRPr="004410BC">
        <w:rPr>
          <w:rFonts w:cs="Arial"/>
        </w:rPr>
        <w:t>use</w:t>
      </w:r>
      <w:r w:rsidRPr="004410BC">
        <w:rPr>
          <w:rFonts w:cs="Arial"/>
        </w:rPr>
        <w:t>s controlled vocabulary, keywords</w:t>
      </w:r>
      <w:r w:rsidR="00D16693" w:rsidRPr="004410BC">
        <w:rPr>
          <w:rFonts w:cs="Arial"/>
        </w:rPr>
        <w:t>,</w:t>
      </w:r>
      <w:r w:rsidRPr="004410BC">
        <w:rPr>
          <w:rFonts w:cs="Arial"/>
        </w:rPr>
        <w:t xml:space="preserve"> and synonymous terms related to ethnic minority groups, primary health care and health care inequalities. Ethnic minority, BAME, primary healthcare, health inequality, access, barrier, communication, culture, language, digital exclusion and discrimination. Synonyms are joined together with the </w:t>
      </w:r>
      <w:r w:rsidR="00D16693" w:rsidRPr="004410BC">
        <w:rPr>
          <w:rFonts w:cs="Arial"/>
        </w:rPr>
        <w:t>B</w:t>
      </w:r>
      <w:r w:rsidRPr="004410BC">
        <w:rPr>
          <w:rFonts w:cs="Arial"/>
        </w:rPr>
        <w:t>oolean operator OR</w:t>
      </w:r>
      <w:r w:rsidR="00D16693" w:rsidRPr="004410BC">
        <w:rPr>
          <w:rFonts w:cs="Arial"/>
        </w:rPr>
        <w:t>,</w:t>
      </w:r>
      <w:r w:rsidRPr="004410BC">
        <w:rPr>
          <w:rFonts w:cs="Arial"/>
        </w:rPr>
        <w:t xml:space="preserve"> and different concepts are joined together with the </w:t>
      </w:r>
      <w:r w:rsidR="00D16693" w:rsidRPr="004410BC">
        <w:rPr>
          <w:rFonts w:cs="Arial"/>
        </w:rPr>
        <w:t>B</w:t>
      </w:r>
      <w:r w:rsidRPr="004410BC">
        <w:rPr>
          <w:rFonts w:cs="Arial"/>
        </w:rPr>
        <w:t>oolean operator AND. Searching and truncating are modified to suit the specific needs of the indexing by the individual database where appropriate to increase the sensitivity of the search.</w:t>
      </w:r>
    </w:p>
    <w:p w14:paraId="005F7A15" w14:textId="2387A7F5" w:rsidR="00962AE4" w:rsidRPr="004410BC" w:rsidRDefault="00962AE4" w:rsidP="00236C76">
      <w:pPr>
        <w:rPr>
          <w:rFonts w:cs="Arial"/>
        </w:rPr>
      </w:pPr>
      <w:r w:rsidRPr="004410BC">
        <w:rPr>
          <w:rFonts w:cs="Arial"/>
        </w:rPr>
        <w:t xml:space="preserve">The </w:t>
      </w:r>
      <w:r w:rsidR="00D16693" w:rsidRPr="004410BC">
        <w:rPr>
          <w:rFonts w:cs="Arial"/>
        </w:rPr>
        <w:t>Boo</w:t>
      </w:r>
      <w:r w:rsidRPr="004410BC">
        <w:rPr>
          <w:rFonts w:cs="Arial"/>
        </w:rPr>
        <w:t>lean operator is:</w:t>
      </w:r>
    </w:p>
    <w:p w14:paraId="69DB294E" w14:textId="77777777" w:rsidR="00962AE4" w:rsidRPr="004410BC" w:rsidRDefault="00962AE4" w:rsidP="00236C76">
      <w:pPr>
        <w:rPr>
          <w:rFonts w:cs="Arial"/>
        </w:rPr>
      </w:pPr>
      <w:r w:rsidRPr="004410BC">
        <w:rPr>
          <w:rFonts w:cs="Arial"/>
        </w:rPr>
        <w:t>("ethnic minority" OR BAME OR "racially minoritised") AND ("primary care" OR "general practice") AND (access OR accessibility) AND (United Kingdom OR UK).</w:t>
      </w:r>
    </w:p>
    <w:p w14:paraId="17CC7F97" w14:textId="515E7D0F" w:rsidR="00962AE4" w:rsidRPr="004410BC" w:rsidRDefault="00962AE4" w:rsidP="00236C76">
      <w:pPr>
        <w:rPr>
          <w:rFonts w:cs="Arial"/>
        </w:rPr>
      </w:pPr>
      <w:r w:rsidRPr="004410BC">
        <w:rPr>
          <w:rFonts w:cs="Arial"/>
        </w:rPr>
        <w:t xml:space="preserve">Searches are restricted to studies published from 2020 to 2026 to ensure that the evidence is aligned with the current NHS policy and the NHS's provision of healthcare services, following the pandemic. Further search criteria are in </w:t>
      </w:r>
      <w:r w:rsidR="00D16693" w:rsidRPr="004410BC">
        <w:rPr>
          <w:rFonts w:cs="Arial"/>
        </w:rPr>
        <w:t xml:space="preserve">the </w:t>
      </w:r>
      <w:r w:rsidRPr="004410BC">
        <w:rPr>
          <w:rFonts w:cs="Arial"/>
        </w:rPr>
        <w:t>English language, studies conducted in the United Kingdom and peer-reviewed empirical studies. Google Scholar is used to find grey literature; however, only peer</w:t>
      </w:r>
      <w:r w:rsidR="00D16693" w:rsidRPr="004410BC">
        <w:rPr>
          <w:rFonts w:cs="Arial"/>
        </w:rPr>
        <w:t>-</w:t>
      </w:r>
      <w:r w:rsidRPr="004410BC">
        <w:rPr>
          <w:rFonts w:cs="Arial"/>
        </w:rPr>
        <w:t xml:space="preserve">reviewed journal articles that fulfilled the eligibility criteria of the study are used in the final review. A uniform search strategy in all databases led to the comparability of the results and to the exclusion of the retrieval of irrelevant studies. </w:t>
      </w:r>
    </w:p>
    <w:p w14:paraId="1B477516" w14:textId="0A0590BC" w:rsidR="00962AE4" w:rsidRPr="004410BC" w:rsidRDefault="00962AE4" w:rsidP="00236C76">
      <w:pPr>
        <w:spacing w:after="200"/>
        <w:rPr>
          <w:rFonts w:cs="Arial"/>
          <w:b/>
          <w:bCs/>
          <w:sz w:val="18"/>
          <w:szCs w:val="18"/>
        </w:rPr>
      </w:pPr>
      <w:bookmarkStart w:id="190" w:name="_Toc240724929"/>
      <w:r w:rsidRPr="004410BC">
        <w:rPr>
          <w:rFonts w:cs="Arial"/>
          <w:b/>
          <w:bCs/>
          <w:sz w:val="18"/>
          <w:szCs w:val="18"/>
        </w:rPr>
        <w:t xml:space="preserve">Table </w:t>
      </w:r>
      <w:r w:rsidRPr="004410BC">
        <w:rPr>
          <w:rFonts w:cs="Arial"/>
          <w:b/>
          <w:bCs/>
          <w:sz w:val="18"/>
          <w:szCs w:val="18"/>
        </w:rPr>
        <w:fldChar w:fldCharType="begin"/>
      </w:r>
      <w:r w:rsidRPr="004410BC">
        <w:rPr>
          <w:rFonts w:cs="Arial"/>
          <w:b/>
          <w:bCs/>
          <w:sz w:val="18"/>
          <w:szCs w:val="18"/>
        </w:rPr>
        <w:instrText xml:space="preserve"> SEQ Table \* ARABIC </w:instrText>
      </w:r>
      <w:r w:rsidRPr="004410BC">
        <w:rPr>
          <w:rFonts w:cs="Arial"/>
          <w:b/>
          <w:bCs/>
          <w:sz w:val="18"/>
          <w:szCs w:val="18"/>
        </w:rPr>
        <w:fldChar w:fldCharType="separate"/>
      </w:r>
      <w:r w:rsidR="00EE21DC" w:rsidRPr="004410BC">
        <w:rPr>
          <w:rFonts w:cs="Arial"/>
          <w:b/>
          <w:bCs/>
          <w:noProof/>
          <w:sz w:val="18"/>
          <w:szCs w:val="18"/>
        </w:rPr>
        <w:t>3</w:t>
      </w:r>
      <w:r w:rsidRPr="004410BC">
        <w:rPr>
          <w:rFonts w:cs="Arial"/>
          <w:b/>
          <w:bCs/>
          <w:sz w:val="18"/>
          <w:szCs w:val="18"/>
        </w:rPr>
        <w:fldChar w:fldCharType="end"/>
      </w:r>
      <w:r w:rsidRPr="004410BC">
        <w:rPr>
          <w:rFonts w:cs="Arial"/>
          <w:b/>
          <w:bCs/>
          <w:sz w:val="18"/>
          <w:szCs w:val="18"/>
        </w:rPr>
        <w:t>: Search Keywords and Synonyms</w:t>
      </w:r>
      <w:bookmarkEnd w:id="190"/>
    </w:p>
    <w:tbl>
      <w:tblPr>
        <w:tblStyle w:val="TableGrid"/>
        <w:tblW w:w="0" w:type="auto"/>
        <w:tblLook w:val="04A0" w:firstRow="1" w:lastRow="0" w:firstColumn="1" w:lastColumn="0" w:noHBand="0" w:noVBand="1"/>
      </w:tblPr>
      <w:tblGrid>
        <w:gridCol w:w="2231"/>
        <w:gridCol w:w="4685"/>
      </w:tblGrid>
      <w:tr w:rsidR="00962AE4" w:rsidRPr="004410BC" w14:paraId="27EA922E" w14:textId="77777777" w:rsidTr="00006094">
        <w:tc>
          <w:tcPr>
            <w:tcW w:w="0" w:type="auto"/>
            <w:hideMark/>
          </w:tcPr>
          <w:p w14:paraId="1F638D6F" w14:textId="77777777" w:rsidR="00962AE4" w:rsidRPr="004410BC" w:rsidRDefault="00962AE4" w:rsidP="00236C76">
            <w:pPr>
              <w:rPr>
                <w:rFonts w:eastAsia="Times New Roman"/>
                <w:bCs/>
              </w:rPr>
            </w:pPr>
            <w:r w:rsidRPr="004410BC">
              <w:rPr>
                <w:rFonts w:eastAsia="Times New Roman"/>
                <w:bCs/>
              </w:rPr>
              <w:t>Keyword</w:t>
            </w:r>
          </w:p>
        </w:tc>
        <w:tc>
          <w:tcPr>
            <w:tcW w:w="0" w:type="auto"/>
            <w:hideMark/>
          </w:tcPr>
          <w:p w14:paraId="493596E4" w14:textId="77777777" w:rsidR="00962AE4" w:rsidRPr="004410BC" w:rsidRDefault="00962AE4" w:rsidP="00236C76">
            <w:pPr>
              <w:rPr>
                <w:rFonts w:eastAsia="Times New Roman"/>
                <w:bCs/>
              </w:rPr>
            </w:pPr>
            <w:r w:rsidRPr="004410BC">
              <w:rPr>
                <w:rFonts w:eastAsia="Times New Roman"/>
                <w:bCs/>
              </w:rPr>
              <w:t>Examples of synonyms</w:t>
            </w:r>
          </w:p>
        </w:tc>
      </w:tr>
      <w:tr w:rsidR="00962AE4" w:rsidRPr="004410BC" w14:paraId="357D3AEA" w14:textId="77777777" w:rsidTr="00006094">
        <w:tc>
          <w:tcPr>
            <w:tcW w:w="0" w:type="auto"/>
            <w:hideMark/>
          </w:tcPr>
          <w:p w14:paraId="6CF6B105" w14:textId="77777777" w:rsidR="00962AE4" w:rsidRPr="004410BC" w:rsidRDefault="00962AE4" w:rsidP="00236C76">
            <w:pPr>
              <w:rPr>
                <w:rFonts w:eastAsia="Times New Roman"/>
              </w:rPr>
            </w:pPr>
            <w:r w:rsidRPr="004410BC">
              <w:rPr>
                <w:rFonts w:eastAsia="Times New Roman"/>
              </w:rPr>
              <w:t>Ethnic minority</w:t>
            </w:r>
          </w:p>
        </w:tc>
        <w:tc>
          <w:tcPr>
            <w:tcW w:w="0" w:type="auto"/>
            <w:hideMark/>
          </w:tcPr>
          <w:p w14:paraId="4EF20381" w14:textId="77777777" w:rsidR="00962AE4" w:rsidRPr="004410BC" w:rsidRDefault="00962AE4" w:rsidP="00236C76">
            <w:pPr>
              <w:rPr>
                <w:rFonts w:eastAsia="Times New Roman"/>
              </w:rPr>
            </w:pPr>
            <w:r w:rsidRPr="004410BC">
              <w:rPr>
                <w:rFonts w:eastAsia="Times New Roman"/>
              </w:rPr>
              <w:t>BAME, minority ethnic, racially minoritised</w:t>
            </w:r>
          </w:p>
        </w:tc>
      </w:tr>
      <w:tr w:rsidR="00962AE4" w:rsidRPr="004410BC" w14:paraId="48831AEB" w14:textId="77777777" w:rsidTr="00006094">
        <w:tc>
          <w:tcPr>
            <w:tcW w:w="0" w:type="auto"/>
            <w:hideMark/>
          </w:tcPr>
          <w:p w14:paraId="2049EEB0" w14:textId="77777777" w:rsidR="00962AE4" w:rsidRPr="004410BC" w:rsidRDefault="00962AE4" w:rsidP="00236C76">
            <w:pPr>
              <w:rPr>
                <w:rFonts w:eastAsia="Times New Roman"/>
              </w:rPr>
            </w:pPr>
            <w:r w:rsidRPr="004410BC">
              <w:rPr>
                <w:rFonts w:eastAsia="Times New Roman"/>
              </w:rPr>
              <w:t>Primary healthcare</w:t>
            </w:r>
          </w:p>
        </w:tc>
        <w:tc>
          <w:tcPr>
            <w:tcW w:w="0" w:type="auto"/>
            <w:hideMark/>
          </w:tcPr>
          <w:p w14:paraId="4F569AF2" w14:textId="77777777" w:rsidR="00962AE4" w:rsidRPr="004410BC" w:rsidRDefault="00962AE4" w:rsidP="00236C76">
            <w:pPr>
              <w:rPr>
                <w:rFonts w:eastAsia="Times New Roman"/>
              </w:rPr>
            </w:pPr>
            <w:r w:rsidRPr="004410BC">
              <w:rPr>
                <w:rFonts w:eastAsia="Times New Roman"/>
              </w:rPr>
              <w:t>Primary care, GP services</w:t>
            </w:r>
          </w:p>
        </w:tc>
      </w:tr>
      <w:tr w:rsidR="00962AE4" w:rsidRPr="004410BC" w14:paraId="18890096" w14:textId="77777777" w:rsidTr="00006094">
        <w:tc>
          <w:tcPr>
            <w:tcW w:w="0" w:type="auto"/>
            <w:hideMark/>
          </w:tcPr>
          <w:p w14:paraId="68AC7D83" w14:textId="77777777" w:rsidR="00962AE4" w:rsidRPr="004410BC" w:rsidRDefault="00962AE4" w:rsidP="00236C76">
            <w:pPr>
              <w:rPr>
                <w:rFonts w:eastAsia="Times New Roman"/>
              </w:rPr>
            </w:pPr>
            <w:r w:rsidRPr="004410BC">
              <w:rPr>
                <w:rFonts w:eastAsia="Times New Roman"/>
              </w:rPr>
              <w:t>Access</w:t>
            </w:r>
          </w:p>
        </w:tc>
        <w:tc>
          <w:tcPr>
            <w:tcW w:w="0" w:type="auto"/>
            <w:hideMark/>
          </w:tcPr>
          <w:p w14:paraId="3C580A1E" w14:textId="77777777" w:rsidR="00962AE4" w:rsidRPr="004410BC" w:rsidRDefault="00962AE4" w:rsidP="00236C76">
            <w:pPr>
              <w:rPr>
                <w:rFonts w:eastAsia="Times New Roman"/>
              </w:rPr>
            </w:pPr>
            <w:r w:rsidRPr="004410BC">
              <w:rPr>
                <w:rFonts w:eastAsia="Times New Roman"/>
              </w:rPr>
              <w:t>Accessibility, utilisation, uptake</w:t>
            </w:r>
          </w:p>
        </w:tc>
      </w:tr>
      <w:tr w:rsidR="00962AE4" w:rsidRPr="004410BC" w14:paraId="5BC5391B" w14:textId="77777777" w:rsidTr="00006094">
        <w:tc>
          <w:tcPr>
            <w:tcW w:w="0" w:type="auto"/>
            <w:hideMark/>
          </w:tcPr>
          <w:p w14:paraId="5AE82C3E" w14:textId="77777777" w:rsidR="00962AE4" w:rsidRPr="004410BC" w:rsidRDefault="00962AE4" w:rsidP="00236C76">
            <w:pPr>
              <w:rPr>
                <w:rFonts w:eastAsia="Times New Roman"/>
              </w:rPr>
            </w:pPr>
            <w:r w:rsidRPr="004410BC">
              <w:rPr>
                <w:rFonts w:eastAsia="Times New Roman"/>
              </w:rPr>
              <w:t>Inequality</w:t>
            </w:r>
          </w:p>
        </w:tc>
        <w:tc>
          <w:tcPr>
            <w:tcW w:w="0" w:type="auto"/>
            <w:hideMark/>
          </w:tcPr>
          <w:p w14:paraId="17F637BE" w14:textId="77777777" w:rsidR="00962AE4" w:rsidRPr="004410BC" w:rsidRDefault="00962AE4" w:rsidP="00236C76">
            <w:pPr>
              <w:rPr>
                <w:rFonts w:eastAsia="Times New Roman"/>
              </w:rPr>
            </w:pPr>
            <w:r w:rsidRPr="004410BC">
              <w:rPr>
                <w:rFonts w:eastAsia="Times New Roman"/>
              </w:rPr>
              <w:t>Disparity, inequity</w:t>
            </w:r>
          </w:p>
        </w:tc>
      </w:tr>
      <w:tr w:rsidR="00962AE4" w:rsidRPr="004410BC" w14:paraId="3D70A0C0" w14:textId="77777777" w:rsidTr="00006094">
        <w:tc>
          <w:tcPr>
            <w:tcW w:w="0" w:type="auto"/>
            <w:hideMark/>
          </w:tcPr>
          <w:p w14:paraId="382CACC8" w14:textId="77777777" w:rsidR="00962AE4" w:rsidRPr="004410BC" w:rsidRDefault="00962AE4" w:rsidP="00236C76">
            <w:pPr>
              <w:rPr>
                <w:rFonts w:eastAsia="Times New Roman"/>
              </w:rPr>
            </w:pPr>
            <w:r w:rsidRPr="004410BC">
              <w:rPr>
                <w:rFonts w:eastAsia="Times New Roman"/>
              </w:rPr>
              <w:t>Barrier</w:t>
            </w:r>
          </w:p>
        </w:tc>
        <w:tc>
          <w:tcPr>
            <w:tcW w:w="0" w:type="auto"/>
            <w:hideMark/>
          </w:tcPr>
          <w:p w14:paraId="24ED44AF" w14:textId="77777777" w:rsidR="00962AE4" w:rsidRPr="004410BC" w:rsidRDefault="00962AE4" w:rsidP="00236C76">
            <w:pPr>
              <w:rPr>
                <w:rFonts w:eastAsia="Times New Roman"/>
              </w:rPr>
            </w:pPr>
            <w:r w:rsidRPr="004410BC">
              <w:rPr>
                <w:rFonts w:eastAsia="Times New Roman"/>
              </w:rPr>
              <w:t>Challenge, obstacle</w:t>
            </w:r>
          </w:p>
        </w:tc>
      </w:tr>
      <w:tr w:rsidR="00962AE4" w:rsidRPr="004410BC" w14:paraId="53B8480B" w14:textId="77777777" w:rsidTr="00006094">
        <w:tc>
          <w:tcPr>
            <w:tcW w:w="0" w:type="auto"/>
            <w:hideMark/>
          </w:tcPr>
          <w:p w14:paraId="24D3C1EA" w14:textId="77777777" w:rsidR="00962AE4" w:rsidRPr="004410BC" w:rsidRDefault="00962AE4" w:rsidP="00236C76">
            <w:pPr>
              <w:rPr>
                <w:rFonts w:eastAsia="Times New Roman"/>
              </w:rPr>
            </w:pPr>
            <w:r w:rsidRPr="004410BC">
              <w:rPr>
                <w:rFonts w:eastAsia="Times New Roman"/>
              </w:rPr>
              <w:t>Communication</w:t>
            </w:r>
          </w:p>
        </w:tc>
        <w:tc>
          <w:tcPr>
            <w:tcW w:w="0" w:type="auto"/>
            <w:hideMark/>
          </w:tcPr>
          <w:p w14:paraId="6AC2F184" w14:textId="77777777" w:rsidR="00962AE4" w:rsidRPr="004410BC" w:rsidRDefault="00962AE4" w:rsidP="00236C76">
            <w:pPr>
              <w:rPr>
                <w:rFonts w:eastAsia="Times New Roman"/>
              </w:rPr>
            </w:pPr>
            <w:r w:rsidRPr="004410BC">
              <w:rPr>
                <w:rFonts w:eastAsia="Times New Roman"/>
              </w:rPr>
              <w:t>Language, interpretation</w:t>
            </w:r>
          </w:p>
        </w:tc>
      </w:tr>
      <w:tr w:rsidR="00962AE4" w:rsidRPr="004410BC" w14:paraId="4A1B51E6" w14:textId="77777777" w:rsidTr="00006094">
        <w:tc>
          <w:tcPr>
            <w:tcW w:w="0" w:type="auto"/>
            <w:hideMark/>
          </w:tcPr>
          <w:p w14:paraId="5FB0A7D5" w14:textId="77777777" w:rsidR="00962AE4" w:rsidRPr="004410BC" w:rsidRDefault="00962AE4" w:rsidP="00236C76">
            <w:pPr>
              <w:rPr>
                <w:rFonts w:eastAsia="Times New Roman"/>
              </w:rPr>
            </w:pPr>
            <w:r w:rsidRPr="004410BC">
              <w:rPr>
                <w:rFonts w:eastAsia="Times New Roman"/>
              </w:rPr>
              <w:t>Culture</w:t>
            </w:r>
          </w:p>
        </w:tc>
        <w:tc>
          <w:tcPr>
            <w:tcW w:w="0" w:type="auto"/>
            <w:hideMark/>
          </w:tcPr>
          <w:p w14:paraId="17238E6B" w14:textId="77777777" w:rsidR="00962AE4" w:rsidRPr="004410BC" w:rsidRDefault="00962AE4" w:rsidP="00236C76">
            <w:pPr>
              <w:rPr>
                <w:rFonts w:eastAsia="Times New Roman"/>
              </w:rPr>
            </w:pPr>
            <w:r w:rsidRPr="004410BC">
              <w:rPr>
                <w:rFonts w:eastAsia="Times New Roman"/>
              </w:rPr>
              <w:t>Cultural competence</w:t>
            </w:r>
          </w:p>
        </w:tc>
      </w:tr>
      <w:tr w:rsidR="00962AE4" w:rsidRPr="004410BC" w14:paraId="189C7E20" w14:textId="77777777" w:rsidTr="00006094">
        <w:tc>
          <w:tcPr>
            <w:tcW w:w="0" w:type="auto"/>
            <w:hideMark/>
          </w:tcPr>
          <w:p w14:paraId="1521B2C8" w14:textId="77777777" w:rsidR="00962AE4" w:rsidRPr="004410BC" w:rsidRDefault="00962AE4" w:rsidP="00236C76">
            <w:pPr>
              <w:rPr>
                <w:rFonts w:eastAsia="Times New Roman"/>
              </w:rPr>
            </w:pPr>
            <w:r w:rsidRPr="004410BC">
              <w:rPr>
                <w:rFonts w:eastAsia="Times New Roman"/>
              </w:rPr>
              <w:t>Digital exclusion</w:t>
            </w:r>
          </w:p>
        </w:tc>
        <w:tc>
          <w:tcPr>
            <w:tcW w:w="0" w:type="auto"/>
            <w:hideMark/>
          </w:tcPr>
          <w:p w14:paraId="48D46E69" w14:textId="77777777" w:rsidR="00962AE4" w:rsidRPr="004410BC" w:rsidRDefault="00962AE4" w:rsidP="00236C76">
            <w:pPr>
              <w:rPr>
                <w:rFonts w:eastAsia="Times New Roman"/>
              </w:rPr>
            </w:pPr>
            <w:r w:rsidRPr="004410BC">
              <w:rPr>
                <w:rFonts w:eastAsia="Times New Roman"/>
              </w:rPr>
              <w:t>Digital inequality</w:t>
            </w:r>
          </w:p>
        </w:tc>
      </w:tr>
      <w:tr w:rsidR="00962AE4" w:rsidRPr="004410BC" w14:paraId="6D26E202" w14:textId="77777777" w:rsidTr="00006094">
        <w:tc>
          <w:tcPr>
            <w:tcW w:w="0" w:type="auto"/>
            <w:hideMark/>
          </w:tcPr>
          <w:p w14:paraId="469F4C25" w14:textId="77777777" w:rsidR="00962AE4" w:rsidRPr="004410BC" w:rsidRDefault="00962AE4" w:rsidP="00236C76">
            <w:pPr>
              <w:rPr>
                <w:rFonts w:eastAsia="Times New Roman"/>
              </w:rPr>
            </w:pPr>
            <w:r w:rsidRPr="004410BC">
              <w:rPr>
                <w:rFonts w:eastAsia="Times New Roman"/>
              </w:rPr>
              <w:t>Discrimination</w:t>
            </w:r>
          </w:p>
        </w:tc>
        <w:tc>
          <w:tcPr>
            <w:tcW w:w="0" w:type="auto"/>
            <w:hideMark/>
          </w:tcPr>
          <w:p w14:paraId="6838FBF5" w14:textId="77777777" w:rsidR="00962AE4" w:rsidRPr="004410BC" w:rsidRDefault="00962AE4" w:rsidP="00236C76">
            <w:pPr>
              <w:rPr>
                <w:rFonts w:eastAsia="Times New Roman"/>
              </w:rPr>
            </w:pPr>
            <w:r w:rsidRPr="004410BC">
              <w:rPr>
                <w:rFonts w:eastAsia="Times New Roman"/>
              </w:rPr>
              <w:t>Bias, racism</w:t>
            </w:r>
          </w:p>
        </w:tc>
      </w:tr>
    </w:tbl>
    <w:p w14:paraId="07B9582C" w14:textId="77777777" w:rsidR="00962AE4" w:rsidRPr="004410BC" w:rsidRDefault="00962AE4" w:rsidP="00236C76">
      <w:pPr>
        <w:rPr>
          <w:rFonts w:cs="Arial"/>
        </w:rPr>
      </w:pPr>
    </w:p>
    <w:p w14:paraId="6C7843C2" w14:textId="77777777" w:rsidR="00962AE4" w:rsidRPr="004410BC" w:rsidRDefault="00962AE4" w:rsidP="00236C76">
      <w:pPr>
        <w:pStyle w:val="Heading3"/>
        <w:rPr>
          <w:rFonts w:eastAsiaTheme="majorEastAsia" w:cs="Arial"/>
        </w:rPr>
      </w:pPr>
      <w:bookmarkStart w:id="191" w:name="_Toc234867300"/>
      <w:bookmarkStart w:id="192" w:name="_Toc234867363"/>
      <w:bookmarkStart w:id="193" w:name="_Toc237213849"/>
      <w:bookmarkStart w:id="194" w:name="_Toc238290230"/>
      <w:bookmarkStart w:id="195" w:name="_Toc240724873"/>
      <w:r w:rsidRPr="004410BC">
        <w:rPr>
          <w:rFonts w:eastAsiaTheme="majorEastAsia" w:cs="Arial"/>
        </w:rPr>
        <w:t>3.3.5 Duplicate Removal and Data Management</w:t>
      </w:r>
      <w:bookmarkEnd w:id="191"/>
      <w:bookmarkEnd w:id="192"/>
      <w:bookmarkEnd w:id="193"/>
      <w:bookmarkEnd w:id="194"/>
      <w:bookmarkEnd w:id="195"/>
    </w:p>
    <w:p w14:paraId="5CCC5705" w14:textId="30F093E6" w:rsidR="00962AE4" w:rsidRPr="004410BC" w:rsidRDefault="00962AE4" w:rsidP="00236C76">
      <w:pPr>
        <w:rPr>
          <w:rFonts w:cs="Arial"/>
        </w:rPr>
      </w:pPr>
      <w:r w:rsidRPr="004410BC">
        <w:rPr>
          <w:rFonts w:cs="Arial"/>
        </w:rPr>
        <w:t>Once the data is collected, it is kept in a highly</w:t>
      </w:r>
      <w:r w:rsidR="00D16693" w:rsidRPr="004410BC">
        <w:rPr>
          <w:rFonts w:cs="Arial"/>
        </w:rPr>
        <w:t xml:space="preserve"> </w:t>
      </w:r>
      <w:r w:rsidRPr="004410BC">
        <w:rPr>
          <w:rFonts w:cs="Arial"/>
        </w:rPr>
        <w:t>reliable data management system to ensure that it is never lost. After the data retrieval process through the database search, all the retrieved data are organised and managed in Microsoft Excel. Duplicate records found in multiple databases are eliminated prior to the screening process in order to prevent the same study being assessed more than once. The review documentation is then documented using Excel for title, abstract</w:t>
      </w:r>
      <w:r w:rsidR="00D16693" w:rsidRPr="004410BC">
        <w:rPr>
          <w:rFonts w:cs="Arial"/>
        </w:rPr>
        <w:t>,</w:t>
      </w:r>
      <w:r w:rsidRPr="004410BC">
        <w:rPr>
          <w:rFonts w:cs="Arial"/>
        </w:rPr>
        <w:t xml:space="preserve"> and full-text screening, quality appraisal</w:t>
      </w:r>
      <w:r w:rsidR="009C5CF6" w:rsidRPr="004410BC">
        <w:rPr>
          <w:rFonts w:cs="Arial"/>
        </w:rPr>
        <w:t>,</w:t>
      </w:r>
      <w:r w:rsidRPr="004410BC">
        <w:rPr>
          <w:rFonts w:cs="Arial"/>
        </w:rPr>
        <w:t xml:space="preserve"> and data extraction, and using Microsoft Word for the review documentation. Systematic records are maintained throughout the review process, which provide</w:t>
      </w:r>
      <w:r w:rsidR="00D16693" w:rsidRPr="004410BC">
        <w:rPr>
          <w:rFonts w:cs="Arial"/>
        </w:rPr>
        <w:t>s</w:t>
      </w:r>
      <w:r w:rsidRPr="004410BC">
        <w:rPr>
          <w:rFonts w:cs="Arial"/>
        </w:rPr>
        <w:t xml:space="preserve"> more transparency, reproducibility</w:t>
      </w:r>
      <w:r w:rsidR="00D16693" w:rsidRPr="004410BC">
        <w:rPr>
          <w:rFonts w:cs="Arial"/>
        </w:rPr>
        <w:t>,</w:t>
      </w:r>
      <w:r w:rsidRPr="004410BC">
        <w:rPr>
          <w:rFonts w:cs="Arial"/>
        </w:rPr>
        <w:t xml:space="preserve"> and traceability of the study selection.</w:t>
      </w:r>
    </w:p>
    <w:p w14:paraId="26334A3D" w14:textId="77777777" w:rsidR="00962AE4" w:rsidRPr="004410BC" w:rsidRDefault="00962AE4" w:rsidP="00236C76">
      <w:pPr>
        <w:pStyle w:val="Heading2"/>
        <w:rPr>
          <w:rFonts w:eastAsiaTheme="majorEastAsia" w:cs="Arial"/>
        </w:rPr>
      </w:pPr>
      <w:bookmarkStart w:id="196" w:name="_Toc234867301"/>
      <w:bookmarkStart w:id="197" w:name="_Toc234867364"/>
      <w:bookmarkStart w:id="198" w:name="_Toc237213850"/>
      <w:bookmarkStart w:id="199" w:name="_Toc238290231"/>
      <w:bookmarkStart w:id="200" w:name="_Toc240724874"/>
      <w:r w:rsidRPr="004410BC">
        <w:rPr>
          <w:rFonts w:eastAsiaTheme="majorEastAsia" w:cs="Arial"/>
        </w:rPr>
        <w:t>3.4 Study Selection Process</w:t>
      </w:r>
      <w:bookmarkEnd w:id="196"/>
      <w:bookmarkEnd w:id="197"/>
      <w:bookmarkEnd w:id="198"/>
      <w:bookmarkEnd w:id="199"/>
      <w:bookmarkEnd w:id="200"/>
    </w:p>
    <w:p w14:paraId="18B3BD76" w14:textId="77777777" w:rsidR="00962AE4" w:rsidRPr="004410BC" w:rsidRDefault="00962AE4" w:rsidP="00236C76">
      <w:pPr>
        <w:pStyle w:val="Heading3"/>
        <w:rPr>
          <w:rFonts w:eastAsiaTheme="majorEastAsia" w:cs="Arial"/>
        </w:rPr>
      </w:pPr>
      <w:bookmarkStart w:id="201" w:name="_Toc234867302"/>
      <w:bookmarkStart w:id="202" w:name="_Toc234867365"/>
      <w:bookmarkStart w:id="203" w:name="_Toc237213851"/>
      <w:bookmarkStart w:id="204" w:name="_Toc238290232"/>
      <w:bookmarkStart w:id="205" w:name="_Toc240724875"/>
      <w:r w:rsidRPr="004410BC">
        <w:rPr>
          <w:rFonts w:eastAsiaTheme="majorEastAsia" w:cs="Arial"/>
        </w:rPr>
        <w:t>3.4.1 Screening Procedure</w:t>
      </w:r>
      <w:bookmarkEnd w:id="201"/>
      <w:bookmarkEnd w:id="202"/>
      <w:bookmarkEnd w:id="203"/>
      <w:bookmarkEnd w:id="204"/>
      <w:bookmarkEnd w:id="205"/>
    </w:p>
    <w:p w14:paraId="42780D4B" w14:textId="6EB89F6A" w:rsidR="00962AE4" w:rsidRPr="004410BC" w:rsidRDefault="00962AE4" w:rsidP="00236C76">
      <w:pPr>
        <w:rPr>
          <w:rFonts w:cs="Arial"/>
        </w:rPr>
      </w:pPr>
      <w:r w:rsidRPr="004410BC">
        <w:rPr>
          <w:rFonts w:cs="Arial"/>
        </w:rPr>
        <w:t xml:space="preserve">The selection of studies is done according to the PRISMA 2020 reporting guideline and the predefined pre-literature search inclusion and exclusion criteria. Using uniform eligibility </w:t>
      </w:r>
      <w:r w:rsidR="00D16693" w:rsidRPr="004410BC">
        <w:rPr>
          <w:rFonts w:cs="Arial"/>
        </w:rPr>
        <w:t xml:space="preserve">criteria </w:t>
      </w:r>
      <w:r w:rsidRPr="004410BC">
        <w:rPr>
          <w:rFonts w:cs="Arial"/>
        </w:rPr>
        <w:t>reduced selection bias and enhanced methodological transparency (Page et al., 2021).</w:t>
      </w:r>
    </w:p>
    <w:p w14:paraId="12A2BD48" w14:textId="3EE6ACFA" w:rsidR="00962AE4" w:rsidRPr="004410BC" w:rsidRDefault="00962AE4" w:rsidP="00236C76">
      <w:pPr>
        <w:rPr>
          <w:rFonts w:cs="Arial"/>
        </w:rPr>
      </w:pPr>
      <w:r w:rsidRPr="004410BC">
        <w:rPr>
          <w:rFonts w:cs="Arial"/>
        </w:rPr>
        <w:t xml:space="preserve">Screening is done in four phases: Duplicate Removal, Title Screening, Abstract </w:t>
      </w:r>
      <w:r w:rsidR="00D16693" w:rsidRPr="004410BC">
        <w:rPr>
          <w:rFonts w:cs="Arial"/>
        </w:rPr>
        <w:t>Screening,</w:t>
      </w:r>
      <w:r w:rsidRPr="004410BC">
        <w:rPr>
          <w:rFonts w:cs="Arial"/>
        </w:rPr>
        <w:t xml:space="preserve"> and Full-text assessment. Titles are further screened after duplications are removed to exclude studies that are not related to ethnic minority populations, UK primary healthcare</w:t>
      </w:r>
      <w:r w:rsidR="00D16693" w:rsidRPr="004410BC">
        <w:rPr>
          <w:rFonts w:cs="Arial"/>
        </w:rPr>
        <w:t>,</w:t>
      </w:r>
      <w:r w:rsidRPr="004410BC">
        <w:rPr>
          <w:rFonts w:cs="Arial"/>
        </w:rPr>
        <w:t xml:space="preserve"> or access to healthcare. Eligible studies are then progressed to abstract screening, which involve</w:t>
      </w:r>
      <w:r w:rsidR="00D16693" w:rsidRPr="004410BC">
        <w:rPr>
          <w:rFonts w:cs="Arial"/>
        </w:rPr>
        <w:t>s</w:t>
      </w:r>
      <w:r w:rsidRPr="004410BC">
        <w:rPr>
          <w:rFonts w:cs="Arial"/>
        </w:rPr>
        <w:t xml:space="preserve"> determining eligibility based on the previously identified criteria such as population, setting, publication time, geographical location</w:t>
      </w:r>
      <w:r w:rsidR="005B31F8" w:rsidRPr="004410BC">
        <w:rPr>
          <w:rFonts w:cs="Arial"/>
        </w:rPr>
        <w:t>,</w:t>
      </w:r>
      <w:r w:rsidRPr="004410BC">
        <w:rPr>
          <w:rFonts w:cs="Arial"/>
        </w:rPr>
        <w:t xml:space="preserve"> and study design. The potentially eligible studies are then assessed for full text to </w:t>
      </w:r>
      <w:r w:rsidR="00D16693" w:rsidRPr="004410BC">
        <w:rPr>
          <w:rFonts w:cs="Arial"/>
        </w:rPr>
        <w:t>en</w:t>
      </w:r>
      <w:r w:rsidRPr="004410BC">
        <w:rPr>
          <w:rFonts w:cs="Arial"/>
        </w:rPr>
        <w:t>sure relevance and methodological appropriateness.</w:t>
      </w:r>
    </w:p>
    <w:p w14:paraId="08442E21" w14:textId="77777777" w:rsidR="00962AE4" w:rsidRPr="004410BC" w:rsidRDefault="00962AE4" w:rsidP="00236C76">
      <w:pPr>
        <w:rPr>
          <w:rFonts w:cs="Arial"/>
        </w:rPr>
      </w:pPr>
      <w:r w:rsidRPr="004410BC">
        <w:rPr>
          <w:rFonts w:cs="Arial"/>
        </w:rPr>
        <w:t xml:space="preserve">One reviewer carried out all the screenings. Studies with unclear eligibility are re-evaluated with the predetermined eligibility criteria, ensuring consistent selection of studies. </w:t>
      </w:r>
      <w:bookmarkStart w:id="206" w:name="_Toc234867304"/>
      <w:bookmarkStart w:id="207" w:name="_Toc234867367"/>
    </w:p>
    <w:p w14:paraId="3AAA5997" w14:textId="77777777" w:rsidR="00962AE4" w:rsidRPr="004410BC" w:rsidRDefault="00962AE4" w:rsidP="00236C76">
      <w:pPr>
        <w:pStyle w:val="Heading2"/>
        <w:rPr>
          <w:rFonts w:eastAsiaTheme="majorEastAsia" w:cs="Arial"/>
        </w:rPr>
      </w:pPr>
      <w:bookmarkStart w:id="208" w:name="_Toc237213852"/>
      <w:bookmarkStart w:id="209" w:name="_Toc238290233"/>
      <w:bookmarkStart w:id="210" w:name="_Toc240724876"/>
      <w:r w:rsidRPr="004410BC">
        <w:rPr>
          <w:rFonts w:eastAsiaTheme="majorEastAsia" w:cs="Arial"/>
        </w:rPr>
        <w:t>3.5 Eligibility Criteria</w:t>
      </w:r>
      <w:bookmarkEnd w:id="206"/>
      <w:bookmarkEnd w:id="207"/>
      <w:bookmarkEnd w:id="208"/>
      <w:bookmarkEnd w:id="209"/>
      <w:bookmarkEnd w:id="210"/>
    </w:p>
    <w:p w14:paraId="343BD923" w14:textId="77777777" w:rsidR="00962AE4" w:rsidRPr="004410BC" w:rsidRDefault="00962AE4" w:rsidP="00236C76">
      <w:pPr>
        <w:rPr>
          <w:rFonts w:cs="Arial"/>
        </w:rPr>
      </w:pPr>
      <w:r w:rsidRPr="004410BC">
        <w:rPr>
          <w:rFonts w:cs="Arial"/>
        </w:rPr>
        <w:t>To achieve consistency and transparency in the selection of studies, eligibility criteria are defined prior to conducting the literature search (Page et al., 2021). Studies with ethnic minority groups in the United Kingdom who are receiving primary healthcare are included in the review to ensure direct relevance to the UK context and research objective.</w:t>
      </w:r>
    </w:p>
    <w:p w14:paraId="7705E10A" w14:textId="01AA45C6" w:rsidR="00962AE4" w:rsidRPr="004410BC" w:rsidRDefault="00962AE4" w:rsidP="00236C76">
      <w:pPr>
        <w:rPr>
          <w:rFonts w:cs="Arial"/>
        </w:rPr>
      </w:pPr>
      <w:r w:rsidRPr="004410BC">
        <w:rPr>
          <w:rFonts w:cs="Arial"/>
        </w:rPr>
        <w:t>Studies published in English in the last six years (2020-2026) that employed primary research method</w:t>
      </w:r>
      <w:r w:rsidR="005B31F8" w:rsidRPr="004410BC">
        <w:rPr>
          <w:rFonts w:cs="Arial"/>
        </w:rPr>
        <w:t>s</w:t>
      </w:r>
      <w:r w:rsidRPr="004410BC">
        <w:rPr>
          <w:rFonts w:cs="Arial"/>
        </w:rPr>
        <w:t xml:space="preserve"> and either </w:t>
      </w:r>
      <w:r w:rsidR="005B31F8" w:rsidRPr="004410BC">
        <w:rPr>
          <w:rFonts w:cs="Arial"/>
        </w:rPr>
        <w:t xml:space="preserve">a </w:t>
      </w:r>
      <w:r w:rsidRPr="004410BC">
        <w:rPr>
          <w:rFonts w:cs="Arial"/>
        </w:rPr>
        <w:t xml:space="preserve">qualitative method </w:t>
      </w:r>
      <w:r w:rsidR="005B31F8" w:rsidRPr="004410BC">
        <w:rPr>
          <w:rFonts w:cs="Arial"/>
        </w:rPr>
        <w:t>or were</w:t>
      </w:r>
      <w:r w:rsidRPr="004410BC">
        <w:rPr>
          <w:rFonts w:cs="Arial"/>
        </w:rPr>
        <w:t xml:space="preserve"> peer-reviewed are included. When the review is limited to recent publications</w:t>
      </w:r>
      <w:r w:rsidR="005B31F8" w:rsidRPr="004410BC">
        <w:rPr>
          <w:rFonts w:cs="Arial"/>
        </w:rPr>
        <w:t>,</w:t>
      </w:r>
      <w:r w:rsidRPr="004410BC">
        <w:rPr>
          <w:rFonts w:cs="Arial"/>
        </w:rPr>
        <w:t xml:space="preserve"> this mean</w:t>
      </w:r>
      <w:r w:rsidR="009C5CF6" w:rsidRPr="004410BC">
        <w:rPr>
          <w:rFonts w:cs="Arial"/>
        </w:rPr>
        <w:t>s</w:t>
      </w:r>
      <w:r w:rsidRPr="004410BC">
        <w:rPr>
          <w:rFonts w:cs="Arial"/>
        </w:rPr>
        <w:t xml:space="preserve"> that the evidence reflect</w:t>
      </w:r>
      <w:r w:rsidR="009C5CF6" w:rsidRPr="004410BC">
        <w:rPr>
          <w:rFonts w:cs="Arial"/>
        </w:rPr>
        <w:t>s</w:t>
      </w:r>
      <w:r w:rsidRPr="004410BC">
        <w:rPr>
          <w:rFonts w:cs="Arial"/>
        </w:rPr>
        <w:t xml:space="preserve"> the current NHS policies, service delivery in the post-pandemic era</w:t>
      </w:r>
      <w:r w:rsidR="009C5CF6" w:rsidRPr="004410BC">
        <w:rPr>
          <w:rFonts w:cs="Arial"/>
        </w:rPr>
        <w:t>,</w:t>
      </w:r>
      <w:r w:rsidRPr="004410BC">
        <w:rPr>
          <w:rFonts w:cs="Arial"/>
        </w:rPr>
        <w:t xml:space="preserve"> and greater digitalisation of primary care. Editorials, opinion papers, literature reviews and studies outside of the UK or in secondary care settings are excluded as they did not address the review question, and did not provide original empirical evidence. These criteria guaranteed the relevance, methodological appropriateness</w:t>
      </w:r>
      <w:r w:rsidR="009C5CF6" w:rsidRPr="004410BC">
        <w:rPr>
          <w:rFonts w:cs="Arial"/>
        </w:rPr>
        <w:t>,</w:t>
      </w:r>
      <w:r w:rsidRPr="004410BC">
        <w:rPr>
          <w:rFonts w:cs="Arial"/>
        </w:rPr>
        <w:t xml:space="preserve"> and direct applicability of the final evidence base to the study objectives.</w:t>
      </w:r>
    </w:p>
    <w:p w14:paraId="379727DB" w14:textId="128933BA" w:rsidR="00962AE4" w:rsidRPr="004410BC" w:rsidRDefault="00962AE4" w:rsidP="00236C76">
      <w:pPr>
        <w:spacing w:after="200"/>
        <w:rPr>
          <w:rFonts w:cs="Arial"/>
          <w:b/>
          <w:bCs/>
          <w:sz w:val="18"/>
          <w:szCs w:val="18"/>
        </w:rPr>
      </w:pPr>
      <w:bookmarkStart w:id="211" w:name="_Toc240724930"/>
      <w:r w:rsidRPr="004410BC">
        <w:rPr>
          <w:rFonts w:cs="Arial"/>
          <w:b/>
          <w:bCs/>
          <w:sz w:val="18"/>
          <w:szCs w:val="18"/>
        </w:rPr>
        <w:t xml:space="preserve">Table </w:t>
      </w:r>
      <w:r w:rsidRPr="004410BC">
        <w:rPr>
          <w:rFonts w:cs="Arial"/>
          <w:b/>
          <w:bCs/>
          <w:sz w:val="18"/>
          <w:szCs w:val="18"/>
        </w:rPr>
        <w:fldChar w:fldCharType="begin"/>
      </w:r>
      <w:r w:rsidRPr="004410BC">
        <w:rPr>
          <w:rFonts w:cs="Arial"/>
          <w:b/>
          <w:bCs/>
          <w:sz w:val="18"/>
          <w:szCs w:val="18"/>
        </w:rPr>
        <w:instrText xml:space="preserve"> SEQ Table \* ARABIC </w:instrText>
      </w:r>
      <w:r w:rsidRPr="004410BC">
        <w:rPr>
          <w:rFonts w:cs="Arial"/>
          <w:b/>
          <w:bCs/>
          <w:sz w:val="18"/>
          <w:szCs w:val="18"/>
        </w:rPr>
        <w:fldChar w:fldCharType="separate"/>
      </w:r>
      <w:r w:rsidR="00EE21DC" w:rsidRPr="004410BC">
        <w:rPr>
          <w:rFonts w:cs="Arial"/>
          <w:b/>
          <w:bCs/>
          <w:noProof/>
          <w:sz w:val="18"/>
          <w:szCs w:val="18"/>
        </w:rPr>
        <w:t>4</w:t>
      </w:r>
      <w:r w:rsidRPr="004410BC">
        <w:rPr>
          <w:rFonts w:cs="Arial"/>
          <w:b/>
          <w:bCs/>
          <w:sz w:val="18"/>
          <w:szCs w:val="18"/>
        </w:rPr>
        <w:fldChar w:fldCharType="end"/>
      </w:r>
      <w:r w:rsidRPr="004410BC">
        <w:rPr>
          <w:rFonts w:cs="Arial"/>
          <w:b/>
          <w:bCs/>
          <w:sz w:val="18"/>
          <w:szCs w:val="18"/>
        </w:rPr>
        <w:t>: Inclusion and Exclusion Criteria</w:t>
      </w:r>
      <w:bookmarkEnd w:id="211"/>
    </w:p>
    <w:tbl>
      <w:tblPr>
        <w:tblStyle w:val="TableGrid"/>
        <w:tblW w:w="0" w:type="auto"/>
        <w:tblLook w:val="04A0" w:firstRow="1" w:lastRow="0" w:firstColumn="1" w:lastColumn="0" w:noHBand="0" w:noVBand="1"/>
      </w:tblPr>
      <w:tblGrid>
        <w:gridCol w:w="1735"/>
        <w:gridCol w:w="3145"/>
        <w:gridCol w:w="4136"/>
      </w:tblGrid>
      <w:tr w:rsidR="00962AE4" w:rsidRPr="004410BC" w14:paraId="3567D44B" w14:textId="77777777" w:rsidTr="00006094">
        <w:tc>
          <w:tcPr>
            <w:tcW w:w="0" w:type="auto"/>
            <w:hideMark/>
          </w:tcPr>
          <w:p w14:paraId="3CE0D3B3" w14:textId="77777777" w:rsidR="00962AE4" w:rsidRPr="004410BC" w:rsidRDefault="00962AE4" w:rsidP="00236C76">
            <w:pPr>
              <w:rPr>
                <w:bCs/>
                <w:sz w:val="22"/>
                <w:szCs w:val="22"/>
              </w:rPr>
            </w:pPr>
            <w:r w:rsidRPr="004410BC">
              <w:rPr>
                <w:bCs/>
                <w:sz w:val="22"/>
                <w:szCs w:val="22"/>
              </w:rPr>
              <w:t>Criterion</w:t>
            </w:r>
          </w:p>
        </w:tc>
        <w:tc>
          <w:tcPr>
            <w:tcW w:w="0" w:type="auto"/>
            <w:hideMark/>
          </w:tcPr>
          <w:p w14:paraId="18265D63" w14:textId="77777777" w:rsidR="00962AE4" w:rsidRPr="004410BC" w:rsidRDefault="00962AE4" w:rsidP="00236C76">
            <w:pPr>
              <w:rPr>
                <w:bCs/>
                <w:sz w:val="22"/>
                <w:szCs w:val="22"/>
              </w:rPr>
            </w:pPr>
            <w:r w:rsidRPr="004410BC">
              <w:rPr>
                <w:bCs/>
                <w:sz w:val="22"/>
                <w:szCs w:val="22"/>
              </w:rPr>
              <w:t>Inclusion</w:t>
            </w:r>
          </w:p>
        </w:tc>
        <w:tc>
          <w:tcPr>
            <w:tcW w:w="0" w:type="auto"/>
            <w:hideMark/>
          </w:tcPr>
          <w:p w14:paraId="12D94CE6" w14:textId="77777777" w:rsidR="00962AE4" w:rsidRPr="004410BC" w:rsidRDefault="00962AE4" w:rsidP="00236C76">
            <w:pPr>
              <w:rPr>
                <w:bCs/>
                <w:sz w:val="22"/>
                <w:szCs w:val="22"/>
              </w:rPr>
            </w:pPr>
            <w:r w:rsidRPr="004410BC">
              <w:rPr>
                <w:bCs/>
                <w:sz w:val="22"/>
                <w:szCs w:val="22"/>
              </w:rPr>
              <w:t>Exclusion</w:t>
            </w:r>
          </w:p>
        </w:tc>
      </w:tr>
      <w:tr w:rsidR="00962AE4" w:rsidRPr="004410BC" w14:paraId="355CAC49" w14:textId="77777777" w:rsidTr="00006094">
        <w:tc>
          <w:tcPr>
            <w:tcW w:w="0" w:type="auto"/>
            <w:hideMark/>
          </w:tcPr>
          <w:p w14:paraId="6B4818AF" w14:textId="77777777" w:rsidR="00962AE4" w:rsidRPr="004410BC" w:rsidRDefault="00962AE4" w:rsidP="00236C76">
            <w:pPr>
              <w:rPr>
                <w:sz w:val="22"/>
                <w:szCs w:val="22"/>
              </w:rPr>
            </w:pPr>
            <w:r w:rsidRPr="004410BC">
              <w:rPr>
                <w:sz w:val="22"/>
                <w:szCs w:val="22"/>
              </w:rPr>
              <w:t>Population</w:t>
            </w:r>
          </w:p>
        </w:tc>
        <w:tc>
          <w:tcPr>
            <w:tcW w:w="0" w:type="auto"/>
            <w:hideMark/>
          </w:tcPr>
          <w:p w14:paraId="47E7F0CD" w14:textId="77777777" w:rsidR="00962AE4" w:rsidRPr="004410BC" w:rsidRDefault="00962AE4" w:rsidP="00236C76">
            <w:pPr>
              <w:rPr>
                <w:sz w:val="22"/>
                <w:szCs w:val="22"/>
              </w:rPr>
            </w:pPr>
            <w:r w:rsidRPr="004410BC">
              <w:rPr>
                <w:sz w:val="22"/>
                <w:szCs w:val="22"/>
              </w:rPr>
              <w:t>Ethnic minority populations in the UK</w:t>
            </w:r>
          </w:p>
        </w:tc>
        <w:tc>
          <w:tcPr>
            <w:tcW w:w="0" w:type="auto"/>
            <w:hideMark/>
          </w:tcPr>
          <w:p w14:paraId="280DD2CC" w14:textId="77777777" w:rsidR="00962AE4" w:rsidRPr="004410BC" w:rsidRDefault="00962AE4" w:rsidP="00236C76">
            <w:pPr>
              <w:rPr>
                <w:sz w:val="22"/>
                <w:szCs w:val="22"/>
              </w:rPr>
            </w:pPr>
            <w:r w:rsidRPr="004410BC">
              <w:rPr>
                <w:sz w:val="22"/>
                <w:szCs w:val="22"/>
              </w:rPr>
              <w:t>Non-ethnic minority populations</w:t>
            </w:r>
          </w:p>
        </w:tc>
      </w:tr>
      <w:tr w:rsidR="00962AE4" w:rsidRPr="004410BC" w14:paraId="270D187C" w14:textId="77777777" w:rsidTr="00006094">
        <w:tc>
          <w:tcPr>
            <w:tcW w:w="0" w:type="auto"/>
            <w:hideMark/>
          </w:tcPr>
          <w:p w14:paraId="3F4A2DA2" w14:textId="77777777" w:rsidR="00962AE4" w:rsidRPr="004410BC" w:rsidRDefault="00962AE4" w:rsidP="00236C76">
            <w:pPr>
              <w:rPr>
                <w:sz w:val="22"/>
                <w:szCs w:val="22"/>
              </w:rPr>
            </w:pPr>
            <w:r w:rsidRPr="004410BC">
              <w:rPr>
                <w:sz w:val="22"/>
                <w:szCs w:val="22"/>
              </w:rPr>
              <w:t>Setting</w:t>
            </w:r>
          </w:p>
        </w:tc>
        <w:tc>
          <w:tcPr>
            <w:tcW w:w="0" w:type="auto"/>
            <w:hideMark/>
          </w:tcPr>
          <w:p w14:paraId="1BC573C6" w14:textId="77777777" w:rsidR="00962AE4" w:rsidRPr="004410BC" w:rsidRDefault="00962AE4" w:rsidP="00236C76">
            <w:pPr>
              <w:rPr>
                <w:sz w:val="22"/>
                <w:szCs w:val="22"/>
              </w:rPr>
            </w:pPr>
            <w:r w:rsidRPr="004410BC">
              <w:rPr>
                <w:sz w:val="22"/>
                <w:szCs w:val="22"/>
              </w:rPr>
              <w:t>UK primary healthcare</w:t>
            </w:r>
          </w:p>
        </w:tc>
        <w:tc>
          <w:tcPr>
            <w:tcW w:w="0" w:type="auto"/>
            <w:hideMark/>
          </w:tcPr>
          <w:p w14:paraId="00F73732" w14:textId="77777777" w:rsidR="00962AE4" w:rsidRPr="004410BC" w:rsidRDefault="00962AE4" w:rsidP="00236C76">
            <w:pPr>
              <w:rPr>
                <w:sz w:val="22"/>
                <w:szCs w:val="22"/>
              </w:rPr>
            </w:pPr>
            <w:r w:rsidRPr="004410BC">
              <w:rPr>
                <w:sz w:val="22"/>
                <w:szCs w:val="22"/>
              </w:rPr>
              <w:t>Non-primary care only</w:t>
            </w:r>
          </w:p>
        </w:tc>
      </w:tr>
      <w:tr w:rsidR="00962AE4" w:rsidRPr="004410BC" w14:paraId="3DC07C9C" w14:textId="77777777" w:rsidTr="00006094">
        <w:tc>
          <w:tcPr>
            <w:tcW w:w="0" w:type="auto"/>
            <w:hideMark/>
          </w:tcPr>
          <w:p w14:paraId="3C71240A" w14:textId="77777777" w:rsidR="00962AE4" w:rsidRPr="004410BC" w:rsidRDefault="00962AE4" w:rsidP="00236C76">
            <w:pPr>
              <w:rPr>
                <w:sz w:val="22"/>
                <w:szCs w:val="22"/>
              </w:rPr>
            </w:pPr>
            <w:r w:rsidRPr="004410BC">
              <w:rPr>
                <w:sz w:val="22"/>
                <w:szCs w:val="22"/>
              </w:rPr>
              <w:t>Geography</w:t>
            </w:r>
          </w:p>
        </w:tc>
        <w:tc>
          <w:tcPr>
            <w:tcW w:w="0" w:type="auto"/>
            <w:hideMark/>
          </w:tcPr>
          <w:p w14:paraId="5B80748D" w14:textId="77777777" w:rsidR="00962AE4" w:rsidRPr="004410BC" w:rsidRDefault="00962AE4" w:rsidP="00236C76">
            <w:pPr>
              <w:rPr>
                <w:sz w:val="22"/>
                <w:szCs w:val="22"/>
              </w:rPr>
            </w:pPr>
            <w:r w:rsidRPr="004410BC">
              <w:rPr>
                <w:sz w:val="22"/>
                <w:szCs w:val="22"/>
              </w:rPr>
              <w:t>United Kingdom</w:t>
            </w:r>
          </w:p>
        </w:tc>
        <w:tc>
          <w:tcPr>
            <w:tcW w:w="0" w:type="auto"/>
            <w:hideMark/>
          </w:tcPr>
          <w:p w14:paraId="6A04305E" w14:textId="77777777" w:rsidR="00962AE4" w:rsidRPr="004410BC" w:rsidRDefault="00962AE4" w:rsidP="00236C76">
            <w:pPr>
              <w:rPr>
                <w:sz w:val="22"/>
                <w:szCs w:val="22"/>
              </w:rPr>
            </w:pPr>
            <w:r w:rsidRPr="004410BC">
              <w:rPr>
                <w:sz w:val="22"/>
                <w:szCs w:val="22"/>
              </w:rPr>
              <w:t>Non-UK studies</w:t>
            </w:r>
          </w:p>
        </w:tc>
      </w:tr>
      <w:tr w:rsidR="00962AE4" w:rsidRPr="004410BC" w14:paraId="0B22D65C" w14:textId="77777777" w:rsidTr="00006094">
        <w:tc>
          <w:tcPr>
            <w:tcW w:w="0" w:type="auto"/>
            <w:hideMark/>
          </w:tcPr>
          <w:p w14:paraId="1C794D2F" w14:textId="77777777" w:rsidR="00962AE4" w:rsidRPr="004410BC" w:rsidRDefault="00962AE4" w:rsidP="00236C76">
            <w:pPr>
              <w:rPr>
                <w:sz w:val="22"/>
                <w:szCs w:val="22"/>
              </w:rPr>
            </w:pPr>
            <w:r w:rsidRPr="004410BC">
              <w:rPr>
                <w:sz w:val="22"/>
                <w:szCs w:val="22"/>
              </w:rPr>
              <w:t>Publication period</w:t>
            </w:r>
          </w:p>
        </w:tc>
        <w:tc>
          <w:tcPr>
            <w:tcW w:w="0" w:type="auto"/>
            <w:hideMark/>
          </w:tcPr>
          <w:p w14:paraId="7492B5C0" w14:textId="77777777" w:rsidR="00962AE4" w:rsidRPr="004410BC" w:rsidRDefault="00962AE4" w:rsidP="00236C76">
            <w:pPr>
              <w:rPr>
                <w:sz w:val="22"/>
                <w:szCs w:val="22"/>
              </w:rPr>
            </w:pPr>
            <w:r w:rsidRPr="004410BC">
              <w:rPr>
                <w:sz w:val="22"/>
                <w:szCs w:val="22"/>
              </w:rPr>
              <w:t>2020–2026</w:t>
            </w:r>
          </w:p>
        </w:tc>
        <w:tc>
          <w:tcPr>
            <w:tcW w:w="0" w:type="auto"/>
            <w:hideMark/>
          </w:tcPr>
          <w:p w14:paraId="3B537100" w14:textId="77777777" w:rsidR="00962AE4" w:rsidRPr="004410BC" w:rsidRDefault="00962AE4" w:rsidP="00236C76">
            <w:pPr>
              <w:rPr>
                <w:sz w:val="22"/>
                <w:szCs w:val="22"/>
              </w:rPr>
            </w:pPr>
            <w:r w:rsidRPr="004410BC">
              <w:rPr>
                <w:sz w:val="22"/>
                <w:szCs w:val="22"/>
              </w:rPr>
              <w:t>Before 2020</w:t>
            </w:r>
          </w:p>
        </w:tc>
      </w:tr>
      <w:tr w:rsidR="00962AE4" w:rsidRPr="004410BC" w14:paraId="7EDA300B" w14:textId="77777777" w:rsidTr="00006094">
        <w:tc>
          <w:tcPr>
            <w:tcW w:w="0" w:type="auto"/>
            <w:hideMark/>
          </w:tcPr>
          <w:p w14:paraId="5286343A" w14:textId="77777777" w:rsidR="00962AE4" w:rsidRPr="004410BC" w:rsidRDefault="00962AE4" w:rsidP="00236C76">
            <w:pPr>
              <w:rPr>
                <w:sz w:val="22"/>
                <w:szCs w:val="22"/>
              </w:rPr>
            </w:pPr>
            <w:r w:rsidRPr="004410BC">
              <w:rPr>
                <w:sz w:val="22"/>
                <w:szCs w:val="22"/>
              </w:rPr>
              <w:t>Language</w:t>
            </w:r>
          </w:p>
        </w:tc>
        <w:tc>
          <w:tcPr>
            <w:tcW w:w="0" w:type="auto"/>
            <w:hideMark/>
          </w:tcPr>
          <w:p w14:paraId="018E86BE" w14:textId="77777777" w:rsidR="00962AE4" w:rsidRPr="004410BC" w:rsidRDefault="00962AE4" w:rsidP="00236C76">
            <w:pPr>
              <w:rPr>
                <w:sz w:val="22"/>
                <w:szCs w:val="22"/>
              </w:rPr>
            </w:pPr>
            <w:r w:rsidRPr="004410BC">
              <w:rPr>
                <w:sz w:val="22"/>
                <w:szCs w:val="22"/>
              </w:rPr>
              <w:t>English</w:t>
            </w:r>
          </w:p>
        </w:tc>
        <w:tc>
          <w:tcPr>
            <w:tcW w:w="0" w:type="auto"/>
            <w:hideMark/>
          </w:tcPr>
          <w:p w14:paraId="53D3C931" w14:textId="77777777" w:rsidR="00962AE4" w:rsidRPr="004410BC" w:rsidRDefault="00962AE4" w:rsidP="00236C76">
            <w:pPr>
              <w:rPr>
                <w:sz w:val="22"/>
                <w:szCs w:val="22"/>
              </w:rPr>
            </w:pPr>
            <w:r w:rsidRPr="004410BC">
              <w:rPr>
                <w:sz w:val="22"/>
                <w:szCs w:val="22"/>
              </w:rPr>
              <w:t>Non-English</w:t>
            </w:r>
          </w:p>
        </w:tc>
      </w:tr>
      <w:tr w:rsidR="00962AE4" w:rsidRPr="004410BC" w14:paraId="228F3708" w14:textId="77777777" w:rsidTr="00006094">
        <w:tc>
          <w:tcPr>
            <w:tcW w:w="0" w:type="auto"/>
            <w:hideMark/>
          </w:tcPr>
          <w:p w14:paraId="13721A19" w14:textId="77777777" w:rsidR="00962AE4" w:rsidRPr="004410BC" w:rsidRDefault="00962AE4" w:rsidP="00236C76">
            <w:pPr>
              <w:rPr>
                <w:sz w:val="22"/>
                <w:szCs w:val="22"/>
              </w:rPr>
            </w:pPr>
            <w:r w:rsidRPr="004410BC">
              <w:rPr>
                <w:sz w:val="22"/>
                <w:szCs w:val="22"/>
              </w:rPr>
              <w:t>Study type</w:t>
            </w:r>
          </w:p>
        </w:tc>
        <w:tc>
          <w:tcPr>
            <w:tcW w:w="0" w:type="auto"/>
            <w:hideMark/>
          </w:tcPr>
          <w:p w14:paraId="1B5FED8D" w14:textId="0060737E" w:rsidR="00962AE4" w:rsidRPr="004410BC" w:rsidRDefault="00962AE4" w:rsidP="00236C76">
            <w:pPr>
              <w:rPr>
                <w:sz w:val="22"/>
                <w:szCs w:val="22"/>
              </w:rPr>
            </w:pPr>
            <w:r w:rsidRPr="004410BC">
              <w:rPr>
                <w:sz w:val="22"/>
                <w:szCs w:val="22"/>
              </w:rPr>
              <w:t xml:space="preserve">Peer-reviewed primary </w:t>
            </w:r>
            <w:r w:rsidR="00051303" w:rsidRPr="004410BC">
              <w:rPr>
                <w:sz w:val="22"/>
                <w:szCs w:val="22"/>
              </w:rPr>
              <w:t>res</w:t>
            </w:r>
            <w:r w:rsidR="0038633B" w:rsidRPr="004410BC">
              <w:rPr>
                <w:sz w:val="22"/>
                <w:szCs w:val="22"/>
              </w:rPr>
              <w:t>e</w:t>
            </w:r>
            <w:r w:rsidR="00051303" w:rsidRPr="004410BC">
              <w:rPr>
                <w:sz w:val="22"/>
                <w:szCs w:val="22"/>
              </w:rPr>
              <w:t>a</w:t>
            </w:r>
            <w:r w:rsidR="0038633B" w:rsidRPr="004410BC">
              <w:rPr>
                <w:sz w:val="22"/>
                <w:szCs w:val="22"/>
              </w:rPr>
              <w:t xml:space="preserve">rch </w:t>
            </w:r>
            <w:r w:rsidRPr="004410BC">
              <w:rPr>
                <w:sz w:val="22"/>
                <w:szCs w:val="22"/>
              </w:rPr>
              <w:t>studies</w:t>
            </w:r>
            <w:r w:rsidR="0038633B" w:rsidRPr="004410BC">
              <w:rPr>
                <w:sz w:val="22"/>
                <w:szCs w:val="22"/>
              </w:rPr>
              <w:t xml:space="preserve"> </w:t>
            </w:r>
          </w:p>
        </w:tc>
        <w:tc>
          <w:tcPr>
            <w:tcW w:w="0" w:type="auto"/>
            <w:hideMark/>
          </w:tcPr>
          <w:p w14:paraId="4A29041A" w14:textId="77777777" w:rsidR="00962AE4" w:rsidRPr="004410BC" w:rsidRDefault="00962AE4" w:rsidP="00236C76">
            <w:pPr>
              <w:rPr>
                <w:sz w:val="22"/>
                <w:szCs w:val="22"/>
              </w:rPr>
            </w:pPr>
            <w:r w:rsidRPr="004410BC">
              <w:rPr>
                <w:sz w:val="22"/>
                <w:szCs w:val="22"/>
              </w:rPr>
              <w:t>Reviews, editorials, commentaries and opinion papers</w:t>
            </w:r>
          </w:p>
        </w:tc>
      </w:tr>
    </w:tbl>
    <w:p w14:paraId="6B3F02B9" w14:textId="77777777" w:rsidR="00962AE4" w:rsidRPr="004410BC" w:rsidRDefault="00962AE4" w:rsidP="00236C76">
      <w:pPr>
        <w:rPr>
          <w:rFonts w:cs="Arial"/>
          <w:b/>
          <w:bCs/>
        </w:rPr>
      </w:pPr>
    </w:p>
    <w:p w14:paraId="6B5864B9" w14:textId="77777777" w:rsidR="00962AE4" w:rsidRPr="004410BC" w:rsidRDefault="00962AE4" w:rsidP="00236C76">
      <w:pPr>
        <w:rPr>
          <w:rFonts w:cs="Arial"/>
        </w:rPr>
      </w:pPr>
      <w:r w:rsidRPr="004410BC">
        <w:rPr>
          <w:rFonts w:cs="Arial"/>
        </w:rPr>
        <w:t>Collectively, these criteria ensured that the final evidence base remained directly aligned with the research objective while improving methodological consistency throughout the review process.</w:t>
      </w:r>
    </w:p>
    <w:p w14:paraId="391CEE3D" w14:textId="77777777" w:rsidR="00962AE4" w:rsidRPr="004410BC" w:rsidRDefault="00962AE4" w:rsidP="00236C76">
      <w:pPr>
        <w:pStyle w:val="Heading2"/>
        <w:rPr>
          <w:rFonts w:eastAsiaTheme="majorEastAsia" w:cs="Arial"/>
        </w:rPr>
      </w:pPr>
      <w:bookmarkStart w:id="212" w:name="_Toc234867305"/>
      <w:bookmarkStart w:id="213" w:name="_Toc234867368"/>
      <w:bookmarkStart w:id="214" w:name="_Toc237213853"/>
      <w:bookmarkStart w:id="215" w:name="_Toc238290234"/>
      <w:bookmarkStart w:id="216" w:name="_Toc240724877"/>
      <w:r w:rsidRPr="004410BC">
        <w:rPr>
          <w:rFonts w:eastAsiaTheme="majorEastAsia" w:cs="Arial"/>
        </w:rPr>
        <w:t>3.6 Quality Appraisal</w:t>
      </w:r>
      <w:bookmarkEnd w:id="212"/>
      <w:bookmarkEnd w:id="213"/>
      <w:bookmarkEnd w:id="214"/>
      <w:bookmarkEnd w:id="215"/>
      <w:bookmarkEnd w:id="216"/>
    </w:p>
    <w:p w14:paraId="25EC7CB1" w14:textId="7C437067" w:rsidR="00962AE4" w:rsidRPr="004410BC" w:rsidRDefault="00962AE4" w:rsidP="00236C76">
      <w:pPr>
        <w:rPr>
          <w:rFonts w:cs="Arial"/>
        </w:rPr>
      </w:pPr>
      <w:r w:rsidRPr="004410BC">
        <w:rPr>
          <w:rFonts w:cs="Arial"/>
        </w:rPr>
        <w:t xml:space="preserve">After selection of studies for the </w:t>
      </w:r>
      <w:r w:rsidR="005B31F8" w:rsidRPr="004410BC">
        <w:rPr>
          <w:rFonts w:cs="Arial"/>
        </w:rPr>
        <w:t>review</w:t>
      </w:r>
      <w:r w:rsidRPr="004410BC">
        <w:rPr>
          <w:rFonts w:cs="Arial"/>
        </w:rPr>
        <w:t xml:space="preserve">, </w:t>
      </w:r>
      <w:r w:rsidR="009C5CF6" w:rsidRPr="004410BC">
        <w:rPr>
          <w:rFonts w:cs="Arial"/>
        </w:rPr>
        <w:t xml:space="preserve">the </w:t>
      </w:r>
      <w:r w:rsidRPr="004410BC">
        <w:rPr>
          <w:rFonts w:cs="Arial"/>
        </w:rPr>
        <w:t>methodological quality of the included studies is evaluated by using the Critical Appraisal Skills Programme (CASP) Qualitative Checklist containing ten appraisal questions. Evaluating the methodological rigour of the evidence included in a systematic review is part of quality appraisal, which enhances the credibility and trustworthiness of systematic reviews (Hansen, 2020).</w:t>
      </w:r>
    </w:p>
    <w:p w14:paraId="7C7866AB" w14:textId="423C1774" w:rsidR="00962AE4" w:rsidRPr="004410BC" w:rsidRDefault="00962AE4" w:rsidP="00236C76">
      <w:pPr>
        <w:rPr>
          <w:rFonts w:cs="Arial"/>
        </w:rPr>
      </w:pPr>
      <w:r w:rsidRPr="004410BC">
        <w:rPr>
          <w:rFonts w:cs="Arial"/>
        </w:rPr>
        <w:t>Most studies included a focus on patients' experiences and barriers to accessing health care, which is identified as a major qualitative focus in the literature, so the CASP checklist is chosen. CASP offers a structure to evaluate qualitative research (such as research aims, methodology, recruitment, data collection, ethics, analysis</w:t>
      </w:r>
      <w:r w:rsidR="009C5CF6" w:rsidRPr="004410BC">
        <w:rPr>
          <w:rFonts w:cs="Arial"/>
        </w:rPr>
        <w:t>,</w:t>
      </w:r>
      <w:r w:rsidRPr="004410BC">
        <w:rPr>
          <w:rFonts w:cs="Arial"/>
        </w:rPr>
        <w:t xml:space="preserve"> and reporting) compared to other appraisal tools (Long, French and Brooks, 2020). Thus, it is deemed to be the best tool for this review.</w:t>
      </w:r>
    </w:p>
    <w:p w14:paraId="32079C31" w14:textId="4017CC7B" w:rsidR="00962AE4" w:rsidRPr="004410BC" w:rsidRDefault="00151AD9" w:rsidP="00236C76">
      <w:pPr>
        <w:rPr>
          <w:rFonts w:cs="Arial"/>
        </w:rPr>
      </w:pPr>
      <w:r w:rsidRPr="004410BC">
        <w:rPr>
          <w:rFonts w:cs="Arial"/>
        </w:rPr>
        <w:t>Only</w:t>
      </w:r>
      <w:r w:rsidR="00962AE4" w:rsidRPr="004410BC">
        <w:rPr>
          <w:rFonts w:cs="Arial"/>
        </w:rPr>
        <w:t xml:space="preserve"> the researcher of this study conducted </w:t>
      </w:r>
      <w:r w:rsidR="009C5CF6" w:rsidRPr="004410BC">
        <w:rPr>
          <w:rFonts w:cs="Arial"/>
        </w:rPr>
        <w:t xml:space="preserve">a </w:t>
      </w:r>
      <w:r w:rsidR="00962AE4" w:rsidRPr="004410BC">
        <w:rPr>
          <w:rFonts w:cs="Arial"/>
        </w:rPr>
        <w:t>quality appraisal applying the same 10 CASP questions</w:t>
      </w:r>
      <w:r w:rsidR="00A466F4" w:rsidRPr="004410BC">
        <w:rPr>
          <w:rFonts w:cs="Arial"/>
        </w:rPr>
        <w:t xml:space="preserve"> to collect dat</w:t>
      </w:r>
      <w:r w:rsidR="00DF2542" w:rsidRPr="004410BC">
        <w:rPr>
          <w:rFonts w:cs="Arial"/>
        </w:rPr>
        <w:t>a</w:t>
      </w:r>
      <w:r w:rsidR="00127BC8" w:rsidRPr="004410BC">
        <w:rPr>
          <w:rFonts w:cs="Arial"/>
        </w:rPr>
        <w:t xml:space="preserve"> even </w:t>
      </w:r>
      <w:r w:rsidR="006833B4" w:rsidRPr="004410BC">
        <w:rPr>
          <w:rFonts w:cs="Arial"/>
        </w:rPr>
        <w:t>from the mixed and cohort stud</w:t>
      </w:r>
      <w:r w:rsidR="00DF2542" w:rsidRPr="004410BC">
        <w:rPr>
          <w:rFonts w:cs="Arial"/>
        </w:rPr>
        <w:t>ies contained</w:t>
      </w:r>
      <w:r w:rsidR="006833B4" w:rsidRPr="004410BC">
        <w:rPr>
          <w:rFonts w:cs="Arial"/>
        </w:rPr>
        <w:t xml:space="preserve"> in th</w:t>
      </w:r>
      <w:r w:rsidR="00DF2542" w:rsidRPr="004410BC">
        <w:rPr>
          <w:rFonts w:cs="Arial"/>
        </w:rPr>
        <w:t>ese</w:t>
      </w:r>
      <w:r w:rsidR="006833B4" w:rsidRPr="004410BC">
        <w:rPr>
          <w:rFonts w:cs="Arial"/>
        </w:rPr>
        <w:t xml:space="preserve"> 14 </w:t>
      </w:r>
      <w:r w:rsidR="007B2464" w:rsidRPr="004410BC">
        <w:rPr>
          <w:rFonts w:cs="Arial"/>
        </w:rPr>
        <w:t xml:space="preserve">selected </w:t>
      </w:r>
      <w:r w:rsidR="006833B4" w:rsidRPr="004410BC">
        <w:rPr>
          <w:rFonts w:cs="Arial"/>
        </w:rPr>
        <w:t>studies</w:t>
      </w:r>
      <w:r w:rsidR="00DF2542" w:rsidRPr="004410BC">
        <w:rPr>
          <w:rFonts w:cs="Arial"/>
        </w:rPr>
        <w:t>, which contain qualitative data</w:t>
      </w:r>
      <w:r w:rsidR="00962AE4" w:rsidRPr="004410BC">
        <w:rPr>
          <w:rFonts w:cs="Arial"/>
        </w:rPr>
        <w:t xml:space="preserve">. In cases where it is required, studies are repeated so as to maintain the uniformity of the appraisal. All studies are eligible for inclusion and provide evidence relevant to the study, and therefore none are excluded due to quality. Rather, CASP enhanced the trustworthiness of studies that presented the most robust methodology and </w:t>
      </w:r>
      <w:r w:rsidR="009C5CF6" w:rsidRPr="004410BC">
        <w:rPr>
          <w:rFonts w:cs="Arial"/>
        </w:rPr>
        <w:t>was</w:t>
      </w:r>
      <w:r w:rsidR="00962AE4" w:rsidRPr="004410BC">
        <w:rPr>
          <w:rFonts w:cs="Arial"/>
        </w:rPr>
        <w:t xml:space="preserve"> more cautious when interpreting studies with less robust methodology. </w:t>
      </w:r>
    </w:p>
    <w:p w14:paraId="68FFD732" w14:textId="77777777" w:rsidR="00962AE4" w:rsidRPr="004410BC" w:rsidRDefault="00962AE4" w:rsidP="00236C76">
      <w:pPr>
        <w:pStyle w:val="Heading2"/>
        <w:rPr>
          <w:rFonts w:eastAsiaTheme="majorEastAsia" w:cs="Arial"/>
        </w:rPr>
      </w:pPr>
      <w:bookmarkStart w:id="217" w:name="_Toc234867306"/>
      <w:bookmarkStart w:id="218" w:name="_Toc234867369"/>
      <w:bookmarkStart w:id="219" w:name="_Toc237213854"/>
      <w:bookmarkStart w:id="220" w:name="_Toc238290235"/>
      <w:bookmarkStart w:id="221" w:name="_Toc240724878"/>
      <w:r w:rsidRPr="004410BC">
        <w:rPr>
          <w:rFonts w:eastAsiaTheme="majorEastAsia" w:cs="Arial"/>
        </w:rPr>
        <w:t>3.7 Data Extraction and Data Management</w:t>
      </w:r>
      <w:bookmarkEnd w:id="217"/>
      <w:bookmarkEnd w:id="218"/>
      <w:bookmarkEnd w:id="219"/>
      <w:bookmarkEnd w:id="220"/>
      <w:bookmarkEnd w:id="221"/>
    </w:p>
    <w:p w14:paraId="39EF795F" w14:textId="5E50D4FC" w:rsidR="00962AE4" w:rsidRPr="004410BC" w:rsidRDefault="00962AE4" w:rsidP="00236C76">
      <w:pPr>
        <w:rPr>
          <w:rFonts w:cs="Arial"/>
        </w:rPr>
      </w:pPr>
      <w:r w:rsidRPr="004410BC">
        <w:rPr>
          <w:rFonts w:cs="Arial"/>
        </w:rPr>
        <w:t xml:space="preserve">Data were extracted systematically with a pre-designed data extraction form, which was agreed before the review started. A structured approach for information collection ensured consistency </w:t>
      </w:r>
      <w:r w:rsidR="009C5CF6" w:rsidRPr="004410BC">
        <w:rPr>
          <w:rFonts w:cs="Arial"/>
        </w:rPr>
        <w:t>in the</w:t>
      </w:r>
      <w:r w:rsidRPr="004410BC">
        <w:rPr>
          <w:rFonts w:cs="Arial"/>
        </w:rPr>
        <w:t xml:space="preserve"> collection of relevant information, and thereby minimised the risk of missing important findings (Aveyard, 2014).</w:t>
      </w:r>
    </w:p>
    <w:p w14:paraId="3310140B" w14:textId="77777777" w:rsidR="00962AE4" w:rsidRPr="004410BC" w:rsidRDefault="00962AE4" w:rsidP="00236C76">
      <w:pPr>
        <w:rPr>
          <w:rFonts w:cs="Arial"/>
        </w:rPr>
      </w:pPr>
      <w:r w:rsidRPr="004410BC">
        <w:rPr>
          <w:rFonts w:cs="Arial"/>
        </w:rPr>
        <w:t>Data were extracted by one of the reviewers using MS Excel. Information extracted included study title, year of publication, location, study design, research aim, data collection methods, sample characteristics, sample size, and main results of the studies pertaining to barriers in accessing primary healthcare in the United Kingdom (UK) for ethnic minority people. All collected data are cross-checked with the original articles to verify the accuracy and uniformity of the data.</w:t>
      </w:r>
    </w:p>
    <w:p w14:paraId="0ADDBE5E" w14:textId="45B10292" w:rsidR="00962AE4" w:rsidRPr="004410BC" w:rsidRDefault="00962AE4" w:rsidP="00236C76">
      <w:pPr>
        <w:rPr>
          <w:rFonts w:cs="Arial"/>
        </w:rPr>
      </w:pPr>
      <w:r w:rsidRPr="004410BC">
        <w:rPr>
          <w:rFonts w:cs="Arial"/>
        </w:rPr>
        <w:t>Microsoft Excel is also used to structure the characteristics of the studies, the results of the quality appraisal</w:t>
      </w:r>
      <w:r w:rsidR="005B31F8" w:rsidRPr="004410BC">
        <w:rPr>
          <w:rFonts w:cs="Arial"/>
        </w:rPr>
        <w:t>,</w:t>
      </w:r>
      <w:r w:rsidRPr="004410BC">
        <w:rPr>
          <w:rFonts w:cs="Arial"/>
        </w:rPr>
        <w:t xml:space="preserve"> and the thematic coding, thus ensuring a transparent audit trail during the review. </w:t>
      </w:r>
    </w:p>
    <w:p w14:paraId="77DCE3DA" w14:textId="77777777" w:rsidR="00962AE4" w:rsidRPr="004410BC" w:rsidRDefault="00962AE4" w:rsidP="00236C76">
      <w:pPr>
        <w:pStyle w:val="Heading2"/>
        <w:rPr>
          <w:rFonts w:eastAsiaTheme="majorEastAsia" w:cs="Arial"/>
        </w:rPr>
      </w:pPr>
      <w:bookmarkStart w:id="222" w:name="_Toc234867307"/>
      <w:bookmarkStart w:id="223" w:name="_Toc234867370"/>
      <w:bookmarkStart w:id="224" w:name="_Toc237213855"/>
      <w:bookmarkStart w:id="225" w:name="_Toc238290236"/>
      <w:bookmarkStart w:id="226" w:name="_Toc240724879"/>
      <w:r w:rsidRPr="004410BC">
        <w:rPr>
          <w:rFonts w:eastAsiaTheme="majorEastAsia" w:cs="Arial"/>
        </w:rPr>
        <w:t>3.8 Data Analysis</w:t>
      </w:r>
      <w:bookmarkEnd w:id="222"/>
      <w:bookmarkEnd w:id="223"/>
      <w:bookmarkEnd w:id="224"/>
      <w:bookmarkEnd w:id="225"/>
      <w:bookmarkEnd w:id="226"/>
    </w:p>
    <w:p w14:paraId="701E1BE0" w14:textId="77777777" w:rsidR="00962AE4" w:rsidRPr="004410BC" w:rsidRDefault="00962AE4" w:rsidP="00236C76">
      <w:pPr>
        <w:pStyle w:val="Heading3"/>
        <w:rPr>
          <w:rFonts w:eastAsiaTheme="majorEastAsia" w:cs="Arial"/>
        </w:rPr>
      </w:pPr>
      <w:bookmarkStart w:id="227" w:name="_Toc234867308"/>
      <w:bookmarkStart w:id="228" w:name="_Toc234867371"/>
      <w:bookmarkStart w:id="229" w:name="_Toc237213856"/>
      <w:bookmarkStart w:id="230" w:name="_Toc238290237"/>
      <w:bookmarkStart w:id="231" w:name="_Toc240724880"/>
      <w:r w:rsidRPr="004410BC">
        <w:rPr>
          <w:rFonts w:eastAsiaTheme="majorEastAsia" w:cs="Arial"/>
        </w:rPr>
        <w:t>3.8.1 Narrative Synthesis</w:t>
      </w:r>
      <w:bookmarkEnd w:id="227"/>
      <w:bookmarkEnd w:id="228"/>
      <w:bookmarkEnd w:id="229"/>
      <w:bookmarkEnd w:id="230"/>
      <w:bookmarkEnd w:id="231"/>
    </w:p>
    <w:p w14:paraId="4E205FFA" w14:textId="5E079D43" w:rsidR="00962AE4" w:rsidRPr="004410BC" w:rsidRDefault="00962AE4" w:rsidP="00236C76">
      <w:pPr>
        <w:rPr>
          <w:rFonts w:cs="Arial"/>
        </w:rPr>
      </w:pPr>
      <w:r w:rsidRPr="004410BC">
        <w:rPr>
          <w:rFonts w:cs="Arial"/>
        </w:rPr>
        <w:t>Since the qualitative method studies included in this review are not comparable, due to variations in design, participant</w:t>
      </w:r>
      <w:r w:rsidR="009C5CF6" w:rsidRPr="004410BC">
        <w:rPr>
          <w:rFonts w:cs="Arial"/>
        </w:rPr>
        <w:t>s</w:t>
      </w:r>
      <w:r w:rsidRPr="004410BC">
        <w:rPr>
          <w:rFonts w:cs="Arial"/>
        </w:rPr>
        <w:t>, setting, and outcomes, meta-analysis is not possible, and a narrative synthesis is conducted instead. Conversely, results are analysed and synthesi</w:t>
      </w:r>
      <w:r w:rsidR="00B34D86" w:rsidRPr="004410BC">
        <w:rPr>
          <w:rFonts w:cs="Arial"/>
        </w:rPr>
        <w:t>s</w:t>
      </w:r>
      <w:r w:rsidRPr="004410BC">
        <w:rPr>
          <w:rFonts w:cs="Arial"/>
        </w:rPr>
        <w:t>ed to gain insight into patterns that emerged despite avoiding the homogeni</w:t>
      </w:r>
      <w:r w:rsidR="00361F5E" w:rsidRPr="004410BC">
        <w:rPr>
          <w:rFonts w:cs="Arial"/>
        </w:rPr>
        <w:t>s</w:t>
      </w:r>
      <w:r w:rsidRPr="004410BC">
        <w:rPr>
          <w:rFonts w:cs="Arial"/>
        </w:rPr>
        <w:t>ation of individual studies (Campbell et al., 2020).</w:t>
      </w:r>
    </w:p>
    <w:p w14:paraId="4B0EE08C" w14:textId="72B49A9D" w:rsidR="00962AE4" w:rsidRPr="004410BC" w:rsidRDefault="00962AE4" w:rsidP="00236C76">
      <w:pPr>
        <w:rPr>
          <w:rFonts w:cs="Arial"/>
        </w:rPr>
      </w:pPr>
      <w:r w:rsidRPr="004410BC">
        <w:rPr>
          <w:rFonts w:cs="Arial"/>
        </w:rPr>
        <w:t xml:space="preserve">The synthesis is conducted using principles of recognised narrative synthesis and the reporting guidance from Synthesis Without Meta-analysis (SWiM) (Campbell et al., 2020). Findings from extracted reports are compared to each other across studies and grouped into themes to gain a coherent understanding of the barriers to access </w:t>
      </w:r>
      <w:r w:rsidR="009C5CF6" w:rsidRPr="004410BC">
        <w:rPr>
          <w:rFonts w:cs="Arial"/>
        </w:rPr>
        <w:t>to</w:t>
      </w:r>
      <w:r w:rsidRPr="004410BC">
        <w:rPr>
          <w:rFonts w:cs="Arial"/>
        </w:rPr>
        <w:t xml:space="preserve"> primary health care in the UK for ethnic minorities (Afshari, Snor Bayazidi and Yazdani, 2023).</w:t>
      </w:r>
    </w:p>
    <w:p w14:paraId="14C935D3" w14:textId="77777777" w:rsidR="00962AE4" w:rsidRPr="004410BC" w:rsidRDefault="00962AE4" w:rsidP="00236C76">
      <w:pPr>
        <w:pStyle w:val="Heading3"/>
        <w:rPr>
          <w:rFonts w:eastAsiaTheme="majorEastAsia" w:cs="Arial"/>
        </w:rPr>
      </w:pPr>
      <w:bookmarkStart w:id="232" w:name="_Toc234867309"/>
      <w:bookmarkStart w:id="233" w:name="_Toc234867372"/>
      <w:bookmarkStart w:id="234" w:name="_Toc237213857"/>
      <w:bookmarkStart w:id="235" w:name="_Toc238290238"/>
      <w:bookmarkStart w:id="236" w:name="_Toc240724881"/>
      <w:r w:rsidRPr="004410BC">
        <w:rPr>
          <w:rFonts w:eastAsiaTheme="majorEastAsia" w:cs="Arial"/>
        </w:rPr>
        <w:t>3.8.2 Manual Coding and Theme Development</w:t>
      </w:r>
      <w:bookmarkEnd w:id="232"/>
      <w:bookmarkEnd w:id="233"/>
      <w:bookmarkEnd w:id="234"/>
      <w:bookmarkEnd w:id="235"/>
      <w:bookmarkEnd w:id="236"/>
    </w:p>
    <w:p w14:paraId="0622A6C3" w14:textId="77777777" w:rsidR="00962AE4" w:rsidRPr="004410BC" w:rsidRDefault="00962AE4" w:rsidP="00236C76">
      <w:pPr>
        <w:rPr>
          <w:rFonts w:cs="Arial"/>
        </w:rPr>
      </w:pPr>
      <w:r w:rsidRPr="004410BC">
        <w:rPr>
          <w:rFonts w:cs="Arial"/>
        </w:rPr>
        <w:t>All manual coding is done using the MS Excel software. All studies are read multiple times prior to coding findings and making comparisons between studies. These codes are then clustered into other larger themes such as language and communication, digital exclusion, discrimination, trust, service utilisation and patient experiences. The coding and development of the themes are done by one reviewer and repeated to achieve consistency and decrease subjective interpretation.</w:t>
      </w:r>
    </w:p>
    <w:p w14:paraId="7A6448C6" w14:textId="77777777" w:rsidR="00962AE4" w:rsidRPr="004410BC" w:rsidRDefault="00962AE4" w:rsidP="00236C76">
      <w:pPr>
        <w:pStyle w:val="Heading2"/>
        <w:rPr>
          <w:rFonts w:eastAsiaTheme="majorEastAsia" w:cs="Arial"/>
        </w:rPr>
      </w:pPr>
      <w:bookmarkStart w:id="237" w:name="_Toc234867310"/>
      <w:bookmarkStart w:id="238" w:name="_Toc234867373"/>
      <w:bookmarkStart w:id="239" w:name="_Toc237213858"/>
      <w:bookmarkStart w:id="240" w:name="_Toc238290239"/>
      <w:bookmarkStart w:id="241" w:name="_Toc240724882"/>
      <w:r w:rsidRPr="004410BC">
        <w:rPr>
          <w:rFonts w:eastAsiaTheme="majorEastAsia" w:cs="Arial"/>
        </w:rPr>
        <w:t>3.9 Ethical Considerations</w:t>
      </w:r>
      <w:bookmarkEnd w:id="237"/>
      <w:bookmarkEnd w:id="238"/>
      <w:bookmarkEnd w:id="239"/>
      <w:bookmarkEnd w:id="240"/>
      <w:bookmarkEnd w:id="241"/>
    </w:p>
    <w:p w14:paraId="7448CE23" w14:textId="159C7F62" w:rsidR="00962AE4" w:rsidRPr="004410BC" w:rsidRDefault="00962AE4" w:rsidP="00236C76">
      <w:pPr>
        <w:rPr>
          <w:rFonts w:cs="Arial"/>
        </w:rPr>
      </w:pPr>
      <w:r w:rsidRPr="004410BC">
        <w:rPr>
          <w:rFonts w:cs="Arial"/>
        </w:rPr>
        <w:t>The review involved the analysis of published studies which are available to the general public and thus no participants and personal data are involved. All sources are correctly cited, no plagiarism is used, and intellectual property rights are respected. There is no bias in the reporting of original findings (Mack and Woodsong, 2005). Applying a set of predetermined eligibility criteria, systematic screening</w:t>
      </w:r>
      <w:r w:rsidR="005B31F8" w:rsidRPr="004410BC">
        <w:rPr>
          <w:rFonts w:cs="Arial"/>
        </w:rPr>
        <w:t>,</w:t>
      </w:r>
      <w:r w:rsidRPr="004410BC">
        <w:rPr>
          <w:rFonts w:cs="Arial"/>
        </w:rPr>
        <w:t xml:space="preserve"> and clear reporting also contributed to the ethically correct and upright way the review is conducted (Guest and Namey, 2015). </w:t>
      </w:r>
    </w:p>
    <w:p w14:paraId="2818F872" w14:textId="77777777" w:rsidR="00962AE4" w:rsidRPr="004410BC" w:rsidRDefault="00962AE4" w:rsidP="00236C76">
      <w:pPr>
        <w:pStyle w:val="Heading2"/>
        <w:rPr>
          <w:rFonts w:eastAsiaTheme="majorEastAsia" w:cs="Arial"/>
        </w:rPr>
      </w:pPr>
      <w:bookmarkStart w:id="242" w:name="_Toc234867311"/>
      <w:bookmarkStart w:id="243" w:name="_Toc234867374"/>
      <w:bookmarkStart w:id="244" w:name="_Toc237213859"/>
      <w:bookmarkStart w:id="245" w:name="_Toc238290240"/>
      <w:bookmarkStart w:id="246" w:name="_Toc240724883"/>
      <w:r w:rsidRPr="004410BC">
        <w:rPr>
          <w:rFonts w:eastAsiaTheme="majorEastAsia" w:cs="Arial"/>
        </w:rPr>
        <w:t>3.10 Methodological Evaluation</w:t>
      </w:r>
      <w:bookmarkEnd w:id="242"/>
      <w:bookmarkEnd w:id="243"/>
      <w:bookmarkEnd w:id="244"/>
      <w:bookmarkEnd w:id="245"/>
      <w:bookmarkEnd w:id="246"/>
    </w:p>
    <w:p w14:paraId="60FFFE43" w14:textId="46F25C4F" w:rsidR="00962AE4" w:rsidRPr="004410BC" w:rsidRDefault="00962AE4" w:rsidP="00236C76">
      <w:pPr>
        <w:rPr>
          <w:rFonts w:cs="Arial"/>
        </w:rPr>
      </w:pPr>
      <w:r w:rsidRPr="004410BC">
        <w:rPr>
          <w:rFonts w:cs="Arial"/>
        </w:rPr>
        <w:t>The methodology used in this review showed several strengths: the use of a predefined review protocol, the comprehensive search of seven databases, the use of the PRISMA 2020 framework for the selection of studies, the CASP quality appraisal of the selected studies, and the systematic extraction of data</w:t>
      </w:r>
      <w:r w:rsidR="009C5CF6" w:rsidRPr="004410BC">
        <w:rPr>
          <w:rFonts w:cs="Arial"/>
        </w:rPr>
        <w:t>,</w:t>
      </w:r>
      <w:r w:rsidRPr="004410BC">
        <w:rPr>
          <w:rFonts w:cs="Arial"/>
        </w:rPr>
        <w:t xml:space="preserve"> all of which contributed to transparency and consistency, with </w:t>
      </w:r>
      <w:r w:rsidR="009C5CF6" w:rsidRPr="004410BC">
        <w:rPr>
          <w:rFonts w:cs="Arial"/>
        </w:rPr>
        <w:t xml:space="preserve">a </w:t>
      </w:r>
      <w:r w:rsidRPr="004410BC">
        <w:rPr>
          <w:rFonts w:cs="Arial"/>
        </w:rPr>
        <w:t xml:space="preserve">good report of the process and </w:t>
      </w:r>
      <w:r w:rsidR="009C5CF6" w:rsidRPr="004410BC">
        <w:rPr>
          <w:rFonts w:cs="Arial"/>
        </w:rPr>
        <w:t xml:space="preserve">a </w:t>
      </w:r>
      <w:r w:rsidRPr="004410BC">
        <w:rPr>
          <w:rFonts w:cs="Arial"/>
        </w:rPr>
        <w:t>good relation between the methodology adopted and the results obtained (Page et al., 2021). The review is constrained, however, by its reliance only on English-language studies, the potential for database selection bias, methodological differences that prevented meta-analysis, and a single reviewer screening, appraising</w:t>
      </w:r>
      <w:r w:rsidR="005B31F8" w:rsidRPr="004410BC">
        <w:rPr>
          <w:rFonts w:cs="Arial"/>
        </w:rPr>
        <w:t>,</w:t>
      </w:r>
      <w:r w:rsidRPr="004410BC">
        <w:rPr>
          <w:rFonts w:cs="Arial"/>
        </w:rPr>
        <w:t xml:space="preserve"> and coding. These restrictions should be taken into account when interpreting the results.</w:t>
      </w:r>
    </w:p>
    <w:p w14:paraId="57CA29CE" w14:textId="77777777" w:rsidR="00962AE4" w:rsidRPr="004410BC" w:rsidRDefault="00962AE4" w:rsidP="00236C76">
      <w:pPr>
        <w:rPr>
          <w:rFonts w:cs="Arial"/>
        </w:rPr>
      </w:pPr>
    </w:p>
    <w:p w14:paraId="01B29909" w14:textId="77777777" w:rsidR="00962AE4" w:rsidRPr="004410BC" w:rsidRDefault="00962AE4" w:rsidP="00236C76">
      <w:pPr>
        <w:rPr>
          <w:rFonts w:cs="Arial"/>
        </w:rPr>
        <w:sectPr w:rsidR="00962AE4" w:rsidRPr="004410BC" w:rsidSect="00962AE4">
          <w:pgSz w:w="11906" w:h="16838" w:code="9"/>
          <w:pgMar w:top="1440" w:right="1440" w:bottom="1440" w:left="1440" w:header="720" w:footer="720" w:gutter="0"/>
          <w:cols w:space="720"/>
          <w:docGrid w:linePitch="360"/>
        </w:sectPr>
      </w:pPr>
    </w:p>
    <w:p w14:paraId="3BA58F8A" w14:textId="77777777" w:rsidR="00962AE4" w:rsidRPr="004410BC" w:rsidRDefault="00962AE4" w:rsidP="00236C76">
      <w:pPr>
        <w:pStyle w:val="Heading2"/>
        <w:rPr>
          <w:rFonts w:eastAsiaTheme="majorEastAsia" w:cs="Arial"/>
        </w:rPr>
      </w:pPr>
      <w:bookmarkStart w:id="247" w:name="_Toc234867312"/>
      <w:bookmarkStart w:id="248" w:name="_Toc234867375"/>
      <w:bookmarkStart w:id="249" w:name="_Toc237213860"/>
      <w:bookmarkStart w:id="250" w:name="_Toc238290241"/>
      <w:bookmarkStart w:id="251" w:name="_Toc240724884"/>
      <w:r w:rsidRPr="004410BC">
        <w:rPr>
          <w:rFonts w:eastAsiaTheme="majorEastAsia" w:cs="Arial"/>
        </w:rPr>
        <w:t>3.11 Conclusion</w:t>
      </w:r>
      <w:bookmarkEnd w:id="247"/>
      <w:bookmarkEnd w:id="248"/>
      <w:bookmarkEnd w:id="249"/>
      <w:bookmarkEnd w:id="250"/>
      <w:bookmarkEnd w:id="251"/>
    </w:p>
    <w:p w14:paraId="59806D7C" w14:textId="6419442C" w:rsidR="00962AE4" w:rsidRPr="004410BC" w:rsidRDefault="00962AE4" w:rsidP="00236C76">
      <w:pPr>
        <w:rPr>
          <w:rFonts w:cs="Arial"/>
        </w:rPr>
        <w:sectPr w:rsidR="00962AE4" w:rsidRPr="004410BC" w:rsidSect="00962AE4">
          <w:pgSz w:w="11906" w:h="16838" w:code="9"/>
          <w:pgMar w:top="1440" w:right="1440" w:bottom="1440" w:left="1440" w:header="720" w:footer="720" w:gutter="0"/>
          <w:cols w:space="720"/>
          <w:docGrid w:linePitch="360"/>
        </w:sectPr>
      </w:pPr>
      <w:r w:rsidRPr="004410BC">
        <w:rPr>
          <w:rFonts w:cs="Arial"/>
        </w:rPr>
        <w:t>The methodology to perform the systematic literature review is described in this chapter. It explain</w:t>
      </w:r>
      <w:r w:rsidR="009C5CF6" w:rsidRPr="004410BC">
        <w:rPr>
          <w:rFonts w:cs="Arial"/>
        </w:rPr>
        <w:t>s</w:t>
      </w:r>
      <w:r w:rsidRPr="004410BC">
        <w:rPr>
          <w:rFonts w:cs="Arial"/>
        </w:rPr>
        <w:t xml:space="preserve"> the design of the research, the search, the selection of studies, the eligibility criteria, the quality appraisal of the studies, the extraction of the data, the synthesis of the narrative, and the considerations of ethics which are carried out during the review. The methodological strengths and limitations are also assessed in order to illustrate the transparency and rigour in the research process. Results are reported in Chapter 4, grouped under the themes.</w:t>
      </w:r>
      <w:r w:rsidRPr="004410BC">
        <w:rPr>
          <w:rFonts w:eastAsia="Times New Roman" w:cs="Arial"/>
          <w:b/>
          <w:bCs/>
          <w:sz w:val="28"/>
          <w:szCs w:val="28"/>
        </w:rPr>
        <w:t xml:space="preserve"> </w:t>
      </w:r>
    </w:p>
    <w:p w14:paraId="1DC68205" w14:textId="2EF52269" w:rsidR="009F64C5" w:rsidRPr="004410BC" w:rsidRDefault="00DD7AA5" w:rsidP="00236C76">
      <w:pPr>
        <w:pStyle w:val="Heading1"/>
        <w:rPr>
          <w:rFonts w:cs="Arial"/>
        </w:rPr>
      </w:pPr>
      <w:bookmarkStart w:id="252" w:name="_Toc238290242"/>
      <w:bookmarkStart w:id="253" w:name="_Toc240724885"/>
      <w:r w:rsidRPr="004410BC">
        <w:rPr>
          <w:rFonts w:cs="Arial"/>
        </w:rPr>
        <w:t xml:space="preserve">Chapter 4: </w:t>
      </w:r>
      <w:r w:rsidR="009F64C5" w:rsidRPr="004410BC">
        <w:rPr>
          <w:rFonts w:cs="Arial"/>
        </w:rPr>
        <w:t>Results</w:t>
      </w:r>
      <w:bookmarkEnd w:id="252"/>
      <w:bookmarkEnd w:id="253"/>
      <w:r w:rsidR="009F64C5" w:rsidRPr="004410BC">
        <w:rPr>
          <w:rFonts w:cs="Arial"/>
        </w:rPr>
        <w:t xml:space="preserve"> </w:t>
      </w:r>
      <w:bookmarkEnd w:id="142"/>
    </w:p>
    <w:p w14:paraId="653C8FFA" w14:textId="77777777" w:rsidR="00870848" w:rsidRPr="004410BC" w:rsidRDefault="00870848" w:rsidP="00236C76">
      <w:pPr>
        <w:pStyle w:val="Heading2"/>
        <w:rPr>
          <w:rFonts w:cs="Arial"/>
        </w:rPr>
      </w:pPr>
      <w:bookmarkStart w:id="254" w:name="_Toc237213862"/>
      <w:bookmarkStart w:id="255" w:name="_Toc238290243"/>
      <w:bookmarkStart w:id="256" w:name="_Toc240724886"/>
      <w:r w:rsidRPr="004410BC">
        <w:rPr>
          <w:rFonts w:cs="Arial"/>
        </w:rPr>
        <w:t>4.1 Introduction</w:t>
      </w:r>
      <w:bookmarkEnd w:id="254"/>
      <w:bookmarkEnd w:id="255"/>
      <w:bookmarkEnd w:id="256"/>
    </w:p>
    <w:p w14:paraId="23E8D844" w14:textId="105CFAB7" w:rsidR="00F94E9A" w:rsidRPr="004410BC" w:rsidRDefault="00870848" w:rsidP="00236C76">
      <w:pPr>
        <w:rPr>
          <w:rFonts w:cs="Arial"/>
        </w:rPr>
      </w:pPr>
      <w:r w:rsidRPr="004410BC">
        <w:rPr>
          <w:rFonts w:cs="Arial"/>
        </w:rPr>
        <w:t xml:space="preserve">The results of the systematic review performed using a narrative synthesis of the 14 studies included in the review are reported in this chapter. The evidence included qualitative methods research in the UK from primary care and from related first contact pathways. Findings are grouped by the four research objectives, and under those objectives there are three themes. The synthesis will focus on recurring patterns, similarities and differences between populations and care settings, and similarities or differences of convergence and divergence. </w:t>
      </w:r>
      <w:bookmarkStart w:id="257" w:name="_Toc234867303"/>
      <w:bookmarkStart w:id="258" w:name="_Toc234867366"/>
      <w:bookmarkStart w:id="259" w:name="_Toc237213863"/>
      <w:bookmarkStart w:id="260" w:name="_Toc238290244"/>
    </w:p>
    <w:p w14:paraId="4FA6945D" w14:textId="0449F280" w:rsidR="00870848" w:rsidRPr="004410BC" w:rsidRDefault="00870848" w:rsidP="00236C76">
      <w:pPr>
        <w:pStyle w:val="Heading2"/>
        <w:rPr>
          <w:rFonts w:cs="Arial"/>
        </w:rPr>
      </w:pPr>
      <w:bookmarkStart w:id="261" w:name="_Toc240724887"/>
      <w:r w:rsidRPr="004410BC">
        <w:rPr>
          <w:rFonts w:cs="Arial"/>
        </w:rPr>
        <w:t xml:space="preserve">4.2 Selection of </w:t>
      </w:r>
      <w:bookmarkEnd w:id="257"/>
      <w:bookmarkEnd w:id="258"/>
      <w:r w:rsidRPr="004410BC">
        <w:rPr>
          <w:rFonts w:cs="Arial"/>
        </w:rPr>
        <w:t>Studies</w:t>
      </w:r>
      <w:bookmarkEnd w:id="259"/>
      <w:bookmarkEnd w:id="260"/>
      <w:bookmarkEnd w:id="261"/>
    </w:p>
    <w:p w14:paraId="44969125" w14:textId="4FA2368A" w:rsidR="00870848" w:rsidRPr="004410BC" w:rsidRDefault="00870848" w:rsidP="00236C76">
      <w:pPr>
        <w:rPr>
          <w:rFonts w:cs="Arial"/>
          <w:szCs w:val="28"/>
        </w:rPr>
      </w:pPr>
      <w:r w:rsidRPr="004410BC">
        <w:rPr>
          <w:rFonts w:cs="Arial"/>
          <w:szCs w:val="28"/>
        </w:rPr>
        <w:t xml:space="preserve">The selection process for the studies is presented in the PRISMA 2020 flow diagram in Figure </w:t>
      </w:r>
      <w:r w:rsidR="00C74D71" w:rsidRPr="004410BC">
        <w:rPr>
          <w:rFonts w:cs="Arial"/>
          <w:szCs w:val="28"/>
        </w:rPr>
        <w:t>2</w:t>
      </w:r>
      <w:r w:rsidRPr="004410BC">
        <w:rPr>
          <w:rFonts w:cs="Arial"/>
          <w:szCs w:val="28"/>
        </w:rPr>
        <w:t xml:space="preserve"> (Page et al., 2021). A total of 61 records were found by database searches, with 10 records being found from extra sources, for a total of 71 records. Duplicate studies were eliminated, and 47 studies remained for screening. In full-text assessment, 22 papers </w:t>
      </w:r>
      <w:r w:rsidR="005B31F8" w:rsidRPr="004410BC">
        <w:rPr>
          <w:rFonts w:cs="Arial"/>
          <w:szCs w:val="28"/>
        </w:rPr>
        <w:t>we</w:t>
      </w:r>
      <w:r w:rsidRPr="004410BC">
        <w:rPr>
          <w:rFonts w:cs="Arial"/>
          <w:szCs w:val="28"/>
        </w:rPr>
        <w:t xml:space="preserve">re excluded from the analysis because they did not include primary research, resulting in 25 papers being included. Another 11 studies </w:t>
      </w:r>
      <w:r w:rsidR="009C5CF6" w:rsidRPr="004410BC">
        <w:rPr>
          <w:rFonts w:cs="Arial"/>
          <w:szCs w:val="28"/>
        </w:rPr>
        <w:t>we</w:t>
      </w:r>
      <w:r w:rsidRPr="004410BC">
        <w:rPr>
          <w:rFonts w:cs="Arial"/>
          <w:szCs w:val="28"/>
        </w:rPr>
        <w:t xml:space="preserve">re not included due to study populations not meeting inclusion criteria. Thus, 14 studies </w:t>
      </w:r>
      <w:r w:rsidR="00B81419" w:rsidRPr="004410BC">
        <w:rPr>
          <w:rFonts w:cs="Arial"/>
          <w:szCs w:val="28"/>
        </w:rPr>
        <w:t>we</w:t>
      </w:r>
      <w:r w:rsidRPr="004410BC">
        <w:rPr>
          <w:rFonts w:cs="Arial"/>
          <w:szCs w:val="28"/>
        </w:rPr>
        <w:t xml:space="preserve">re selected for the systematic review. </w:t>
      </w:r>
    </w:p>
    <w:p w14:paraId="5D772CFD" w14:textId="77777777" w:rsidR="00F94E9A" w:rsidRPr="004410BC" w:rsidRDefault="00F94E9A" w:rsidP="00236C76">
      <w:pPr>
        <w:jc w:val="left"/>
        <w:rPr>
          <w:rFonts w:cs="Arial"/>
          <w:b/>
          <w:bCs/>
        </w:rPr>
      </w:pPr>
      <w:r w:rsidRPr="004410BC">
        <w:rPr>
          <w:rFonts w:cs="Arial"/>
          <w:b/>
          <w:bCs/>
        </w:rPr>
        <w:br w:type="page"/>
      </w:r>
    </w:p>
    <w:p w14:paraId="5F4B1EB8" w14:textId="111B401C" w:rsidR="00870848" w:rsidRPr="004410BC" w:rsidRDefault="00870848" w:rsidP="00236C76">
      <w:pPr>
        <w:rPr>
          <w:rFonts w:cs="Arial"/>
          <w:b/>
          <w:bCs/>
        </w:rPr>
      </w:pPr>
      <w:r w:rsidRPr="004410BC">
        <w:rPr>
          <w:rFonts w:cs="Arial"/>
          <w:b/>
          <w:bCs/>
        </w:rPr>
        <w:t>PRISMA diagram</w:t>
      </w:r>
    </w:p>
    <w:p w14:paraId="5FE6505C" w14:textId="1731C549" w:rsidR="00870848" w:rsidRPr="004410BC" w:rsidRDefault="00070639" w:rsidP="00236C76">
      <w:pPr>
        <w:rPr>
          <w:rFonts w:eastAsia="Calibri" w:cs="Arial"/>
          <w:b/>
          <w:bCs/>
          <w:sz w:val="28"/>
          <w:szCs w:val="28"/>
        </w:rPr>
      </w:pPr>
      <w:r w:rsidRPr="004410BC">
        <w:rPr>
          <w:rFonts w:eastAsia="Calibri" w:cs="Arial"/>
          <w:b/>
          <w:bCs/>
          <w:noProof/>
          <w:sz w:val="28"/>
          <w:szCs w:val="28"/>
        </w:rPr>
        <mc:AlternateContent>
          <mc:Choice Requires="wps">
            <w:drawing>
              <wp:anchor distT="0" distB="0" distL="114300" distR="114300" simplePos="0" relativeHeight="251668480" behindDoc="0" locked="0" layoutInCell="1" allowOverlap="1" wp14:anchorId="1E16F184" wp14:editId="034FD904">
                <wp:simplePos x="0" y="0"/>
                <wp:positionH relativeFrom="column">
                  <wp:posOffset>1121134</wp:posOffset>
                </wp:positionH>
                <wp:positionV relativeFrom="paragraph">
                  <wp:posOffset>64879</wp:posOffset>
                </wp:positionV>
                <wp:extent cx="1841500" cy="930303"/>
                <wp:effectExtent l="0" t="0" r="25400" b="22225"/>
                <wp:wrapNone/>
                <wp:docPr id="935505939" name="Rectangle 108"/>
                <wp:cNvGraphicFramePr/>
                <a:graphic xmlns:a="http://schemas.openxmlformats.org/drawingml/2006/main">
                  <a:graphicData uri="http://schemas.microsoft.com/office/word/2010/wordprocessingShape">
                    <wps:wsp>
                      <wps:cNvSpPr/>
                      <wps:spPr>
                        <a:xfrm>
                          <a:off x="0" y="0"/>
                          <a:ext cx="1841500" cy="930303"/>
                        </a:xfrm>
                        <a:prstGeom prst="rect">
                          <a:avLst/>
                        </a:prstGeom>
                        <a:solidFill>
                          <a:srgbClr val="4472C4"/>
                        </a:solidFill>
                        <a:ln w="12700" cap="flat" cmpd="sng" algn="ctr">
                          <a:solidFill>
                            <a:srgbClr val="4472C4">
                              <a:shade val="15000"/>
                            </a:srgbClr>
                          </a:solidFill>
                          <a:prstDash val="solid"/>
                          <a:miter lim="800000"/>
                        </a:ln>
                        <a:effectLst/>
                      </wps:spPr>
                      <wps:txbx>
                        <w:txbxContent>
                          <w:p w14:paraId="783577AE" w14:textId="77777777" w:rsidR="00870848" w:rsidRDefault="00870848" w:rsidP="00870848">
                            <w:pPr>
                              <w:jc w:val="center"/>
                            </w:pPr>
                            <w:r>
                              <w:t>Sources identified in databases</w:t>
                            </w:r>
                          </w:p>
                          <w:p w14:paraId="363D57A1" w14:textId="77777777" w:rsidR="00870848" w:rsidRDefault="00870848" w:rsidP="00870848">
                            <w:pPr>
                              <w:jc w:val="center"/>
                            </w:pPr>
                            <w:r>
                              <w:t>(n=61)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1E16F184" id="Rectangle 108" o:spid="_x0000_s1026" style="position:absolute;left:0;text-align:left;margin-left:88.3pt;margin-top:5.1pt;width:145pt;height:73.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" fillcolor="#4472c4" strokecolor="#172c51" strokeweight="1pt">
                <v:textbox>
                  <w:txbxContent>
                    <w:p w14:paraId="783577AE" w14:textId="77777777" w:rsidR="00870848" w:rsidRDefault="00870848" w:rsidP="00870848">
                      <w:pPr>
                        <w:jc w:val="center"/>
                      </w:pPr>
                      <w:r>
                        <w:t>Sources identified in databases</w:t>
                      </w:r>
                    </w:p>
                    <w:p w14:paraId="363D57A1" w14:textId="77777777" w:rsidR="00870848" w:rsidRDefault="00870848" w:rsidP="00870848">
                      <w:pPr>
                        <w:jc w:val="center"/>
                      </w:pPr>
                      <w:r>
                        <w:t>(n=61)</w:t>
                      </w:r>
                    </w:p>
                  </w:txbxContent>
                </v:textbox>
              </v:rect>
            </w:pict>
          </mc:Fallback>
        </mc:AlternateContent>
      </w:r>
      <w:r w:rsidR="00870848" w:rsidRPr="004410BC">
        <w:rPr>
          <w:rFonts w:eastAsia="Calibri" w:cs="Arial"/>
          <w:b/>
          <w:bCs/>
          <w:noProof/>
          <w:sz w:val="28"/>
          <w:szCs w:val="28"/>
        </w:rPr>
        <mc:AlternateContent>
          <mc:Choice Requires="wps">
            <w:drawing>
              <wp:anchor distT="0" distB="0" distL="114300" distR="114300" simplePos="0" relativeHeight="251669504" behindDoc="0" locked="0" layoutInCell="1" allowOverlap="1" wp14:anchorId="59266467" wp14:editId="42206C95">
                <wp:simplePos x="0" y="0"/>
                <wp:positionH relativeFrom="column">
                  <wp:posOffset>3168650</wp:posOffset>
                </wp:positionH>
                <wp:positionV relativeFrom="paragraph">
                  <wp:posOffset>60325</wp:posOffset>
                </wp:positionV>
                <wp:extent cx="1479550" cy="819150"/>
                <wp:effectExtent l="0" t="0" r="25400" b="19050"/>
                <wp:wrapNone/>
                <wp:docPr id="346180690" name="Rectangle 108"/>
                <wp:cNvGraphicFramePr/>
                <a:graphic xmlns:a="http://schemas.openxmlformats.org/drawingml/2006/main">
                  <a:graphicData uri="http://schemas.microsoft.com/office/word/2010/wordprocessingShape">
                    <wps:wsp>
                      <wps:cNvSpPr/>
                      <wps:spPr>
                        <a:xfrm>
                          <a:off x="0" y="0"/>
                          <a:ext cx="1479550" cy="819150"/>
                        </a:xfrm>
                        <a:prstGeom prst="rect">
                          <a:avLst/>
                        </a:prstGeom>
                        <a:solidFill>
                          <a:srgbClr val="4472C4"/>
                        </a:solidFill>
                        <a:ln w="12700" cap="flat" cmpd="sng" algn="ctr">
                          <a:solidFill>
                            <a:srgbClr val="4472C4">
                              <a:shade val="15000"/>
                            </a:srgbClr>
                          </a:solidFill>
                          <a:prstDash val="solid"/>
                          <a:miter lim="800000"/>
                        </a:ln>
                        <a:effectLst/>
                      </wps:spPr>
                      <wps:txbx>
                        <w:txbxContent>
                          <w:p w14:paraId="583723DB" w14:textId="77777777" w:rsidR="00870848" w:rsidRDefault="00870848" w:rsidP="00870848">
                            <w:pPr>
                              <w:jc w:val="center"/>
                            </w:pPr>
                            <w:r>
                              <w:t xml:space="preserve">Other Sources </w:t>
                            </w:r>
                          </w:p>
                          <w:p w14:paraId="56676E3C" w14:textId="77777777" w:rsidR="00870848" w:rsidRDefault="00870848" w:rsidP="00870848">
                            <w:pPr>
                              <w:jc w:val="center"/>
                            </w:pPr>
                            <w:r>
                              <w:t>(n=10)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59266467" id="_x0000_s1027" style="position:absolute;left:0;text-align:left;margin-left:249.5pt;margin-top:4.75pt;width:116.5pt;height:6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" fillcolor="#4472c4" strokecolor="#172c51" strokeweight="1pt">
                <v:textbox>
                  <w:txbxContent>
                    <w:p w14:paraId="583723DB" w14:textId="77777777" w:rsidR="00870848" w:rsidRDefault="00870848" w:rsidP="00870848">
                      <w:pPr>
                        <w:jc w:val="center"/>
                      </w:pPr>
                      <w:r>
                        <w:t xml:space="preserve">Other Sources </w:t>
                      </w:r>
                    </w:p>
                    <w:p w14:paraId="56676E3C" w14:textId="77777777" w:rsidR="00870848" w:rsidRDefault="00870848" w:rsidP="00870848">
                      <w:pPr>
                        <w:jc w:val="center"/>
                      </w:pPr>
                      <w:r>
                        <w:t>(n=10)</w:t>
                      </w:r>
                    </w:p>
                  </w:txbxContent>
                </v:textbox>
              </v:rect>
            </w:pict>
          </mc:Fallback>
        </mc:AlternateContent>
      </w:r>
      <w:r w:rsidR="00870848" w:rsidRPr="004410BC">
        <w:rPr>
          <w:rFonts w:eastAsia="Calibri" w:cs="Arial"/>
          <w:b/>
          <w:bCs/>
          <w:noProof/>
          <w:sz w:val="28"/>
          <w:szCs w:val="28"/>
        </w:rPr>
        <mc:AlternateContent>
          <mc:Choice Requires="wps">
            <w:drawing>
              <wp:anchor distT="0" distB="0" distL="114300" distR="114300" simplePos="0" relativeHeight="251664384" behindDoc="0" locked="0" layoutInCell="1" allowOverlap="1" wp14:anchorId="29F934A8" wp14:editId="5865DB6F">
                <wp:simplePos x="0" y="0"/>
                <wp:positionH relativeFrom="column">
                  <wp:posOffset>-19050</wp:posOffset>
                </wp:positionH>
                <wp:positionV relativeFrom="paragraph">
                  <wp:posOffset>32385</wp:posOffset>
                </wp:positionV>
                <wp:extent cx="425450" cy="1257300"/>
                <wp:effectExtent l="0" t="0" r="12700" b="19050"/>
                <wp:wrapNone/>
                <wp:docPr id="1219672988" name="Rectangle 105"/>
                <wp:cNvGraphicFramePr/>
                <a:graphic xmlns:a="http://schemas.openxmlformats.org/drawingml/2006/main">
                  <a:graphicData uri="http://schemas.microsoft.com/office/word/2010/wordprocessingShape">
                    <wps:wsp>
                      <wps:cNvSpPr/>
                      <wps:spPr>
                        <a:xfrm>
                          <a:off x="0" y="0"/>
                          <a:ext cx="425450" cy="1257300"/>
                        </a:xfrm>
                        <a:prstGeom prst="rect">
                          <a:avLst/>
                        </a:prstGeom>
                        <a:solidFill>
                          <a:srgbClr val="4472C4"/>
                        </a:solidFill>
                        <a:ln w="12700" cap="flat" cmpd="sng" algn="ctr">
                          <a:solidFill>
                            <a:srgbClr val="4472C4">
                              <a:shade val="15000"/>
                            </a:srgbClr>
                          </a:solidFill>
                          <a:prstDash val="solid"/>
                          <a:miter lim="800000"/>
                        </a:ln>
                        <a:effectLst/>
                      </wps:spPr>
                      <wps:txbx>
                        <w:txbxContent>
                          <w:p w14:paraId="3DCC0065" w14:textId="77777777" w:rsidR="00870848" w:rsidRDefault="00870848" w:rsidP="00870848">
                            <w:pPr>
                              <w:jc w:val="center"/>
                            </w:pPr>
                            <w:r>
                              <w:t>Identification</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29F934A8" id="Rectangle 105" o:spid="_x0000_s1028" style="position:absolute;left:0;text-align:left;margin-left:-1.5pt;margin-top:2.55pt;width:33.5pt;height:99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" fillcolor="#4472c4" strokecolor="#172c51" strokeweight="1pt">
                <v:textbox style="layout-flow:vertical;mso-layout-flow-alt:bottom-to-top">
                  <w:txbxContent>
                    <w:p w14:paraId="3DCC0065" w14:textId="77777777" w:rsidR="00870848" w:rsidRDefault="00870848" w:rsidP="00870848">
                      <w:pPr>
                        <w:jc w:val="center"/>
                      </w:pPr>
                      <w:r>
                        <w:t>Identification</w:t>
                      </w:r>
                    </w:p>
                  </w:txbxContent>
                </v:textbox>
              </v:rect>
            </w:pict>
          </mc:Fallback>
        </mc:AlternateContent>
      </w:r>
    </w:p>
    <w:p w14:paraId="21A5B942" w14:textId="77777777" w:rsidR="00870848" w:rsidRPr="004410BC" w:rsidRDefault="00870848" w:rsidP="00236C76">
      <w:pPr>
        <w:rPr>
          <w:rFonts w:eastAsia="Calibri" w:cs="Arial"/>
          <w:b/>
          <w:bCs/>
          <w:sz w:val="28"/>
          <w:szCs w:val="28"/>
        </w:rPr>
      </w:pPr>
    </w:p>
    <w:p w14:paraId="6DC0D8AA" w14:textId="77777777" w:rsidR="00870848" w:rsidRPr="004410BC" w:rsidRDefault="00870848" w:rsidP="00236C76">
      <w:pPr>
        <w:rPr>
          <w:rFonts w:eastAsia="Calibri" w:cs="Arial"/>
          <w:b/>
          <w:bCs/>
          <w:sz w:val="28"/>
          <w:szCs w:val="28"/>
        </w:rPr>
      </w:pPr>
      <w:r w:rsidRPr="004410BC">
        <w:rPr>
          <w:rFonts w:eastAsia="Calibri" w:cs="Arial"/>
          <w:b/>
          <w:bCs/>
          <w:noProof/>
          <w:sz w:val="28"/>
          <w:szCs w:val="28"/>
        </w:rPr>
        <mc:AlternateContent>
          <mc:Choice Requires="wps">
            <w:drawing>
              <wp:anchor distT="0" distB="0" distL="114300" distR="114300" simplePos="0" relativeHeight="251677696" behindDoc="0" locked="0" layoutInCell="1" allowOverlap="1" wp14:anchorId="56A01953" wp14:editId="56F8637C">
                <wp:simplePos x="0" y="0"/>
                <wp:positionH relativeFrom="column">
                  <wp:posOffset>3848100</wp:posOffset>
                </wp:positionH>
                <wp:positionV relativeFrom="paragraph">
                  <wp:posOffset>295275</wp:posOffset>
                </wp:positionV>
                <wp:extent cx="6350" cy="412750"/>
                <wp:effectExtent l="76200" t="0" r="69850" b="63500"/>
                <wp:wrapNone/>
                <wp:docPr id="2124494483" name="Straight Arrow Connector 112"/>
                <wp:cNvGraphicFramePr/>
                <a:graphic xmlns:a="http://schemas.openxmlformats.org/drawingml/2006/main">
                  <a:graphicData uri="http://schemas.microsoft.com/office/word/2010/wordprocessingShape">
                    <wps:wsp>
                      <wps:cNvCnPr/>
                      <wps:spPr>
                        <a:xfrm>
                          <a:off x="0" y="0"/>
                          <a:ext cx="6350" cy="4127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w16cei="http://schemas.microsoft.com/office/word/2026/wordml/cei" xmlns:w16sdtfl="http://schemas.microsoft.com/office/word/2024/wordml/sdtformatlock" xmlns:w16du="http://schemas.microsoft.com/office/word/2023/wordml/word16du" xmlns:oel="http://schemas.microsoft.com/office/2019/extlst">
            <w:pict>
              <v:shapetype w14:anchorId="713513D1" id="_x0000_t32" coordsize="21600,21600" o:spt="32" o:oned="t" path="m,l21600,21600e" filled="f">
                <v:path arrowok="t" fillok="f" o:connecttype="none"/>
                <o:lock v:ext="edit" shapetype="t"/>
              </v:shapetype>
              <v:shape id="Straight Arrow Connector 112" o:spid="_x0000_s1026" type="#_x0000_t32" style="position:absolute;margin-left:303pt;margin-top:23.25pt;width:.5pt;height:32.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" strokecolor="#4472c4" strokeweight=".5pt">
                <v:stroke endarrow="block" joinstyle="miter"/>
              </v:shape>
            </w:pict>
          </mc:Fallback>
        </mc:AlternateContent>
      </w:r>
      <w:r w:rsidRPr="004410BC">
        <w:rPr>
          <w:rFonts w:eastAsia="Calibri" w:cs="Arial"/>
          <w:b/>
          <w:bCs/>
          <w:noProof/>
          <w:sz w:val="28"/>
          <w:szCs w:val="28"/>
        </w:rPr>
        <mc:AlternateContent>
          <mc:Choice Requires="wps">
            <w:drawing>
              <wp:anchor distT="0" distB="0" distL="114300" distR="114300" simplePos="0" relativeHeight="251676672" behindDoc="0" locked="0" layoutInCell="1" allowOverlap="1" wp14:anchorId="120D8030" wp14:editId="2AFB79BF">
                <wp:simplePos x="0" y="0"/>
                <wp:positionH relativeFrom="column">
                  <wp:posOffset>1974850</wp:posOffset>
                </wp:positionH>
                <wp:positionV relativeFrom="paragraph">
                  <wp:posOffset>257175</wp:posOffset>
                </wp:positionV>
                <wp:extent cx="19050" cy="469900"/>
                <wp:effectExtent l="57150" t="0" r="57150" b="63500"/>
                <wp:wrapNone/>
                <wp:docPr id="1784427806" name="Straight Arrow Connector 111"/>
                <wp:cNvGraphicFramePr/>
                <a:graphic xmlns:a="http://schemas.openxmlformats.org/drawingml/2006/main">
                  <a:graphicData uri="http://schemas.microsoft.com/office/word/2010/wordprocessingShape">
                    <wps:wsp>
                      <wps:cNvCnPr/>
                      <wps:spPr>
                        <a:xfrm>
                          <a:off x="0" y="0"/>
                          <a:ext cx="19050" cy="4699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w16cei="http://schemas.microsoft.com/office/word/2026/wordml/cei" xmlns:w16sdtfl="http://schemas.microsoft.com/office/word/2024/wordml/sdtformatlock" xmlns:w16du="http://schemas.microsoft.com/office/word/2023/wordml/word16du" xmlns:oel="http://schemas.microsoft.com/office/2019/extlst">
            <w:pict>
              <v:shape w14:anchorId="484F1B33" id="Straight Arrow Connector 111" o:spid="_x0000_s1026" type="#_x0000_t32" style="position:absolute;margin-left:155.5pt;margin-top:20.25pt;width:1.5pt;height:37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" strokecolor="#4472c4" strokeweight=".5pt">
                <v:stroke endarrow="block" joinstyle="miter"/>
              </v:shape>
            </w:pict>
          </mc:Fallback>
        </mc:AlternateContent>
      </w:r>
    </w:p>
    <w:p w14:paraId="1A44DABC" w14:textId="77777777" w:rsidR="00870848" w:rsidRPr="004410BC" w:rsidRDefault="00870848" w:rsidP="00236C76">
      <w:pPr>
        <w:rPr>
          <w:rFonts w:eastAsia="Calibri" w:cs="Arial"/>
          <w:b/>
          <w:bCs/>
          <w:sz w:val="28"/>
          <w:szCs w:val="28"/>
        </w:rPr>
      </w:pPr>
    </w:p>
    <w:p w14:paraId="5E882434" w14:textId="77777777" w:rsidR="00870848" w:rsidRPr="004410BC" w:rsidRDefault="00870848" w:rsidP="00236C76">
      <w:pPr>
        <w:rPr>
          <w:rFonts w:eastAsia="Calibri" w:cs="Arial"/>
          <w:b/>
          <w:bCs/>
          <w:sz w:val="28"/>
          <w:szCs w:val="28"/>
        </w:rPr>
      </w:pPr>
      <w:r w:rsidRPr="004410BC">
        <w:rPr>
          <w:rFonts w:eastAsia="Calibri" w:cs="Arial"/>
          <w:b/>
          <w:bCs/>
          <w:noProof/>
          <w:sz w:val="28"/>
          <w:szCs w:val="28"/>
        </w:rPr>
        <mc:AlternateContent>
          <mc:Choice Requires="wps">
            <w:drawing>
              <wp:anchor distT="0" distB="0" distL="114300" distR="114300" simplePos="0" relativeHeight="251670528" behindDoc="0" locked="0" layoutInCell="1" allowOverlap="1" wp14:anchorId="0C7A52BB" wp14:editId="30B12E99">
                <wp:simplePos x="0" y="0"/>
                <wp:positionH relativeFrom="column">
                  <wp:posOffset>1319917</wp:posOffset>
                </wp:positionH>
                <wp:positionV relativeFrom="paragraph">
                  <wp:posOffset>6019</wp:posOffset>
                </wp:positionV>
                <wp:extent cx="3086100" cy="665369"/>
                <wp:effectExtent l="0" t="0" r="19050" b="20955"/>
                <wp:wrapNone/>
                <wp:docPr id="1031335773" name="Rectangle 110"/>
                <wp:cNvGraphicFramePr/>
                <a:graphic xmlns:a="http://schemas.openxmlformats.org/drawingml/2006/main">
                  <a:graphicData uri="http://schemas.microsoft.com/office/word/2010/wordprocessingShape">
                    <wps:wsp>
                      <wps:cNvSpPr/>
                      <wps:spPr>
                        <a:xfrm>
                          <a:off x="0" y="0"/>
                          <a:ext cx="3086100" cy="665369"/>
                        </a:xfrm>
                        <a:prstGeom prst="rect">
                          <a:avLst/>
                        </a:prstGeom>
                        <a:solidFill>
                          <a:srgbClr val="4472C4"/>
                        </a:solidFill>
                        <a:ln w="12700" cap="flat" cmpd="sng" algn="ctr">
                          <a:solidFill>
                            <a:srgbClr val="4472C4">
                              <a:shade val="15000"/>
                            </a:srgbClr>
                          </a:solidFill>
                          <a:prstDash val="solid"/>
                          <a:miter lim="800000"/>
                        </a:ln>
                        <a:effectLst/>
                      </wps:spPr>
                      <wps:txbx>
                        <w:txbxContent>
                          <w:p w14:paraId="3B0E1408" w14:textId="77777777" w:rsidR="00870848" w:rsidRDefault="00870848" w:rsidP="00870848">
                            <w:pPr>
                              <w:jc w:val="center"/>
                            </w:pPr>
                            <w:r>
                              <w:t>Total sources</w:t>
                            </w:r>
                          </w:p>
                          <w:p w14:paraId="2623395F" w14:textId="77777777" w:rsidR="00870848" w:rsidRDefault="00870848" w:rsidP="00870848">
                            <w:pPr>
                              <w:jc w:val="center"/>
                            </w:pPr>
                            <w:r>
                              <w:t>(n=71)</w:t>
                            </w:r>
                          </w:p>
                          <w:p w14:paraId="305CA969" w14:textId="77777777" w:rsidR="00870848" w:rsidRDefault="00870848" w:rsidP="008708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0C7A52BB" id="Rectangle 110" o:spid="_x0000_s1029" style="position:absolute;left:0;text-align:left;margin-left:103.95pt;margin-top:.45pt;width:243pt;height:5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" fillcolor="#4472c4" strokecolor="#172c51" strokeweight="1pt">
                <v:textbox>
                  <w:txbxContent>
                    <w:p w14:paraId="3B0E1408" w14:textId="77777777" w:rsidR="00870848" w:rsidRDefault="00870848" w:rsidP="00870848">
                      <w:pPr>
                        <w:jc w:val="center"/>
                      </w:pPr>
                      <w:r>
                        <w:t>Total sources</w:t>
                      </w:r>
                    </w:p>
                    <w:p w14:paraId="2623395F" w14:textId="77777777" w:rsidR="00870848" w:rsidRDefault="00870848" w:rsidP="00870848">
                      <w:pPr>
                        <w:jc w:val="center"/>
                      </w:pPr>
                      <w:r>
                        <w:t>(n=71)</w:t>
                      </w:r>
                    </w:p>
                    <w:p w14:paraId="305CA969" w14:textId="77777777" w:rsidR="00870848" w:rsidRDefault="00870848" w:rsidP="00870848">
                      <w:pPr>
                        <w:jc w:val="center"/>
                      </w:pPr>
                    </w:p>
                  </w:txbxContent>
                </v:textbox>
              </v:rect>
            </w:pict>
          </mc:Fallback>
        </mc:AlternateContent>
      </w:r>
      <w:r w:rsidRPr="004410BC">
        <w:rPr>
          <w:rFonts w:eastAsia="Calibri" w:cs="Arial"/>
          <w:b/>
          <w:bCs/>
          <w:noProof/>
          <w:sz w:val="28"/>
          <w:szCs w:val="28"/>
        </w:rPr>
        <mc:AlternateContent>
          <mc:Choice Requires="wps">
            <w:drawing>
              <wp:anchor distT="0" distB="0" distL="114300" distR="114300" simplePos="0" relativeHeight="251665408" behindDoc="0" locked="0" layoutInCell="1" allowOverlap="1" wp14:anchorId="4DAA1C8A" wp14:editId="1215B852">
                <wp:simplePos x="0" y="0"/>
                <wp:positionH relativeFrom="column">
                  <wp:posOffset>-31750</wp:posOffset>
                </wp:positionH>
                <wp:positionV relativeFrom="paragraph">
                  <wp:posOffset>310515</wp:posOffset>
                </wp:positionV>
                <wp:extent cx="425450" cy="1212850"/>
                <wp:effectExtent l="0" t="0" r="12700" b="25400"/>
                <wp:wrapNone/>
                <wp:docPr id="522919226" name="Rectangle 105"/>
                <wp:cNvGraphicFramePr/>
                <a:graphic xmlns:a="http://schemas.openxmlformats.org/drawingml/2006/main">
                  <a:graphicData uri="http://schemas.microsoft.com/office/word/2010/wordprocessingShape">
                    <wps:wsp>
                      <wps:cNvSpPr/>
                      <wps:spPr>
                        <a:xfrm>
                          <a:off x="0" y="0"/>
                          <a:ext cx="425450" cy="1212850"/>
                        </a:xfrm>
                        <a:prstGeom prst="rect">
                          <a:avLst/>
                        </a:prstGeom>
                        <a:solidFill>
                          <a:srgbClr val="4472C4"/>
                        </a:solidFill>
                        <a:ln w="12700" cap="flat" cmpd="sng" algn="ctr">
                          <a:solidFill>
                            <a:srgbClr val="4472C4">
                              <a:shade val="15000"/>
                            </a:srgbClr>
                          </a:solidFill>
                          <a:prstDash val="solid"/>
                          <a:miter lim="800000"/>
                        </a:ln>
                        <a:effectLst/>
                      </wps:spPr>
                      <wps:txbx>
                        <w:txbxContent>
                          <w:p w14:paraId="285E4812" w14:textId="77777777" w:rsidR="00870848" w:rsidRDefault="00870848" w:rsidP="00870848">
                            <w:pPr>
                              <w:jc w:val="center"/>
                            </w:pPr>
                            <w:r>
                              <w:t>Screening</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4DAA1C8A" id="_x0000_s1030" style="position:absolute;left:0;text-align:left;margin-left:-2.5pt;margin-top:24.45pt;width:33.5pt;height:95.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" fillcolor="#4472c4" strokecolor="#172c51" strokeweight="1pt">
                <v:textbox style="layout-flow:vertical;mso-layout-flow-alt:bottom-to-top">
                  <w:txbxContent>
                    <w:p w14:paraId="285E4812" w14:textId="77777777" w:rsidR="00870848" w:rsidRDefault="00870848" w:rsidP="00870848">
                      <w:pPr>
                        <w:jc w:val="center"/>
                      </w:pPr>
                      <w:r>
                        <w:t>Screening</w:t>
                      </w:r>
                    </w:p>
                  </w:txbxContent>
                </v:textbox>
              </v:rect>
            </w:pict>
          </mc:Fallback>
        </mc:AlternateContent>
      </w:r>
    </w:p>
    <w:p w14:paraId="27E1CACA" w14:textId="77777777" w:rsidR="00870848" w:rsidRPr="004410BC" w:rsidRDefault="00870848" w:rsidP="00236C76">
      <w:pPr>
        <w:rPr>
          <w:rFonts w:eastAsia="Calibri" w:cs="Arial"/>
          <w:b/>
          <w:bCs/>
          <w:sz w:val="28"/>
          <w:szCs w:val="28"/>
        </w:rPr>
      </w:pPr>
      <w:r w:rsidRPr="004410BC">
        <w:rPr>
          <w:rFonts w:eastAsia="Calibri" w:cs="Arial"/>
          <w:b/>
          <w:bCs/>
          <w:noProof/>
          <w:sz w:val="28"/>
          <w:szCs w:val="28"/>
        </w:rPr>
        <mc:AlternateContent>
          <mc:Choice Requires="wps">
            <w:drawing>
              <wp:anchor distT="0" distB="0" distL="114300" distR="114300" simplePos="0" relativeHeight="251666432" behindDoc="0" locked="0" layoutInCell="1" allowOverlap="1" wp14:anchorId="664CE1A0" wp14:editId="2E78AE0A">
                <wp:simplePos x="0" y="0"/>
                <wp:positionH relativeFrom="margin">
                  <wp:posOffset>-44450</wp:posOffset>
                </wp:positionH>
                <wp:positionV relativeFrom="paragraph">
                  <wp:posOffset>1419860</wp:posOffset>
                </wp:positionV>
                <wp:extent cx="450850" cy="1143000"/>
                <wp:effectExtent l="0" t="0" r="25400" b="19050"/>
                <wp:wrapNone/>
                <wp:docPr id="1431456871" name="Rectangle 105"/>
                <wp:cNvGraphicFramePr/>
                <a:graphic xmlns:a="http://schemas.openxmlformats.org/drawingml/2006/main">
                  <a:graphicData uri="http://schemas.microsoft.com/office/word/2010/wordprocessingShape">
                    <wps:wsp>
                      <wps:cNvSpPr/>
                      <wps:spPr>
                        <a:xfrm>
                          <a:off x="0" y="0"/>
                          <a:ext cx="450850" cy="1143000"/>
                        </a:xfrm>
                        <a:prstGeom prst="rect">
                          <a:avLst/>
                        </a:prstGeom>
                        <a:solidFill>
                          <a:srgbClr val="4472C4"/>
                        </a:solidFill>
                        <a:ln w="12700" cap="flat" cmpd="sng" algn="ctr">
                          <a:solidFill>
                            <a:srgbClr val="4472C4">
                              <a:shade val="15000"/>
                            </a:srgbClr>
                          </a:solidFill>
                          <a:prstDash val="solid"/>
                          <a:miter lim="800000"/>
                        </a:ln>
                        <a:effectLst/>
                      </wps:spPr>
                      <wps:txbx>
                        <w:txbxContent>
                          <w:p w14:paraId="3F8A6F05" w14:textId="77777777" w:rsidR="00870848" w:rsidRDefault="00870848" w:rsidP="00870848">
                            <w:pPr>
                              <w:jc w:val="center"/>
                            </w:pPr>
                            <w:r>
                              <w:t>Eligibility</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664CE1A0" id="_x0000_s1031" style="position:absolute;left:0;text-align:left;margin-left:-3.5pt;margin-top:111.8pt;width:35.5pt;height:90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" fillcolor="#4472c4" strokecolor="#172c51" strokeweight="1pt">
                <v:textbox style="layout-flow:vertical;mso-layout-flow-alt:bottom-to-top">
                  <w:txbxContent>
                    <w:p w14:paraId="3F8A6F05" w14:textId="77777777" w:rsidR="00870848" w:rsidRDefault="00870848" w:rsidP="00870848">
                      <w:pPr>
                        <w:jc w:val="center"/>
                      </w:pPr>
                      <w:r>
                        <w:t>Eligibility</w:t>
                      </w:r>
                    </w:p>
                  </w:txbxContent>
                </v:textbox>
                <w10:wrap anchorx="margin"/>
              </v:rect>
            </w:pict>
          </mc:Fallback>
        </mc:AlternateContent>
      </w:r>
    </w:p>
    <w:p w14:paraId="1C2D7071" w14:textId="77777777" w:rsidR="00870848" w:rsidRPr="004410BC" w:rsidRDefault="00870848" w:rsidP="00236C76">
      <w:pPr>
        <w:rPr>
          <w:rFonts w:eastAsia="Calibri" w:cs="Arial"/>
        </w:rPr>
      </w:pPr>
      <w:r w:rsidRPr="004410BC">
        <w:rPr>
          <w:rFonts w:eastAsia="Calibri" w:cs="Arial"/>
          <w:b/>
          <w:bCs/>
          <w:noProof/>
          <w:sz w:val="28"/>
          <w:szCs w:val="28"/>
        </w:rPr>
        <mc:AlternateContent>
          <mc:Choice Requires="wps">
            <w:drawing>
              <wp:anchor distT="0" distB="0" distL="114300" distR="114300" simplePos="0" relativeHeight="251678720" behindDoc="0" locked="0" layoutInCell="1" allowOverlap="1" wp14:anchorId="66B97339" wp14:editId="73863762">
                <wp:simplePos x="0" y="0"/>
                <wp:positionH relativeFrom="column">
                  <wp:posOffset>4432300</wp:posOffset>
                </wp:positionH>
                <wp:positionV relativeFrom="paragraph">
                  <wp:posOffset>61595</wp:posOffset>
                </wp:positionV>
                <wp:extent cx="1974850" cy="812800"/>
                <wp:effectExtent l="0" t="0" r="25400" b="25400"/>
                <wp:wrapNone/>
                <wp:docPr id="1080393284" name="Rectangle 110"/>
                <wp:cNvGraphicFramePr/>
                <a:graphic xmlns:a="http://schemas.openxmlformats.org/drawingml/2006/main">
                  <a:graphicData uri="http://schemas.microsoft.com/office/word/2010/wordprocessingShape">
                    <wps:wsp>
                      <wps:cNvSpPr/>
                      <wps:spPr>
                        <a:xfrm>
                          <a:off x="0" y="0"/>
                          <a:ext cx="1974850" cy="812800"/>
                        </a:xfrm>
                        <a:prstGeom prst="rect">
                          <a:avLst/>
                        </a:prstGeom>
                        <a:solidFill>
                          <a:srgbClr val="4472C4"/>
                        </a:solidFill>
                        <a:ln w="12700" cap="flat" cmpd="sng" algn="ctr">
                          <a:solidFill>
                            <a:srgbClr val="4472C4">
                              <a:shade val="15000"/>
                            </a:srgbClr>
                          </a:solidFill>
                          <a:prstDash val="solid"/>
                          <a:miter lim="800000"/>
                        </a:ln>
                        <a:effectLst/>
                      </wps:spPr>
                      <wps:txbx>
                        <w:txbxContent>
                          <w:p w14:paraId="5C25FE10" w14:textId="77777777" w:rsidR="00870848" w:rsidRDefault="00870848" w:rsidP="00870848">
                            <w:pPr>
                              <w:jc w:val="center"/>
                            </w:pPr>
                            <w:r>
                              <w:t>Excluded Duplicates</w:t>
                            </w:r>
                          </w:p>
                          <w:p w14:paraId="3890A3A0" w14:textId="77777777" w:rsidR="00870848" w:rsidRDefault="00870848" w:rsidP="00870848">
                            <w:pPr>
                              <w:jc w:val="center"/>
                            </w:pPr>
                            <w:r>
                              <w:t>(n=24)</w:t>
                            </w:r>
                          </w:p>
                          <w:p w14:paraId="1FE1F59D" w14:textId="77777777" w:rsidR="00870848" w:rsidRDefault="00870848" w:rsidP="008708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66B97339" id="_x0000_s1032" style="position:absolute;left:0;text-align:left;margin-left:349pt;margin-top:4.85pt;width:155.5pt;height:6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" fillcolor="#4472c4" strokecolor="#172c51" strokeweight="1pt">
                <v:textbox>
                  <w:txbxContent>
                    <w:p w14:paraId="5C25FE10" w14:textId="77777777" w:rsidR="00870848" w:rsidRDefault="00870848" w:rsidP="00870848">
                      <w:pPr>
                        <w:jc w:val="center"/>
                      </w:pPr>
                      <w:r>
                        <w:t>Excluded Duplicates</w:t>
                      </w:r>
                    </w:p>
                    <w:p w14:paraId="3890A3A0" w14:textId="77777777" w:rsidR="00870848" w:rsidRDefault="00870848" w:rsidP="00870848">
                      <w:pPr>
                        <w:jc w:val="center"/>
                      </w:pPr>
                      <w:r>
                        <w:t>(n=24)</w:t>
                      </w:r>
                    </w:p>
                    <w:p w14:paraId="1FE1F59D" w14:textId="77777777" w:rsidR="00870848" w:rsidRDefault="00870848" w:rsidP="00870848">
                      <w:pPr>
                        <w:jc w:val="center"/>
                      </w:pPr>
                    </w:p>
                  </w:txbxContent>
                </v:textbox>
              </v:rect>
            </w:pict>
          </mc:Fallback>
        </mc:AlternateContent>
      </w:r>
      <w:r w:rsidRPr="004410BC">
        <w:rPr>
          <w:rFonts w:eastAsia="Calibri" w:cs="Arial"/>
          <w:b/>
          <w:bCs/>
          <w:noProof/>
          <w:sz w:val="28"/>
          <w:szCs w:val="28"/>
        </w:rPr>
        <mc:AlternateContent>
          <mc:Choice Requires="wps">
            <w:drawing>
              <wp:anchor distT="0" distB="0" distL="114300" distR="114300" simplePos="0" relativeHeight="251679744" behindDoc="0" locked="0" layoutInCell="1" allowOverlap="1" wp14:anchorId="7F079718" wp14:editId="613C7485">
                <wp:simplePos x="0" y="0"/>
                <wp:positionH relativeFrom="column">
                  <wp:posOffset>2876550</wp:posOffset>
                </wp:positionH>
                <wp:positionV relativeFrom="paragraph">
                  <wp:posOffset>67945</wp:posOffset>
                </wp:positionV>
                <wp:extent cx="6350" cy="381000"/>
                <wp:effectExtent l="38100" t="0" r="69850" b="57150"/>
                <wp:wrapNone/>
                <wp:docPr id="237915308" name="Straight Arrow Connector 2"/>
                <wp:cNvGraphicFramePr/>
                <a:graphic xmlns:a="http://schemas.openxmlformats.org/drawingml/2006/main">
                  <a:graphicData uri="http://schemas.microsoft.com/office/word/2010/wordprocessingShape">
                    <wps:wsp>
                      <wps:cNvCnPr/>
                      <wps:spPr>
                        <a:xfrm>
                          <a:off x="0" y="0"/>
                          <a:ext cx="6350" cy="3810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w16cei="http://schemas.microsoft.com/office/word/2026/wordml/cei" xmlns:w16sdtfl="http://schemas.microsoft.com/office/word/2024/wordml/sdtformatlock" xmlns:w16du="http://schemas.microsoft.com/office/word/2023/wordml/word16du" xmlns:oel="http://schemas.microsoft.com/office/2019/extlst">
            <w:pict>
              <v:shape w14:anchorId="1F450C0A" id="Straight Arrow Connector 2" o:spid="_x0000_s1026" type="#_x0000_t32" style="position:absolute;margin-left:226.5pt;margin-top:5.35pt;width:.5pt;height:30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" strokecolor="#4472c4" strokeweight=".5pt">
                <v:stroke endarrow="block" joinstyle="miter"/>
              </v:shape>
            </w:pict>
          </mc:Fallback>
        </mc:AlternateContent>
      </w:r>
    </w:p>
    <w:p w14:paraId="163F565A" w14:textId="3D0B71A9" w:rsidR="00870848" w:rsidRPr="004410BC" w:rsidRDefault="00070639" w:rsidP="00236C76">
      <w:pPr>
        <w:rPr>
          <w:rFonts w:cs="Arial"/>
        </w:rPr>
      </w:pPr>
      <w:r w:rsidRPr="004410BC">
        <w:rPr>
          <w:rFonts w:eastAsia="Calibri" w:cs="Arial"/>
          <w:b/>
          <w:bCs/>
          <w:noProof/>
          <w:sz w:val="28"/>
          <w:szCs w:val="28"/>
        </w:rPr>
        <mc:AlternateContent>
          <mc:Choice Requires="wps">
            <w:drawing>
              <wp:anchor distT="0" distB="0" distL="114300" distR="114300" simplePos="0" relativeHeight="251671552" behindDoc="0" locked="0" layoutInCell="1" allowOverlap="1" wp14:anchorId="1B18CABA" wp14:editId="71C779B4">
                <wp:simplePos x="0" y="0"/>
                <wp:positionH relativeFrom="column">
                  <wp:posOffset>1447137</wp:posOffset>
                </wp:positionH>
                <wp:positionV relativeFrom="paragraph">
                  <wp:posOffset>81225</wp:posOffset>
                </wp:positionV>
                <wp:extent cx="2749550" cy="636104"/>
                <wp:effectExtent l="0" t="0" r="12700" b="12065"/>
                <wp:wrapNone/>
                <wp:docPr id="1216087197" name="Rectangle 110"/>
                <wp:cNvGraphicFramePr/>
                <a:graphic xmlns:a="http://schemas.openxmlformats.org/drawingml/2006/main">
                  <a:graphicData uri="http://schemas.microsoft.com/office/word/2010/wordprocessingShape">
                    <wps:wsp>
                      <wps:cNvSpPr/>
                      <wps:spPr>
                        <a:xfrm>
                          <a:off x="0" y="0"/>
                          <a:ext cx="2749550" cy="636104"/>
                        </a:xfrm>
                        <a:prstGeom prst="rect">
                          <a:avLst/>
                        </a:prstGeom>
                        <a:solidFill>
                          <a:srgbClr val="4472C4"/>
                        </a:solidFill>
                        <a:ln w="12700" cap="flat" cmpd="sng" algn="ctr">
                          <a:solidFill>
                            <a:srgbClr val="4472C4">
                              <a:shade val="15000"/>
                            </a:srgbClr>
                          </a:solidFill>
                          <a:prstDash val="solid"/>
                          <a:miter lim="800000"/>
                        </a:ln>
                        <a:effectLst/>
                      </wps:spPr>
                      <wps:txbx>
                        <w:txbxContent>
                          <w:p w14:paraId="7D4CA0F7" w14:textId="77777777" w:rsidR="00870848" w:rsidRDefault="00870848" w:rsidP="00870848">
                            <w:pPr>
                              <w:jc w:val="center"/>
                            </w:pPr>
                            <w:r>
                              <w:t>Full text screened</w:t>
                            </w:r>
                          </w:p>
                          <w:p w14:paraId="7FC820A2" w14:textId="77777777" w:rsidR="00870848" w:rsidRDefault="00870848" w:rsidP="00870848">
                            <w:pPr>
                              <w:jc w:val="center"/>
                            </w:pPr>
                            <w:r>
                              <w:t>(n=47)</w:t>
                            </w:r>
                          </w:p>
                          <w:p w14:paraId="3B98DF43" w14:textId="77777777" w:rsidR="00870848" w:rsidRDefault="00870848" w:rsidP="008708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1B18CABA" id="_x0000_s1033" style="position:absolute;left:0;text-align:left;margin-left:113.95pt;margin-top:6.4pt;width:216.5pt;height:50.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" fillcolor="#4472c4" strokecolor="#172c51" strokeweight="1pt">
                <v:textbox>
                  <w:txbxContent>
                    <w:p w14:paraId="7D4CA0F7" w14:textId="77777777" w:rsidR="00870848" w:rsidRDefault="00870848" w:rsidP="00870848">
                      <w:pPr>
                        <w:jc w:val="center"/>
                      </w:pPr>
                      <w:r>
                        <w:t>Full text screened</w:t>
                      </w:r>
                    </w:p>
                    <w:p w14:paraId="7FC820A2" w14:textId="77777777" w:rsidR="00870848" w:rsidRDefault="00870848" w:rsidP="00870848">
                      <w:pPr>
                        <w:jc w:val="center"/>
                      </w:pPr>
                      <w:r>
                        <w:t>(n=47)</w:t>
                      </w:r>
                    </w:p>
                    <w:p w14:paraId="3B98DF43" w14:textId="77777777" w:rsidR="00870848" w:rsidRDefault="00870848" w:rsidP="00870848">
                      <w:pPr>
                        <w:jc w:val="center"/>
                      </w:pPr>
                    </w:p>
                  </w:txbxContent>
                </v:textbox>
              </v:rect>
            </w:pict>
          </mc:Fallback>
        </mc:AlternateContent>
      </w:r>
      <w:r w:rsidR="00870848" w:rsidRPr="004410BC">
        <w:rPr>
          <w:rFonts w:eastAsia="Calibri" w:cs="Arial"/>
          <w:b/>
          <w:bCs/>
          <w:noProof/>
          <w:sz w:val="28"/>
          <w:szCs w:val="28"/>
        </w:rPr>
        <mc:AlternateContent>
          <mc:Choice Requires="wps">
            <w:drawing>
              <wp:anchor distT="0" distB="0" distL="114300" distR="114300" simplePos="0" relativeHeight="251680768" behindDoc="0" locked="0" layoutInCell="1" allowOverlap="1" wp14:anchorId="674EF572" wp14:editId="0CAB5914">
                <wp:simplePos x="0" y="0"/>
                <wp:positionH relativeFrom="column">
                  <wp:posOffset>2901950</wp:posOffset>
                </wp:positionH>
                <wp:positionV relativeFrom="paragraph">
                  <wp:posOffset>8890</wp:posOffset>
                </wp:positionV>
                <wp:extent cx="1479550" cy="25400"/>
                <wp:effectExtent l="0" t="38100" r="44450" b="88900"/>
                <wp:wrapNone/>
                <wp:docPr id="128606290" name="Straight Arrow Connector 4"/>
                <wp:cNvGraphicFramePr/>
                <a:graphic xmlns:a="http://schemas.openxmlformats.org/drawingml/2006/main">
                  <a:graphicData uri="http://schemas.microsoft.com/office/word/2010/wordprocessingShape">
                    <wps:wsp>
                      <wps:cNvCnPr/>
                      <wps:spPr>
                        <a:xfrm>
                          <a:off x="0" y="0"/>
                          <a:ext cx="1479550" cy="254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w16sdtfl="http://schemas.microsoft.com/office/word/2024/wordml/sdtformatlock" xmlns:w16du="http://schemas.microsoft.com/office/word/2023/wordml/word16du" xmlns:oel="http://schemas.microsoft.com/office/2019/extlst">
            <w:pict>
              <v:shapetype w14:anchorId="0293EA5D" id="_x0000_t32" coordsize="21600,21600" o:spt="32" o:oned="t" path="m,l21600,21600e" filled="f">
                <v:path arrowok="t" fillok="f" o:connecttype="none"/>
                <o:lock v:ext="edit" shapetype="t"/>
              </v:shapetype>
              <v:shape id="Straight Arrow Connector 4" o:spid="_x0000_s1026" type="#_x0000_t32" style="position:absolute;margin-left:228.5pt;margin-top:.7pt;width:116.5pt;height:2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" strokecolor="#4472c4" strokeweight=".5pt">
                <v:stroke endarrow="block" joinstyle="miter"/>
              </v:shape>
            </w:pict>
          </mc:Fallback>
        </mc:AlternateContent>
      </w:r>
    </w:p>
    <w:p w14:paraId="16E0701F" w14:textId="77777777" w:rsidR="00870848" w:rsidRPr="004410BC" w:rsidRDefault="00870848" w:rsidP="00236C76">
      <w:pPr>
        <w:rPr>
          <w:rFonts w:cs="Arial"/>
        </w:rPr>
      </w:pPr>
    </w:p>
    <w:p w14:paraId="3B3A1C4B" w14:textId="0F288DDB" w:rsidR="00870848" w:rsidRPr="004410BC" w:rsidRDefault="00070639" w:rsidP="00236C76">
      <w:pPr>
        <w:rPr>
          <w:rFonts w:cs="Arial"/>
        </w:rPr>
      </w:pPr>
      <w:r w:rsidRPr="004410BC">
        <w:rPr>
          <w:rFonts w:eastAsia="Calibri" w:cs="Arial"/>
          <w:b/>
          <w:bCs/>
          <w:noProof/>
          <w:sz w:val="28"/>
          <w:szCs w:val="28"/>
        </w:rPr>
        <mc:AlternateContent>
          <mc:Choice Requires="wps">
            <w:drawing>
              <wp:anchor distT="0" distB="0" distL="114300" distR="114300" simplePos="0" relativeHeight="251681792" behindDoc="0" locked="0" layoutInCell="1" allowOverlap="1" wp14:anchorId="3CD65883" wp14:editId="7B3E0A4D">
                <wp:simplePos x="0" y="0"/>
                <wp:positionH relativeFrom="column">
                  <wp:posOffset>2788038</wp:posOffset>
                </wp:positionH>
                <wp:positionV relativeFrom="paragraph">
                  <wp:posOffset>99667</wp:posOffset>
                </wp:positionV>
                <wp:extent cx="45719" cy="654547"/>
                <wp:effectExtent l="38100" t="0" r="69215" b="50800"/>
                <wp:wrapNone/>
                <wp:docPr id="1730290672" name="Straight Arrow Connector 5"/>
                <wp:cNvGraphicFramePr/>
                <a:graphic xmlns:a="http://schemas.openxmlformats.org/drawingml/2006/main">
                  <a:graphicData uri="http://schemas.microsoft.com/office/word/2010/wordprocessingShape">
                    <wps:wsp>
                      <wps:cNvCnPr/>
                      <wps:spPr>
                        <a:xfrm>
                          <a:off x="0" y="0"/>
                          <a:ext cx="45719" cy="654547"/>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shape w14:anchorId="422019A8" id="Straight Arrow Connector 5" o:spid="_x0000_s1026" type="#_x0000_t32" style="position:absolute;margin-left:219.55pt;margin-top:7.85pt;width:3.6pt;height:51.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" strokecolor="#4472c4" strokeweight=".5pt">
                <v:stroke endarrow="block" joinstyle="miter"/>
              </v:shape>
            </w:pict>
          </mc:Fallback>
        </mc:AlternateContent>
      </w:r>
    </w:p>
    <w:p w14:paraId="3F5C4A94" w14:textId="151CDBCA" w:rsidR="00870848" w:rsidRPr="004410BC" w:rsidRDefault="00870848" w:rsidP="00236C76">
      <w:pPr>
        <w:rPr>
          <w:rFonts w:cs="Arial"/>
        </w:rPr>
      </w:pPr>
      <w:r w:rsidRPr="004410BC">
        <w:rPr>
          <w:rFonts w:eastAsia="Calibri" w:cs="Arial"/>
          <w:b/>
          <w:bCs/>
          <w:noProof/>
          <w:sz w:val="28"/>
          <w:szCs w:val="28"/>
        </w:rPr>
        <mc:AlternateContent>
          <mc:Choice Requires="wps">
            <w:drawing>
              <wp:anchor distT="0" distB="0" distL="114300" distR="114300" simplePos="0" relativeHeight="251673600" behindDoc="0" locked="0" layoutInCell="1" allowOverlap="1" wp14:anchorId="47AF851C" wp14:editId="0372BB23">
                <wp:simplePos x="0" y="0"/>
                <wp:positionH relativeFrom="column">
                  <wp:posOffset>4428877</wp:posOffset>
                </wp:positionH>
                <wp:positionV relativeFrom="paragraph">
                  <wp:posOffset>29376</wp:posOffset>
                </wp:positionV>
                <wp:extent cx="2000250" cy="978010"/>
                <wp:effectExtent l="0" t="0" r="19050" b="12700"/>
                <wp:wrapNone/>
                <wp:docPr id="1749948142" name="Rectangle 110"/>
                <wp:cNvGraphicFramePr/>
                <a:graphic xmlns:a="http://schemas.openxmlformats.org/drawingml/2006/main">
                  <a:graphicData uri="http://schemas.microsoft.com/office/word/2010/wordprocessingShape">
                    <wps:wsp>
                      <wps:cNvSpPr/>
                      <wps:spPr>
                        <a:xfrm>
                          <a:off x="0" y="0"/>
                          <a:ext cx="2000250" cy="978010"/>
                        </a:xfrm>
                        <a:prstGeom prst="rect">
                          <a:avLst/>
                        </a:prstGeom>
                        <a:solidFill>
                          <a:srgbClr val="4472C4"/>
                        </a:solidFill>
                        <a:ln w="12700" cap="flat" cmpd="sng" algn="ctr">
                          <a:solidFill>
                            <a:srgbClr val="4472C4">
                              <a:shade val="15000"/>
                            </a:srgbClr>
                          </a:solidFill>
                          <a:prstDash val="solid"/>
                          <a:miter lim="800000"/>
                        </a:ln>
                        <a:effectLst/>
                      </wps:spPr>
                      <wps:txbx>
                        <w:txbxContent>
                          <w:p w14:paraId="6051281B" w14:textId="77777777" w:rsidR="00870848" w:rsidRDefault="00870848" w:rsidP="00870848">
                            <w:pPr>
                              <w:jc w:val="center"/>
                            </w:pPr>
                            <w:r>
                              <w:t>Excluded as not primary study</w:t>
                            </w:r>
                          </w:p>
                          <w:p w14:paraId="247C83D4" w14:textId="77777777" w:rsidR="00870848" w:rsidRDefault="00870848" w:rsidP="00870848">
                            <w:pPr>
                              <w:jc w:val="center"/>
                            </w:pPr>
                            <w:r>
                              <w:t>(n=22)</w:t>
                            </w:r>
                          </w:p>
                          <w:p w14:paraId="57DA24B2" w14:textId="77777777" w:rsidR="00870848" w:rsidRDefault="00870848" w:rsidP="008708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47AF851C" id="_x0000_s1034" style="position:absolute;left:0;text-align:left;margin-left:348.75pt;margin-top:2.3pt;width:157.5pt;height:7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" fillcolor="#4472c4" strokecolor="#172c51" strokeweight="1pt">
                <v:textbox>
                  <w:txbxContent>
                    <w:p w14:paraId="6051281B" w14:textId="77777777" w:rsidR="00870848" w:rsidRDefault="00870848" w:rsidP="00870848">
                      <w:pPr>
                        <w:jc w:val="center"/>
                      </w:pPr>
                      <w:r>
                        <w:t>Excluded as not primary study</w:t>
                      </w:r>
                    </w:p>
                    <w:p w14:paraId="247C83D4" w14:textId="77777777" w:rsidR="00870848" w:rsidRDefault="00870848" w:rsidP="00870848">
                      <w:pPr>
                        <w:jc w:val="center"/>
                      </w:pPr>
                      <w:r>
                        <w:t>(n=22)</w:t>
                      </w:r>
                    </w:p>
                    <w:p w14:paraId="57DA24B2" w14:textId="77777777" w:rsidR="00870848" w:rsidRDefault="00870848" w:rsidP="00870848">
                      <w:pPr>
                        <w:jc w:val="center"/>
                      </w:pPr>
                    </w:p>
                  </w:txbxContent>
                </v:textbox>
              </v:rect>
            </w:pict>
          </mc:Fallback>
        </mc:AlternateContent>
      </w:r>
      <w:r w:rsidRPr="004410BC">
        <w:rPr>
          <w:rFonts w:eastAsia="Calibri" w:cs="Arial"/>
          <w:b/>
          <w:bCs/>
          <w:noProof/>
          <w:sz w:val="28"/>
          <w:szCs w:val="28"/>
        </w:rPr>
        <mc:AlternateContent>
          <mc:Choice Requires="wps">
            <w:drawing>
              <wp:anchor distT="0" distB="0" distL="114300" distR="114300" simplePos="0" relativeHeight="251682816" behindDoc="0" locked="0" layoutInCell="1" allowOverlap="1" wp14:anchorId="113DAB4F" wp14:editId="10EC9962">
                <wp:simplePos x="0" y="0"/>
                <wp:positionH relativeFrom="column">
                  <wp:posOffset>2781300</wp:posOffset>
                </wp:positionH>
                <wp:positionV relativeFrom="paragraph">
                  <wp:posOffset>198120</wp:posOffset>
                </wp:positionV>
                <wp:extent cx="1581150" cy="31750"/>
                <wp:effectExtent l="0" t="38100" r="38100" b="101600"/>
                <wp:wrapNone/>
                <wp:docPr id="777723286" name="Straight Arrow Connector 6"/>
                <wp:cNvGraphicFramePr/>
                <a:graphic xmlns:a="http://schemas.openxmlformats.org/drawingml/2006/main">
                  <a:graphicData uri="http://schemas.microsoft.com/office/word/2010/wordprocessingShape">
                    <wps:wsp>
                      <wps:cNvCnPr/>
                      <wps:spPr>
                        <a:xfrm>
                          <a:off x="0" y="0"/>
                          <a:ext cx="1581150" cy="317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B78EC31" id="Straight Arrow Connector 6" o:spid="_x0000_s1026" type="#_x0000_t32" style="position:absolute;margin-left:219pt;margin-top:15.6pt;width:124.5pt;height: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" strokecolor="#4472c4" strokeweight=".5pt">
                <v:stroke endarrow="block" joinstyle="miter"/>
              </v:shape>
            </w:pict>
          </mc:Fallback>
        </mc:AlternateContent>
      </w:r>
    </w:p>
    <w:p w14:paraId="52A5E7BB" w14:textId="77777777" w:rsidR="00870848" w:rsidRPr="004410BC" w:rsidRDefault="00870848" w:rsidP="00236C76">
      <w:pPr>
        <w:rPr>
          <w:rFonts w:cs="Arial"/>
        </w:rPr>
      </w:pPr>
      <w:r w:rsidRPr="004410BC">
        <w:rPr>
          <w:rFonts w:eastAsia="Calibri" w:cs="Arial"/>
          <w:b/>
          <w:bCs/>
          <w:noProof/>
          <w:sz w:val="28"/>
          <w:szCs w:val="28"/>
        </w:rPr>
        <mc:AlternateContent>
          <mc:Choice Requires="wps">
            <w:drawing>
              <wp:anchor distT="0" distB="0" distL="114300" distR="114300" simplePos="0" relativeHeight="251672576" behindDoc="0" locked="0" layoutInCell="1" allowOverlap="1" wp14:anchorId="72CB3C00" wp14:editId="441CB5B6">
                <wp:simplePos x="0" y="0"/>
                <wp:positionH relativeFrom="column">
                  <wp:posOffset>1375576</wp:posOffset>
                </wp:positionH>
                <wp:positionV relativeFrom="paragraph">
                  <wp:posOffset>78352</wp:posOffset>
                </wp:positionV>
                <wp:extent cx="2749550" cy="675861"/>
                <wp:effectExtent l="0" t="0" r="12700" b="10160"/>
                <wp:wrapNone/>
                <wp:docPr id="935840484" name="Rectangle 110"/>
                <wp:cNvGraphicFramePr/>
                <a:graphic xmlns:a="http://schemas.openxmlformats.org/drawingml/2006/main">
                  <a:graphicData uri="http://schemas.microsoft.com/office/word/2010/wordprocessingShape">
                    <wps:wsp>
                      <wps:cNvSpPr/>
                      <wps:spPr>
                        <a:xfrm>
                          <a:off x="0" y="0"/>
                          <a:ext cx="2749550" cy="675861"/>
                        </a:xfrm>
                        <a:prstGeom prst="rect">
                          <a:avLst/>
                        </a:prstGeom>
                        <a:solidFill>
                          <a:srgbClr val="4472C4"/>
                        </a:solidFill>
                        <a:ln w="12700" cap="flat" cmpd="sng" algn="ctr">
                          <a:solidFill>
                            <a:srgbClr val="4472C4">
                              <a:shade val="15000"/>
                            </a:srgbClr>
                          </a:solidFill>
                          <a:prstDash val="solid"/>
                          <a:miter lim="800000"/>
                        </a:ln>
                        <a:effectLst/>
                      </wps:spPr>
                      <wps:txbx>
                        <w:txbxContent>
                          <w:p w14:paraId="3A53CBDD" w14:textId="77777777" w:rsidR="00870848" w:rsidRDefault="00870848" w:rsidP="00870848">
                            <w:pPr>
                              <w:jc w:val="center"/>
                            </w:pPr>
                            <w:r>
                              <w:t>Articles with primary method</w:t>
                            </w:r>
                          </w:p>
                          <w:p w14:paraId="3BC0A272" w14:textId="77777777" w:rsidR="00870848" w:rsidRDefault="00870848" w:rsidP="00870848">
                            <w:pPr>
                              <w:jc w:val="center"/>
                            </w:pPr>
                            <w:r>
                              <w:t>(n=25)</w:t>
                            </w:r>
                          </w:p>
                          <w:p w14:paraId="6824BBFD" w14:textId="77777777" w:rsidR="00870848" w:rsidRDefault="00870848" w:rsidP="008708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72CB3C00" id="_x0000_s1035" style="position:absolute;left:0;text-align:left;margin-left:108.3pt;margin-top:6.15pt;width:216.5pt;height:53.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" fillcolor="#4472c4" strokecolor="#172c51" strokeweight="1pt">
                <v:textbox>
                  <w:txbxContent>
                    <w:p w14:paraId="3A53CBDD" w14:textId="77777777" w:rsidR="00870848" w:rsidRDefault="00870848" w:rsidP="00870848">
                      <w:pPr>
                        <w:jc w:val="center"/>
                      </w:pPr>
                      <w:r>
                        <w:t>Articles with primary method</w:t>
                      </w:r>
                    </w:p>
                    <w:p w14:paraId="3BC0A272" w14:textId="77777777" w:rsidR="00870848" w:rsidRDefault="00870848" w:rsidP="00870848">
                      <w:pPr>
                        <w:jc w:val="center"/>
                      </w:pPr>
                      <w:r>
                        <w:t>(n=25)</w:t>
                      </w:r>
                    </w:p>
                    <w:p w14:paraId="6824BBFD" w14:textId="77777777" w:rsidR="00870848" w:rsidRDefault="00870848" w:rsidP="00870848">
                      <w:pPr>
                        <w:jc w:val="center"/>
                      </w:pPr>
                    </w:p>
                  </w:txbxContent>
                </v:textbox>
              </v:rect>
            </w:pict>
          </mc:Fallback>
        </mc:AlternateContent>
      </w:r>
    </w:p>
    <w:p w14:paraId="41B7D437" w14:textId="77777777" w:rsidR="00870848" w:rsidRPr="004410BC" w:rsidRDefault="00870848" w:rsidP="00236C76">
      <w:pPr>
        <w:rPr>
          <w:rFonts w:cs="Arial"/>
        </w:rPr>
      </w:pPr>
    </w:p>
    <w:p w14:paraId="44550F4E" w14:textId="77777777" w:rsidR="00870848" w:rsidRPr="004410BC" w:rsidRDefault="00870848" w:rsidP="00236C76">
      <w:pPr>
        <w:rPr>
          <w:rFonts w:cs="Arial"/>
        </w:rPr>
      </w:pPr>
      <w:r w:rsidRPr="004410BC">
        <w:rPr>
          <w:rFonts w:cs="Arial"/>
          <w:noProof/>
        </w:rPr>
        <mc:AlternateContent>
          <mc:Choice Requires="wps">
            <w:drawing>
              <wp:anchor distT="0" distB="0" distL="114300" distR="114300" simplePos="0" relativeHeight="251683840" behindDoc="0" locked="0" layoutInCell="1" allowOverlap="1" wp14:anchorId="4E4F9131" wp14:editId="5D81D98B">
                <wp:simplePos x="0" y="0"/>
                <wp:positionH relativeFrom="column">
                  <wp:posOffset>2768600</wp:posOffset>
                </wp:positionH>
                <wp:positionV relativeFrom="paragraph">
                  <wp:posOffset>190500</wp:posOffset>
                </wp:positionV>
                <wp:extent cx="0" cy="584200"/>
                <wp:effectExtent l="76200" t="0" r="57150" b="63500"/>
                <wp:wrapNone/>
                <wp:docPr id="1710625350" name="Straight Arrow Connector 7"/>
                <wp:cNvGraphicFramePr/>
                <a:graphic xmlns:a="http://schemas.openxmlformats.org/drawingml/2006/main">
                  <a:graphicData uri="http://schemas.microsoft.com/office/word/2010/wordprocessingShape">
                    <wps:wsp>
                      <wps:cNvCnPr/>
                      <wps:spPr>
                        <a:xfrm>
                          <a:off x="0" y="0"/>
                          <a:ext cx="0" cy="5842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w16cei="http://schemas.microsoft.com/office/word/2026/wordml/cei" xmlns:w16sdtfl="http://schemas.microsoft.com/office/word/2024/wordml/sdtformatlock" xmlns:w16du="http://schemas.microsoft.com/office/word/2023/wordml/word16du" xmlns:oel="http://schemas.microsoft.com/office/2019/extlst">
            <w:pict>
              <v:shape w14:anchorId="6FE2424F" id="Straight Arrow Connector 7" o:spid="_x0000_s1026" type="#_x0000_t32" style="position:absolute;margin-left:218pt;margin-top:15pt;width:0;height:46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" strokecolor="#4472c4" strokeweight=".5pt">
                <v:stroke endarrow="block" joinstyle="miter"/>
              </v:shape>
            </w:pict>
          </mc:Fallback>
        </mc:AlternateContent>
      </w:r>
    </w:p>
    <w:p w14:paraId="0E390E90" w14:textId="0BCA6091" w:rsidR="00870848" w:rsidRPr="004410BC" w:rsidRDefault="00070639" w:rsidP="00236C76">
      <w:pPr>
        <w:rPr>
          <w:rFonts w:cs="Arial"/>
        </w:rPr>
      </w:pPr>
      <w:r w:rsidRPr="004410BC">
        <w:rPr>
          <w:rFonts w:eastAsia="Calibri" w:cs="Arial"/>
          <w:b/>
          <w:bCs/>
          <w:noProof/>
          <w:sz w:val="28"/>
          <w:szCs w:val="28"/>
        </w:rPr>
        <mc:AlternateContent>
          <mc:Choice Requires="wps">
            <w:drawing>
              <wp:anchor distT="0" distB="0" distL="114300" distR="114300" simplePos="0" relativeHeight="251675648" behindDoc="0" locked="0" layoutInCell="1" allowOverlap="1" wp14:anchorId="0A65BD46" wp14:editId="25DCF7DD">
                <wp:simplePos x="0" y="0"/>
                <wp:positionH relativeFrom="column">
                  <wp:posOffset>4436828</wp:posOffset>
                </wp:positionH>
                <wp:positionV relativeFrom="paragraph">
                  <wp:posOffset>50992</wp:posOffset>
                </wp:positionV>
                <wp:extent cx="2000250" cy="1041621"/>
                <wp:effectExtent l="0" t="0" r="19050" b="25400"/>
                <wp:wrapNone/>
                <wp:docPr id="347911829" name="Rectangle 110"/>
                <wp:cNvGraphicFramePr/>
                <a:graphic xmlns:a="http://schemas.openxmlformats.org/drawingml/2006/main">
                  <a:graphicData uri="http://schemas.microsoft.com/office/word/2010/wordprocessingShape">
                    <wps:wsp>
                      <wps:cNvSpPr/>
                      <wps:spPr>
                        <a:xfrm>
                          <a:off x="0" y="0"/>
                          <a:ext cx="2000250" cy="1041621"/>
                        </a:xfrm>
                        <a:prstGeom prst="rect">
                          <a:avLst/>
                        </a:prstGeom>
                        <a:solidFill>
                          <a:srgbClr val="4472C4"/>
                        </a:solidFill>
                        <a:ln w="12700" cap="flat" cmpd="sng" algn="ctr">
                          <a:solidFill>
                            <a:srgbClr val="4472C4">
                              <a:shade val="15000"/>
                            </a:srgbClr>
                          </a:solidFill>
                          <a:prstDash val="solid"/>
                          <a:miter lim="800000"/>
                        </a:ln>
                        <a:effectLst/>
                      </wps:spPr>
                      <wps:txbx>
                        <w:txbxContent>
                          <w:p w14:paraId="3EC0DB87" w14:textId="77777777" w:rsidR="00870848" w:rsidRDefault="00870848" w:rsidP="00870848">
                            <w:pPr>
                              <w:jc w:val="center"/>
                            </w:pPr>
                            <w:r>
                              <w:t>Excluded as minority group not matched</w:t>
                            </w:r>
                          </w:p>
                          <w:p w14:paraId="07B29F9D" w14:textId="77777777" w:rsidR="00870848" w:rsidRDefault="00870848" w:rsidP="00870848">
                            <w:pPr>
                              <w:jc w:val="center"/>
                            </w:pPr>
                            <w:r>
                              <w:t>(n=11)</w:t>
                            </w:r>
                          </w:p>
                          <w:p w14:paraId="6AA20E25" w14:textId="77777777" w:rsidR="00870848" w:rsidRDefault="00870848" w:rsidP="008708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0A65BD46" id="_x0000_s1036" style="position:absolute;left:0;text-align:left;margin-left:349.35pt;margin-top:4pt;width:157.5pt;height:8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" fillcolor="#4472c4" strokecolor="#172c51" strokeweight="1pt">
                <v:textbox>
                  <w:txbxContent>
                    <w:p w14:paraId="3EC0DB87" w14:textId="77777777" w:rsidR="00870848" w:rsidRDefault="00870848" w:rsidP="00870848">
                      <w:pPr>
                        <w:jc w:val="center"/>
                      </w:pPr>
                      <w:r>
                        <w:t>Excluded as minority group not matched</w:t>
                      </w:r>
                    </w:p>
                    <w:p w14:paraId="07B29F9D" w14:textId="77777777" w:rsidR="00870848" w:rsidRDefault="00870848" w:rsidP="00870848">
                      <w:pPr>
                        <w:jc w:val="center"/>
                      </w:pPr>
                      <w:r>
                        <w:t>(n=11)</w:t>
                      </w:r>
                    </w:p>
                    <w:p w14:paraId="6AA20E25" w14:textId="77777777" w:rsidR="00870848" w:rsidRDefault="00870848" w:rsidP="00870848">
                      <w:pPr>
                        <w:jc w:val="center"/>
                      </w:pPr>
                    </w:p>
                  </w:txbxContent>
                </v:textbox>
              </v:rect>
            </w:pict>
          </mc:Fallback>
        </mc:AlternateContent>
      </w:r>
      <w:r w:rsidR="00870848" w:rsidRPr="004410BC">
        <w:rPr>
          <w:rFonts w:eastAsia="Calibri" w:cs="Arial"/>
          <w:b/>
          <w:bCs/>
          <w:noProof/>
          <w:sz w:val="28"/>
          <w:szCs w:val="28"/>
        </w:rPr>
        <mc:AlternateContent>
          <mc:Choice Requires="wps">
            <w:drawing>
              <wp:anchor distT="0" distB="0" distL="114300" distR="114300" simplePos="0" relativeHeight="251667456" behindDoc="0" locked="0" layoutInCell="1" allowOverlap="1" wp14:anchorId="5983940B" wp14:editId="27D34F13">
                <wp:simplePos x="0" y="0"/>
                <wp:positionH relativeFrom="margin">
                  <wp:posOffset>-42284</wp:posOffset>
                </wp:positionH>
                <wp:positionV relativeFrom="paragraph">
                  <wp:posOffset>237916</wp:posOffset>
                </wp:positionV>
                <wp:extent cx="450850" cy="951399"/>
                <wp:effectExtent l="0" t="0" r="25400" b="20320"/>
                <wp:wrapNone/>
                <wp:docPr id="993304008" name="Rectangle 105"/>
                <wp:cNvGraphicFramePr/>
                <a:graphic xmlns:a="http://schemas.openxmlformats.org/drawingml/2006/main">
                  <a:graphicData uri="http://schemas.microsoft.com/office/word/2010/wordprocessingShape">
                    <wps:wsp>
                      <wps:cNvSpPr/>
                      <wps:spPr>
                        <a:xfrm>
                          <a:off x="0" y="0"/>
                          <a:ext cx="450850" cy="951399"/>
                        </a:xfrm>
                        <a:prstGeom prst="rect">
                          <a:avLst/>
                        </a:prstGeom>
                        <a:solidFill>
                          <a:srgbClr val="4472C4"/>
                        </a:solidFill>
                        <a:ln w="12700" cap="flat" cmpd="sng" algn="ctr">
                          <a:solidFill>
                            <a:srgbClr val="4472C4">
                              <a:shade val="15000"/>
                            </a:srgbClr>
                          </a:solidFill>
                          <a:prstDash val="solid"/>
                          <a:miter lim="800000"/>
                        </a:ln>
                        <a:effectLst/>
                      </wps:spPr>
                      <wps:txbx>
                        <w:txbxContent>
                          <w:p w14:paraId="711B5742" w14:textId="77777777" w:rsidR="00870848" w:rsidRDefault="00870848" w:rsidP="00870848">
                            <w:pPr>
                              <w:jc w:val="center"/>
                            </w:pPr>
                            <w:r>
                              <w:t>Included</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5983940B" id="_x0000_s1037" style="position:absolute;left:0;text-align:left;margin-left:-3.35pt;margin-top:18.75pt;width:35.5pt;height:74.9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" fillcolor="#4472c4" strokecolor="#172c51" strokeweight="1pt">
                <v:textbox style="layout-flow:vertical;mso-layout-flow-alt:bottom-to-top">
                  <w:txbxContent>
                    <w:p w14:paraId="711B5742" w14:textId="77777777" w:rsidR="00870848" w:rsidRDefault="00870848" w:rsidP="00870848">
                      <w:pPr>
                        <w:jc w:val="center"/>
                      </w:pPr>
                      <w:r>
                        <w:t>Included</w:t>
                      </w:r>
                    </w:p>
                  </w:txbxContent>
                </v:textbox>
                <w10:wrap anchorx="margin"/>
              </v:rect>
            </w:pict>
          </mc:Fallback>
        </mc:AlternateContent>
      </w:r>
      <w:r w:rsidR="00870848" w:rsidRPr="004410BC">
        <w:rPr>
          <w:rFonts w:eastAsia="Calibri" w:cs="Arial"/>
          <w:b/>
          <w:bCs/>
          <w:noProof/>
          <w:sz w:val="28"/>
          <w:szCs w:val="28"/>
        </w:rPr>
        <mc:AlternateContent>
          <mc:Choice Requires="wps">
            <w:drawing>
              <wp:anchor distT="0" distB="0" distL="114300" distR="114300" simplePos="0" relativeHeight="251684864" behindDoc="0" locked="0" layoutInCell="1" allowOverlap="1" wp14:anchorId="708D6703" wp14:editId="13614BC8">
                <wp:simplePos x="0" y="0"/>
                <wp:positionH relativeFrom="column">
                  <wp:posOffset>2762250</wp:posOffset>
                </wp:positionH>
                <wp:positionV relativeFrom="paragraph">
                  <wp:posOffset>257810</wp:posOffset>
                </wp:positionV>
                <wp:extent cx="1625600" cy="6350"/>
                <wp:effectExtent l="0" t="57150" r="31750" b="88900"/>
                <wp:wrapNone/>
                <wp:docPr id="296081309" name="Straight Arrow Connector 8"/>
                <wp:cNvGraphicFramePr/>
                <a:graphic xmlns:a="http://schemas.openxmlformats.org/drawingml/2006/main">
                  <a:graphicData uri="http://schemas.microsoft.com/office/word/2010/wordprocessingShape">
                    <wps:wsp>
                      <wps:cNvCnPr/>
                      <wps:spPr>
                        <a:xfrm>
                          <a:off x="0" y="0"/>
                          <a:ext cx="1625600" cy="635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xmlns:w16sdtfl="http://schemas.microsoft.com/office/word/2024/wordml/sdtformatlock" xmlns:w16du="http://schemas.microsoft.com/office/word/2023/wordml/word16du" xmlns:oel="http://schemas.microsoft.com/office/2019/extlst">
            <w:pict>
              <v:shape w14:anchorId="69CFA42A" id="Straight Arrow Connector 8" o:spid="_x0000_s1026" type="#_x0000_t32" style="position:absolute;margin-left:217.5pt;margin-top:20.3pt;width:128pt;height:.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" strokecolor="#4472c4" strokeweight=".5pt">
                <v:stroke endarrow="block" joinstyle="miter"/>
              </v:shape>
            </w:pict>
          </mc:Fallback>
        </mc:AlternateContent>
      </w:r>
    </w:p>
    <w:p w14:paraId="3DF05B04" w14:textId="088A6E9A" w:rsidR="00870848" w:rsidRPr="004410BC" w:rsidRDefault="00070639" w:rsidP="00236C76">
      <w:pPr>
        <w:rPr>
          <w:rFonts w:cs="Arial"/>
        </w:rPr>
      </w:pPr>
      <w:r w:rsidRPr="004410BC">
        <w:rPr>
          <w:rFonts w:eastAsia="Calibri" w:cs="Arial"/>
          <w:b/>
          <w:bCs/>
          <w:noProof/>
          <w:sz w:val="28"/>
          <w:szCs w:val="28"/>
        </w:rPr>
        <mc:AlternateContent>
          <mc:Choice Requires="wps">
            <w:drawing>
              <wp:anchor distT="0" distB="0" distL="114300" distR="114300" simplePos="0" relativeHeight="251674624" behindDoc="0" locked="0" layoutInCell="1" allowOverlap="1" wp14:anchorId="2D6B67DA" wp14:editId="4228C916">
                <wp:simplePos x="0" y="0"/>
                <wp:positionH relativeFrom="column">
                  <wp:posOffset>1470991</wp:posOffset>
                </wp:positionH>
                <wp:positionV relativeFrom="paragraph">
                  <wp:posOffset>219241</wp:posOffset>
                </wp:positionV>
                <wp:extent cx="2590800" cy="683812"/>
                <wp:effectExtent l="0" t="0" r="19050" b="21590"/>
                <wp:wrapNone/>
                <wp:docPr id="390159421" name="Rectangle 110"/>
                <wp:cNvGraphicFramePr/>
                <a:graphic xmlns:a="http://schemas.openxmlformats.org/drawingml/2006/main">
                  <a:graphicData uri="http://schemas.microsoft.com/office/word/2010/wordprocessingShape">
                    <wps:wsp>
                      <wps:cNvSpPr/>
                      <wps:spPr>
                        <a:xfrm>
                          <a:off x="0" y="0"/>
                          <a:ext cx="2590800" cy="683812"/>
                        </a:xfrm>
                        <a:prstGeom prst="rect">
                          <a:avLst/>
                        </a:prstGeom>
                        <a:solidFill>
                          <a:srgbClr val="4472C4"/>
                        </a:solidFill>
                        <a:ln w="12700" cap="flat" cmpd="sng" algn="ctr">
                          <a:solidFill>
                            <a:srgbClr val="4472C4">
                              <a:shade val="15000"/>
                            </a:srgbClr>
                          </a:solidFill>
                          <a:prstDash val="solid"/>
                          <a:miter lim="800000"/>
                        </a:ln>
                        <a:effectLst/>
                      </wps:spPr>
                      <wps:txbx>
                        <w:txbxContent>
                          <w:p w14:paraId="7BFB2374" w14:textId="77777777" w:rsidR="00870848" w:rsidRDefault="00870848" w:rsidP="00870848">
                            <w:pPr>
                              <w:jc w:val="center"/>
                            </w:pPr>
                            <w:r>
                              <w:t xml:space="preserve">Final </w:t>
                            </w:r>
                          </w:p>
                          <w:p w14:paraId="6C8C142C" w14:textId="77777777" w:rsidR="00870848" w:rsidRDefault="00870848" w:rsidP="00870848">
                            <w:pPr>
                              <w:jc w:val="center"/>
                            </w:pPr>
                            <w:r>
                              <w:t>(n=14)</w:t>
                            </w:r>
                          </w:p>
                          <w:p w14:paraId="54EEBFB7" w14:textId="77777777" w:rsidR="00870848" w:rsidRDefault="00870848" w:rsidP="008708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2D6B67DA" id="_x0000_s1038" style="position:absolute;left:0;text-align:left;margin-left:115.85pt;margin-top:17.25pt;width:204pt;height:53.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" fillcolor="#4472c4" strokecolor="#172c51" strokeweight="1pt">
                <v:textbox>
                  <w:txbxContent>
                    <w:p w14:paraId="7BFB2374" w14:textId="77777777" w:rsidR="00870848" w:rsidRDefault="00870848" w:rsidP="00870848">
                      <w:pPr>
                        <w:jc w:val="center"/>
                      </w:pPr>
                      <w:r>
                        <w:t xml:space="preserve">Final </w:t>
                      </w:r>
                    </w:p>
                    <w:p w14:paraId="6C8C142C" w14:textId="77777777" w:rsidR="00870848" w:rsidRDefault="00870848" w:rsidP="00870848">
                      <w:pPr>
                        <w:jc w:val="center"/>
                      </w:pPr>
                      <w:r>
                        <w:t>(n=14)</w:t>
                      </w:r>
                    </w:p>
                    <w:p w14:paraId="54EEBFB7" w14:textId="77777777" w:rsidR="00870848" w:rsidRDefault="00870848" w:rsidP="00870848">
                      <w:pPr>
                        <w:jc w:val="center"/>
                      </w:pPr>
                    </w:p>
                  </w:txbxContent>
                </v:textbox>
              </v:rect>
            </w:pict>
          </mc:Fallback>
        </mc:AlternateContent>
      </w:r>
    </w:p>
    <w:p w14:paraId="48E084D7" w14:textId="5A018CFB" w:rsidR="00870848" w:rsidRPr="004410BC" w:rsidRDefault="00870848" w:rsidP="00236C76">
      <w:pPr>
        <w:rPr>
          <w:rFonts w:cs="Arial"/>
        </w:rPr>
      </w:pPr>
    </w:p>
    <w:p w14:paraId="68550485" w14:textId="77777777" w:rsidR="00870848" w:rsidRPr="004410BC" w:rsidRDefault="00870848" w:rsidP="00236C76">
      <w:pPr>
        <w:rPr>
          <w:rFonts w:cs="Arial"/>
        </w:rPr>
      </w:pPr>
    </w:p>
    <w:p w14:paraId="209B490C" w14:textId="77777777" w:rsidR="00870848" w:rsidRPr="004410BC" w:rsidRDefault="00870848" w:rsidP="00236C76">
      <w:pPr>
        <w:rPr>
          <w:rFonts w:cs="Arial"/>
        </w:rPr>
      </w:pPr>
    </w:p>
    <w:p w14:paraId="1690F21B" w14:textId="54709DBC" w:rsidR="00C74D71" w:rsidRPr="004410BC" w:rsidRDefault="00C74D71" w:rsidP="00236C76">
      <w:pPr>
        <w:pStyle w:val="Caption"/>
        <w:spacing w:line="360" w:lineRule="auto"/>
        <w:jc w:val="center"/>
        <w:rPr>
          <w:b/>
          <w:bCs/>
          <w:i w:val="0"/>
          <w:iCs w:val="0"/>
          <w:color w:val="auto"/>
          <w:sz w:val="22"/>
          <w:szCs w:val="22"/>
        </w:rPr>
      </w:pPr>
      <w:bookmarkStart w:id="262" w:name="_Toc240724926"/>
      <w:r w:rsidRPr="004410BC">
        <w:rPr>
          <w:b/>
          <w:bCs/>
          <w:i w:val="0"/>
          <w:iCs w:val="0"/>
          <w:color w:val="auto"/>
          <w:sz w:val="22"/>
          <w:szCs w:val="22"/>
        </w:rPr>
        <w:t xml:space="preserve">Figure </w:t>
      </w:r>
      <w:r w:rsidRPr="004410BC">
        <w:rPr>
          <w:b/>
          <w:bCs/>
          <w:i w:val="0"/>
          <w:iCs w:val="0"/>
          <w:color w:val="auto"/>
          <w:sz w:val="22"/>
          <w:szCs w:val="22"/>
        </w:rPr>
        <w:fldChar w:fldCharType="begin"/>
      </w:r>
      <w:r w:rsidRPr="004410BC">
        <w:rPr>
          <w:b/>
          <w:bCs/>
          <w:i w:val="0"/>
          <w:iCs w:val="0"/>
          <w:color w:val="auto"/>
          <w:sz w:val="22"/>
          <w:szCs w:val="22"/>
        </w:rPr>
        <w:instrText xml:space="preserve"> SEQ Figure \* ARABIC </w:instrText>
      </w:r>
      <w:r w:rsidRPr="004410BC">
        <w:rPr>
          <w:b/>
          <w:bCs/>
          <w:i w:val="0"/>
          <w:iCs w:val="0"/>
          <w:color w:val="auto"/>
          <w:sz w:val="22"/>
          <w:szCs w:val="22"/>
        </w:rPr>
        <w:fldChar w:fldCharType="separate"/>
      </w:r>
      <w:r w:rsidRPr="004410BC">
        <w:rPr>
          <w:b/>
          <w:bCs/>
          <w:i w:val="0"/>
          <w:iCs w:val="0"/>
          <w:noProof/>
          <w:color w:val="auto"/>
          <w:sz w:val="22"/>
          <w:szCs w:val="22"/>
        </w:rPr>
        <w:t>2</w:t>
      </w:r>
      <w:r w:rsidRPr="004410BC">
        <w:rPr>
          <w:b/>
          <w:bCs/>
          <w:i w:val="0"/>
          <w:iCs w:val="0"/>
          <w:color w:val="auto"/>
          <w:sz w:val="22"/>
          <w:szCs w:val="22"/>
        </w:rPr>
        <w:fldChar w:fldCharType="end"/>
      </w:r>
      <w:r w:rsidRPr="004410BC">
        <w:rPr>
          <w:b/>
          <w:bCs/>
          <w:i w:val="0"/>
          <w:iCs w:val="0"/>
          <w:color w:val="auto"/>
          <w:sz w:val="22"/>
          <w:szCs w:val="22"/>
        </w:rPr>
        <w:t xml:space="preserve">: </w:t>
      </w:r>
      <w:r w:rsidRPr="004410BC">
        <w:rPr>
          <w:i w:val="0"/>
          <w:iCs w:val="0"/>
          <w:color w:val="auto"/>
          <w:sz w:val="22"/>
          <w:szCs w:val="22"/>
        </w:rPr>
        <w:t>PRISMA diagram</w:t>
      </w:r>
      <w:bookmarkEnd w:id="262"/>
    </w:p>
    <w:p w14:paraId="4C477579" w14:textId="77777777" w:rsidR="00870848" w:rsidRPr="004410BC" w:rsidRDefault="00870848" w:rsidP="00236C76">
      <w:pPr>
        <w:jc w:val="center"/>
        <w:rPr>
          <w:rFonts w:cs="Arial"/>
        </w:rPr>
      </w:pPr>
      <w:r w:rsidRPr="004410BC">
        <w:rPr>
          <w:rFonts w:cs="Arial"/>
        </w:rPr>
        <w:t>Source: (Self-generated)</w:t>
      </w:r>
    </w:p>
    <w:p w14:paraId="6C728B42" w14:textId="77777777" w:rsidR="00870848" w:rsidRPr="004410BC" w:rsidRDefault="00870848" w:rsidP="00236C76">
      <w:pPr>
        <w:rPr>
          <w:rFonts w:cs="Arial"/>
        </w:rPr>
        <w:sectPr w:rsidR="00870848" w:rsidRPr="004410BC" w:rsidSect="00870848">
          <w:pgSz w:w="11906" w:h="16838" w:code="9"/>
          <w:pgMar w:top="1440" w:right="1440" w:bottom="1440" w:left="1440" w:header="720" w:footer="720" w:gutter="0"/>
          <w:cols w:space="720"/>
          <w:docGrid w:linePitch="360"/>
        </w:sectPr>
      </w:pPr>
    </w:p>
    <w:p w14:paraId="01554536" w14:textId="77777777" w:rsidR="00870848" w:rsidRPr="004410BC" w:rsidRDefault="00870848" w:rsidP="00236C76">
      <w:pPr>
        <w:pStyle w:val="Heading3"/>
        <w:rPr>
          <w:rFonts w:cs="Arial"/>
        </w:rPr>
      </w:pPr>
      <w:bookmarkStart w:id="263" w:name="_Toc237213864"/>
      <w:bookmarkStart w:id="264" w:name="_Toc238290245"/>
      <w:bookmarkStart w:id="265" w:name="_Toc240724888"/>
      <w:r w:rsidRPr="004410BC">
        <w:rPr>
          <w:rFonts w:cs="Arial"/>
        </w:rPr>
        <w:t>4.2.1 Characteristics of Included Studies</w:t>
      </w:r>
      <w:bookmarkEnd w:id="263"/>
      <w:bookmarkEnd w:id="264"/>
      <w:bookmarkEnd w:id="265"/>
    </w:p>
    <w:p w14:paraId="3F4CE130" w14:textId="5A0AF9D3" w:rsidR="00870848" w:rsidRPr="004410BC" w:rsidRDefault="00870848" w:rsidP="00236C76">
      <w:pPr>
        <w:rPr>
          <w:rFonts w:cs="Arial"/>
          <w:color w:val="000000" w:themeColor="text1"/>
        </w:rPr>
      </w:pPr>
      <w:r w:rsidRPr="004410BC">
        <w:rPr>
          <w:rFonts w:cs="Arial"/>
          <w:color w:val="000000" w:themeColor="text1"/>
        </w:rPr>
        <w:t>The 14 studies included spanned a wide range of experiences of access, from online booking of appointments, use of child health services, cervical screening, medication reviews, menopause care, contraception, perinatal mental health, digitalised general practice</w:t>
      </w:r>
      <w:r w:rsidR="005B31F8" w:rsidRPr="004410BC">
        <w:rPr>
          <w:rFonts w:cs="Arial"/>
          <w:color w:val="000000" w:themeColor="text1"/>
        </w:rPr>
        <w:t>,</w:t>
      </w:r>
      <w:r w:rsidRPr="004410BC">
        <w:rPr>
          <w:rFonts w:cs="Arial"/>
          <w:color w:val="000000" w:themeColor="text1"/>
        </w:rPr>
        <w:t xml:space="preserve"> to digitalised Long Covid. The majority of evidence was from England, with some from Scotland and UK settings. The number of participants in the qualitative studies ranged from six to 100 (Gardner et al. 2024; Islam, Bailey and Netto 2024) whilst Atherton et al. (2024) analysed over 1.3 million General Practice Patient Survey responses and Coughlan et al. (202</w:t>
      </w:r>
      <w:r w:rsidR="002E0C82" w:rsidRPr="004410BC">
        <w:rPr>
          <w:rFonts w:cs="Arial"/>
          <w:color w:val="000000" w:themeColor="text1"/>
        </w:rPr>
        <w:t>1</w:t>
      </w:r>
      <w:r w:rsidRPr="004410BC">
        <w:rPr>
          <w:rFonts w:cs="Arial"/>
          <w:color w:val="000000" w:themeColor="text1"/>
        </w:rPr>
        <w:t xml:space="preserve">) analysed linked records for 1,484,455 children. </w:t>
      </w:r>
    </w:p>
    <w:p w14:paraId="0367CD9A" w14:textId="721EE818" w:rsidR="00870848" w:rsidRPr="004410BC" w:rsidRDefault="00870848" w:rsidP="00236C76">
      <w:pPr>
        <w:rPr>
          <w:rFonts w:cs="Arial"/>
          <w:color w:val="000000" w:themeColor="text1"/>
        </w:rPr>
      </w:pPr>
      <w:r w:rsidRPr="004410BC">
        <w:rPr>
          <w:rFonts w:cs="Arial"/>
          <w:color w:val="000000" w:themeColor="text1"/>
        </w:rPr>
        <w:t xml:space="preserve">But it is important to note that the methodological diversity has to be taken into account in the interpretation of the themes. While qualitative studies offer insights into the experiences of language, stigma, mistrust, organisation design and cultural responsiveness amongst other things, large routine-data and survey analyses can yield better evidence of patterns of language, stigma, mistrust, organisation design, cultural responsiveness and other experiences at the population level. </w:t>
      </w:r>
    </w:p>
    <w:p w14:paraId="40473FBF" w14:textId="77777777" w:rsidR="00870848" w:rsidRPr="004410BC" w:rsidRDefault="00870848" w:rsidP="00236C76">
      <w:pPr>
        <w:pStyle w:val="Caption"/>
        <w:spacing w:line="360" w:lineRule="auto"/>
        <w:rPr>
          <w:b/>
          <w:bCs/>
          <w:i w:val="0"/>
          <w:iCs w:val="0"/>
          <w:color w:val="auto"/>
          <w:sz w:val="24"/>
          <w:szCs w:val="24"/>
        </w:rPr>
        <w:sectPr w:rsidR="00870848" w:rsidRPr="004410BC" w:rsidSect="00870848">
          <w:pgSz w:w="11906" w:h="16838" w:code="9"/>
          <w:pgMar w:top="1440" w:right="1440" w:bottom="1440" w:left="1440" w:header="720" w:footer="720" w:gutter="0"/>
          <w:cols w:space="720"/>
          <w:docGrid w:linePitch="360"/>
        </w:sectPr>
      </w:pPr>
    </w:p>
    <w:p w14:paraId="08656213" w14:textId="0F3D8656" w:rsidR="00870848" w:rsidRPr="004410BC" w:rsidRDefault="00EE21DC" w:rsidP="00236C76">
      <w:pPr>
        <w:pStyle w:val="Caption"/>
        <w:spacing w:line="360" w:lineRule="auto"/>
        <w:rPr>
          <w:b/>
          <w:bCs/>
          <w:i w:val="0"/>
          <w:iCs w:val="0"/>
          <w:color w:val="auto"/>
          <w:sz w:val="22"/>
          <w:szCs w:val="22"/>
        </w:rPr>
      </w:pPr>
      <w:bookmarkStart w:id="266" w:name="_Toc240724931"/>
      <w:r w:rsidRPr="004410BC">
        <w:rPr>
          <w:b/>
          <w:bCs/>
          <w:i w:val="0"/>
          <w:iCs w:val="0"/>
          <w:color w:val="auto"/>
          <w:sz w:val="22"/>
          <w:szCs w:val="22"/>
        </w:rPr>
        <w:t xml:space="preserve">Table </w:t>
      </w:r>
      <w:r w:rsidRPr="004410BC">
        <w:rPr>
          <w:b/>
          <w:bCs/>
          <w:i w:val="0"/>
          <w:iCs w:val="0"/>
          <w:color w:val="auto"/>
          <w:sz w:val="22"/>
          <w:szCs w:val="22"/>
        </w:rPr>
        <w:fldChar w:fldCharType="begin"/>
      </w:r>
      <w:r w:rsidRPr="004410BC">
        <w:rPr>
          <w:b/>
          <w:bCs/>
          <w:i w:val="0"/>
          <w:iCs w:val="0"/>
          <w:color w:val="auto"/>
          <w:sz w:val="22"/>
          <w:szCs w:val="22"/>
        </w:rPr>
        <w:instrText xml:space="preserve"> SEQ Table \* ARABIC </w:instrText>
      </w:r>
      <w:r w:rsidRPr="004410BC">
        <w:rPr>
          <w:b/>
          <w:bCs/>
          <w:i w:val="0"/>
          <w:iCs w:val="0"/>
          <w:color w:val="auto"/>
          <w:sz w:val="22"/>
          <w:szCs w:val="22"/>
        </w:rPr>
        <w:fldChar w:fldCharType="separate"/>
      </w:r>
      <w:r w:rsidRPr="004410BC">
        <w:rPr>
          <w:b/>
          <w:bCs/>
          <w:i w:val="0"/>
          <w:iCs w:val="0"/>
          <w:noProof/>
          <w:color w:val="auto"/>
          <w:sz w:val="22"/>
          <w:szCs w:val="22"/>
        </w:rPr>
        <w:t>5</w:t>
      </w:r>
      <w:r w:rsidRPr="004410BC">
        <w:rPr>
          <w:b/>
          <w:bCs/>
          <w:i w:val="0"/>
          <w:iCs w:val="0"/>
          <w:color w:val="auto"/>
          <w:sz w:val="22"/>
          <w:szCs w:val="22"/>
        </w:rPr>
        <w:fldChar w:fldCharType="end"/>
      </w:r>
      <w:r w:rsidRPr="004410BC">
        <w:rPr>
          <w:b/>
          <w:bCs/>
          <w:i w:val="0"/>
          <w:iCs w:val="0"/>
          <w:color w:val="auto"/>
          <w:sz w:val="22"/>
          <w:szCs w:val="22"/>
        </w:rPr>
        <w:t>: Characteristics and evidence synthesis of the 14 included studies</w:t>
      </w:r>
      <w:bookmarkEnd w:id="266"/>
    </w:p>
    <w:tbl>
      <w:tblPr>
        <w:tblStyle w:val="TableGrid1"/>
        <w:tblW w:w="14328" w:type="dxa"/>
        <w:tblLayout w:type="fixed"/>
        <w:tblLook w:val="04A0" w:firstRow="1" w:lastRow="0" w:firstColumn="1" w:lastColumn="0" w:noHBand="0" w:noVBand="1"/>
      </w:tblPr>
      <w:tblGrid>
        <w:gridCol w:w="1242"/>
        <w:gridCol w:w="993"/>
        <w:gridCol w:w="1842"/>
        <w:gridCol w:w="1843"/>
        <w:gridCol w:w="2268"/>
        <w:gridCol w:w="2722"/>
        <w:gridCol w:w="3418"/>
      </w:tblGrid>
      <w:tr w:rsidR="00870848" w:rsidRPr="004410BC" w14:paraId="415F0969" w14:textId="77777777" w:rsidTr="00EF401E">
        <w:tc>
          <w:tcPr>
            <w:tcW w:w="1242" w:type="dxa"/>
          </w:tcPr>
          <w:p w14:paraId="347024A8" w14:textId="77777777" w:rsidR="00870848" w:rsidRPr="004410BC" w:rsidRDefault="00870848" w:rsidP="00236C76">
            <w:pPr>
              <w:spacing w:after="120"/>
              <w:jc w:val="center"/>
              <w:rPr>
                <w:rFonts w:eastAsia="Arial" w:cs="Arial"/>
              </w:rPr>
            </w:pPr>
            <w:r w:rsidRPr="004410BC">
              <w:rPr>
                <w:rFonts w:eastAsia="Arial" w:cs="Arial"/>
                <w:b/>
              </w:rPr>
              <w:t>Author and year</w:t>
            </w:r>
          </w:p>
        </w:tc>
        <w:tc>
          <w:tcPr>
            <w:tcW w:w="993" w:type="dxa"/>
          </w:tcPr>
          <w:p w14:paraId="4D3B0BE2" w14:textId="3F6A7ACF" w:rsidR="00870848" w:rsidRPr="004410BC" w:rsidRDefault="00870848" w:rsidP="00236C76">
            <w:pPr>
              <w:spacing w:after="120"/>
              <w:jc w:val="center"/>
              <w:rPr>
                <w:rFonts w:eastAsia="Arial" w:cs="Arial"/>
              </w:rPr>
            </w:pPr>
            <w:r w:rsidRPr="004410BC">
              <w:rPr>
                <w:rFonts w:eastAsia="Arial" w:cs="Arial"/>
                <w:b/>
              </w:rPr>
              <w:t>Country</w:t>
            </w:r>
            <w:r w:rsidR="005B31F8" w:rsidRPr="004410BC">
              <w:rPr>
                <w:rFonts w:eastAsia="Arial" w:cs="Arial"/>
                <w:b/>
              </w:rPr>
              <w:t>/</w:t>
            </w:r>
            <w:r w:rsidRPr="004410BC">
              <w:rPr>
                <w:rFonts w:eastAsia="Arial" w:cs="Arial"/>
                <w:b/>
              </w:rPr>
              <w:t>location</w:t>
            </w:r>
          </w:p>
        </w:tc>
        <w:tc>
          <w:tcPr>
            <w:tcW w:w="1842" w:type="dxa"/>
          </w:tcPr>
          <w:p w14:paraId="6D43C88C" w14:textId="77777777" w:rsidR="00870848" w:rsidRPr="004410BC" w:rsidRDefault="00870848" w:rsidP="00236C76">
            <w:pPr>
              <w:spacing w:after="120"/>
              <w:jc w:val="center"/>
              <w:rPr>
                <w:rFonts w:eastAsia="Arial" w:cs="Arial"/>
              </w:rPr>
            </w:pPr>
            <w:r w:rsidRPr="004410BC">
              <w:rPr>
                <w:rFonts w:eastAsia="Arial" w:cs="Arial"/>
                <w:b/>
              </w:rPr>
              <w:t>Target population</w:t>
            </w:r>
          </w:p>
        </w:tc>
        <w:tc>
          <w:tcPr>
            <w:tcW w:w="1843" w:type="dxa"/>
          </w:tcPr>
          <w:p w14:paraId="5C718ED4" w14:textId="77777777" w:rsidR="00870848" w:rsidRPr="004410BC" w:rsidRDefault="00870848" w:rsidP="00236C76">
            <w:pPr>
              <w:spacing w:after="120"/>
              <w:jc w:val="center"/>
              <w:rPr>
                <w:rFonts w:eastAsia="Arial" w:cs="Arial"/>
              </w:rPr>
            </w:pPr>
            <w:r w:rsidRPr="004410BC">
              <w:rPr>
                <w:rFonts w:eastAsia="Arial" w:cs="Arial"/>
                <w:b/>
              </w:rPr>
              <w:t>Study setting</w:t>
            </w:r>
          </w:p>
        </w:tc>
        <w:tc>
          <w:tcPr>
            <w:tcW w:w="2268" w:type="dxa"/>
          </w:tcPr>
          <w:p w14:paraId="0B81517B" w14:textId="77777777" w:rsidR="00870848" w:rsidRPr="004410BC" w:rsidRDefault="00870848" w:rsidP="00236C76">
            <w:pPr>
              <w:spacing w:after="120"/>
              <w:jc w:val="center"/>
              <w:rPr>
                <w:rFonts w:eastAsia="Arial" w:cs="Arial"/>
              </w:rPr>
            </w:pPr>
            <w:r w:rsidRPr="004410BC">
              <w:rPr>
                <w:rFonts w:eastAsia="Arial" w:cs="Arial"/>
                <w:b/>
              </w:rPr>
              <w:t>Study design</w:t>
            </w:r>
          </w:p>
        </w:tc>
        <w:tc>
          <w:tcPr>
            <w:tcW w:w="2722" w:type="dxa"/>
          </w:tcPr>
          <w:p w14:paraId="7B1F95D3" w14:textId="6956E338" w:rsidR="00870848" w:rsidRPr="004410BC" w:rsidRDefault="00870848" w:rsidP="00236C76">
            <w:pPr>
              <w:spacing w:after="120"/>
              <w:jc w:val="center"/>
              <w:rPr>
                <w:rFonts w:eastAsia="Arial" w:cs="Arial"/>
              </w:rPr>
            </w:pPr>
            <w:r w:rsidRPr="004410BC">
              <w:rPr>
                <w:rFonts w:eastAsia="Arial" w:cs="Arial"/>
                <w:b/>
              </w:rPr>
              <w:t>Study aim</w:t>
            </w:r>
            <w:r w:rsidR="005B31F8" w:rsidRPr="004410BC">
              <w:rPr>
                <w:rFonts w:eastAsia="Arial" w:cs="Arial"/>
                <w:b/>
              </w:rPr>
              <w:t>/</w:t>
            </w:r>
            <w:r w:rsidRPr="004410BC">
              <w:rPr>
                <w:rFonts w:eastAsia="Arial" w:cs="Arial"/>
                <w:b/>
              </w:rPr>
              <w:t>objective</w:t>
            </w:r>
          </w:p>
        </w:tc>
        <w:tc>
          <w:tcPr>
            <w:tcW w:w="3418" w:type="dxa"/>
          </w:tcPr>
          <w:p w14:paraId="05C3BE0F" w14:textId="51361917" w:rsidR="00870848" w:rsidRPr="004410BC" w:rsidRDefault="00870848" w:rsidP="00236C76">
            <w:pPr>
              <w:spacing w:after="120"/>
              <w:jc w:val="center"/>
              <w:rPr>
                <w:rFonts w:eastAsia="Arial" w:cs="Arial"/>
              </w:rPr>
            </w:pPr>
            <w:r w:rsidRPr="004410BC">
              <w:rPr>
                <w:rFonts w:eastAsia="Arial" w:cs="Arial"/>
                <w:b/>
              </w:rPr>
              <w:t>Key findings</w:t>
            </w:r>
            <w:r w:rsidR="005B31F8" w:rsidRPr="004410BC">
              <w:rPr>
                <w:rFonts w:eastAsia="Arial" w:cs="Arial"/>
                <w:b/>
              </w:rPr>
              <w:t>/</w:t>
            </w:r>
            <w:r w:rsidRPr="004410BC">
              <w:rPr>
                <w:rFonts w:eastAsia="Arial" w:cs="Arial"/>
                <w:b/>
              </w:rPr>
              <w:t>outcomes relevant to Chapter 4</w:t>
            </w:r>
          </w:p>
        </w:tc>
      </w:tr>
      <w:tr w:rsidR="00870848" w:rsidRPr="004410BC" w14:paraId="226E07E8" w14:textId="77777777" w:rsidTr="00EF401E">
        <w:tc>
          <w:tcPr>
            <w:tcW w:w="1242" w:type="dxa"/>
          </w:tcPr>
          <w:p w14:paraId="75F8D151" w14:textId="77777777" w:rsidR="00870848" w:rsidRPr="004410BC" w:rsidRDefault="00870848" w:rsidP="00236C76">
            <w:pPr>
              <w:rPr>
                <w:rFonts w:eastAsia="Arial" w:cs="Arial"/>
              </w:rPr>
            </w:pPr>
            <w:r w:rsidRPr="004410BC">
              <w:rPr>
                <w:rFonts w:eastAsia="Arial" w:cs="Arial"/>
                <w:b/>
              </w:rPr>
              <w:t>Atherton et al. (2024)</w:t>
            </w:r>
          </w:p>
        </w:tc>
        <w:tc>
          <w:tcPr>
            <w:tcW w:w="993" w:type="dxa"/>
          </w:tcPr>
          <w:p w14:paraId="6582F7E6" w14:textId="77777777" w:rsidR="00870848" w:rsidRPr="004410BC" w:rsidRDefault="00870848" w:rsidP="00236C76">
            <w:pPr>
              <w:rPr>
                <w:rFonts w:eastAsia="Arial" w:cs="Arial"/>
              </w:rPr>
            </w:pPr>
            <w:r w:rsidRPr="004410BC">
              <w:rPr>
                <w:rFonts w:eastAsia="Arial" w:cs="Arial"/>
              </w:rPr>
              <w:t>England</w:t>
            </w:r>
          </w:p>
        </w:tc>
        <w:tc>
          <w:tcPr>
            <w:tcW w:w="1842" w:type="dxa"/>
          </w:tcPr>
          <w:p w14:paraId="6C6D2CE9" w14:textId="10BCD08B" w:rsidR="00870848" w:rsidRPr="004410BC" w:rsidRDefault="00870848" w:rsidP="00236C76">
            <w:pPr>
              <w:rPr>
                <w:rFonts w:eastAsia="Arial" w:cs="Arial"/>
              </w:rPr>
            </w:pPr>
            <w:r w:rsidRPr="004410BC">
              <w:rPr>
                <w:rFonts w:eastAsia="Arial" w:cs="Arial"/>
              </w:rPr>
              <w:t xml:space="preserve">GP patients; 1,327,693 GPPS responders and 43 interviewees </w:t>
            </w:r>
          </w:p>
        </w:tc>
        <w:tc>
          <w:tcPr>
            <w:tcW w:w="1843" w:type="dxa"/>
          </w:tcPr>
          <w:p w14:paraId="3360D83D" w14:textId="77777777" w:rsidR="00870848" w:rsidRPr="004410BC" w:rsidRDefault="00870848" w:rsidP="00236C76">
            <w:pPr>
              <w:rPr>
                <w:rFonts w:eastAsia="Arial" w:cs="Arial"/>
              </w:rPr>
            </w:pPr>
            <w:r w:rsidRPr="004410BC">
              <w:rPr>
                <w:rFonts w:eastAsia="Arial" w:cs="Arial"/>
              </w:rPr>
              <w:t>English general practice; national GP Patient Survey and 11 general practices</w:t>
            </w:r>
          </w:p>
        </w:tc>
        <w:tc>
          <w:tcPr>
            <w:tcW w:w="2268" w:type="dxa"/>
          </w:tcPr>
          <w:p w14:paraId="25545DB9" w14:textId="77777777" w:rsidR="00870848" w:rsidRPr="004410BC" w:rsidRDefault="00870848" w:rsidP="00236C76">
            <w:pPr>
              <w:rPr>
                <w:rFonts w:eastAsia="Arial" w:cs="Arial"/>
              </w:rPr>
            </w:pPr>
            <w:r w:rsidRPr="004410BC">
              <w:rPr>
                <w:rFonts w:eastAsia="Arial" w:cs="Arial"/>
              </w:rPr>
              <w:t>Retrospective survey analysis and semi-structured interviews</w:t>
            </w:r>
          </w:p>
        </w:tc>
        <w:tc>
          <w:tcPr>
            <w:tcW w:w="2722" w:type="dxa"/>
          </w:tcPr>
          <w:p w14:paraId="309C5993" w14:textId="36991487" w:rsidR="00870848" w:rsidRPr="004410BC" w:rsidRDefault="00870848" w:rsidP="00236C76">
            <w:pPr>
              <w:rPr>
                <w:rFonts w:eastAsia="Arial" w:cs="Arial"/>
              </w:rPr>
            </w:pPr>
            <w:r w:rsidRPr="004410BC">
              <w:rPr>
                <w:rFonts w:eastAsia="Arial" w:cs="Arial"/>
              </w:rPr>
              <w:t>Describe and compare patient characteristics associated with online appointment</w:t>
            </w:r>
          </w:p>
        </w:tc>
        <w:tc>
          <w:tcPr>
            <w:tcW w:w="3418" w:type="dxa"/>
          </w:tcPr>
          <w:p w14:paraId="79252E4C" w14:textId="29B54314" w:rsidR="00870848" w:rsidRPr="004410BC" w:rsidRDefault="00870848" w:rsidP="00236C76">
            <w:pPr>
              <w:rPr>
                <w:rFonts w:eastAsia="Arial" w:cs="Arial"/>
              </w:rPr>
            </w:pPr>
            <w:r w:rsidRPr="004410BC">
              <w:rPr>
                <w:rFonts w:eastAsia="Arial" w:cs="Arial"/>
              </w:rPr>
              <w:t>All ethnic minority groups were less aware of online booking than White patients. Black and Other groups were less likely to use it, while deprivation, age, long-term conditions</w:t>
            </w:r>
            <w:r w:rsidR="00603E07" w:rsidRPr="004410BC">
              <w:rPr>
                <w:rFonts w:eastAsia="Arial" w:cs="Arial"/>
              </w:rPr>
              <w:t>.</w:t>
            </w:r>
          </w:p>
        </w:tc>
      </w:tr>
      <w:tr w:rsidR="00870848" w:rsidRPr="004410BC" w14:paraId="6B5186AA" w14:textId="77777777" w:rsidTr="00EF401E">
        <w:tc>
          <w:tcPr>
            <w:tcW w:w="1242" w:type="dxa"/>
          </w:tcPr>
          <w:p w14:paraId="72321124" w14:textId="2E6CBDE3" w:rsidR="00870848" w:rsidRPr="004410BC" w:rsidRDefault="00870848" w:rsidP="00236C76">
            <w:pPr>
              <w:rPr>
                <w:rFonts w:eastAsia="Arial" w:cs="Arial"/>
              </w:rPr>
            </w:pPr>
            <w:r w:rsidRPr="004410BC">
              <w:rPr>
                <w:rFonts w:eastAsia="Arial" w:cs="Arial"/>
                <w:b/>
              </w:rPr>
              <w:t>Coughlan et al. (202</w:t>
            </w:r>
            <w:r w:rsidR="002E0C82" w:rsidRPr="004410BC">
              <w:rPr>
                <w:rFonts w:eastAsia="Arial" w:cs="Arial"/>
                <w:b/>
              </w:rPr>
              <w:t>1</w:t>
            </w:r>
            <w:r w:rsidRPr="004410BC">
              <w:rPr>
                <w:rFonts w:eastAsia="Arial" w:cs="Arial"/>
                <w:b/>
              </w:rPr>
              <w:t>)</w:t>
            </w:r>
          </w:p>
        </w:tc>
        <w:tc>
          <w:tcPr>
            <w:tcW w:w="993" w:type="dxa"/>
          </w:tcPr>
          <w:p w14:paraId="05C88552" w14:textId="77777777" w:rsidR="00870848" w:rsidRPr="004410BC" w:rsidRDefault="00870848" w:rsidP="00236C76">
            <w:pPr>
              <w:rPr>
                <w:rFonts w:eastAsia="Arial" w:cs="Arial"/>
              </w:rPr>
            </w:pPr>
            <w:r w:rsidRPr="004410BC">
              <w:rPr>
                <w:rFonts w:eastAsia="Arial" w:cs="Arial"/>
              </w:rPr>
              <w:t>England</w:t>
            </w:r>
          </w:p>
        </w:tc>
        <w:tc>
          <w:tcPr>
            <w:tcW w:w="1842" w:type="dxa"/>
          </w:tcPr>
          <w:p w14:paraId="78AF5C59" w14:textId="77777777" w:rsidR="00870848" w:rsidRPr="004410BC" w:rsidRDefault="00870848" w:rsidP="00236C76">
            <w:pPr>
              <w:rPr>
                <w:rFonts w:eastAsia="Arial" w:cs="Arial"/>
              </w:rPr>
            </w:pPr>
            <w:r w:rsidRPr="004410BC">
              <w:rPr>
                <w:rFonts w:eastAsia="Arial" w:cs="Arial"/>
              </w:rPr>
              <w:t>1,484,455 children aged 0–14 years across ethnic and deprivation groups</w:t>
            </w:r>
          </w:p>
        </w:tc>
        <w:tc>
          <w:tcPr>
            <w:tcW w:w="1843" w:type="dxa"/>
          </w:tcPr>
          <w:p w14:paraId="7A76C00F" w14:textId="77777777" w:rsidR="00870848" w:rsidRPr="004410BC" w:rsidRDefault="00870848" w:rsidP="00236C76">
            <w:pPr>
              <w:rPr>
                <w:rFonts w:eastAsia="Arial" w:cs="Arial"/>
              </w:rPr>
            </w:pPr>
            <w:r w:rsidRPr="004410BC">
              <w:rPr>
                <w:rFonts w:eastAsia="Arial" w:cs="Arial"/>
              </w:rPr>
              <w:t>Linked general-practice and hospital electronic records</w:t>
            </w:r>
          </w:p>
        </w:tc>
        <w:tc>
          <w:tcPr>
            <w:tcW w:w="2268" w:type="dxa"/>
          </w:tcPr>
          <w:p w14:paraId="38B2F7DC" w14:textId="77777777" w:rsidR="00870848" w:rsidRPr="004410BC" w:rsidRDefault="00870848" w:rsidP="00236C76">
            <w:pPr>
              <w:rPr>
                <w:rFonts w:eastAsia="Arial" w:cs="Arial"/>
              </w:rPr>
            </w:pPr>
            <w:r w:rsidRPr="004410BC">
              <w:rPr>
                <w:rFonts w:eastAsia="Arial" w:cs="Arial"/>
              </w:rPr>
              <w:t>Population-based retrospective study</w:t>
            </w:r>
          </w:p>
        </w:tc>
        <w:tc>
          <w:tcPr>
            <w:tcW w:w="2722" w:type="dxa"/>
          </w:tcPr>
          <w:p w14:paraId="44DB88DD" w14:textId="2DC4C422" w:rsidR="00870848" w:rsidRPr="004410BC" w:rsidRDefault="00870848" w:rsidP="00236C76">
            <w:pPr>
              <w:rPr>
                <w:rFonts w:eastAsia="Arial" w:cs="Arial"/>
              </w:rPr>
            </w:pPr>
            <w:r w:rsidRPr="004410BC">
              <w:rPr>
                <w:rFonts w:eastAsia="Arial" w:cs="Arial"/>
              </w:rPr>
              <w:t>Describe</w:t>
            </w:r>
            <w:r w:rsidR="009C5CF6" w:rsidRPr="004410BC">
              <w:rPr>
                <w:rFonts w:eastAsia="Arial" w:cs="Arial"/>
              </w:rPr>
              <w:t>s</w:t>
            </w:r>
            <w:r w:rsidRPr="004410BC">
              <w:rPr>
                <w:rFonts w:eastAsia="Arial" w:cs="Arial"/>
              </w:rPr>
              <w:t xml:space="preserve"> social and ethnic differences in children’s healthcare use in England, 2007–2017</w:t>
            </w:r>
          </w:p>
        </w:tc>
        <w:tc>
          <w:tcPr>
            <w:tcW w:w="3418" w:type="dxa"/>
          </w:tcPr>
          <w:p w14:paraId="351E6D3D" w14:textId="588FFCD4" w:rsidR="00870848" w:rsidRPr="004410BC" w:rsidRDefault="00870848" w:rsidP="00236C76">
            <w:pPr>
              <w:rPr>
                <w:rFonts w:eastAsia="Arial" w:cs="Arial"/>
              </w:rPr>
            </w:pPr>
            <w:r w:rsidRPr="004410BC">
              <w:rPr>
                <w:rFonts w:eastAsia="Arial" w:cs="Arial"/>
              </w:rPr>
              <w:t>Children in deprived areas received less scheduled care and used more emergency care. Black and Asian children had higher GP use</w:t>
            </w:r>
            <w:r w:rsidR="00603E07" w:rsidRPr="004410BC">
              <w:rPr>
                <w:rFonts w:eastAsia="Arial" w:cs="Arial"/>
              </w:rPr>
              <w:t>.</w:t>
            </w:r>
          </w:p>
        </w:tc>
      </w:tr>
      <w:tr w:rsidR="00870848" w:rsidRPr="004410BC" w14:paraId="03A70B80" w14:textId="77777777" w:rsidTr="00EF401E">
        <w:tc>
          <w:tcPr>
            <w:tcW w:w="1242" w:type="dxa"/>
          </w:tcPr>
          <w:p w14:paraId="31A808DE" w14:textId="77777777" w:rsidR="00870848" w:rsidRPr="004410BC" w:rsidRDefault="00870848" w:rsidP="00236C76">
            <w:pPr>
              <w:rPr>
                <w:rFonts w:eastAsia="Arial" w:cs="Arial"/>
              </w:rPr>
            </w:pPr>
            <w:r w:rsidRPr="004410BC">
              <w:rPr>
                <w:rFonts w:eastAsia="Arial" w:cs="Arial"/>
                <w:b/>
              </w:rPr>
              <w:t>Eccles et al. (2025)</w:t>
            </w:r>
          </w:p>
        </w:tc>
        <w:tc>
          <w:tcPr>
            <w:tcW w:w="993" w:type="dxa"/>
          </w:tcPr>
          <w:p w14:paraId="1668EFB6" w14:textId="77777777" w:rsidR="00870848" w:rsidRPr="004410BC" w:rsidRDefault="00870848" w:rsidP="00236C76">
            <w:pPr>
              <w:rPr>
                <w:rFonts w:eastAsia="Arial" w:cs="Arial"/>
              </w:rPr>
            </w:pPr>
            <w:r w:rsidRPr="004410BC">
              <w:rPr>
                <w:rFonts w:eastAsia="Arial" w:cs="Arial"/>
              </w:rPr>
              <w:t>West Midlands, England</w:t>
            </w:r>
          </w:p>
        </w:tc>
        <w:tc>
          <w:tcPr>
            <w:tcW w:w="1842" w:type="dxa"/>
          </w:tcPr>
          <w:p w14:paraId="52C0E265" w14:textId="7393E95E" w:rsidR="00870848" w:rsidRPr="004410BC" w:rsidRDefault="00870848" w:rsidP="00236C76">
            <w:pPr>
              <w:rPr>
                <w:rFonts w:eastAsia="Arial" w:cs="Arial"/>
              </w:rPr>
            </w:pPr>
            <w:r w:rsidRPr="004410BC">
              <w:rPr>
                <w:rFonts w:eastAsia="Arial" w:cs="Arial"/>
              </w:rPr>
              <w:t>40 women experiencing menopause, purposively diverse by ethnicity</w:t>
            </w:r>
          </w:p>
        </w:tc>
        <w:tc>
          <w:tcPr>
            <w:tcW w:w="1843" w:type="dxa"/>
          </w:tcPr>
          <w:p w14:paraId="4CBA2F42" w14:textId="77777777" w:rsidR="00870848" w:rsidRPr="004410BC" w:rsidRDefault="00870848" w:rsidP="00236C76">
            <w:pPr>
              <w:rPr>
                <w:rFonts w:eastAsia="Arial" w:cs="Arial"/>
              </w:rPr>
            </w:pPr>
            <w:r w:rsidRPr="004410BC">
              <w:rPr>
                <w:rFonts w:eastAsia="Arial" w:cs="Arial"/>
              </w:rPr>
              <w:t>General practices and community networks</w:t>
            </w:r>
          </w:p>
        </w:tc>
        <w:tc>
          <w:tcPr>
            <w:tcW w:w="2268" w:type="dxa"/>
          </w:tcPr>
          <w:p w14:paraId="1DB3C667" w14:textId="77777777" w:rsidR="00870848" w:rsidRPr="004410BC" w:rsidRDefault="00870848" w:rsidP="00236C76">
            <w:pPr>
              <w:rPr>
                <w:rFonts w:eastAsia="Arial" w:cs="Arial"/>
              </w:rPr>
            </w:pPr>
            <w:r w:rsidRPr="004410BC">
              <w:rPr>
                <w:rFonts w:eastAsia="Arial" w:cs="Arial"/>
              </w:rPr>
              <w:t>Qualitative interviews and focus groups; thematic analysis</w:t>
            </w:r>
          </w:p>
        </w:tc>
        <w:tc>
          <w:tcPr>
            <w:tcW w:w="2722" w:type="dxa"/>
          </w:tcPr>
          <w:p w14:paraId="14CF2594" w14:textId="26E32875" w:rsidR="00870848" w:rsidRPr="004410BC" w:rsidRDefault="00870848" w:rsidP="00236C76">
            <w:pPr>
              <w:rPr>
                <w:rFonts w:eastAsia="Arial" w:cs="Arial"/>
              </w:rPr>
            </w:pPr>
            <w:r w:rsidRPr="004410BC">
              <w:rPr>
                <w:rFonts w:eastAsia="Arial" w:cs="Arial"/>
              </w:rPr>
              <w:t xml:space="preserve">Explore menopause experiences, primary-care access </w:t>
            </w:r>
          </w:p>
        </w:tc>
        <w:tc>
          <w:tcPr>
            <w:tcW w:w="3418" w:type="dxa"/>
          </w:tcPr>
          <w:p w14:paraId="69E14F2B" w14:textId="77777777" w:rsidR="00870848" w:rsidRPr="004410BC" w:rsidRDefault="00870848" w:rsidP="00236C76">
            <w:pPr>
              <w:rPr>
                <w:rFonts w:eastAsia="Arial" w:cs="Arial"/>
              </w:rPr>
            </w:pPr>
            <w:r w:rsidRPr="004410BC">
              <w:rPr>
                <w:rFonts w:eastAsia="Arial" w:cs="Arial"/>
              </w:rPr>
              <w:t>Black and Asian women described community silence, mistrust, representation and stereotyping concerns. Some women felt they had to advocate for HRT and were dissatisfied with available options.</w:t>
            </w:r>
          </w:p>
        </w:tc>
      </w:tr>
      <w:tr w:rsidR="00870848" w:rsidRPr="004410BC" w14:paraId="70EE98F5" w14:textId="77777777" w:rsidTr="00EF401E">
        <w:tc>
          <w:tcPr>
            <w:tcW w:w="1242" w:type="dxa"/>
          </w:tcPr>
          <w:p w14:paraId="3A70F009" w14:textId="77777777" w:rsidR="00870848" w:rsidRPr="004410BC" w:rsidRDefault="00870848" w:rsidP="00236C76">
            <w:pPr>
              <w:rPr>
                <w:rFonts w:eastAsia="Arial" w:cs="Arial"/>
              </w:rPr>
            </w:pPr>
            <w:r w:rsidRPr="004410BC">
              <w:rPr>
                <w:rFonts w:eastAsia="Arial" w:cs="Arial"/>
                <w:b/>
              </w:rPr>
              <w:t>Ekezie et al. (2022)</w:t>
            </w:r>
          </w:p>
        </w:tc>
        <w:tc>
          <w:tcPr>
            <w:tcW w:w="993" w:type="dxa"/>
          </w:tcPr>
          <w:p w14:paraId="19B56E80" w14:textId="77777777" w:rsidR="00870848" w:rsidRPr="004410BC" w:rsidRDefault="00870848" w:rsidP="00236C76">
            <w:pPr>
              <w:rPr>
                <w:rFonts w:eastAsia="Arial" w:cs="Arial"/>
              </w:rPr>
            </w:pPr>
            <w:r w:rsidRPr="004410BC">
              <w:rPr>
                <w:rFonts w:eastAsia="Arial" w:cs="Arial"/>
              </w:rPr>
              <w:t>Leicester, UK</w:t>
            </w:r>
          </w:p>
        </w:tc>
        <w:tc>
          <w:tcPr>
            <w:tcW w:w="1842" w:type="dxa"/>
          </w:tcPr>
          <w:p w14:paraId="605CE72F" w14:textId="734F72E4" w:rsidR="00870848" w:rsidRPr="004410BC" w:rsidRDefault="00870848" w:rsidP="00236C76">
            <w:pPr>
              <w:rPr>
                <w:rFonts w:eastAsia="Arial" w:cs="Arial"/>
              </w:rPr>
            </w:pPr>
            <w:r w:rsidRPr="004410BC">
              <w:rPr>
                <w:rFonts w:eastAsia="Arial" w:cs="Arial"/>
              </w:rPr>
              <w:t xml:space="preserve">42 African-Caribbean, Somali and South Asian community members </w:t>
            </w:r>
          </w:p>
        </w:tc>
        <w:tc>
          <w:tcPr>
            <w:tcW w:w="1843" w:type="dxa"/>
          </w:tcPr>
          <w:p w14:paraId="671DE93D" w14:textId="77777777" w:rsidR="00870848" w:rsidRPr="004410BC" w:rsidRDefault="00870848" w:rsidP="00236C76">
            <w:pPr>
              <w:rPr>
                <w:rFonts w:eastAsia="Arial" w:cs="Arial"/>
              </w:rPr>
            </w:pPr>
            <w:r w:rsidRPr="004410BC">
              <w:rPr>
                <w:rFonts w:eastAsia="Arial" w:cs="Arial"/>
              </w:rPr>
              <w:t>Ethnic minority communities and primary-care experiences during COVID-19</w:t>
            </w:r>
          </w:p>
        </w:tc>
        <w:tc>
          <w:tcPr>
            <w:tcW w:w="2268" w:type="dxa"/>
          </w:tcPr>
          <w:p w14:paraId="0189A9F9" w14:textId="77777777" w:rsidR="00870848" w:rsidRPr="004410BC" w:rsidRDefault="00870848" w:rsidP="00236C76">
            <w:pPr>
              <w:rPr>
                <w:rFonts w:eastAsia="Arial" w:cs="Arial"/>
              </w:rPr>
            </w:pPr>
            <w:r w:rsidRPr="004410BC">
              <w:rPr>
                <w:rFonts w:eastAsia="Arial" w:cs="Arial"/>
              </w:rPr>
              <w:t>Qualitative focus groups and semi-structured interviews</w:t>
            </w:r>
          </w:p>
        </w:tc>
        <w:tc>
          <w:tcPr>
            <w:tcW w:w="2722" w:type="dxa"/>
          </w:tcPr>
          <w:p w14:paraId="194A5CA6" w14:textId="77777777" w:rsidR="00870848" w:rsidRPr="004410BC" w:rsidRDefault="00870848" w:rsidP="00236C76">
            <w:pPr>
              <w:rPr>
                <w:rFonts w:eastAsia="Arial" w:cs="Arial"/>
              </w:rPr>
            </w:pPr>
            <w:r w:rsidRPr="004410BC">
              <w:rPr>
                <w:rFonts w:eastAsia="Arial" w:cs="Arial"/>
              </w:rPr>
              <w:t>Explore health-information communication and primary-care experiences during COVID-19</w:t>
            </w:r>
          </w:p>
        </w:tc>
        <w:tc>
          <w:tcPr>
            <w:tcW w:w="3418" w:type="dxa"/>
          </w:tcPr>
          <w:p w14:paraId="54D0FFB5" w14:textId="4E7B82A2" w:rsidR="00870848" w:rsidRPr="004410BC" w:rsidRDefault="00870848" w:rsidP="00236C76">
            <w:pPr>
              <w:rPr>
                <w:rFonts w:eastAsia="Arial" w:cs="Arial"/>
              </w:rPr>
            </w:pPr>
            <w:r w:rsidRPr="004410BC">
              <w:rPr>
                <w:rFonts w:eastAsia="Arial" w:cs="Arial"/>
              </w:rPr>
              <w:t>Language barriers, unclear or changing information, reduced face-to-face contact</w:t>
            </w:r>
            <w:r w:rsidR="009C5CF6" w:rsidRPr="004410BC">
              <w:rPr>
                <w:rFonts w:eastAsia="Arial" w:cs="Arial"/>
              </w:rPr>
              <w:t>,</w:t>
            </w:r>
            <w:r w:rsidRPr="004410BC">
              <w:rPr>
                <w:rFonts w:eastAsia="Arial" w:cs="Arial"/>
              </w:rPr>
              <w:t xml:space="preserve"> and rapid digitalisation impeded access. </w:t>
            </w:r>
          </w:p>
        </w:tc>
      </w:tr>
      <w:tr w:rsidR="00870848" w:rsidRPr="004410BC" w14:paraId="5A97673F" w14:textId="77777777" w:rsidTr="00EF401E">
        <w:tc>
          <w:tcPr>
            <w:tcW w:w="1242" w:type="dxa"/>
          </w:tcPr>
          <w:p w14:paraId="0C6EDB34" w14:textId="77777777" w:rsidR="00870848" w:rsidRPr="004410BC" w:rsidRDefault="00870848" w:rsidP="00236C76">
            <w:pPr>
              <w:rPr>
                <w:rFonts w:eastAsia="Arial" w:cs="Arial"/>
              </w:rPr>
            </w:pPr>
            <w:r w:rsidRPr="004410BC">
              <w:rPr>
                <w:rFonts w:eastAsia="Arial" w:cs="Arial"/>
                <w:b/>
              </w:rPr>
              <w:t>Gardner et al. (2024)</w:t>
            </w:r>
          </w:p>
        </w:tc>
        <w:tc>
          <w:tcPr>
            <w:tcW w:w="993" w:type="dxa"/>
          </w:tcPr>
          <w:p w14:paraId="13DC1875" w14:textId="77777777" w:rsidR="00870848" w:rsidRPr="004410BC" w:rsidRDefault="00870848" w:rsidP="00236C76">
            <w:pPr>
              <w:rPr>
                <w:rFonts w:eastAsia="Arial" w:cs="Arial"/>
              </w:rPr>
            </w:pPr>
            <w:r w:rsidRPr="004410BC">
              <w:rPr>
                <w:rFonts w:eastAsia="Arial" w:cs="Arial"/>
              </w:rPr>
              <w:t>England</w:t>
            </w:r>
          </w:p>
        </w:tc>
        <w:tc>
          <w:tcPr>
            <w:tcW w:w="1842" w:type="dxa"/>
          </w:tcPr>
          <w:p w14:paraId="7DA30DAD" w14:textId="4AC35A6C" w:rsidR="00870848" w:rsidRPr="004410BC" w:rsidRDefault="00870848" w:rsidP="00236C76">
            <w:pPr>
              <w:rPr>
                <w:rFonts w:eastAsia="Arial" w:cs="Arial"/>
              </w:rPr>
            </w:pPr>
            <w:r w:rsidRPr="004410BC">
              <w:rPr>
                <w:rFonts w:eastAsia="Arial" w:cs="Arial"/>
              </w:rPr>
              <w:t xml:space="preserve">6 women from minority ethnic groups with experience of specialist perinatal mental health </w:t>
            </w:r>
          </w:p>
        </w:tc>
        <w:tc>
          <w:tcPr>
            <w:tcW w:w="1843" w:type="dxa"/>
          </w:tcPr>
          <w:p w14:paraId="7350A97E" w14:textId="77777777" w:rsidR="00870848" w:rsidRPr="004410BC" w:rsidRDefault="00870848" w:rsidP="00236C76">
            <w:pPr>
              <w:rPr>
                <w:rFonts w:eastAsia="Arial" w:cs="Arial"/>
              </w:rPr>
            </w:pPr>
            <w:r w:rsidRPr="004410BC">
              <w:rPr>
                <w:rFonts w:eastAsia="Arial" w:cs="Arial"/>
              </w:rPr>
              <w:t>NHS specialist perinatal teams plus community/online recruitment</w:t>
            </w:r>
          </w:p>
        </w:tc>
        <w:tc>
          <w:tcPr>
            <w:tcW w:w="2268" w:type="dxa"/>
          </w:tcPr>
          <w:p w14:paraId="78834C84" w14:textId="77777777" w:rsidR="00870848" w:rsidRPr="004410BC" w:rsidRDefault="00870848" w:rsidP="00236C76">
            <w:pPr>
              <w:rPr>
                <w:rFonts w:eastAsia="Arial" w:cs="Arial"/>
              </w:rPr>
            </w:pPr>
            <w:r w:rsidRPr="004410BC">
              <w:rPr>
                <w:rFonts w:eastAsia="Arial" w:cs="Arial"/>
              </w:rPr>
              <w:t>Qualitative semi-structured interviews; interpretative phenomenological analysis</w:t>
            </w:r>
          </w:p>
        </w:tc>
        <w:tc>
          <w:tcPr>
            <w:tcW w:w="2722" w:type="dxa"/>
          </w:tcPr>
          <w:p w14:paraId="601B6CFF" w14:textId="4370B647" w:rsidR="00870848" w:rsidRPr="004410BC" w:rsidRDefault="00870848" w:rsidP="00236C76">
            <w:pPr>
              <w:rPr>
                <w:rFonts w:eastAsia="Arial" w:cs="Arial"/>
              </w:rPr>
            </w:pPr>
            <w:r w:rsidRPr="004410BC">
              <w:rPr>
                <w:rFonts w:eastAsia="Arial" w:cs="Arial"/>
              </w:rPr>
              <w:t xml:space="preserve">Explore ethnic minority women’s experiences of specialist perinatal teams </w:t>
            </w:r>
          </w:p>
        </w:tc>
        <w:tc>
          <w:tcPr>
            <w:tcW w:w="3418" w:type="dxa"/>
          </w:tcPr>
          <w:p w14:paraId="17315505" w14:textId="36FE099B" w:rsidR="00870848" w:rsidRPr="004410BC" w:rsidRDefault="00870848" w:rsidP="00236C76">
            <w:pPr>
              <w:rPr>
                <w:rFonts w:eastAsia="Arial" w:cs="Arial"/>
              </w:rPr>
            </w:pPr>
            <w:r w:rsidRPr="004410BC">
              <w:rPr>
                <w:rFonts w:eastAsia="Arial" w:cs="Arial"/>
              </w:rPr>
              <w:t>Women valued peer and community support, cultural curiosity, acknowledgement of racism and flexible tailoring.</w:t>
            </w:r>
          </w:p>
        </w:tc>
      </w:tr>
      <w:tr w:rsidR="00870848" w:rsidRPr="004410BC" w14:paraId="1E04B042" w14:textId="77777777" w:rsidTr="00EF401E">
        <w:tc>
          <w:tcPr>
            <w:tcW w:w="1242" w:type="dxa"/>
          </w:tcPr>
          <w:p w14:paraId="7D60D232" w14:textId="77777777" w:rsidR="00870848" w:rsidRPr="004410BC" w:rsidRDefault="00870848" w:rsidP="00236C76">
            <w:pPr>
              <w:rPr>
                <w:rFonts w:eastAsia="Arial" w:cs="Arial"/>
              </w:rPr>
            </w:pPr>
            <w:r w:rsidRPr="004410BC">
              <w:rPr>
                <w:rFonts w:eastAsia="Arial" w:cs="Arial"/>
                <w:b/>
              </w:rPr>
              <w:t>Islam, Bailey and Netto (2024)</w:t>
            </w:r>
          </w:p>
        </w:tc>
        <w:tc>
          <w:tcPr>
            <w:tcW w:w="993" w:type="dxa"/>
          </w:tcPr>
          <w:p w14:paraId="066CC11A" w14:textId="77777777" w:rsidR="00870848" w:rsidRPr="004410BC" w:rsidRDefault="00870848" w:rsidP="00236C76">
            <w:pPr>
              <w:rPr>
                <w:rFonts w:eastAsia="Arial" w:cs="Arial"/>
              </w:rPr>
            </w:pPr>
            <w:r w:rsidRPr="004410BC">
              <w:rPr>
                <w:rFonts w:eastAsia="Arial" w:cs="Arial"/>
              </w:rPr>
              <w:t>Manchester, Bradford, Tower Hamlets and Glasgow</w:t>
            </w:r>
          </w:p>
        </w:tc>
        <w:tc>
          <w:tcPr>
            <w:tcW w:w="1842" w:type="dxa"/>
          </w:tcPr>
          <w:p w14:paraId="1538BC85" w14:textId="560DA1DA" w:rsidR="00870848" w:rsidRPr="004410BC" w:rsidRDefault="00870848" w:rsidP="00236C76">
            <w:pPr>
              <w:rPr>
                <w:rFonts w:eastAsia="Arial" w:cs="Arial"/>
              </w:rPr>
            </w:pPr>
            <w:r w:rsidRPr="004410BC">
              <w:rPr>
                <w:rFonts w:eastAsia="Arial" w:cs="Arial"/>
              </w:rPr>
              <w:t xml:space="preserve">100 Black African, Black Caribbean, Bangladeshi, Indian, Pakistani, Chinese </w:t>
            </w:r>
          </w:p>
        </w:tc>
        <w:tc>
          <w:tcPr>
            <w:tcW w:w="1843" w:type="dxa"/>
          </w:tcPr>
          <w:p w14:paraId="3CA4E507" w14:textId="77777777" w:rsidR="00870848" w:rsidRPr="004410BC" w:rsidRDefault="00870848" w:rsidP="00236C76">
            <w:pPr>
              <w:rPr>
                <w:rFonts w:eastAsia="Arial" w:cs="Arial"/>
              </w:rPr>
            </w:pPr>
            <w:r w:rsidRPr="004410BC">
              <w:rPr>
                <w:rFonts w:eastAsia="Arial" w:cs="Arial"/>
              </w:rPr>
              <w:t>Digital primary care/general practice across four UK sites</w:t>
            </w:r>
          </w:p>
        </w:tc>
        <w:tc>
          <w:tcPr>
            <w:tcW w:w="2268" w:type="dxa"/>
          </w:tcPr>
          <w:p w14:paraId="1CF3058D" w14:textId="77777777" w:rsidR="00870848" w:rsidRPr="004410BC" w:rsidRDefault="00870848" w:rsidP="00236C76">
            <w:pPr>
              <w:rPr>
                <w:rFonts w:eastAsia="Arial" w:cs="Arial"/>
              </w:rPr>
            </w:pPr>
            <w:r w:rsidRPr="004410BC">
              <w:rPr>
                <w:rFonts w:eastAsia="Arial" w:cs="Arial"/>
              </w:rPr>
              <w:t>Qualitative study using a critical realist intersectional approach</w:t>
            </w:r>
          </w:p>
        </w:tc>
        <w:tc>
          <w:tcPr>
            <w:tcW w:w="2722" w:type="dxa"/>
          </w:tcPr>
          <w:p w14:paraId="3228BB0E" w14:textId="77777777" w:rsidR="00870848" w:rsidRPr="004410BC" w:rsidRDefault="00870848" w:rsidP="00236C76">
            <w:pPr>
              <w:rPr>
                <w:rFonts w:eastAsia="Arial" w:cs="Arial"/>
              </w:rPr>
            </w:pPr>
            <w:r w:rsidRPr="004410BC">
              <w:rPr>
                <w:rFonts w:eastAsia="Arial" w:cs="Arial"/>
              </w:rPr>
              <w:t>Explore the impact of digitalisation on access to and use of primary care among minoritised ethnic communities</w:t>
            </w:r>
          </w:p>
        </w:tc>
        <w:tc>
          <w:tcPr>
            <w:tcW w:w="3418" w:type="dxa"/>
          </w:tcPr>
          <w:p w14:paraId="5F9CD0D7" w14:textId="6406FCCA" w:rsidR="00870848" w:rsidRPr="004410BC" w:rsidRDefault="00870848" w:rsidP="00236C76">
            <w:pPr>
              <w:rPr>
                <w:rFonts w:eastAsia="Arial" w:cs="Arial"/>
              </w:rPr>
            </w:pPr>
            <w:r w:rsidRPr="004410BC">
              <w:rPr>
                <w:rFonts w:eastAsia="Arial" w:cs="Arial"/>
              </w:rPr>
              <w:t xml:space="preserve">Digital precarity (devices, connectivity and literacy) interacted with language support and staff responses. </w:t>
            </w:r>
          </w:p>
        </w:tc>
      </w:tr>
      <w:tr w:rsidR="00870848" w:rsidRPr="004410BC" w14:paraId="000A4102" w14:textId="77777777" w:rsidTr="00EF401E">
        <w:tc>
          <w:tcPr>
            <w:tcW w:w="1242" w:type="dxa"/>
          </w:tcPr>
          <w:p w14:paraId="34EA99E3" w14:textId="77777777" w:rsidR="00870848" w:rsidRPr="004410BC" w:rsidRDefault="00870848" w:rsidP="00236C76">
            <w:pPr>
              <w:rPr>
                <w:rFonts w:eastAsia="Arial" w:cs="Arial"/>
              </w:rPr>
            </w:pPr>
            <w:r w:rsidRPr="004410BC">
              <w:rPr>
                <w:rFonts w:eastAsia="Arial" w:cs="Arial"/>
                <w:b/>
              </w:rPr>
              <w:t>Jovanović et al. (2025)</w:t>
            </w:r>
          </w:p>
        </w:tc>
        <w:tc>
          <w:tcPr>
            <w:tcW w:w="993" w:type="dxa"/>
          </w:tcPr>
          <w:p w14:paraId="271E5F00" w14:textId="77777777" w:rsidR="00870848" w:rsidRPr="004410BC" w:rsidRDefault="00870848" w:rsidP="00236C76">
            <w:pPr>
              <w:rPr>
                <w:rFonts w:eastAsia="Arial" w:cs="Arial"/>
              </w:rPr>
            </w:pPr>
            <w:r w:rsidRPr="004410BC">
              <w:rPr>
                <w:rFonts w:eastAsia="Arial" w:cs="Arial"/>
              </w:rPr>
              <w:t>UK</w:t>
            </w:r>
          </w:p>
        </w:tc>
        <w:tc>
          <w:tcPr>
            <w:tcW w:w="1842" w:type="dxa"/>
          </w:tcPr>
          <w:p w14:paraId="532F4C0E" w14:textId="76745FA7" w:rsidR="00870848" w:rsidRPr="004410BC" w:rsidRDefault="00870848" w:rsidP="00236C76">
            <w:pPr>
              <w:rPr>
                <w:rFonts w:eastAsia="Arial" w:cs="Arial"/>
              </w:rPr>
            </w:pPr>
            <w:r w:rsidRPr="004410BC">
              <w:rPr>
                <w:rFonts w:eastAsia="Arial" w:cs="Arial"/>
              </w:rPr>
              <w:t>23 Black and South Asian women with perinatal mental health difficulties PMHS</w:t>
            </w:r>
          </w:p>
        </w:tc>
        <w:tc>
          <w:tcPr>
            <w:tcW w:w="1843" w:type="dxa"/>
          </w:tcPr>
          <w:p w14:paraId="588592BF" w14:textId="77777777" w:rsidR="00870848" w:rsidRPr="004410BC" w:rsidRDefault="00870848" w:rsidP="00236C76">
            <w:pPr>
              <w:rPr>
                <w:rFonts w:eastAsia="Arial" w:cs="Arial"/>
              </w:rPr>
            </w:pPr>
            <w:r w:rsidRPr="004410BC">
              <w:rPr>
                <w:rFonts w:eastAsia="Arial" w:cs="Arial"/>
              </w:rPr>
              <w:t>Perinatal mental-health pathway and community recruitment</w:t>
            </w:r>
          </w:p>
        </w:tc>
        <w:tc>
          <w:tcPr>
            <w:tcW w:w="2268" w:type="dxa"/>
          </w:tcPr>
          <w:p w14:paraId="175B852D" w14:textId="77777777" w:rsidR="00870848" w:rsidRPr="004410BC" w:rsidRDefault="00870848" w:rsidP="00236C76">
            <w:pPr>
              <w:rPr>
                <w:rFonts w:eastAsia="Arial" w:cs="Arial"/>
              </w:rPr>
            </w:pPr>
            <w:r w:rsidRPr="004410BC">
              <w:rPr>
                <w:rFonts w:eastAsia="Arial" w:cs="Arial"/>
              </w:rPr>
              <w:t>Qualitative semi-structured interviews; framework method</w:t>
            </w:r>
          </w:p>
        </w:tc>
        <w:tc>
          <w:tcPr>
            <w:tcW w:w="2722" w:type="dxa"/>
          </w:tcPr>
          <w:p w14:paraId="2D10D662" w14:textId="7519F530" w:rsidR="00870848" w:rsidRPr="004410BC" w:rsidRDefault="00870848" w:rsidP="00236C76">
            <w:pPr>
              <w:rPr>
                <w:rFonts w:eastAsia="Arial" w:cs="Arial"/>
              </w:rPr>
            </w:pPr>
            <w:r w:rsidRPr="004410BC">
              <w:rPr>
                <w:rFonts w:eastAsia="Arial" w:cs="Arial"/>
              </w:rPr>
              <w:t>Explore barriers to perinatal mental</w:t>
            </w:r>
            <w:r w:rsidR="009C5CF6" w:rsidRPr="004410BC">
              <w:rPr>
                <w:rFonts w:eastAsia="Arial" w:cs="Arial"/>
              </w:rPr>
              <w:t xml:space="preserve"> </w:t>
            </w:r>
            <w:r w:rsidRPr="004410BC">
              <w:rPr>
                <w:rFonts w:eastAsia="Arial" w:cs="Arial"/>
              </w:rPr>
              <w:t>health service access and suggestions for improvement</w:t>
            </w:r>
          </w:p>
        </w:tc>
        <w:tc>
          <w:tcPr>
            <w:tcW w:w="3418" w:type="dxa"/>
          </w:tcPr>
          <w:p w14:paraId="79FD2891" w14:textId="3E49F490" w:rsidR="00870848" w:rsidRPr="004410BC" w:rsidRDefault="00870848" w:rsidP="00236C76">
            <w:pPr>
              <w:rPr>
                <w:rFonts w:eastAsia="Arial" w:cs="Arial"/>
              </w:rPr>
            </w:pPr>
            <w:r w:rsidRPr="004410BC">
              <w:rPr>
                <w:rFonts w:eastAsia="Arial" w:cs="Arial"/>
              </w:rPr>
              <w:t>Barriers included limited service awareness, stigma, fear of child removal</w:t>
            </w:r>
            <w:r w:rsidR="00014E7F" w:rsidRPr="004410BC">
              <w:rPr>
                <w:rFonts w:eastAsia="Arial" w:cs="Arial"/>
              </w:rPr>
              <w:t>,</w:t>
            </w:r>
            <w:r w:rsidRPr="004410BC">
              <w:rPr>
                <w:rFonts w:eastAsia="Arial" w:cs="Arial"/>
              </w:rPr>
              <w:t xml:space="preserve"> and service unresponsiveness. </w:t>
            </w:r>
          </w:p>
        </w:tc>
      </w:tr>
      <w:tr w:rsidR="00870848" w:rsidRPr="004410BC" w14:paraId="5086FD2B" w14:textId="77777777" w:rsidTr="00EF401E">
        <w:tc>
          <w:tcPr>
            <w:tcW w:w="1242" w:type="dxa"/>
          </w:tcPr>
          <w:p w14:paraId="246CA6CC" w14:textId="77777777" w:rsidR="00870848" w:rsidRPr="004410BC" w:rsidRDefault="00870848" w:rsidP="00236C76">
            <w:pPr>
              <w:rPr>
                <w:rFonts w:eastAsia="Arial" w:cs="Arial"/>
              </w:rPr>
            </w:pPr>
            <w:r w:rsidRPr="004410BC">
              <w:rPr>
                <w:rFonts w:eastAsia="Arial" w:cs="Arial"/>
                <w:b/>
              </w:rPr>
              <w:t>Linton et al. (2025)</w:t>
            </w:r>
          </w:p>
        </w:tc>
        <w:tc>
          <w:tcPr>
            <w:tcW w:w="993" w:type="dxa"/>
          </w:tcPr>
          <w:p w14:paraId="77479502" w14:textId="77777777" w:rsidR="00870848" w:rsidRPr="004410BC" w:rsidRDefault="00870848" w:rsidP="00236C76">
            <w:pPr>
              <w:rPr>
                <w:rFonts w:eastAsia="Arial" w:cs="Arial"/>
              </w:rPr>
            </w:pPr>
            <w:r w:rsidRPr="004410BC">
              <w:rPr>
                <w:rFonts w:eastAsia="Arial" w:cs="Arial"/>
              </w:rPr>
              <w:t>Sheffield, UK</w:t>
            </w:r>
          </w:p>
        </w:tc>
        <w:tc>
          <w:tcPr>
            <w:tcW w:w="1842" w:type="dxa"/>
          </w:tcPr>
          <w:p w14:paraId="102C5E59" w14:textId="77777777" w:rsidR="00870848" w:rsidRPr="004410BC" w:rsidRDefault="00870848" w:rsidP="00236C76">
            <w:pPr>
              <w:rPr>
                <w:rFonts w:eastAsia="Arial" w:cs="Arial"/>
              </w:rPr>
            </w:pPr>
            <w:r w:rsidRPr="004410BC">
              <w:rPr>
                <w:rFonts w:eastAsia="Arial" w:cs="Arial"/>
              </w:rPr>
              <w:t>36 women identifying as being from ethnic minority groups</w:t>
            </w:r>
          </w:p>
        </w:tc>
        <w:tc>
          <w:tcPr>
            <w:tcW w:w="1843" w:type="dxa"/>
          </w:tcPr>
          <w:p w14:paraId="112C301C" w14:textId="77777777" w:rsidR="00870848" w:rsidRPr="004410BC" w:rsidRDefault="00870848" w:rsidP="00236C76">
            <w:pPr>
              <w:rPr>
                <w:rFonts w:eastAsia="Arial" w:cs="Arial"/>
              </w:rPr>
            </w:pPr>
            <w:r w:rsidRPr="004410BC">
              <w:rPr>
                <w:rFonts w:eastAsia="Arial" w:cs="Arial"/>
              </w:rPr>
              <w:t>Community settings and contraceptive/reproductive healthcare context</w:t>
            </w:r>
          </w:p>
        </w:tc>
        <w:tc>
          <w:tcPr>
            <w:tcW w:w="2268" w:type="dxa"/>
          </w:tcPr>
          <w:p w14:paraId="673E695A" w14:textId="77777777" w:rsidR="00870848" w:rsidRPr="004410BC" w:rsidRDefault="00870848" w:rsidP="00236C76">
            <w:pPr>
              <w:rPr>
                <w:rFonts w:eastAsia="Arial" w:cs="Arial"/>
              </w:rPr>
            </w:pPr>
            <w:r w:rsidRPr="004410BC">
              <w:rPr>
                <w:rFonts w:eastAsia="Arial" w:cs="Arial"/>
              </w:rPr>
              <w:t>Participatory-action qualitative study using focus groups and interviews; thematic analysis</w:t>
            </w:r>
          </w:p>
        </w:tc>
        <w:tc>
          <w:tcPr>
            <w:tcW w:w="2722" w:type="dxa"/>
          </w:tcPr>
          <w:p w14:paraId="605C90F6" w14:textId="77777777" w:rsidR="00870848" w:rsidRPr="004410BC" w:rsidRDefault="00870848" w:rsidP="00236C76">
            <w:pPr>
              <w:rPr>
                <w:rFonts w:eastAsia="Arial" w:cs="Arial"/>
              </w:rPr>
            </w:pPr>
            <w:r w:rsidRPr="004410BC">
              <w:rPr>
                <w:rFonts w:eastAsia="Arial" w:cs="Arial"/>
              </w:rPr>
              <w:t>Understand ethnic minority women’s perspectives about contraception</w:t>
            </w:r>
          </w:p>
        </w:tc>
        <w:tc>
          <w:tcPr>
            <w:tcW w:w="3418" w:type="dxa"/>
          </w:tcPr>
          <w:p w14:paraId="5A322374" w14:textId="69869316" w:rsidR="00870848" w:rsidRPr="004410BC" w:rsidRDefault="00870848" w:rsidP="00236C76">
            <w:pPr>
              <w:rPr>
                <w:rFonts w:eastAsia="Arial" w:cs="Arial"/>
              </w:rPr>
            </w:pPr>
            <w:r w:rsidRPr="004410BC">
              <w:rPr>
                <w:rFonts w:eastAsia="Arial" w:cs="Arial"/>
              </w:rPr>
              <w:t xml:space="preserve">Partners, family, community, cultural and religious factors shaped access and choice alongside substantial individuality. </w:t>
            </w:r>
          </w:p>
        </w:tc>
      </w:tr>
      <w:tr w:rsidR="00870848" w:rsidRPr="004410BC" w14:paraId="3F8A70C9" w14:textId="77777777" w:rsidTr="00EF401E">
        <w:tc>
          <w:tcPr>
            <w:tcW w:w="1242" w:type="dxa"/>
          </w:tcPr>
          <w:p w14:paraId="65AB4744" w14:textId="77777777" w:rsidR="00870848" w:rsidRPr="004410BC" w:rsidRDefault="00870848" w:rsidP="00236C76">
            <w:pPr>
              <w:rPr>
                <w:rFonts w:eastAsia="Arial" w:cs="Arial"/>
              </w:rPr>
            </w:pPr>
            <w:r w:rsidRPr="004410BC">
              <w:rPr>
                <w:rFonts w:eastAsia="Arial" w:cs="Arial"/>
                <w:b/>
              </w:rPr>
              <w:t>Nelson et al. (2021)</w:t>
            </w:r>
          </w:p>
        </w:tc>
        <w:tc>
          <w:tcPr>
            <w:tcW w:w="993" w:type="dxa"/>
          </w:tcPr>
          <w:p w14:paraId="76D9E413" w14:textId="77777777" w:rsidR="00870848" w:rsidRPr="004410BC" w:rsidRDefault="00870848" w:rsidP="00236C76">
            <w:pPr>
              <w:rPr>
                <w:rFonts w:eastAsia="Arial" w:cs="Arial"/>
              </w:rPr>
            </w:pPr>
            <w:r w:rsidRPr="004410BC">
              <w:rPr>
                <w:rFonts w:eastAsia="Arial" w:cs="Arial"/>
              </w:rPr>
              <w:t>Scotland</w:t>
            </w:r>
          </w:p>
        </w:tc>
        <w:tc>
          <w:tcPr>
            <w:tcW w:w="1842" w:type="dxa"/>
          </w:tcPr>
          <w:p w14:paraId="200FAE15" w14:textId="6AC591ED" w:rsidR="00870848" w:rsidRPr="004410BC" w:rsidRDefault="00870848" w:rsidP="00236C76">
            <w:pPr>
              <w:rPr>
                <w:rFonts w:eastAsia="Arial" w:cs="Arial"/>
              </w:rPr>
            </w:pPr>
            <w:r w:rsidRPr="004410BC">
              <w:rPr>
                <w:rFonts w:eastAsia="Arial" w:cs="Arial"/>
              </w:rPr>
              <w:t>50 women from South Asian, East European, Chinese and Black African/Caribbean groups</w:t>
            </w:r>
          </w:p>
        </w:tc>
        <w:tc>
          <w:tcPr>
            <w:tcW w:w="1843" w:type="dxa"/>
          </w:tcPr>
          <w:p w14:paraId="149614CD" w14:textId="77777777" w:rsidR="00870848" w:rsidRPr="004410BC" w:rsidRDefault="00870848" w:rsidP="00236C76">
            <w:pPr>
              <w:rPr>
                <w:rFonts w:eastAsia="Arial" w:cs="Arial"/>
              </w:rPr>
            </w:pPr>
            <w:r w:rsidRPr="004410BC">
              <w:rPr>
                <w:rFonts w:eastAsia="Arial" w:cs="Arial"/>
              </w:rPr>
              <w:t>Cervical-screening and primary-care context</w:t>
            </w:r>
          </w:p>
        </w:tc>
        <w:tc>
          <w:tcPr>
            <w:tcW w:w="2268" w:type="dxa"/>
          </w:tcPr>
          <w:p w14:paraId="5CA8C6A6" w14:textId="77777777" w:rsidR="00870848" w:rsidRPr="004410BC" w:rsidRDefault="00870848" w:rsidP="00236C76">
            <w:pPr>
              <w:rPr>
                <w:rFonts w:eastAsia="Arial" w:cs="Arial"/>
              </w:rPr>
            </w:pPr>
            <w:r w:rsidRPr="004410BC">
              <w:rPr>
                <w:rFonts w:eastAsia="Arial" w:cs="Arial"/>
              </w:rPr>
              <w:t>Qualitative comparison-group study; semi-structured interviews and thematic analysis</w:t>
            </w:r>
          </w:p>
        </w:tc>
        <w:tc>
          <w:tcPr>
            <w:tcW w:w="2722" w:type="dxa"/>
          </w:tcPr>
          <w:p w14:paraId="51D9C7C3" w14:textId="387C1042" w:rsidR="00870848" w:rsidRPr="004410BC" w:rsidRDefault="00870848" w:rsidP="00236C76">
            <w:pPr>
              <w:rPr>
                <w:rFonts w:eastAsia="Arial" w:cs="Arial"/>
              </w:rPr>
            </w:pPr>
            <w:r w:rsidRPr="004410BC">
              <w:rPr>
                <w:rFonts w:eastAsia="Arial" w:cs="Arial"/>
              </w:rPr>
              <w:t>Explore cervical-screening participation/non-participation and identify opportunities</w:t>
            </w:r>
          </w:p>
        </w:tc>
        <w:tc>
          <w:tcPr>
            <w:tcW w:w="3418" w:type="dxa"/>
          </w:tcPr>
          <w:p w14:paraId="2AD16E8A" w14:textId="5934283D" w:rsidR="00870848" w:rsidRPr="004410BC" w:rsidRDefault="00870848" w:rsidP="00236C76">
            <w:pPr>
              <w:rPr>
                <w:rFonts w:eastAsia="Arial" w:cs="Arial"/>
              </w:rPr>
            </w:pPr>
            <w:r w:rsidRPr="004410BC">
              <w:rPr>
                <w:rFonts w:eastAsia="Arial" w:cs="Arial"/>
              </w:rPr>
              <w:t>Delayed introduction to screening, non-use of primary care, language difficulties, racism, ignorance and shame differed across groups</w:t>
            </w:r>
            <w:r w:rsidR="00603E07" w:rsidRPr="004410BC">
              <w:rPr>
                <w:rFonts w:eastAsia="Arial" w:cs="Arial"/>
              </w:rPr>
              <w:t>.</w:t>
            </w:r>
          </w:p>
        </w:tc>
      </w:tr>
      <w:tr w:rsidR="00870848" w:rsidRPr="004410BC" w14:paraId="68C90EBA" w14:textId="77777777" w:rsidTr="00EF401E">
        <w:tc>
          <w:tcPr>
            <w:tcW w:w="1242" w:type="dxa"/>
          </w:tcPr>
          <w:p w14:paraId="3D15A1E4" w14:textId="77777777" w:rsidR="00870848" w:rsidRPr="004410BC" w:rsidRDefault="00870848" w:rsidP="00236C76">
            <w:pPr>
              <w:rPr>
                <w:rFonts w:eastAsia="Arial" w:cs="Arial"/>
              </w:rPr>
            </w:pPr>
            <w:r w:rsidRPr="004410BC">
              <w:rPr>
                <w:rFonts w:eastAsia="Arial" w:cs="Arial"/>
                <w:b/>
              </w:rPr>
              <w:t>Pilav et al. (2022)</w:t>
            </w:r>
          </w:p>
        </w:tc>
        <w:tc>
          <w:tcPr>
            <w:tcW w:w="993" w:type="dxa"/>
          </w:tcPr>
          <w:p w14:paraId="01F07DA0" w14:textId="77777777" w:rsidR="00870848" w:rsidRPr="004410BC" w:rsidRDefault="00870848" w:rsidP="00236C76">
            <w:pPr>
              <w:rPr>
                <w:rFonts w:eastAsia="Arial" w:cs="Arial"/>
              </w:rPr>
            </w:pPr>
            <w:r w:rsidRPr="004410BC">
              <w:rPr>
                <w:rFonts w:eastAsia="Arial" w:cs="Arial"/>
              </w:rPr>
              <w:t>South London, UK</w:t>
            </w:r>
          </w:p>
        </w:tc>
        <w:tc>
          <w:tcPr>
            <w:tcW w:w="1842" w:type="dxa"/>
          </w:tcPr>
          <w:p w14:paraId="021015C8" w14:textId="77777777" w:rsidR="00870848" w:rsidRPr="004410BC" w:rsidRDefault="00870848" w:rsidP="00236C76">
            <w:pPr>
              <w:rPr>
                <w:rFonts w:eastAsia="Arial" w:cs="Arial"/>
              </w:rPr>
            </w:pPr>
            <w:r w:rsidRPr="004410BC">
              <w:rPr>
                <w:rFonts w:eastAsia="Arial" w:cs="Arial"/>
              </w:rPr>
              <w:t>18 minority ethnic women diagnosed with perinatal mental-health difficulties</w:t>
            </w:r>
          </w:p>
        </w:tc>
        <w:tc>
          <w:tcPr>
            <w:tcW w:w="1843" w:type="dxa"/>
          </w:tcPr>
          <w:p w14:paraId="3E20450B" w14:textId="77777777" w:rsidR="00870848" w:rsidRPr="004410BC" w:rsidRDefault="00870848" w:rsidP="00236C76">
            <w:pPr>
              <w:rPr>
                <w:rFonts w:eastAsia="Arial" w:cs="Arial"/>
              </w:rPr>
            </w:pPr>
            <w:r w:rsidRPr="004410BC">
              <w:rPr>
                <w:rFonts w:eastAsia="Arial" w:cs="Arial"/>
              </w:rPr>
              <w:t>Specialist community perinatal mental-health service</w:t>
            </w:r>
          </w:p>
        </w:tc>
        <w:tc>
          <w:tcPr>
            <w:tcW w:w="2268" w:type="dxa"/>
          </w:tcPr>
          <w:p w14:paraId="770587FC" w14:textId="77777777" w:rsidR="00870848" w:rsidRPr="004410BC" w:rsidRDefault="00870848" w:rsidP="00236C76">
            <w:pPr>
              <w:rPr>
                <w:rFonts w:eastAsia="Arial" w:cs="Arial"/>
              </w:rPr>
            </w:pPr>
            <w:r w:rsidRPr="004410BC">
              <w:rPr>
                <w:rFonts w:eastAsia="Arial" w:cs="Arial"/>
              </w:rPr>
              <w:t>Qualitative semi-structured interviews; reflexive thematic analysis</w:t>
            </w:r>
          </w:p>
        </w:tc>
        <w:tc>
          <w:tcPr>
            <w:tcW w:w="2722" w:type="dxa"/>
          </w:tcPr>
          <w:p w14:paraId="2A3ED4AC" w14:textId="1B10EA77" w:rsidR="00870848" w:rsidRPr="004410BC" w:rsidRDefault="00870848" w:rsidP="00236C76">
            <w:pPr>
              <w:rPr>
                <w:rFonts w:eastAsia="Arial" w:cs="Arial"/>
              </w:rPr>
            </w:pPr>
            <w:r w:rsidRPr="004410BC">
              <w:rPr>
                <w:rFonts w:eastAsia="Arial" w:cs="Arial"/>
              </w:rPr>
              <w:t>Explore minority ethnic women’s experiences of access to and engagement</w:t>
            </w:r>
          </w:p>
        </w:tc>
        <w:tc>
          <w:tcPr>
            <w:tcW w:w="3418" w:type="dxa"/>
          </w:tcPr>
          <w:p w14:paraId="4771835B" w14:textId="40F8924A" w:rsidR="00870848" w:rsidRPr="004410BC" w:rsidRDefault="00870848" w:rsidP="00236C76">
            <w:pPr>
              <w:rPr>
                <w:rFonts w:eastAsia="Arial" w:cs="Arial"/>
              </w:rPr>
            </w:pPr>
            <w:r w:rsidRPr="004410BC">
              <w:rPr>
                <w:rFonts w:eastAsia="Arial" w:cs="Arial"/>
              </w:rPr>
              <w:t>Shame, guilt, caregiving expectations, pressure to be strong, dismissal</w:t>
            </w:r>
            <w:r w:rsidR="009C5CF6" w:rsidRPr="004410BC">
              <w:rPr>
                <w:rFonts w:eastAsia="Arial" w:cs="Arial"/>
              </w:rPr>
              <w:t>,</w:t>
            </w:r>
            <w:r w:rsidRPr="004410BC">
              <w:rPr>
                <w:rFonts w:eastAsia="Arial" w:cs="Arial"/>
              </w:rPr>
              <w:t xml:space="preserve"> and family/community beliefs impeded engagement. </w:t>
            </w:r>
          </w:p>
        </w:tc>
      </w:tr>
      <w:tr w:rsidR="00870848" w:rsidRPr="004410BC" w14:paraId="31366806" w14:textId="77777777" w:rsidTr="00EF401E">
        <w:tc>
          <w:tcPr>
            <w:tcW w:w="1242" w:type="dxa"/>
          </w:tcPr>
          <w:p w14:paraId="0446D927" w14:textId="77777777" w:rsidR="00870848" w:rsidRPr="004410BC" w:rsidRDefault="00870848" w:rsidP="00236C76">
            <w:pPr>
              <w:rPr>
                <w:rFonts w:eastAsia="Arial" w:cs="Arial"/>
              </w:rPr>
            </w:pPr>
            <w:r w:rsidRPr="004410BC">
              <w:rPr>
                <w:rFonts w:eastAsia="Arial" w:cs="Arial"/>
                <w:b/>
              </w:rPr>
              <w:t>Ridge et al. (2025)</w:t>
            </w:r>
          </w:p>
        </w:tc>
        <w:tc>
          <w:tcPr>
            <w:tcW w:w="993" w:type="dxa"/>
          </w:tcPr>
          <w:p w14:paraId="2D057001" w14:textId="77777777" w:rsidR="00870848" w:rsidRPr="004410BC" w:rsidRDefault="00870848" w:rsidP="00236C76">
            <w:pPr>
              <w:rPr>
                <w:rFonts w:eastAsia="Arial" w:cs="Arial"/>
              </w:rPr>
            </w:pPr>
            <w:r w:rsidRPr="004410BC">
              <w:rPr>
                <w:rFonts w:eastAsia="Arial" w:cs="Arial"/>
              </w:rPr>
              <w:t>UK</w:t>
            </w:r>
          </w:p>
        </w:tc>
        <w:tc>
          <w:tcPr>
            <w:tcW w:w="1842" w:type="dxa"/>
          </w:tcPr>
          <w:p w14:paraId="44A6B11A" w14:textId="77777777" w:rsidR="00870848" w:rsidRPr="004410BC" w:rsidRDefault="00870848" w:rsidP="00236C76">
            <w:pPr>
              <w:rPr>
                <w:rFonts w:eastAsia="Arial" w:cs="Arial"/>
              </w:rPr>
            </w:pPr>
            <w:r w:rsidRPr="004410BC">
              <w:rPr>
                <w:rFonts w:eastAsia="Arial" w:cs="Arial"/>
              </w:rPr>
              <w:t>31 adults from diverse ethnic minority backgrounds living with Long Covid</w:t>
            </w:r>
          </w:p>
        </w:tc>
        <w:tc>
          <w:tcPr>
            <w:tcW w:w="1843" w:type="dxa"/>
          </w:tcPr>
          <w:p w14:paraId="49E50B03" w14:textId="77777777" w:rsidR="00870848" w:rsidRPr="004410BC" w:rsidRDefault="00870848" w:rsidP="00236C76">
            <w:pPr>
              <w:rPr>
                <w:rFonts w:eastAsia="Arial" w:cs="Arial"/>
              </w:rPr>
            </w:pPr>
            <w:r w:rsidRPr="004410BC">
              <w:rPr>
                <w:rFonts w:eastAsia="Arial" w:cs="Arial"/>
              </w:rPr>
              <w:t>NHS care, community and other support pathways; online interviews</w:t>
            </w:r>
          </w:p>
        </w:tc>
        <w:tc>
          <w:tcPr>
            <w:tcW w:w="2268" w:type="dxa"/>
          </w:tcPr>
          <w:p w14:paraId="72E44063" w14:textId="77777777" w:rsidR="00870848" w:rsidRPr="004410BC" w:rsidRDefault="00870848" w:rsidP="00236C76">
            <w:pPr>
              <w:rPr>
                <w:rFonts w:eastAsia="Arial" w:cs="Arial"/>
              </w:rPr>
            </w:pPr>
            <w:r w:rsidRPr="004410BC">
              <w:rPr>
                <w:rFonts w:eastAsia="Arial" w:cs="Arial"/>
              </w:rPr>
              <w:t>Qualitative semi-structured interviews; constant-comparison analysis</w:t>
            </w:r>
          </w:p>
        </w:tc>
        <w:tc>
          <w:tcPr>
            <w:tcW w:w="2722" w:type="dxa"/>
          </w:tcPr>
          <w:p w14:paraId="39870F0D" w14:textId="77777777" w:rsidR="00870848" w:rsidRPr="004410BC" w:rsidRDefault="00870848" w:rsidP="00236C76">
            <w:pPr>
              <w:rPr>
                <w:rFonts w:eastAsia="Arial" w:cs="Arial"/>
              </w:rPr>
            </w:pPr>
            <w:r w:rsidRPr="004410BC">
              <w:rPr>
                <w:rFonts w:eastAsia="Arial" w:cs="Arial"/>
              </w:rPr>
              <w:t>Investigate Long Covid experiences and the interaction with structural vulnerabilities</w:t>
            </w:r>
          </w:p>
        </w:tc>
        <w:tc>
          <w:tcPr>
            <w:tcW w:w="3418" w:type="dxa"/>
          </w:tcPr>
          <w:p w14:paraId="0D592D95" w14:textId="72FF98F1" w:rsidR="00870848" w:rsidRPr="004410BC" w:rsidRDefault="00870848" w:rsidP="00236C76">
            <w:pPr>
              <w:rPr>
                <w:rFonts w:eastAsia="Arial" w:cs="Arial"/>
              </w:rPr>
            </w:pPr>
            <w:r w:rsidRPr="004410BC">
              <w:rPr>
                <w:rFonts w:eastAsia="Arial" w:cs="Arial"/>
              </w:rPr>
              <w:t xml:space="preserve">Participants reported medical ambivalence, care denial and increased suffering, although professional and community recognition was possible. </w:t>
            </w:r>
          </w:p>
        </w:tc>
      </w:tr>
      <w:tr w:rsidR="00870848" w:rsidRPr="004410BC" w14:paraId="1028CC60" w14:textId="77777777" w:rsidTr="00EF401E">
        <w:tc>
          <w:tcPr>
            <w:tcW w:w="1242" w:type="dxa"/>
          </w:tcPr>
          <w:p w14:paraId="0F417F2E" w14:textId="77777777" w:rsidR="00870848" w:rsidRPr="004410BC" w:rsidRDefault="00870848" w:rsidP="00236C76">
            <w:pPr>
              <w:rPr>
                <w:rFonts w:eastAsia="Arial" w:cs="Arial"/>
              </w:rPr>
            </w:pPr>
            <w:r w:rsidRPr="004410BC">
              <w:rPr>
                <w:rFonts w:eastAsia="Arial" w:cs="Arial"/>
                <w:b/>
              </w:rPr>
              <w:t>Robinson et al. (2021)</w:t>
            </w:r>
          </w:p>
        </w:tc>
        <w:tc>
          <w:tcPr>
            <w:tcW w:w="993" w:type="dxa"/>
          </w:tcPr>
          <w:p w14:paraId="5EB8C8BF" w14:textId="77777777" w:rsidR="00870848" w:rsidRPr="004410BC" w:rsidRDefault="00870848" w:rsidP="00236C76">
            <w:pPr>
              <w:rPr>
                <w:rFonts w:eastAsia="Arial" w:cs="Arial"/>
              </w:rPr>
            </w:pPr>
            <w:r w:rsidRPr="004410BC">
              <w:rPr>
                <w:rFonts w:eastAsia="Arial" w:cs="Arial"/>
              </w:rPr>
              <w:t>United Kingdom</w:t>
            </w:r>
          </w:p>
        </w:tc>
        <w:tc>
          <w:tcPr>
            <w:tcW w:w="1842" w:type="dxa"/>
          </w:tcPr>
          <w:p w14:paraId="71FA3AB3" w14:textId="77777777" w:rsidR="00870848" w:rsidRPr="004410BC" w:rsidRDefault="00870848" w:rsidP="00236C76">
            <w:pPr>
              <w:rPr>
                <w:rFonts w:eastAsia="Arial" w:cs="Arial"/>
              </w:rPr>
            </w:pPr>
            <w:r w:rsidRPr="004410BC">
              <w:rPr>
                <w:rFonts w:eastAsia="Arial" w:cs="Arial"/>
              </w:rPr>
              <w:t>18 healthcare professionals across medicine, pharmacy and dentistry</w:t>
            </w:r>
          </w:p>
        </w:tc>
        <w:tc>
          <w:tcPr>
            <w:tcW w:w="1843" w:type="dxa"/>
          </w:tcPr>
          <w:p w14:paraId="27AAD3C6" w14:textId="77777777" w:rsidR="00870848" w:rsidRPr="004410BC" w:rsidRDefault="00870848" w:rsidP="00236C76">
            <w:pPr>
              <w:rPr>
                <w:rFonts w:eastAsia="Arial" w:cs="Arial"/>
              </w:rPr>
            </w:pPr>
            <w:r w:rsidRPr="004410BC">
              <w:rPr>
                <w:rFonts w:eastAsia="Arial" w:cs="Arial"/>
              </w:rPr>
              <w:t>Primary, secondary and tertiary medicine-related services</w:t>
            </w:r>
          </w:p>
        </w:tc>
        <w:tc>
          <w:tcPr>
            <w:tcW w:w="2268" w:type="dxa"/>
          </w:tcPr>
          <w:p w14:paraId="5F8B1863" w14:textId="77777777" w:rsidR="00870848" w:rsidRPr="004410BC" w:rsidRDefault="00870848" w:rsidP="00236C76">
            <w:pPr>
              <w:rPr>
                <w:rFonts w:eastAsia="Arial" w:cs="Arial"/>
              </w:rPr>
            </w:pPr>
            <w:r w:rsidRPr="004410BC">
              <w:rPr>
                <w:rFonts w:eastAsia="Arial" w:cs="Arial"/>
              </w:rPr>
              <w:t>Qualitative semi-structured interviews; reflexive thematic analysis</w:t>
            </w:r>
          </w:p>
        </w:tc>
        <w:tc>
          <w:tcPr>
            <w:tcW w:w="2722" w:type="dxa"/>
          </w:tcPr>
          <w:p w14:paraId="76337669" w14:textId="75B7F2DE" w:rsidR="00870848" w:rsidRPr="004410BC" w:rsidRDefault="00870848" w:rsidP="00236C76">
            <w:pPr>
              <w:rPr>
                <w:rFonts w:eastAsia="Arial" w:cs="Arial"/>
              </w:rPr>
            </w:pPr>
            <w:r w:rsidRPr="004410BC">
              <w:rPr>
                <w:rFonts w:eastAsia="Arial" w:cs="Arial"/>
              </w:rPr>
              <w:t xml:space="preserve">Explore professional views of barriers and facilitators to ethnic minority patients’ access </w:t>
            </w:r>
          </w:p>
        </w:tc>
        <w:tc>
          <w:tcPr>
            <w:tcW w:w="3418" w:type="dxa"/>
          </w:tcPr>
          <w:p w14:paraId="2F52A24A" w14:textId="68433793" w:rsidR="00870848" w:rsidRPr="004410BC" w:rsidRDefault="00870848" w:rsidP="00236C76">
            <w:pPr>
              <w:rPr>
                <w:rFonts w:eastAsia="Arial" w:cs="Arial"/>
              </w:rPr>
            </w:pPr>
            <w:r w:rsidRPr="004410BC">
              <w:rPr>
                <w:rFonts w:eastAsia="Arial" w:cs="Arial"/>
              </w:rPr>
              <w:t>Patient expectations, cultural stigma, communication/language needs, interpreter availability, appointment time and service</w:t>
            </w:r>
            <w:r w:rsidR="00603E07" w:rsidRPr="004410BC">
              <w:rPr>
                <w:rFonts w:eastAsia="Arial" w:cs="Arial"/>
              </w:rPr>
              <w:t>.</w:t>
            </w:r>
          </w:p>
        </w:tc>
      </w:tr>
      <w:tr w:rsidR="00870848" w:rsidRPr="004410BC" w14:paraId="094CC911" w14:textId="77777777" w:rsidTr="00EF401E">
        <w:tc>
          <w:tcPr>
            <w:tcW w:w="1242" w:type="dxa"/>
          </w:tcPr>
          <w:p w14:paraId="08352A0A" w14:textId="77777777" w:rsidR="00870848" w:rsidRPr="004410BC" w:rsidRDefault="00870848" w:rsidP="00236C76">
            <w:pPr>
              <w:rPr>
                <w:rFonts w:eastAsia="Arial" w:cs="Arial"/>
              </w:rPr>
            </w:pPr>
            <w:r w:rsidRPr="004410BC">
              <w:rPr>
                <w:rFonts w:eastAsia="Arial" w:cs="Arial"/>
                <w:b/>
              </w:rPr>
              <w:t>Robinson et al. (2022)</w:t>
            </w:r>
          </w:p>
        </w:tc>
        <w:tc>
          <w:tcPr>
            <w:tcW w:w="993" w:type="dxa"/>
          </w:tcPr>
          <w:p w14:paraId="7A9A66B8" w14:textId="77777777" w:rsidR="00870848" w:rsidRPr="004410BC" w:rsidRDefault="00870848" w:rsidP="00236C76">
            <w:pPr>
              <w:rPr>
                <w:rFonts w:eastAsia="Arial" w:cs="Arial"/>
              </w:rPr>
            </w:pPr>
            <w:r w:rsidRPr="004410BC">
              <w:rPr>
                <w:rFonts w:eastAsia="Arial" w:cs="Arial"/>
              </w:rPr>
              <w:t>North East England</w:t>
            </w:r>
          </w:p>
        </w:tc>
        <w:tc>
          <w:tcPr>
            <w:tcW w:w="1842" w:type="dxa"/>
          </w:tcPr>
          <w:p w14:paraId="10639DAD" w14:textId="19F5960D" w:rsidR="00870848" w:rsidRPr="004410BC" w:rsidRDefault="00870848" w:rsidP="00236C76">
            <w:pPr>
              <w:rPr>
                <w:rFonts w:eastAsia="Arial" w:cs="Arial"/>
              </w:rPr>
            </w:pPr>
            <w:r w:rsidRPr="004410BC">
              <w:rPr>
                <w:rFonts w:eastAsia="Arial" w:cs="Arial"/>
              </w:rPr>
              <w:t>20 ethnic minority adults taking regular medicines, including UK citizens</w:t>
            </w:r>
          </w:p>
        </w:tc>
        <w:tc>
          <w:tcPr>
            <w:tcW w:w="1843" w:type="dxa"/>
          </w:tcPr>
          <w:p w14:paraId="58A4C100" w14:textId="36380A5C" w:rsidR="00870848" w:rsidRPr="004410BC" w:rsidRDefault="00870848" w:rsidP="00236C76">
            <w:pPr>
              <w:rPr>
                <w:rFonts w:eastAsia="Arial" w:cs="Arial"/>
              </w:rPr>
            </w:pPr>
            <w:r w:rsidRPr="004410BC">
              <w:rPr>
                <w:rFonts w:eastAsia="Arial" w:cs="Arial"/>
              </w:rPr>
              <w:t xml:space="preserve">Medication-review services, general practice </w:t>
            </w:r>
          </w:p>
        </w:tc>
        <w:tc>
          <w:tcPr>
            <w:tcW w:w="2268" w:type="dxa"/>
          </w:tcPr>
          <w:p w14:paraId="438CFDF5" w14:textId="77777777" w:rsidR="00870848" w:rsidRPr="004410BC" w:rsidRDefault="00870848" w:rsidP="00236C76">
            <w:pPr>
              <w:rPr>
                <w:rFonts w:eastAsia="Arial" w:cs="Arial"/>
              </w:rPr>
            </w:pPr>
            <w:r w:rsidRPr="004410BC">
              <w:rPr>
                <w:rFonts w:eastAsia="Arial" w:cs="Arial"/>
              </w:rPr>
              <w:t>Qualitative semi-structured interviews; reflexive thematic analysis</w:t>
            </w:r>
          </w:p>
        </w:tc>
        <w:tc>
          <w:tcPr>
            <w:tcW w:w="2722" w:type="dxa"/>
          </w:tcPr>
          <w:p w14:paraId="12F77B7F" w14:textId="77777777" w:rsidR="00870848" w:rsidRPr="004410BC" w:rsidRDefault="00870848" w:rsidP="00236C76">
            <w:pPr>
              <w:rPr>
                <w:rFonts w:eastAsia="Arial" w:cs="Arial"/>
              </w:rPr>
            </w:pPr>
            <w:r w:rsidRPr="004410BC">
              <w:rPr>
                <w:rFonts w:eastAsia="Arial" w:cs="Arial"/>
              </w:rPr>
              <w:t>Explore medication-review barriers and facilitators from ethnic minority community perspectives</w:t>
            </w:r>
          </w:p>
        </w:tc>
        <w:tc>
          <w:tcPr>
            <w:tcW w:w="3418" w:type="dxa"/>
          </w:tcPr>
          <w:p w14:paraId="3B49624C" w14:textId="146A98F3" w:rsidR="00870848" w:rsidRPr="004410BC" w:rsidRDefault="00870848" w:rsidP="00236C76">
            <w:pPr>
              <w:rPr>
                <w:rFonts w:eastAsia="Arial" w:cs="Arial"/>
              </w:rPr>
            </w:pPr>
            <w:r w:rsidRPr="004410BC">
              <w:rPr>
                <w:rFonts w:eastAsia="Arial" w:cs="Arial"/>
              </w:rPr>
              <w:t>Limited knowledge of reviews, service-delivery issues and lived circumstances constrained engagement. Interpreters, peer/community support</w:t>
            </w:r>
            <w:r w:rsidR="00603E07" w:rsidRPr="004410BC">
              <w:rPr>
                <w:rFonts w:eastAsia="Arial" w:cs="Arial"/>
              </w:rPr>
              <w:t>.</w:t>
            </w:r>
          </w:p>
        </w:tc>
      </w:tr>
      <w:tr w:rsidR="00870848" w:rsidRPr="004410BC" w14:paraId="2B75F291" w14:textId="77777777" w:rsidTr="00EF401E">
        <w:tc>
          <w:tcPr>
            <w:tcW w:w="1242" w:type="dxa"/>
          </w:tcPr>
          <w:p w14:paraId="61CA4147" w14:textId="77777777" w:rsidR="00870848" w:rsidRPr="004410BC" w:rsidRDefault="00870848" w:rsidP="00236C76">
            <w:pPr>
              <w:rPr>
                <w:rFonts w:eastAsia="Arial" w:cs="Arial"/>
              </w:rPr>
            </w:pPr>
            <w:r w:rsidRPr="004410BC">
              <w:rPr>
                <w:rFonts w:eastAsia="Arial" w:cs="Arial"/>
                <w:b/>
              </w:rPr>
              <w:t>Small et al. (2024)</w:t>
            </w:r>
          </w:p>
        </w:tc>
        <w:tc>
          <w:tcPr>
            <w:tcW w:w="993" w:type="dxa"/>
          </w:tcPr>
          <w:p w14:paraId="27373229" w14:textId="77777777" w:rsidR="00870848" w:rsidRPr="004410BC" w:rsidRDefault="00870848" w:rsidP="00236C76">
            <w:pPr>
              <w:rPr>
                <w:rFonts w:eastAsia="Arial" w:cs="Arial"/>
              </w:rPr>
            </w:pPr>
            <w:r w:rsidRPr="004410BC">
              <w:rPr>
                <w:rFonts w:eastAsia="Arial" w:cs="Arial"/>
              </w:rPr>
              <w:t>England</w:t>
            </w:r>
          </w:p>
        </w:tc>
        <w:tc>
          <w:tcPr>
            <w:tcW w:w="1842" w:type="dxa"/>
          </w:tcPr>
          <w:p w14:paraId="0B8C21EB" w14:textId="77777777" w:rsidR="00870848" w:rsidRPr="004410BC" w:rsidRDefault="00870848" w:rsidP="00236C76">
            <w:pPr>
              <w:rPr>
                <w:rFonts w:eastAsia="Arial" w:cs="Arial"/>
              </w:rPr>
            </w:pPr>
            <w:r w:rsidRPr="004410BC">
              <w:rPr>
                <w:rFonts w:eastAsia="Arial" w:cs="Arial"/>
              </w:rPr>
              <w:t>37 participants from Indian, Pakistani and/or Bangladeshi backgrounds</w:t>
            </w:r>
          </w:p>
        </w:tc>
        <w:tc>
          <w:tcPr>
            <w:tcW w:w="1843" w:type="dxa"/>
          </w:tcPr>
          <w:p w14:paraId="19FDF1BD" w14:textId="69A5AE5C" w:rsidR="00870848" w:rsidRPr="004410BC" w:rsidRDefault="00870848" w:rsidP="00236C76">
            <w:pPr>
              <w:rPr>
                <w:rFonts w:eastAsia="Arial" w:cs="Arial"/>
              </w:rPr>
            </w:pPr>
            <w:r w:rsidRPr="004410BC">
              <w:rPr>
                <w:rFonts w:eastAsia="Arial" w:cs="Arial"/>
              </w:rPr>
              <w:t xml:space="preserve">General-practice access; </w:t>
            </w:r>
          </w:p>
        </w:tc>
        <w:tc>
          <w:tcPr>
            <w:tcW w:w="2268" w:type="dxa"/>
          </w:tcPr>
          <w:p w14:paraId="3E2FB06F" w14:textId="77777777" w:rsidR="00870848" w:rsidRPr="004410BC" w:rsidRDefault="00870848" w:rsidP="00236C76">
            <w:pPr>
              <w:rPr>
                <w:rFonts w:eastAsia="Arial" w:cs="Arial"/>
              </w:rPr>
            </w:pPr>
            <w:r w:rsidRPr="004410BC">
              <w:rPr>
                <w:rFonts w:eastAsia="Arial" w:cs="Arial"/>
              </w:rPr>
              <w:t>Qualitative study; thematic analysis</w:t>
            </w:r>
          </w:p>
        </w:tc>
        <w:tc>
          <w:tcPr>
            <w:tcW w:w="2722" w:type="dxa"/>
          </w:tcPr>
          <w:p w14:paraId="469064D2" w14:textId="77777777" w:rsidR="00870848" w:rsidRPr="004410BC" w:rsidRDefault="00870848" w:rsidP="00236C76">
            <w:pPr>
              <w:rPr>
                <w:rFonts w:eastAsia="Arial" w:cs="Arial"/>
              </w:rPr>
            </w:pPr>
            <w:r w:rsidRPr="004410BC">
              <w:rPr>
                <w:rFonts w:eastAsia="Arial" w:cs="Arial"/>
              </w:rPr>
              <w:t>Explore South Asian patients’ experiences and preferences regarding primary care since COVID-19.</w:t>
            </w:r>
          </w:p>
        </w:tc>
        <w:tc>
          <w:tcPr>
            <w:tcW w:w="3418" w:type="dxa"/>
          </w:tcPr>
          <w:p w14:paraId="2C78A59B" w14:textId="587A5F45" w:rsidR="00870848" w:rsidRPr="004410BC" w:rsidRDefault="00870848" w:rsidP="00236C76">
            <w:pPr>
              <w:rPr>
                <w:rFonts w:eastAsia="Arial" w:cs="Arial"/>
              </w:rPr>
            </w:pPr>
            <w:r w:rsidRPr="004410BC">
              <w:rPr>
                <w:rFonts w:eastAsia="Arial" w:cs="Arial"/>
              </w:rPr>
              <w:t xml:space="preserve">Remote-led care was associated with reduced access and choice and quality/safety concerns, especially with limited English proficiency. </w:t>
            </w:r>
          </w:p>
        </w:tc>
      </w:tr>
    </w:tbl>
    <w:p w14:paraId="37E5530F" w14:textId="77777777" w:rsidR="00870848" w:rsidRPr="004410BC" w:rsidRDefault="00870848" w:rsidP="00236C76">
      <w:pPr>
        <w:rPr>
          <w:rFonts w:cs="Arial"/>
        </w:rPr>
        <w:sectPr w:rsidR="00870848" w:rsidRPr="004410BC" w:rsidSect="00870848">
          <w:pgSz w:w="16838" w:h="11906" w:orient="landscape" w:code="9"/>
          <w:pgMar w:top="1440" w:right="1440" w:bottom="1440" w:left="1440" w:header="720" w:footer="720" w:gutter="0"/>
          <w:cols w:space="720"/>
          <w:docGrid w:linePitch="360"/>
        </w:sectPr>
      </w:pPr>
    </w:p>
    <w:p w14:paraId="73B02935" w14:textId="77777777" w:rsidR="00870848" w:rsidRPr="004410BC" w:rsidRDefault="00870848" w:rsidP="00236C76">
      <w:pPr>
        <w:pStyle w:val="Heading2"/>
        <w:rPr>
          <w:rFonts w:cs="Arial"/>
        </w:rPr>
      </w:pPr>
      <w:bookmarkStart w:id="267" w:name="_Toc237213865"/>
      <w:bookmarkStart w:id="268" w:name="_Toc238290246"/>
      <w:bookmarkStart w:id="269" w:name="_Toc240724889"/>
      <w:r w:rsidRPr="004410BC">
        <w:rPr>
          <w:rFonts w:cs="Arial"/>
        </w:rPr>
        <w:t>4.3 Health Inequalities Experienced by Ethnic Minority Groups in Accessing Primary Healthcare</w:t>
      </w:r>
      <w:bookmarkEnd w:id="267"/>
      <w:bookmarkEnd w:id="268"/>
      <w:bookmarkEnd w:id="269"/>
    </w:p>
    <w:p w14:paraId="4829D063" w14:textId="6F4C02BC" w:rsidR="00870848" w:rsidRPr="004410BC" w:rsidRDefault="00870848" w:rsidP="00236C76">
      <w:pPr>
        <w:spacing w:after="120"/>
        <w:rPr>
          <w:rFonts w:eastAsia="Arial" w:cs="Arial"/>
        </w:rPr>
      </w:pPr>
      <w:r w:rsidRPr="004410BC">
        <w:rPr>
          <w:rFonts w:eastAsia="Arial" w:cs="Arial"/>
        </w:rPr>
        <w:t>For</w:t>
      </w:r>
      <w:r w:rsidR="00D82AEF" w:rsidRPr="004410BC">
        <w:rPr>
          <w:rFonts w:eastAsia="Arial" w:cs="Arial"/>
        </w:rPr>
        <w:t xml:space="preserve"> achieving the</w:t>
      </w:r>
      <w:r w:rsidRPr="004410BC">
        <w:rPr>
          <w:rFonts w:eastAsia="Arial" w:cs="Arial"/>
        </w:rPr>
        <w:t xml:space="preserve"> first objective</w:t>
      </w:r>
      <w:r w:rsidR="00D82AEF" w:rsidRPr="004410BC">
        <w:rPr>
          <w:rFonts w:eastAsia="Arial" w:cs="Arial"/>
        </w:rPr>
        <w:t xml:space="preserve"> of this study</w:t>
      </w:r>
      <w:r w:rsidRPr="004410BC">
        <w:rPr>
          <w:rFonts w:eastAsia="Arial" w:cs="Arial"/>
        </w:rPr>
        <w:t xml:space="preserve">, there was evidence that inequality was not limited to being able to get an appointment. Differences emerged in the level of utilisation of healthcare services, preventive and routine care, choice of care, perceived safety, trust and recognition. </w:t>
      </w:r>
    </w:p>
    <w:p w14:paraId="072C42CE" w14:textId="77777777" w:rsidR="00870848" w:rsidRPr="004410BC" w:rsidRDefault="00870848" w:rsidP="00236C76">
      <w:pPr>
        <w:pStyle w:val="Heading3"/>
        <w:rPr>
          <w:rFonts w:eastAsia="MS Gothic" w:cs="Arial"/>
        </w:rPr>
      </w:pPr>
      <w:bookmarkStart w:id="270" w:name="_Toc237213866"/>
      <w:bookmarkStart w:id="271" w:name="_Toc238290247"/>
      <w:bookmarkStart w:id="272" w:name="_Toc240724890"/>
      <w:r w:rsidRPr="004410BC">
        <w:rPr>
          <w:rFonts w:eastAsia="MS Gothic" w:cs="Arial"/>
        </w:rPr>
        <w:t>4.3.1 Theme 1: Unequal patterns of healthcare access and utilisation</w:t>
      </w:r>
      <w:bookmarkEnd w:id="270"/>
      <w:bookmarkEnd w:id="271"/>
      <w:bookmarkEnd w:id="272"/>
    </w:p>
    <w:p w14:paraId="480B8E56" w14:textId="7DECBD37" w:rsidR="00870848" w:rsidRPr="004410BC" w:rsidRDefault="00870848" w:rsidP="00236C76">
      <w:pPr>
        <w:spacing w:after="120"/>
        <w:rPr>
          <w:rFonts w:eastAsia="Arial" w:cs="Arial"/>
        </w:rPr>
      </w:pPr>
      <w:r w:rsidRPr="004410BC">
        <w:rPr>
          <w:rFonts w:eastAsia="Arial" w:cs="Arial"/>
        </w:rPr>
        <w:t>Population</w:t>
      </w:r>
      <w:r w:rsidR="009C5CF6" w:rsidRPr="004410BC">
        <w:rPr>
          <w:rFonts w:eastAsia="Arial" w:cs="Arial"/>
        </w:rPr>
        <w:t>-</w:t>
      </w:r>
      <w:r w:rsidRPr="004410BC">
        <w:rPr>
          <w:rFonts w:eastAsia="Arial" w:cs="Arial"/>
        </w:rPr>
        <w:t xml:space="preserve">level evidence showed that there was no consistent pattern of healthcare contact. </w:t>
      </w:r>
      <w:r w:rsidR="00A55B04" w:rsidRPr="004410BC">
        <w:rPr>
          <w:rFonts w:eastAsia="Arial" w:cs="Arial"/>
        </w:rPr>
        <w:t>T</w:t>
      </w:r>
      <w:r w:rsidRPr="004410BC">
        <w:rPr>
          <w:rFonts w:eastAsia="Arial" w:cs="Arial"/>
        </w:rPr>
        <w:t>his study identified that the GP consultation rates among Black and Asian children were higher than those among White children, although the outpatient attendance was lower for Black children (Coughlan et al. 202</w:t>
      </w:r>
      <w:r w:rsidR="002E0C82" w:rsidRPr="004410BC">
        <w:rPr>
          <w:rFonts w:eastAsia="Arial" w:cs="Arial"/>
        </w:rPr>
        <w:t>1</w:t>
      </w:r>
      <w:r w:rsidRPr="004410BC">
        <w:rPr>
          <w:rFonts w:eastAsia="Arial" w:cs="Arial"/>
        </w:rPr>
        <w:t>). Scheduled care and emergency service use w</w:t>
      </w:r>
      <w:r w:rsidR="009C5CF6" w:rsidRPr="004410BC">
        <w:rPr>
          <w:rFonts w:eastAsia="Arial" w:cs="Arial"/>
        </w:rPr>
        <w:t>ere</w:t>
      </w:r>
      <w:r w:rsidRPr="004410BC">
        <w:rPr>
          <w:rFonts w:eastAsia="Arial" w:cs="Arial"/>
        </w:rPr>
        <w:t xml:space="preserve"> also lower for children in the most deprived areas. Similar to Atherton et al. (2024), all ethnic minority groups were less likely to know about online appointment booking than White patients, and Black and Other ethnic groups were less likely to use online appointment booking compared to White patients, whilst Asian and Mixed groups were not consistently under-represented in terms of use.</w:t>
      </w:r>
    </w:p>
    <w:p w14:paraId="7E60473D" w14:textId="51A9D178" w:rsidR="00870848" w:rsidRPr="004410BC" w:rsidRDefault="00870848" w:rsidP="00236C76">
      <w:pPr>
        <w:spacing w:after="120"/>
        <w:rPr>
          <w:rFonts w:eastAsia="Arial" w:cs="Arial"/>
        </w:rPr>
      </w:pPr>
      <w:r w:rsidRPr="004410BC">
        <w:rPr>
          <w:rFonts w:eastAsia="Arial" w:cs="Arial"/>
        </w:rPr>
        <w:t xml:space="preserve">In addition, qualitative evidence was provided of the ways in which service design could change access despite the services being officially available. Small et al. (2024) found that access and choice were decreased under remote-led primary care, and increased access was more challenging for patients from the South Asian community who have limited English proficiency. During the rapid digitalisation </w:t>
      </w:r>
      <w:r w:rsidR="009C5CF6" w:rsidRPr="004410BC">
        <w:rPr>
          <w:rFonts w:eastAsia="Arial" w:cs="Arial"/>
        </w:rPr>
        <w:t>during</w:t>
      </w:r>
      <w:r w:rsidRPr="004410BC">
        <w:rPr>
          <w:rFonts w:eastAsia="Arial" w:cs="Arial"/>
        </w:rPr>
        <w:t xml:space="preserve"> COVID-19, similar issues have been reported by Ekezie et al. (2022), where the use of telephone communication was used instead of face-to-face interaction. The studies as a whole suggest that a higher number of healthcare contacts is not necessarily equitable access to healthcare. The high GP uptake score, low levels of planned contact and specialist contact, and the unequal levels of digital awareness suggest a need to look at access along the pathway, and by subgroup, rather than, and in addition to, one utilisation measure.</w:t>
      </w:r>
    </w:p>
    <w:p w14:paraId="4E99F2BC" w14:textId="77777777" w:rsidR="00870848" w:rsidRPr="004410BC" w:rsidRDefault="00870848" w:rsidP="00236C76">
      <w:pPr>
        <w:pStyle w:val="Heading3"/>
        <w:rPr>
          <w:rFonts w:eastAsia="MS Gothic" w:cs="Arial"/>
        </w:rPr>
      </w:pPr>
      <w:bookmarkStart w:id="273" w:name="_Toc237213867"/>
      <w:bookmarkStart w:id="274" w:name="_Toc238290248"/>
      <w:bookmarkStart w:id="275" w:name="_Toc240724891"/>
      <w:r w:rsidRPr="004410BC">
        <w:rPr>
          <w:rFonts w:eastAsia="MS Gothic" w:cs="Arial"/>
        </w:rPr>
        <w:t>4.3.2 Theme 2: Inequalities in preventive, routine and condition-specific care</w:t>
      </w:r>
      <w:bookmarkEnd w:id="273"/>
      <w:bookmarkEnd w:id="274"/>
      <w:bookmarkEnd w:id="275"/>
    </w:p>
    <w:p w14:paraId="0301EEA4" w14:textId="77DE337B" w:rsidR="00870848" w:rsidRPr="004410BC" w:rsidRDefault="00870848" w:rsidP="00236C76">
      <w:pPr>
        <w:spacing w:after="120"/>
        <w:rPr>
          <w:rFonts w:eastAsia="Arial" w:cs="Arial"/>
        </w:rPr>
      </w:pPr>
      <w:r w:rsidRPr="004410BC">
        <w:rPr>
          <w:rFonts w:eastAsia="Arial" w:cs="Arial"/>
        </w:rPr>
        <w:t>Gaps in preventive services and gaps in condition-specific services were also reported as inequalities. Some minority ethnic women were not participating in cervical screening, which was influenced by difficulties in language, competing responsibilities, racism, lack of knowledge</w:t>
      </w:r>
      <w:r w:rsidR="009C5CF6" w:rsidRPr="004410BC">
        <w:rPr>
          <w:rFonts w:eastAsia="Arial" w:cs="Arial"/>
        </w:rPr>
        <w:t>,</w:t>
      </w:r>
      <w:r w:rsidRPr="004410BC">
        <w:rPr>
          <w:rFonts w:eastAsia="Arial" w:cs="Arial"/>
        </w:rPr>
        <w:t xml:space="preserve"> and embarrassment (Nelson et al., 2021). Some of the ethnic minority participants were unaware of the possibility of medication reviews and service delivery arrangements, and personal circumstances further reduced engagement Robinson et al., 2022). The results identify inequality before as well as after the provision of services, as the service can be provided while it is not visible, acceptable</w:t>
      </w:r>
      <w:r w:rsidR="009C5CF6" w:rsidRPr="004410BC">
        <w:rPr>
          <w:rFonts w:eastAsia="Arial" w:cs="Arial"/>
        </w:rPr>
        <w:t>,</w:t>
      </w:r>
      <w:r w:rsidRPr="004410BC">
        <w:rPr>
          <w:rFonts w:eastAsia="Arial" w:cs="Arial"/>
        </w:rPr>
        <w:t xml:space="preserve"> or practically accessible.</w:t>
      </w:r>
    </w:p>
    <w:p w14:paraId="7C2CC2F8" w14:textId="2269F4B0" w:rsidR="00870848" w:rsidRPr="004410BC" w:rsidRDefault="00870848" w:rsidP="00236C76">
      <w:pPr>
        <w:spacing w:after="120"/>
        <w:rPr>
          <w:rFonts w:eastAsia="Arial" w:cs="Arial"/>
        </w:rPr>
      </w:pPr>
      <w:r w:rsidRPr="004410BC">
        <w:rPr>
          <w:rFonts w:eastAsia="Arial" w:cs="Arial"/>
        </w:rPr>
        <w:t>Eccles et al. (2025) also found that Black and Asian women reported less use of HRT, in the context of community silence, mistrust</w:t>
      </w:r>
      <w:r w:rsidR="009C5CF6" w:rsidRPr="004410BC">
        <w:rPr>
          <w:rFonts w:eastAsia="Arial" w:cs="Arial"/>
        </w:rPr>
        <w:t>,</w:t>
      </w:r>
      <w:r w:rsidRPr="004410BC">
        <w:rPr>
          <w:rFonts w:eastAsia="Arial" w:cs="Arial"/>
        </w:rPr>
        <w:t xml:space="preserve"> and a lack of representation and concerns about stereotyping in the care of menopause. Linton et al. (2025) demonstrated that partners, families, communities, and religious issues and preferences influenced contraceptive access and decision-making. It turns out then that all of the studies converge on the importance of awareness and acceptability, but do not offer any single explanation for this feature in terms of culture. Preventive inequality emerged as a result of various mixes of communication, social expectations, service relationships and personal circumstances, and the large intra-group variability reported by Linton et al. (2025) highlights the need to be mindful of a range of needs within ethnic groups.</w:t>
      </w:r>
    </w:p>
    <w:p w14:paraId="5C40A98B" w14:textId="77777777" w:rsidR="00870848" w:rsidRPr="004410BC" w:rsidRDefault="00870848" w:rsidP="00236C76">
      <w:pPr>
        <w:pStyle w:val="Heading3"/>
        <w:rPr>
          <w:rFonts w:eastAsia="MS Gothic" w:cs="Arial"/>
        </w:rPr>
      </w:pPr>
      <w:bookmarkStart w:id="276" w:name="_Toc237213868"/>
      <w:bookmarkStart w:id="277" w:name="_Toc238290249"/>
      <w:bookmarkStart w:id="278" w:name="_Toc240724892"/>
      <w:r w:rsidRPr="004410BC">
        <w:rPr>
          <w:rFonts w:eastAsia="MS Gothic" w:cs="Arial"/>
        </w:rPr>
        <w:t>4.3.3 Theme 3: Inequalities in quality, safety, trust and recognition</w:t>
      </w:r>
      <w:bookmarkEnd w:id="276"/>
      <w:bookmarkEnd w:id="277"/>
      <w:bookmarkEnd w:id="278"/>
    </w:p>
    <w:p w14:paraId="37B5173B" w14:textId="761C5769" w:rsidR="00870848" w:rsidRPr="004410BC" w:rsidRDefault="00870848" w:rsidP="00236C76">
      <w:pPr>
        <w:spacing w:after="120"/>
        <w:rPr>
          <w:rFonts w:eastAsia="Arial" w:cs="Arial"/>
        </w:rPr>
      </w:pPr>
      <w:r w:rsidRPr="004410BC">
        <w:rPr>
          <w:rFonts w:eastAsia="Arial" w:cs="Arial"/>
        </w:rPr>
        <w:t>Patients' inequalit</w:t>
      </w:r>
      <w:r w:rsidR="009C5CF6" w:rsidRPr="004410BC">
        <w:rPr>
          <w:rFonts w:eastAsia="Arial" w:cs="Arial"/>
        </w:rPr>
        <w:t>ies</w:t>
      </w:r>
      <w:r w:rsidRPr="004410BC">
        <w:rPr>
          <w:rFonts w:eastAsia="Arial" w:cs="Arial"/>
        </w:rPr>
        <w:t xml:space="preserve"> did not improve once they went into care. Small et al. (2024) reported that some participants from the South Asian region found remote consultations </w:t>
      </w:r>
      <w:r w:rsidR="009C5CF6" w:rsidRPr="004410BC">
        <w:rPr>
          <w:rFonts w:eastAsia="Arial" w:cs="Arial"/>
        </w:rPr>
        <w:t xml:space="preserve">to be </w:t>
      </w:r>
      <w:r w:rsidRPr="004410BC">
        <w:rPr>
          <w:rFonts w:eastAsia="Arial" w:cs="Arial"/>
        </w:rPr>
        <w:t>of lower quality and less safe, with some participants having limited English proficiency, leading to a lack of communication and non-verbal cues being lost. Ridge et al</w:t>
      </w:r>
      <w:r w:rsidR="009C5CF6" w:rsidRPr="004410BC">
        <w:rPr>
          <w:rFonts w:eastAsia="Arial" w:cs="Arial"/>
        </w:rPr>
        <w:t>.</w:t>
      </w:r>
      <w:r w:rsidRPr="004410BC">
        <w:rPr>
          <w:rFonts w:eastAsia="Arial" w:cs="Arial"/>
        </w:rPr>
        <w:t xml:space="preserve"> (2025) found the recognition, disbelief, and medical care denial among ethnic minority individuals diagnosed with Long Covid to be variable; they termed this as “medical ambivalence” and noted that it is one more source of suffering. Similarly, Eccles et al. (2025) highlighted mistrust of health care providers, issues of being underrepresented</w:t>
      </w:r>
      <w:r w:rsidR="009C5CF6" w:rsidRPr="004410BC">
        <w:rPr>
          <w:rFonts w:eastAsia="Arial" w:cs="Arial"/>
        </w:rPr>
        <w:t>,</w:t>
      </w:r>
      <w:r w:rsidRPr="004410BC">
        <w:rPr>
          <w:rFonts w:eastAsia="Arial" w:cs="Arial"/>
        </w:rPr>
        <w:t xml:space="preserve"> and fear of stereotyping among black and Asian women who consult their GP for menopause care.</w:t>
      </w:r>
    </w:p>
    <w:p w14:paraId="39491531" w14:textId="323E7835" w:rsidR="00870848" w:rsidRPr="004410BC" w:rsidRDefault="00870848" w:rsidP="00236C76">
      <w:pPr>
        <w:spacing w:after="120"/>
        <w:rPr>
          <w:rFonts w:eastAsia="Arial" w:cs="Arial"/>
        </w:rPr>
      </w:pPr>
      <w:r w:rsidRPr="004410BC">
        <w:rPr>
          <w:rFonts w:eastAsia="Arial" w:cs="Arial"/>
        </w:rPr>
        <w:t>But there were no universal negative experiences. Pilav et al. (2022) reported both dismissal and instances when validation, reassurance</w:t>
      </w:r>
      <w:r w:rsidR="009C5CF6" w:rsidRPr="004410BC">
        <w:rPr>
          <w:rFonts w:eastAsia="Arial" w:cs="Arial"/>
        </w:rPr>
        <w:t>,</w:t>
      </w:r>
      <w:r w:rsidRPr="004410BC">
        <w:rPr>
          <w:rFonts w:eastAsia="Arial" w:cs="Arial"/>
        </w:rPr>
        <w:t xml:space="preserve"> and cultural understanding helped to engage people in perinatal mental healthcare. Similarly, cultural curiosity, recognition of race and racism, community support</w:t>
      </w:r>
      <w:r w:rsidR="00014E7F" w:rsidRPr="004410BC">
        <w:rPr>
          <w:rFonts w:eastAsia="Arial" w:cs="Arial"/>
        </w:rPr>
        <w:t>,</w:t>
      </w:r>
      <w:r w:rsidRPr="004410BC">
        <w:rPr>
          <w:rFonts w:eastAsia="Arial" w:cs="Arial"/>
        </w:rPr>
        <w:t xml:space="preserve"> and culturally responsive care were associated with being heard and supported by Gardner et al. (2024). It is analytically significant that this is a contrast that depicts that ethnicity does not predetermine a poor encounter. Although structural and organisational barriers to care may be present, the quality of communication and professional attitudes towards patients can shape their experience. Objective one was thus achieved by the evidence of inequalities across various dimensions and across various contexts, but not in any access deficit.</w:t>
      </w:r>
    </w:p>
    <w:p w14:paraId="43BEBBB6" w14:textId="77777777" w:rsidR="00870848" w:rsidRPr="004410BC" w:rsidRDefault="00870848" w:rsidP="00236C76">
      <w:pPr>
        <w:pStyle w:val="Heading2"/>
        <w:rPr>
          <w:rFonts w:eastAsia="MS Gothic" w:cs="Arial"/>
        </w:rPr>
      </w:pPr>
      <w:bookmarkStart w:id="279" w:name="_Toc237213869"/>
      <w:bookmarkStart w:id="280" w:name="_Toc238290250"/>
      <w:bookmarkStart w:id="281" w:name="_Toc240724893"/>
      <w:r w:rsidRPr="004410BC">
        <w:rPr>
          <w:rFonts w:eastAsia="MS Gothic" w:cs="Arial"/>
        </w:rPr>
        <w:t>4.4 Main Barriers Affecting Access to Primary Healthcare</w:t>
      </w:r>
      <w:bookmarkEnd w:id="279"/>
      <w:bookmarkEnd w:id="280"/>
      <w:bookmarkEnd w:id="281"/>
    </w:p>
    <w:p w14:paraId="073416D4" w14:textId="4EBF93DE" w:rsidR="00870848" w:rsidRPr="004410BC" w:rsidRDefault="00870848" w:rsidP="00236C76">
      <w:pPr>
        <w:spacing w:after="120"/>
        <w:rPr>
          <w:rFonts w:eastAsia="Arial" w:cs="Arial"/>
        </w:rPr>
      </w:pPr>
      <w:r w:rsidRPr="004410BC">
        <w:rPr>
          <w:rFonts w:eastAsia="Arial" w:cs="Arial"/>
        </w:rPr>
        <w:t xml:space="preserve">The second task identified 3 groups of barriers which were strongly recurring: language and health communication; culture, stigma, discrimination and mistrust; and digital or organisational barriers. </w:t>
      </w:r>
    </w:p>
    <w:p w14:paraId="745C7118" w14:textId="77777777" w:rsidR="00870848" w:rsidRPr="004410BC" w:rsidRDefault="00870848" w:rsidP="00236C76">
      <w:pPr>
        <w:pStyle w:val="Heading3"/>
        <w:rPr>
          <w:rFonts w:eastAsia="MS Gothic" w:cs="Arial"/>
        </w:rPr>
      </w:pPr>
      <w:bookmarkStart w:id="282" w:name="_Toc237213870"/>
      <w:bookmarkStart w:id="283" w:name="_Toc238290251"/>
      <w:bookmarkStart w:id="284" w:name="_Toc240724894"/>
      <w:r w:rsidRPr="004410BC">
        <w:rPr>
          <w:rFonts w:eastAsia="MS Gothic" w:cs="Arial"/>
        </w:rPr>
        <w:t>4.4.1 Theme 1: Language, communication and health information barriers</w:t>
      </w:r>
      <w:bookmarkEnd w:id="282"/>
      <w:bookmarkEnd w:id="283"/>
      <w:bookmarkEnd w:id="284"/>
    </w:p>
    <w:p w14:paraId="196B9AC2" w14:textId="1E980934" w:rsidR="00870848" w:rsidRPr="004410BC" w:rsidRDefault="00870848" w:rsidP="00236C76">
      <w:pPr>
        <w:spacing w:after="120"/>
        <w:rPr>
          <w:rFonts w:eastAsia="Arial" w:cs="Arial"/>
        </w:rPr>
      </w:pPr>
      <w:r w:rsidRPr="004410BC">
        <w:rPr>
          <w:rFonts w:eastAsia="Arial" w:cs="Arial"/>
        </w:rPr>
        <w:t>One of the areas of most obvious consensus was language and communication barriers. Language was also identified as the biggest contribution to communication during the pandemic by Ekezie et al. (2022), particularly for Somali and South Asian participants who engaged in remote consultations. There was also limited clarity, inconsistency, and lack of community-tailored information, which reduced trust and promoted the use of informal information sources. Small et al</w:t>
      </w:r>
      <w:r w:rsidR="009C5CF6" w:rsidRPr="004410BC">
        <w:rPr>
          <w:rFonts w:eastAsia="Arial" w:cs="Arial"/>
        </w:rPr>
        <w:t>.</w:t>
      </w:r>
      <w:r w:rsidRPr="004410BC">
        <w:rPr>
          <w:rFonts w:eastAsia="Arial" w:cs="Arial"/>
        </w:rPr>
        <w:t xml:space="preserve"> (2024) noted that limited English proficiency also impacted telephone access, digital routes</w:t>
      </w:r>
      <w:r w:rsidR="009C5CF6" w:rsidRPr="004410BC">
        <w:rPr>
          <w:rFonts w:eastAsia="Arial" w:cs="Arial"/>
        </w:rPr>
        <w:t>,</w:t>
      </w:r>
      <w:r w:rsidRPr="004410BC">
        <w:rPr>
          <w:rFonts w:eastAsia="Arial" w:cs="Arial"/>
        </w:rPr>
        <w:t xml:space="preserve"> and clinical communication, and Robinson et al</w:t>
      </w:r>
      <w:r w:rsidR="009C5CF6" w:rsidRPr="004410BC">
        <w:rPr>
          <w:rFonts w:eastAsia="Arial" w:cs="Arial"/>
        </w:rPr>
        <w:t>.</w:t>
      </w:r>
      <w:r w:rsidRPr="004410BC">
        <w:rPr>
          <w:rFonts w:eastAsia="Arial" w:cs="Arial"/>
        </w:rPr>
        <w:t xml:space="preserve"> (2021) stated that medic</w:t>
      </w:r>
      <w:r w:rsidR="009C5CF6" w:rsidRPr="004410BC">
        <w:rPr>
          <w:rFonts w:eastAsia="Arial" w:cs="Arial"/>
        </w:rPr>
        <w:t>ation</w:t>
      </w:r>
      <w:r w:rsidRPr="004410BC">
        <w:rPr>
          <w:rFonts w:eastAsia="Arial" w:cs="Arial"/>
        </w:rPr>
        <w:t xml:space="preserve"> reviews might be limited due to the lack of an interpreter and when the appointment time was too short.</w:t>
      </w:r>
    </w:p>
    <w:p w14:paraId="501CD3D3" w14:textId="36E8C4D2" w:rsidR="00870848" w:rsidRPr="004410BC" w:rsidRDefault="00870848" w:rsidP="00236C76">
      <w:pPr>
        <w:spacing w:after="120"/>
        <w:rPr>
          <w:rFonts w:eastAsia="Arial" w:cs="Arial"/>
        </w:rPr>
      </w:pPr>
      <w:r w:rsidRPr="004410BC">
        <w:rPr>
          <w:rFonts w:eastAsia="Arial" w:cs="Arial"/>
        </w:rPr>
        <w:t>Furthermore, there was evidence of a greater level of inequality in communication than in literal translation. Robinson et al. (2022) found that low engagement with the medication review service was related to a lack of awareness about the service, and Robinson et al. (2021) pointed out that family interpreting may not be suitable for intimate or sensitive conversations. Atherton et al. (2024) also illustrated an awareness gap prior to even using digital appointment booking. In each of these studies, barriers were identified at various informational stages</w:t>
      </w:r>
      <w:r w:rsidR="005B31F8" w:rsidRPr="004410BC">
        <w:rPr>
          <w:rFonts w:eastAsia="Arial" w:cs="Arial"/>
        </w:rPr>
        <w:t>:</w:t>
      </w:r>
      <w:r w:rsidRPr="004410BC">
        <w:rPr>
          <w:rFonts w:eastAsia="Arial" w:cs="Arial"/>
        </w:rPr>
        <w:t xml:space="preserve"> awareness of the availability of a service, knowledge about how to reach it, health needs description, knowledge of clinical information, continuing engagement. This convergence reinforces the argument that communication is a language access and/or an organisational access problem.</w:t>
      </w:r>
    </w:p>
    <w:p w14:paraId="7CF72D33" w14:textId="77777777" w:rsidR="00870848" w:rsidRPr="004410BC" w:rsidRDefault="00870848" w:rsidP="00236C76">
      <w:pPr>
        <w:pStyle w:val="Heading3"/>
        <w:rPr>
          <w:rFonts w:eastAsia="MS Gothic" w:cs="Arial"/>
        </w:rPr>
      </w:pPr>
      <w:bookmarkStart w:id="285" w:name="_Toc237213871"/>
      <w:bookmarkStart w:id="286" w:name="_Toc238290252"/>
      <w:bookmarkStart w:id="287" w:name="_Toc240724895"/>
      <w:r w:rsidRPr="004410BC">
        <w:rPr>
          <w:rFonts w:eastAsia="MS Gothic" w:cs="Arial"/>
        </w:rPr>
        <w:t>4.4.2 Theme 2: Culture, stigma, discrimination and mistrust</w:t>
      </w:r>
      <w:bookmarkEnd w:id="285"/>
      <w:bookmarkEnd w:id="286"/>
      <w:bookmarkEnd w:id="287"/>
    </w:p>
    <w:p w14:paraId="318DFEC8" w14:textId="73DF98A4" w:rsidR="00870848" w:rsidRPr="004410BC" w:rsidRDefault="00870848" w:rsidP="00236C76">
      <w:pPr>
        <w:spacing w:after="120"/>
        <w:rPr>
          <w:rFonts w:eastAsia="Arial" w:cs="Arial"/>
        </w:rPr>
      </w:pPr>
      <w:r w:rsidRPr="004410BC">
        <w:rPr>
          <w:rFonts w:eastAsia="Arial" w:cs="Arial"/>
        </w:rPr>
        <w:t xml:space="preserve">Cultural </w:t>
      </w:r>
      <w:r w:rsidR="00176F80" w:rsidRPr="004410BC">
        <w:rPr>
          <w:rFonts w:eastAsia="Arial" w:cs="Arial"/>
        </w:rPr>
        <w:t xml:space="preserve">and </w:t>
      </w:r>
      <w:r w:rsidRPr="004410BC">
        <w:rPr>
          <w:rFonts w:eastAsia="Arial" w:cs="Arial"/>
        </w:rPr>
        <w:t>relational issues were most prominent in women's health and mental-health pathways. Pilav et al. (2022) discovered shame, guilt, wom</w:t>
      </w:r>
      <w:r w:rsidR="009C5CF6" w:rsidRPr="004410BC">
        <w:rPr>
          <w:rFonts w:eastAsia="Arial" w:cs="Arial"/>
        </w:rPr>
        <w:t>e</w:t>
      </w:r>
      <w:r w:rsidRPr="004410BC">
        <w:rPr>
          <w:rFonts w:eastAsia="Arial" w:cs="Arial"/>
        </w:rPr>
        <w:t>n as caregiver expectations, pressure to be strong, and dismissal. Jovanović et al. (2025) identified</w:t>
      </w:r>
      <w:r w:rsidR="009C5CF6" w:rsidRPr="004410BC">
        <w:rPr>
          <w:rFonts w:eastAsia="Arial" w:cs="Arial"/>
        </w:rPr>
        <w:t>,</w:t>
      </w:r>
      <w:r w:rsidRPr="004410BC">
        <w:rPr>
          <w:rFonts w:eastAsia="Arial" w:cs="Arial"/>
        </w:rPr>
        <w:t xml:space="preserve"> amongst women who had suffered from mental ill health during the perinatal period but had not received any specialist services, limited awareness, stigma, fear of removal of their children, and dissatisfaction with service responsiveness, which were to a large extent experienced by Black women and South Asian women. Additionally, cultural stigma and differences in expectations were cited as barriers in the field of medicine-related services by Robinson et al. (2021).</w:t>
      </w:r>
    </w:p>
    <w:p w14:paraId="2F73FEDF" w14:textId="1656C765" w:rsidR="00870848" w:rsidRPr="004410BC" w:rsidRDefault="00870848" w:rsidP="00236C76">
      <w:pPr>
        <w:spacing w:after="120"/>
        <w:rPr>
          <w:rFonts w:eastAsia="Arial" w:cs="Arial"/>
        </w:rPr>
      </w:pPr>
      <w:r w:rsidRPr="004410BC">
        <w:rPr>
          <w:rFonts w:eastAsia="Arial" w:cs="Arial"/>
        </w:rPr>
        <w:t>However, culture was not always conveyed as something that is immutable and characteristic of ethnic minority communities. While highlighting the importance of family, community, cultural</w:t>
      </w:r>
      <w:r w:rsidR="009C5CF6" w:rsidRPr="004410BC">
        <w:rPr>
          <w:rFonts w:eastAsia="Arial" w:cs="Arial"/>
        </w:rPr>
        <w:t>,</w:t>
      </w:r>
      <w:r w:rsidRPr="004410BC">
        <w:rPr>
          <w:rFonts w:eastAsia="Arial" w:cs="Arial"/>
        </w:rPr>
        <w:t xml:space="preserve"> and religious factors </w:t>
      </w:r>
      <w:r w:rsidR="009C5CF6" w:rsidRPr="004410BC">
        <w:rPr>
          <w:rFonts w:eastAsia="Arial" w:cs="Arial"/>
        </w:rPr>
        <w:t>i</w:t>
      </w:r>
      <w:r w:rsidRPr="004410BC">
        <w:rPr>
          <w:rFonts w:eastAsia="Arial" w:cs="Arial"/>
        </w:rPr>
        <w:t>n contraception, Linton et al. (2025) also stressed individuality. According to Gardner et al. (2024), the participants expressed their appreciation for the cultural curiosity of professionals because it refrained from making assumptions about what culture was for each woman. Eccles et al. (2025) associated the silence in the community with institutional mistrust, concerns about representation and stereotyping, and Nelson et al. (2021) racism and shame and shared concerns about practical pressures across ethnicities. Thus, the synthesis suggests that culture, stigma, discrimination and mistrust are interrelated and cannot be combined into a simplistic explanation of behaviour.</w:t>
      </w:r>
    </w:p>
    <w:p w14:paraId="10057E0B" w14:textId="77777777" w:rsidR="00870848" w:rsidRPr="004410BC" w:rsidRDefault="00870848" w:rsidP="00236C76">
      <w:pPr>
        <w:pStyle w:val="Heading3"/>
        <w:rPr>
          <w:rFonts w:eastAsia="MS Gothic" w:cs="Arial"/>
        </w:rPr>
      </w:pPr>
      <w:bookmarkStart w:id="288" w:name="_Toc237213872"/>
      <w:bookmarkStart w:id="289" w:name="_Toc238290253"/>
      <w:bookmarkStart w:id="290" w:name="_Toc240724896"/>
      <w:r w:rsidRPr="004410BC">
        <w:rPr>
          <w:rFonts w:eastAsia="MS Gothic" w:cs="Arial"/>
        </w:rPr>
        <w:t>4.4.3 Theme 3: Digital exclusion and organisational barriers</w:t>
      </w:r>
      <w:bookmarkEnd w:id="288"/>
      <w:bookmarkEnd w:id="289"/>
      <w:bookmarkEnd w:id="290"/>
    </w:p>
    <w:p w14:paraId="3DC114FB" w14:textId="5B8E3F54" w:rsidR="00870848" w:rsidRPr="004410BC" w:rsidRDefault="00870848" w:rsidP="00236C76">
      <w:pPr>
        <w:spacing w:after="120"/>
        <w:rPr>
          <w:rFonts w:eastAsia="Arial" w:cs="Arial"/>
        </w:rPr>
      </w:pPr>
      <w:r w:rsidRPr="004410BC">
        <w:rPr>
          <w:rFonts w:eastAsia="Arial" w:cs="Arial"/>
        </w:rPr>
        <w:t>One of the major access problems in the present time</w:t>
      </w:r>
      <w:r w:rsidR="009C5CF6" w:rsidRPr="004410BC">
        <w:rPr>
          <w:rFonts w:eastAsia="Arial" w:cs="Arial"/>
        </w:rPr>
        <w:t xml:space="preserve"> i</w:t>
      </w:r>
      <w:r w:rsidRPr="004410BC">
        <w:rPr>
          <w:rFonts w:eastAsia="Arial" w:cs="Arial"/>
        </w:rPr>
        <w:t>s digitalisation. Inadequate devices, internet connection and digital literacy, in conjunction with language support and staff responsiveness, are what Islam, Bailey and Netto (2024) referred to as “digital precarity”. Similarly, the awareness and use of online booking was found to differ by ethnicity, deprivation, age, long-term conditions</w:t>
      </w:r>
      <w:r w:rsidR="009C5CF6" w:rsidRPr="004410BC">
        <w:rPr>
          <w:rFonts w:eastAsia="Arial" w:cs="Arial"/>
        </w:rPr>
        <w:t>,</w:t>
      </w:r>
      <w:r w:rsidRPr="004410BC">
        <w:rPr>
          <w:rFonts w:eastAsia="Arial" w:cs="Arial"/>
        </w:rPr>
        <w:t xml:space="preserve"> and general practice registered with (Atherton et al., 2024). Ekezie et al. (2022) reported that the shift to remote communication in the COVID-19 situation exacerbated pre-existing language and access challenges.</w:t>
      </w:r>
    </w:p>
    <w:p w14:paraId="334EC8BC" w14:textId="1062BAA3" w:rsidR="00870848" w:rsidRPr="004410BC" w:rsidRDefault="00870848" w:rsidP="00236C76">
      <w:pPr>
        <w:spacing w:after="120"/>
        <w:rPr>
          <w:rFonts w:eastAsia="Arial" w:cs="Arial"/>
        </w:rPr>
      </w:pPr>
      <w:r w:rsidRPr="004410BC">
        <w:rPr>
          <w:rFonts w:eastAsia="Arial" w:cs="Arial"/>
        </w:rPr>
        <w:t>Likewise, digital routings were enabling or exclusionary based on the organi</w:t>
      </w:r>
      <w:r w:rsidR="00F81824" w:rsidRPr="004410BC">
        <w:rPr>
          <w:rFonts w:eastAsia="Arial" w:cs="Arial"/>
        </w:rPr>
        <w:t>s</w:t>
      </w:r>
      <w:r w:rsidRPr="004410BC">
        <w:rPr>
          <w:rFonts w:eastAsia="Arial" w:cs="Arial"/>
        </w:rPr>
        <w:t>ational arrangements. Small et al. (2024) reported appointment-availability issues, decreased choice, and limited access to preferred face-to-face appointments. Both Jovanović et al. (2025) and Robinson et al. (2022) identified service-delivery arrangements as part of medication-review accessibility, and saw that both remote appointments and mask-wearing impacted communication across the perinatal pathway. The evidence is thus inconclusive as to the independent impact of technology. Digital systems either built up or brought down barriers related to language, material resources, staff practices, availability of appointments, and whether alternate routes were available.</w:t>
      </w:r>
    </w:p>
    <w:p w14:paraId="7077AF2F" w14:textId="77777777" w:rsidR="00870848" w:rsidRPr="004410BC" w:rsidRDefault="00870848" w:rsidP="00236C76">
      <w:pPr>
        <w:pStyle w:val="Heading2"/>
        <w:rPr>
          <w:rFonts w:eastAsia="MS Gothic" w:cs="Arial"/>
        </w:rPr>
      </w:pPr>
      <w:bookmarkStart w:id="291" w:name="_Toc237213873"/>
      <w:bookmarkStart w:id="292" w:name="_Toc238290254"/>
      <w:bookmarkStart w:id="293" w:name="_Toc240724897"/>
      <w:r w:rsidRPr="004410BC">
        <w:rPr>
          <w:rFonts w:eastAsia="MS Gothic" w:cs="Arial"/>
        </w:rPr>
        <w:t>4.5 Effects on Service Use, Patient Experience and Health Outcomes</w:t>
      </w:r>
      <w:bookmarkEnd w:id="291"/>
      <w:bookmarkEnd w:id="292"/>
      <w:bookmarkEnd w:id="293"/>
    </w:p>
    <w:p w14:paraId="3A888494" w14:textId="7970BBF9" w:rsidR="00870848" w:rsidRPr="004410BC" w:rsidRDefault="00EF401E" w:rsidP="00236C76">
      <w:pPr>
        <w:spacing w:after="120"/>
        <w:rPr>
          <w:rFonts w:eastAsia="Arial" w:cs="Arial"/>
        </w:rPr>
      </w:pPr>
      <w:r w:rsidRPr="004410BC">
        <w:rPr>
          <w:rFonts w:eastAsia="Arial" w:cs="Arial"/>
        </w:rPr>
        <w:t>T</w:t>
      </w:r>
      <w:r w:rsidR="00870848" w:rsidRPr="004410BC">
        <w:rPr>
          <w:rFonts w:eastAsia="Arial" w:cs="Arial"/>
        </w:rPr>
        <w:t xml:space="preserve">he third objective looked at what occurred when such barriers were encountered. The most powerful evidence related to the timing, path and quality of service use and patient experience. </w:t>
      </w:r>
    </w:p>
    <w:p w14:paraId="2252E7D3" w14:textId="77777777" w:rsidR="00870848" w:rsidRPr="004410BC" w:rsidRDefault="00870848" w:rsidP="00236C76">
      <w:pPr>
        <w:pStyle w:val="Heading3"/>
        <w:rPr>
          <w:rFonts w:eastAsia="MS Gothic" w:cs="Arial"/>
        </w:rPr>
      </w:pPr>
      <w:bookmarkStart w:id="294" w:name="_Toc237213874"/>
      <w:bookmarkStart w:id="295" w:name="_Toc238290255"/>
      <w:bookmarkStart w:id="296" w:name="_Toc240724898"/>
      <w:r w:rsidRPr="004410BC">
        <w:rPr>
          <w:rFonts w:eastAsia="MS Gothic" w:cs="Arial"/>
        </w:rPr>
        <w:t>4.5.1 Theme 1: Reduced, delayed and altered healthcare utilisation</w:t>
      </w:r>
      <w:bookmarkEnd w:id="294"/>
      <w:bookmarkEnd w:id="295"/>
      <w:bookmarkEnd w:id="296"/>
    </w:p>
    <w:p w14:paraId="61945D1F" w14:textId="1F726BCA" w:rsidR="00870848" w:rsidRPr="004410BC" w:rsidRDefault="00870848" w:rsidP="00236C76">
      <w:pPr>
        <w:spacing w:after="120"/>
        <w:rPr>
          <w:rFonts w:eastAsia="Arial" w:cs="Arial"/>
        </w:rPr>
      </w:pPr>
      <w:r w:rsidRPr="004410BC">
        <w:rPr>
          <w:rFonts w:eastAsia="Arial" w:cs="Arial"/>
        </w:rPr>
        <w:t>A variety of studies have been associated with barriers to delayed, avoided or redirected health services. Coughlan et al. (202</w:t>
      </w:r>
      <w:r w:rsidR="002E0C82" w:rsidRPr="004410BC">
        <w:rPr>
          <w:rFonts w:eastAsia="Arial" w:cs="Arial"/>
        </w:rPr>
        <w:t>1</w:t>
      </w:r>
      <w:r w:rsidRPr="004410BC">
        <w:rPr>
          <w:rFonts w:eastAsia="Arial" w:cs="Arial"/>
        </w:rPr>
        <w:t>) demonstrated fewer children in more deprived areas receiving scheduled care and more in these areas receiving emergency care, and a difference in GP and outpatient use between ethnic groups. Some minority ethnic women had delayed cervical screening and non-participation in screening at some point during their pregnancy, as reported by Nelson et al. (2021). Robinson et al. (2022) showed that routine long-term care is missed despite the patients being in contact with the health system, such as limited awareness and engagement with medication reviews.</w:t>
      </w:r>
    </w:p>
    <w:p w14:paraId="13C55571" w14:textId="11242610" w:rsidR="00870848" w:rsidRPr="004410BC" w:rsidRDefault="00870848" w:rsidP="00236C76">
      <w:pPr>
        <w:spacing w:after="120"/>
        <w:rPr>
          <w:rFonts w:eastAsia="Arial" w:cs="Arial"/>
        </w:rPr>
      </w:pPr>
      <w:r w:rsidRPr="004410BC">
        <w:rPr>
          <w:rFonts w:eastAsia="Arial" w:cs="Arial"/>
        </w:rPr>
        <w:t>Moreover, qualitative studies demonstrated the reasons for decreased contact. Pilav et al. (2022) found that stigma</w:t>
      </w:r>
      <w:r w:rsidR="009C5CF6" w:rsidRPr="004410BC">
        <w:rPr>
          <w:rFonts w:eastAsia="Arial" w:cs="Arial"/>
        </w:rPr>
        <w:t>,</w:t>
      </w:r>
      <w:r w:rsidRPr="004410BC">
        <w:rPr>
          <w:rFonts w:eastAsia="Arial" w:cs="Arial"/>
        </w:rPr>
        <w:t xml:space="preserve"> the pressure to appear strong</w:t>
      </w:r>
      <w:r w:rsidR="009C5CF6" w:rsidRPr="004410BC">
        <w:rPr>
          <w:rFonts w:eastAsia="Arial" w:cs="Arial"/>
        </w:rPr>
        <w:t>,</w:t>
      </w:r>
      <w:r w:rsidRPr="004410BC">
        <w:rPr>
          <w:rFonts w:eastAsia="Arial" w:cs="Arial"/>
        </w:rPr>
        <w:t xml:space="preserve"> and expectations of care-giving for mental health issues in the </w:t>
      </w:r>
      <w:r w:rsidR="00435963" w:rsidRPr="004410BC">
        <w:rPr>
          <w:rFonts w:eastAsia="Arial" w:cs="Arial"/>
        </w:rPr>
        <w:t>perinatal</w:t>
      </w:r>
      <w:r w:rsidRPr="004410BC">
        <w:rPr>
          <w:rFonts w:eastAsia="Arial" w:cs="Arial"/>
        </w:rPr>
        <w:t xml:space="preserve"> period could all potentially delay help-seeking for mental health problems in the </w:t>
      </w:r>
      <w:r w:rsidR="00435963" w:rsidRPr="004410BC">
        <w:rPr>
          <w:rFonts w:eastAsia="Arial" w:cs="Arial"/>
        </w:rPr>
        <w:t>perinatal</w:t>
      </w:r>
      <w:r w:rsidRPr="004410BC">
        <w:rPr>
          <w:rFonts w:eastAsia="Arial" w:cs="Arial"/>
        </w:rPr>
        <w:t xml:space="preserve"> period. Amongst those who did not seek specialist care, Jovanović et al</w:t>
      </w:r>
      <w:r w:rsidR="009C5CF6" w:rsidRPr="004410BC">
        <w:rPr>
          <w:rFonts w:eastAsia="Arial" w:cs="Arial"/>
        </w:rPr>
        <w:t>.</w:t>
      </w:r>
      <w:r w:rsidRPr="004410BC">
        <w:rPr>
          <w:rFonts w:eastAsia="Arial" w:cs="Arial"/>
        </w:rPr>
        <w:t xml:space="preserve"> (2025) described women as being worried about their child being removed and unaware of services or unresponsive when they did seek services. In all of these pathways, the overall trends were not always down in total care, but were towards shifting away from timely, planned</w:t>
      </w:r>
      <w:r w:rsidR="009C5CF6" w:rsidRPr="004410BC">
        <w:rPr>
          <w:rFonts w:eastAsia="Arial" w:cs="Arial"/>
        </w:rPr>
        <w:t>,</w:t>
      </w:r>
      <w:r w:rsidRPr="004410BC">
        <w:rPr>
          <w:rFonts w:eastAsia="Arial" w:cs="Arial"/>
        </w:rPr>
        <w:t xml:space="preserve"> or preferred care. This distinction is important, as it is a different form of access inequality when someone is substituted in an emergency and does not once more engage with screening and review, compared to someone who is not engaged with screening or review at all.</w:t>
      </w:r>
    </w:p>
    <w:p w14:paraId="146B881A" w14:textId="77777777" w:rsidR="00870848" w:rsidRPr="004410BC" w:rsidRDefault="00870848" w:rsidP="00236C76">
      <w:pPr>
        <w:pStyle w:val="Heading3"/>
        <w:rPr>
          <w:rFonts w:eastAsia="MS Gothic" w:cs="Arial"/>
        </w:rPr>
      </w:pPr>
      <w:bookmarkStart w:id="297" w:name="_Toc237213875"/>
      <w:bookmarkStart w:id="298" w:name="_Toc238290256"/>
      <w:bookmarkStart w:id="299" w:name="_Toc240724899"/>
      <w:r w:rsidRPr="004410BC">
        <w:rPr>
          <w:rFonts w:eastAsia="MS Gothic" w:cs="Arial"/>
        </w:rPr>
        <w:t>4.5.2 Theme 2: Patient experience, trust, choice and perceived safety</w:t>
      </w:r>
      <w:bookmarkEnd w:id="297"/>
      <w:bookmarkEnd w:id="298"/>
      <w:bookmarkEnd w:id="299"/>
    </w:p>
    <w:p w14:paraId="7C50FBD3" w14:textId="2C49B89A" w:rsidR="00870848" w:rsidRPr="004410BC" w:rsidRDefault="00870848" w:rsidP="00236C76">
      <w:pPr>
        <w:spacing w:after="120"/>
        <w:rPr>
          <w:rFonts w:eastAsia="Arial" w:cs="Arial"/>
        </w:rPr>
      </w:pPr>
      <w:r w:rsidRPr="004410BC">
        <w:rPr>
          <w:rFonts w:eastAsia="Arial" w:cs="Arial"/>
        </w:rPr>
        <w:t>Barriers were always found to impact patients' experience of care. Small et al. (2024) found that provision of remote-led primary care results in fewer options and worries about quality and safety, particularly for those who have limited English proficiency. Studies by Ekezie et al</w:t>
      </w:r>
      <w:r w:rsidR="009C5CF6" w:rsidRPr="004410BC">
        <w:rPr>
          <w:rFonts w:eastAsia="Arial" w:cs="Arial"/>
        </w:rPr>
        <w:t>.</w:t>
      </w:r>
      <w:r w:rsidRPr="004410BC">
        <w:rPr>
          <w:rFonts w:eastAsia="Arial" w:cs="Arial"/>
        </w:rPr>
        <w:t xml:space="preserve"> (2022) have shown that the pandemic has led to mistrust as a result of unclear and inconsistent communication. Some women felt they had to promote their cause for HRT and were disappointed by the limited choices (Eccles et al., 2025) and disbelief and invalidation (Ridge et al., 2025). The results reveal that access is experienced in a relational and an operational way.</w:t>
      </w:r>
    </w:p>
    <w:p w14:paraId="49D9B833" w14:textId="233BA63E" w:rsidR="00870848" w:rsidRPr="004410BC" w:rsidRDefault="00870848" w:rsidP="00236C76">
      <w:pPr>
        <w:spacing w:after="120"/>
        <w:rPr>
          <w:rFonts w:eastAsia="Arial" w:cs="Arial"/>
        </w:rPr>
      </w:pPr>
      <w:r w:rsidRPr="004410BC">
        <w:rPr>
          <w:rFonts w:eastAsia="Arial" w:cs="Arial"/>
        </w:rPr>
        <w:t>Positive experiences, however, are shown to be possible when experience is poor. In Gardner et al</w:t>
      </w:r>
      <w:r w:rsidR="009C5CF6" w:rsidRPr="004410BC">
        <w:rPr>
          <w:rFonts w:eastAsia="Arial" w:cs="Arial"/>
        </w:rPr>
        <w:t>.</w:t>
      </w:r>
      <w:r w:rsidRPr="004410BC">
        <w:rPr>
          <w:rFonts w:eastAsia="Arial" w:cs="Arial"/>
        </w:rPr>
        <w:t xml:space="preserve"> (2024), cultural curiosity and peer and community support and tailored interventions enhanced participants' sense of being understood. Validations, reassurances, and support were also found to be facilitators of engagement in this work, as were found by Pilav et al. (2022). The disparity </w:t>
      </w:r>
      <w:r w:rsidR="005B31F8" w:rsidRPr="004410BC">
        <w:rPr>
          <w:rFonts w:eastAsia="Arial" w:cs="Arial"/>
        </w:rPr>
        <w:t>between</w:t>
      </w:r>
      <w:r w:rsidRPr="004410BC">
        <w:rPr>
          <w:rFonts w:eastAsia="Arial" w:cs="Arial"/>
        </w:rPr>
        <w:t xml:space="preserve"> these results </w:t>
      </w:r>
      <w:r w:rsidR="005B31F8" w:rsidRPr="004410BC">
        <w:rPr>
          <w:rFonts w:eastAsia="Arial" w:cs="Arial"/>
        </w:rPr>
        <w:t>and</w:t>
      </w:r>
      <w:r w:rsidRPr="004410BC">
        <w:rPr>
          <w:rFonts w:eastAsia="Arial" w:cs="Arial"/>
        </w:rPr>
        <w:t xml:space="preserve"> those of dismissals or mistrusting the care implies that the nature of care delivery can be influential in establishing trust and perceived safety. While it is not quantitative evidence that provides a number on the size of this effect, there is convergence across services that respectful communication, choice, and recognition are a recurring theme in a better access experience.</w:t>
      </w:r>
    </w:p>
    <w:p w14:paraId="407C61C1" w14:textId="77777777" w:rsidR="00870848" w:rsidRPr="004410BC" w:rsidRDefault="00870848" w:rsidP="00236C76">
      <w:pPr>
        <w:pStyle w:val="Heading3"/>
        <w:rPr>
          <w:rFonts w:eastAsia="MS Gothic" w:cs="Arial"/>
        </w:rPr>
      </w:pPr>
      <w:bookmarkStart w:id="300" w:name="_Toc237213876"/>
      <w:bookmarkStart w:id="301" w:name="_Toc238290257"/>
      <w:bookmarkStart w:id="302" w:name="_Toc240724900"/>
      <w:r w:rsidRPr="004410BC">
        <w:rPr>
          <w:rFonts w:eastAsia="MS Gothic" w:cs="Arial"/>
        </w:rPr>
        <w:t>4.5.3 Theme 3: Consequences for health management and unmet need</w:t>
      </w:r>
      <w:bookmarkEnd w:id="300"/>
      <w:bookmarkEnd w:id="301"/>
      <w:bookmarkEnd w:id="302"/>
    </w:p>
    <w:p w14:paraId="7EBF1229" w14:textId="0E7EF4A2" w:rsidR="00870848" w:rsidRPr="004410BC" w:rsidRDefault="00870848" w:rsidP="00236C76">
      <w:pPr>
        <w:spacing w:after="120"/>
        <w:rPr>
          <w:rFonts w:eastAsia="Arial" w:cs="Arial"/>
        </w:rPr>
      </w:pPr>
      <w:r w:rsidRPr="004410BC">
        <w:rPr>
          <w:rFonts w:eastAsia="Arial" w:cs="Arial"/>
        </w:rPr>
        <w:t>There is evidence of consequences for prevention and continued health management in the included evidence. In both Nelson et al. (2021) and Robinson et al. (2022), there was a missed opportunity for the provision of preventive or continuing care. Lower use of scheduled care and higher emergency use by socioeconomically disadvantaged children was seen as evidence of significant unmet need by Coughlan et al. (202</w:t>
      </w:r>
      <w:r w:rsidR="002E0C82" w:rsidRPr="004410BC">
        <w:rPr>
          <w:rFonts w:eastAsia="Arial" w:cs="Arial"/>
        </w:rPr>
        <w:t>1</w:t>
      </w:r>
      <w:r w:rsidRPr="004410BC">
        <w:rPr>
          <w:rFonts w:eastAsia="Arial" w:cs="Arial"/>
        </w:rPr>
        <w:t>). Another observation by Small et al. (2024) was that with limited communication or physical examination, they noted concerns about the remote consultation having an impact on assessment and safety.</w:t>
      </w:r>
    </w:p>
    <w:p w14:paraId="0328A210" w14:textId="42655823" w:rsidR="00870848" w:rsidRPr="004410BC" w:rsidRDefault="00870848" w:rsidP="00236C76">
      <w:pPr>
        <w:spacing w:after="120"/>
        <w:rPr>
          <w:rFonts w:eastAsia="Arial" w:cs="Arial"/>
        </w:rPr>
      </w:pPr>
      <w:r w:rsidRPr="004410BC">
        <w:rPr>
          <w:rFonts w:eastAsia="Arial" w:cs="Arial"/>
        </w:rPr>
        <w:t>Thus, it is a defensible argument that access barriers develop plausible pathways to unmet need and poorer management, but do not directly cause a health impact. While most of the studies included in this review were not specifically focused on estimating downstream morbidity or mortality, as noted by Ridge et al. (2025), there is strong qualitative evidence that perceived care denial and ambivalence about care may exacerbate suffering. The review can thus establish with greater certainty the delayed prevention, disrupted monitoring, disengagement</w:t>
      </w:r>
      <w:r w:rsidR="009C5CF6" w:rsidRPr="004410BC">
        <w:rPr>
          <w:rFonts w:eastAsia="Arial" w:cs="Arial"/>
        </w:rPr>
        <w:t>,</w:t>
      </w:r>
      <w:r w:rsidRPr="004410BC">
        <w:rPr>
          <w:rFonts w:eastAsia="Arial" w:cs="Arial"/>
        </w:rPr>
        <w:t xml:space="preserve"> and perceived safety risks, and the magnitude of their impact on clinical outcomes is uncertain. This boundary makes it difficult to exaggerate qualitative connections and see them as causal estimates.</w:t>
      </w:r>
    </w:p>
    <w:p w14:paraId="48DDFA55" w14:textId="77777777" w:rsidR="00870848" w:rsidRPr="004410BC" w:rsidRDefault="00870848" w:rsidP="00236C76">
      <w:pPr>
        <w:pStyle w:val="Heading2"/>
        <w:rPr>
          <w:rFonts w:eastAsia="MS Gothic" w:cs="Arial"/>
        </w:rPr>
      </w:pPr>
      <w:bookmarkStart w:id="303" w:name="_Toc237213877"/>
      <w:bookmarkStart w:id="304" w:name="_Toc238290258"/>
      <w:bookmarkStart w:id="305" w:name="_Toc240724901"/>
      <w:r w:rsidRPr="004410BC">
        <w:rPr>
          <w:rFonts w:eastAsia="MS Gothic" w:cs="Arial"/>
        </w:rPr>
        <w:t>4.6 Strategies, Policies, Interventions and Evidence Gaps</w:t>
      </w:r>
      <w:bookmarkEnd w:id="303"/>
      <w:bookmarkEnd w:id="304"/>
      <w:bookmarkEnd w:id="305"/>
    </w:p>
    <w:p w14:paraId="06D96367" w14:textId="74E84859" w:rsidR="00870848" w:rsidRPr="004410BC" w:rsidRDefault="00870848" w:rsidP="00236C76">
      <w:pPr>
        <w:spacing w:after="120"/>
        <w:rPr>
          <w:rFonts w:eastAsia="Arial" w:cs="Arial"/>
        </w:rPr>
      </w:pPr>
      <w:r w:rsidRPr="004410BC">
        <w:rPr>
          <w:rFonts w:eastAsia="Arial" w:cs="Arial"/>
        </w:rPr>
        <w:t xml:space="preserve">The fourth objective identified a number of proposed strategies but much less evidence of comparative effectiveness. Most studies reported were retrospective in nature, describing patient or professional preferences, as well as facilitators and suggestions for services. </w:t>
      </w:r>
    </w:p>
    <w:p w14:paraId="5CC72CB3" w14:textId="77777777" w:rsidR="00870848" w:rsidRPr="004410BC" w:rsidRDefault="00870848" w:rsidP="00236C76">
      <w:pPr>
        <w:pStyle w:val="Heading3"/>
        <w:rPr>
          <w:rFonts w:eastAsia="MS Gothic" w:cs="Arial"/>
        </w:rPr>
      </w:pPr>
      <w:bookmarkStart w:id="306" w:name="_Toc237213878"/>
      <w:bookmarkStart w:id="307" w:name="_Toc238290259"/>
      <w:bookmarkStart w:id="308" w:name="_Toc240724902"/>
      <w:r w:rsidRPr="004410BC">
        <w:rPr>
          <w:rFonts w:eastAsia="MS Gothic" w:cs="Arial"/>
        </w:rPr>
        <w:t>4.6.1 Theme 1: Multilingual communication, cultural competence and co-produced care</w:t>
      </w:r>
      <w:bookmarkEnd w:id="306"/>
      <w:bookmarkEnd w:id="307"/>
      <w:bookmarkEnd w:id="308"/>
    </w:p>
    <w:p w14:paraId="600AB767" w14:textId="6D607114" w:rsidR="00870848" w:rsidRPr="004410BC" w:rsidRDefault="00870848" w:rsidP="00236C76">
      <w:pPr>
        <w:spacing w:after="120"/>
        <w:rPr>
          <w:rFonts w:eastAsia="Arial" w:cs="Arial"/>
        </w:rPr>
      </w:pPr>
      <w:r w:rsidRPr="004410BC">
        <w:rPr>
          <w:rFonts w:eastAsia="Arial" w:cs="Arial"/>
        </w:rPr>
        <w:t>The most common strategies were improved communication and culturally responsive care. Ekezie et al. (2022) suggested that community-tailored information, involvement of community leaders</w:t>
      </w:r>
      <w:r w:rsidR="009C5CF6" w:rsidRPr="004410BC">
        <w:rPr>
          <w:rFonts w:eastAsia="Arial" w:cs="Arial"/>
        </w:rPr>
        <w:t>,</w:t>
      </w:r>
      <w:r w:rsidRPr="004410BC">
        <w:rPr>
          <w:rFonts w:eastAsia="Arial" w:cs="Arial"/>
        </w:rPr>
        <w:t xml:space="preserve"> and trained community interpreters in the triage process be recommended. Practical facilitators identified by Robinson et al. (2021) were interpreters</w:t>
      </w:r>
      <w:r w:rsidR="009C5CF6" w:rsidRPr="004410BC">
        <w:rPr>
          <w:rFonts w:eastAsia="Arial" w:cs="Arial"/>
        </w:rPr>
        <w:t>,</w:t>
      </w:r>
      <w:r w:rsidRPr="004410BC">
        <w:rPr>
          <w:rFonts w:eastAsia="Arial" w:cs="Arial"/>
        </w:rPr>
        <w:t xml:space="preserve"> multilingual medication information</w:t>
      </w:r>
      <w:r w:rsidR="009C5CF6" w:rsidRPr="004410BC">
        <w:rPr>
          <w:rFonts w:eastAsia="Arial" w:cs="Arial"/>
        </w:rPr>
        <w:t>,</w:t>
      </w:r>
      <w:r w:rsidRPr="004410BC">
        <w:rPr>
          <w:rFonts w:eastAsia="Arial" w:cs="Arial"/>
        </w:rPr>
        <w:t xml:space="preserve"> and adequate consultation time. Islam, Bailey and Netto (2024) recommended that language support be integrated into the digital-first primary care service, in addition to the staff's anti-racist and culturally competent responses. In contrast, Gardner et al</w:t>
      </w:r>
      <w:r w:rsidR="008C4F7B" w:rsidRPr="004410BC">
        <w:rPr>
          <w:rFonts w:eastAsia="Arial" w:cs="Arial"/>
        </w:rPr>
        <w:t>.</w:t>
      </w:r>
      <w:r w:rsidRPr="004410BC">
        <w:rPr>
          <w:rFonts w:eastAsia="Arial" w:cs="Arial"/>
        </w:rPr>
        <w:t xml:space="preserve"> (2024) highlighted the need for cultural curiosity and assimilation of the pragmatic aspects of patients' identities.</w:t>
      </w:r>
    </w:p>
    <w:p w14:paraId="162AC53C" w14:textId="26662E29" w:rsidR="00870848" w:rsidRPr="004410BC" w:rsidRDefault="00870848" w:rsidP="00236C76">
      <w:pPr>
        <w:spacing w:after="120"/>
        <w:rPr>
          <w:rFonts w:eastAsia="Arial" w:cs="Arial"/>
        </w:rPr>
      </w:pPr>
      <w:r w:rsidRPr="004410BC">
        <w:rPr>
          <w:rFonts w:eastAsia="Arial" w:cs="Arial"/>
        </w:rPr>
        <w:t>Also, co-production was shown to exist on a number of pathways. Robinson et al. (2022) agreed that codesign of medication-review services with communities and healthcare professionals was preferred, and Linton et al. (2025) preferred holistic, individually tailored contraceptive consultations. Jovanović et al. (2025) suggested two suggestions: service promotion and screening</w:t>
      </w:r>
      <w:r w:rsidR="008C4F7B" w:rsidRPr="004410BC">
        <w:rPr>
          <w:rFonts w:eastAsia="Arial" w:cs="Arial"/>
        </w:rPr>
        <w:t>,</w:t>
      </w:r>
      <w:r w:rsidRPr="004410BC">
        <w:rPr>
          <w:rFonts w:eastAsia="Arial" w:cs="Arial"/>
        </w:rPr>
        <w:t xml:space="preserve"> and cultural understanding. </w:t>
      </w:r>
      <w:r w:rsidR="00D5567C" w:rsidRPr="004410BC">
        <w:rPr>
          <w:rFonts w:eastAsia="Arial" w:cs="Arial"/>
        </w:rPr>
        <w:t>The repetition</w:t>
      </w:r>
      <w:r w:rsidRPr="004410BC">
        <w:rPr>
          <w:rFonts w:eastAsia="Arial" w:cs="Arial"/>
        </w:rPr>
        <w:t xml:space="preserve"> of the same recommendations in different services makes them more relevant in terms of candidate strategies. The evidence, however, is less clear for measurable impacts on utilisation, inequality or health outcomes, as most of the measures were based on qualitative accounts, and may only be viewed as evidence of acceptability and perceived usefulness.</w:t>
      </w:r>
    </w:p>
    <w:p w14:paraId="01DD47F9" w14:textId="77777777" w:rsidR="00870848" w:rsidRPr="004410BC" w:rsidRDefault="00870848" w:rsidP="00236C76">
      <w:pPr>
        <w:pStyle w:val="Heading3"/>
        <w:rPr>
          <w:rFonts w:eastAsia="MS Gothic" w:cs="Arial"/>
        </w:rPr>
      </w:pPr>
      <w:bookmarkStart w:id="309" w:name="_Toc237213879"/>
      <w:bookmarkStart w:id="310" w:name="_Toc238290260"/>
      <w:bookmarkStart w:id="311" w:name="_Toc240724903"/>
      <w:r w:rsidRPr="004410BC">
        <w:rPr>
          <w:rFonts w:eastAsia="MS Gothic" w:cs="Arial"/>
        </w:rPr>
        <w:t>4.6.2 Theme 2: Community engagement, peer support, outreach and hybrid access</w:t>
      </w:r>
      <w:bookmarkEnd w:id="309"/>
      <w:bookmarkEnd w:id="310"/>
      <w:bookmarkEnd w:id="311"/>
    </w:p>
    <w:p w14:paraId="211EBF46" w14:textId="03D1ACC6" w:rsidR="00870848" w:rsidRPr="004410BC" w:rsidRDefault="00870848" w:rsidP="00236C76">
      <w:pPr>
        <w:spacing w:after="120"/>
        <w:rPr>
          <w:rFonts w:eastAsia="Arial" w:cs="Arial"/>
        </w:rPr>
      </w:pPr>
      <w:r w:rsidRPr="004410BC">
        <w:rPr>
          <w:rFonts w:eastAsia="Arial" w:cs="Arial"/>
        </w:rPr>
        <w:t>Support from the community was yet another recurring facilitator. Peer support and enhanced community connections were key themes identified by Gardner et al. (2024) as being at the heart of culturally sensitive perinatal mental healthcare. Peer networks</w:t>
      </w:r>
      <w:r w:rsidR="00D5567C" w:rsidRPr="004410BC">
        <w:rPr>
          <w:rFonts w:eastAsia="Arial" w:cs="Arial"/>
        </w:rPr>
        <w:t xml:space="preserve"> and</w:t>
      </w:r>
      <w:r w:rsidRPr="004410BC">
        <w:rPr>
          <w:rFonts w:eastAsia="Arial" w:cs="Arial"/>
        </w:rPr>
        <w:t xml:space="preserve"> religious and community contexts were emphasi</w:t>
      </w:r>
      <w:r w:rsidR="00AF637C" w:rsidRPr="004410BC">
        <w:rPr>
          <w:rFonts w:eastAsia="Arial" w:cs="Arial"/>
        </w:rPr>
        <w:t>s</w:t>
      </w:r>
      <w:r w:rsidRPr="004410BC">
        <w:rPr>
          <w:rFonts w:eastAsia="Arial" w:cs="Arial"/>
        </w:rPr>
        <w:t>ed by Robinson et al. (2022) as possible avenues for promoting medication-review services. However, Ekezie et al. (2022) noted that engaging with community leaders might enhance the relevance and acceptance of health information, and Islam, Bailey and Netto (2024) observed that intergenerational support and practice-level provision might help some overcome the constraints of digital formats.</w:t>
      </w:r>
    </w:p>
    <w:p w14:paraId="339CB387" w14:textId="157FF1F8" w:rsidR="00870848" w:rsidRPr="004410BC" w:rsidRDefault="00870848" w:rsidP="00236C76">
      <w:pPr>
        <w:spacing w:after="120"/>
        <w:rPr>
          <w:rFonts w:eastAsia="Arial" w:cs="Arial"/>
        </w:rPr>
      </w:pPr>
      <w:r w:rsidRPr="004410BC">
        <w:rPr>
          <w:rFonts w:eastAsia="Arial" w:cs="Arial"/>
        </w:rPr>
        <w:t xml:space="preserve">Similarly, research on digital access found that none of the channels was preferred, only flexibility. Some participants appreciated the convenience of the remote approach, while others appreciated the face-to-face approach and felt like they had more choice, with language being another barrier for some. For engagement in online booking, Atherton et al. (2024) found that there were significant differences between patient groups and practices. The results support the idea of hybrid access co-existence of digital, telephone and face-to-face access but not that one type of hybrid is better than another. The overarching evidence-based principle is that there is flexibility </w:t>
      </w:r>
      <w:r w:rsidR="00D5567C" w:rsidRPr="004410BC">
        <w:rPr>
          <w:rFonts w:eastAsia="Arial" w:cs="Arial"/>
        </w:rPr>
        <w:t>for</w:t>
      </w:r>
      <w:r w:rsidRPr="004410BC">
        <w:rPr>
          <w:rFonts w:eastAsia="Arial" w:cs="Arial"/>
        </w:rPr>
        <w:t xml:space="preserve"> different abilities and preferences, and not a one-for-one swapping out of one pathway for another.</w:t>
      </w:r>
    </w:p>
    <w:p w14:paraId="1DA01D62" w14:textId="77777777" w:rsidR="00870848" w:rsidRPr="004410BC" w:rsidRDefault="00870848" w:rsidP="00236C76">
      <w:pPr>
        <w:pStyle w:val="Heading3"/>
        <w:rPr>
          <w:rFonts w:eastAsia="MS Gothic" w:cs="Arial"/>
        </w:rPr>
      </w:pPr>
      <w:bookmarkStart w:id="312" w:name="_Toc237213880"/>
      <w:bookmarkStart w:id="313" w:name="_Toc238290261"/>
      <w:bookmarkStart w:id="314" w:name="_Toc240724904"/>
      <w:r w:rsidRPr="004410BC">
        <w:rPr>
          <w:rFonts w:eastAsia="MS Gothic" w:cs="Arial"/>
        </w:rPr>
        <w:t>4.6.3 Theme 3: Evidence gaps and limitations in intervention evidence</w:t>
      </w:r>
      <w:bookmarkEnd w:id="312"/>
      <w:bookmarkEnd w:id="313"/>
      <w:bookmarkEnd w:id="314"/>
    </w:p>
    <w:p w14:paraId="2293FC30" w14:textId="794795DB" w:rsidR="00870848" w:rsidRPr="004410BC" w:rsidRDefault="00870848" w:rsidP="00236C76">
      <w:pPr>
        <w:spacing w:after="120"/>
        <w:rPr>
          <w:rFonts w:eastAsia="Arial" w:cs="Arial"/>
        </w:rPr>
      </w:pPr>
      <w:r w:rsidRPr="004410BC">
        <w:rPr>
          <w:rFonts w:eastAsia="Arial" w:cs="Arial"/>
        </w:rPr>
        <w:t>The biggest gap was in the assessment of interventions for reducing inequality. Although several studies had been recommended, there was little evidence of the impact of any of these strategies on access, patient outcomes, or ethnic disparities over time. The evidence was also tightly focused on the population. There were six women included in Gardner et al. (2024) (which included a large survey analysis), and Atherton et al. (2024) did not include more than six ethnic minority participants in the interviews, although the survey analysis was quite large.</w:t>
      </w:r>
    </w:p>
    <w:p w14:paraId="223E9122" w14:textId="3EB8BC56" w:rsidR="00870848" w:rsidRPr="004410BC" w:rsidRDefault="00870848" w:rsidP="00236C76">
      <w:pPr>
        <w:spacing w:after="120"/>
        <w:rPr>
          <w:rFonts w:eastAsia="Arial" w:cs="Arial"/>
        </w:rPr>
      </w:pPr>
      <w:r w:rsidRPr="004410BC">
        <w:rPr>
          <w:rFonts w:eastAsia="Arial" w:cs="Arial"/>
        </w:rPr>
        <w:t>Additionally, there was some lack of coverage and transferability in the subgroups. Ridge et al. (2025) identified a lack of representation, specifically the lack of participation by those who are not English speakers, and also a lack of recognition of sub-group differences within broad ethnic categories in some studies. Some barriers may also represent an unusual period in the service reorganisation dynamics, brought about by COVID-19, in several studies on remote access. There were few studies that covered ethnic groups, regions and primary-care services, and few direct comparisons of interventions, and few longitudinal evaluations. To meet objective four, credible candidate strategies were identified, and clear evidence gaps identified.</w:t>
      </w:r>
    </w:p>
    <w:p w14:paraId="55529B12" w14:textId="77777777" w:rsidR="00870848" w:rsidRPr="004410BC" w:rsidRDefault="00870848" w:rsidP="00236C76">
      <w:pPr>
        <w:pStyle w:val="Heading2"/>
        <w:rPr>
          <w:rFonts w:eastAsia="MS Gothic" w:cs="Arial"/>
        </w:rPr>
      </w:pPr>
      <w:bookmarkStart w:id="315" w:name="_Toc237213881"/>
      <w:bookmarkStart w:id="316" w:name="_Toc238290262"/>
      <w:bookmarkStart w:id="317" w:name="_Toc240724905"/>
      <w:r w:rsidRPr="004410BC">
        <w:rPr>
          <w:rFonts w:eastAsia="MS Gothic" w:cs="Arial"/>
        </w:rPr>
        <w:t>4.7 Summary</w:t>
      </w:r>
      <w:bookmarkEnd w:id="315"/>
      <w:bookmarkEnd w:id="316"/>
      <w:bookmarkEnd w:id="317"/>
    </w:p>
    <w:p w14:paraId="5D13D396" w14:textId="4A4CEFEA" w:rsidR="00870848" w:rsidRPr="004410BC" w:rsidRDefault="00870848" w:rsidP="00236C76">
      <w:pPr>
        <w:spacing w:after="120"/>
        <w:rPr>
          <w:rFonts w:eastAsia="Arial" w:cs="Arial"/>
        </w:rPr>
      </w:pPr>
      <w:r w:rsidRPr="004410BC">
        <w:rPr>
          <w:rFonts w:eastAsia="Arial" w:cs="Arial"/>
        </w:rPr>
        <w:t>Fourteen studies were synthesi</w:t>
      </w:r>
      <w:r w:rsidR="00B34D86" w:rsidRPr="004410BC">
        <w:rPr>
          <w:rFonts w:eastAsia="Arial" w:cs="Arial"/>
        </w:rPr>
        <w:t>s</w:t>
      </w:r>
      <w:r w:rsidRPr="004410BC">
        <w:rPr>
          <w:rFonts w:eastAsia="Arial" w:cs="Arial"/>
        </w:rPr>
        <w:t>ed, and a multi-dimensional pattern of inequality in UK primary healthcare was identified. Some differences were found in the level of services used, digital awareness, preventive and routine care, patient choice, trust, perceived safety and recognition amongst ethnic minority groups, but not across ethnic groups or pathways. Language and communication were often interwoven with cultural and relational aspects, alongside discrimination and mistrust, and digital or organisational arrangements. There was also evidence of the impact of timing and pathway of care, patient experience, prevention and ongoing health management, and some evidence of direct causal evidence on health outcomes.</w:t>
      </w:r>
    </w:p>
    <w:p w14:paraId="18194F8F" w14:textId="619B232E" w:rsidR="009F64C5" w:rsidRPr="004410BC" w:rsidRDefault="009F64C5" w:rsidP="00236C76">
      <w:pPr>
        <w:spacing w:after="0"/>
        <w:rPr>
          <w:rFonts w:cs="Arial"/>
        </w:rPr>
      </w:pPr>
      <w:r w:rsidRPr="004410BC">
        <w:rPr>
          <w:rFonts w:eastAsia="Calibri" w:cs="Arial"/>
        </w:rPr>
        <w:tab/>
      </w:r>
      <w:r w:rsidRPr="004410BC">
        <w:rPr>
          <w:rFonts w:eastAsia="Times New Roman" w:cs="Arial"/>
          <w:b/>
        </w:rPr>
        <w:t xml:space="preserve"> </w:t>
      </w:r>
    </w:p>
    <w:p w14:paraId="6F2446E6" w14:textId="77777777" w:rsidR="009706D0" w:rsidRPr="004410BC" w:rsidRDefault="009706D0" w:rsidP="00236C76">
      <w:pPr>
        <w:rPr>
          <w:rFonts w:eastAsia="Times New Roman" w:cs="Arial"/>
          <w:b/>
          <w:color w:val="000000"/>
        </w:rPr>
      </w:pPr>
      <w:bookmarkStart w:id="318" w:name="_Toc12220"/>
      <w:r w:rsidRPr="004410BC">
        <w:rPr>
          <w:rFonts w:cs="Arial"/>
        </w:rPr>
        <w:br w:type="page"/>
      </w:r>
    </w:p>
    <w:p w14:paraId="1E0DD3AE" w14:textId="14EC5F70" w:rsidR="009F64C5" w:rsidRPr="004410BC" w:rsidRDefault="00DD7AA5" w:rsidP="00236C76">
      <w:pPr>
        <w:pStyle w:val="Heading1"/>
        <w:rPr>
          <w:rFonts w:cs="Arial"/>
        </w:rPr>
      </w:pPr>
      <w:bookmarkStart w:id="319" w:name="_Toc238290263"/>
      <w:bookmarkStart w:id="320" w:name="_Toc240724906"/>
      <w:r w:rsidRPr="004410BC">
        <w:rPr>
          <w:rFonts w:cs="Arial"/>
        </w:rPr>
        <w:t xml:space="preserve">Chapter 5: </w:t>
      </w:r>
      <w:r w:rsidR="009F64C5" w:rsidRPr="004410BC">
        <w:rPr>
          <w:rFonts w:cs="Arial"/>
        </w:rPr>
        <w:t>Discussion</w:t>
      </w:r>
      <w:bookmarkEnd w:id="319"/>
      <w:bookmarkEnd w:id="320"/>
      <w:r w:rsidR="009F64C5" w:rsidRPr="004410BC">
        <w:rPr>
          <w:rFonts w:cs="Arial"/>
        </w:rPr>
        <w:t xml:space="preserve"> </w:t>
      </w:r>
      <w:bookmarkEnd w:id="318"/>
    </w:p>
    <w:p w14:paraId="3D907302" w14:textId="77777777" w:rsidR="000A3AA7" w:rsidRPr="004410BC" w:rsidRDefault="000A3AA7" w:rsidP="00236C76">
      <w:pPr>
        <w:pStyle w:val="Heading2"/>
        <w:rPr>
          <w:rFonts w:cs="Arial"/>
        </w:rPr>
      </w:pPr>
      <w:bookmarkStart w:id="321" w:name="_Toc237213883"/>
      <w:bookmarkStart w:id="322" w:name="_Toc238290264"/>
      <w:bookmarkStart w:id="323" w:name="_Toc240724907"/>
      <w:bookmarkStart w:id="324" w:name="_Toc12221"/>
      <w:r w:rsidRPr="004410BC">
        <w:rPr>
          <w:rFonts w:cs="Arial"/>
        </w:rPr>
        <w:t>5.1 Introduction</w:t>
      </w:r>
      <w:bookmarkEnd w:id="321"/>
      <w:bookmarkEnd w:id="322"/>
      <w:bookmarkEnd w:id="323"/>
    </w:p>
    <w:p w14:paraId="6998D61C" w14:textId="687A2F0F" w:rsidR="000A3AA7" w:rsidRPr="004410BC" w:rsidRDefault="000A3AA7" w:rsidP="00236C76">
      <w:pPr>
        <w:rPr>
          <w:rFonts w:cs="Arial"/>
        </w:rPr>
      </w:pPr>
      <w:r w:rsidRPr="004410BC">
        <w:rPr>
          <w:rFonts w:cs="Arial"/>
        </w:rPr>
        <w:t xml:space="preserve">This chapter explores the meaning of the evidence that was synthesised from the 14 studies included and how it has the potential to further the understanding of ethnic inequalities in primary healthcare in the UK. The discussion does not focus on repeating the themes outlined in Chapter </w:t>
      </w:r>
      <w:r w:rsidR="000F1E8E" w:rsidRPr="004410BC">
        <w:rPr>
          <w:rFonts w:cs="Arial"/>
        </w:rPr>
        <w:t>Four</w:t>
      </w:r>
      <w:r w:rsidRPr="004410BC">
        <w:rPr>
          <w:rFonts w:cs="Arial"/>
        </w:rPr>
        <w:t xml:space="preserve"> but rather on what the overall evidence indicates, how it differs from the themes found in the literature reviewed in Chapter </w:t>
      </w:r>
      <w:r w:rsidR="000F1E8E" w:rsidRPr="004410BC">
        <w:rPr>
          <w:rFonts w:cs="Arial"/>
        </w:rPr>
        <w:t>Two</w:t>
      </w:r>
      <w:r w:rsidRPr="004410BC">
        <w:rPr>
          <w:rFonts w:cs="Arial"/>
        </w:rPr>
        <w:t>, and how much of the themes found in Levesque's Access to Healthcare Framework is being explained. It also reviews the impact on practice and methodological limitations and priorities for future research.</w:t>
      </w:r>
    </w:p>
    <w:p w14:paraId="275AEDD4" w14:textId="77777777" w:rsidR="000A3AA7" w:rsidRPr="004410BC" w:rsidRDefault="000A3AA7" w:rsidP="00236C76">
      <w:pPr>
        <w:pStyle w:val="Heading2"/>
        <w:rPr>
          <w:rFonts w:cs="Arial"/>
        </w:rPr>
      </w:pPr>
      <w:bookmarkStart w:id="325" w:name="_Toc237213884"/>
      <w:bookmarkStart w:id="326" w:name="_Toc238290265"/>
      <w:bookmarkStart w:id="327" w:name="_Toc240724908"/>
      <w:r w:rsidRPr="004410BC">
        <w:rPr>
          <w:rFonts w:cs="Arial"/>
        </w:rPr>
        <w:t>5.2 Meaning and Significance of the Evidence</w:t>
      </w:r>
      <w:bookmarkEnd w:id="325"/>
      <w:bookmarkEnd w:id="326"/>
      <w:bookmarkEnd w:id="327"/>
    </w:p>
    <w:p w14:paraId="6662A8F1" w14:textId="2E20610C" w:rsidR="000A3AA7" w:rsidRPr="004410BC" w:rsidRDefault="000A3AA7" w:rsidP="00236C76">
      <w:pPr>
        <w:rPr>
          <w:rFonts w:cs="Arial"/>
        </w:rPr>
      </w:pPr>
      <w:r w:rsidRPr="004410BC">
        <w:rPr>
          <w:rFonts w:cs="Arial"/>
        </w:rPr>
        <w:t xml:space="preserve">The key importance of the study is that while there may be formal access to NHS primary care, there is not necessarily an equal opportunity to access it. Evidence points to access as a process that begins with awareness and help-seeking that continues on to navigation, communication, receipt of appropriate care, and continued engagement. In line with the findings of Hayanga, Stafford and Bécares (2021), who found inequalities in the uptake of health services and the quality of services received despite universal health coverage. </w:t>
      </w:r>
      <w:r w:rsidR="00BE028D" w:rsidRPr="004410BC">
        <w:rPr>
          <w:rFonts w:cs="Arial"/>
        </w:rPr>
        <w:t>This</w:t>
      </w:r>
      <w:r w:rsidRPr="004410BC">
        <w:rPr>
          <w:rFonts w:cs="Arial"/>
        </w:rPr>
        <w:t xml:space="preserve"> also reinforces the argument of Chapter </w:t>
      </w:r>
      <w:r w:rsidR="000F1E8E" w:rsidRPr="004410BC">
        <w:rPr>
          <w:rFonts w:cs="Arial"/>
        </w:rPr>
        <w:t>Two</w:t>
      </w:r>
      <w:r w:rsidRPr="004410BC">
        <w:rPr>
          <w:rFonts w:cs="Arial"/>
        </w:rPr>
        <w:t xml:space="preserve"> about not viewing ethnicity as a standalone biological and/or behavioural explanation, as access is influenced by complex and intersecting socioeconomic, organisational and relational contexts (Coates et al</w:t>
      </w:r>
      <w:r w:rsidR="00BE028D" w:rsidRPr="004410BC">
        <w:rPr>
          <w:rFonts w:cs="Arial"/>
        </w:rPr>
        <w:t>.</w:t>
      </w:r>
      <w:r w:rsidRPr="004410BC">
        <w:rPr>
          <w:rFonts w:cs="Arial"/>
        </w:rPr>
        <w:t>, 2024).</w:t>
      </w:r>
    </w:p>
    <w:p w14:paraId="71F817F7" w14:textId="7DC323D5" w:rsidR="000A3AA7" w:rsidRPr="004410BC" w:rsidRDefault="000A3AA7" w:rsidP="00236C76">
      <w:pPr>
        <w:rPr>
          <w:rFonts w:cs="Arial"/>
        </w:rPr>
      </w:pPr>
      <w:r w:rsidRPr="004410BC">
        <w:rPr>
          <w:rFonts w:cs="Arial"/>
        </w:rPr>
        <w:t xml:space="preserve">Moreover, the synthesis suggests that the assumption of inferior access if utilisation is lower is incorrect. Increased rates of contact may be associated with increased healthcare needs, especially as some ethnic minority groups tend to suffer from multimorbidity and/or long-term illness at an earlier age (Eto et al., 2023). On the other hand, a decrease in preventive and planned care might be accompanied by an increase in the use of urgent care, a picture that is also consistent with the different patterns found across the different pathways of primary and related care (Coughlan et al., 2021; Nelson et al., 2021). This is significant because service use might mask the </w:t>
      </w:r>
      <w:r w:rsidR="000F1E8E" w:rsidRPr="004410BC">
        <w:rPr>
          <w:rFonts w:cs="Arial"/>
        </w:rPr>
        <w:t>quality-of-service</w:t>
      </w:r>
      <w:r w:rsidRPr="004410BC">
        <w:rPr>
          <w:rFonts w:cs="Arial"/>
        </w:rPr>
        <w:t xml:space="preserve"> provision</w:t>
      </w:r>
      <w:r w:rsidR="00BE028D" w:rsidRPr="004410BC">
        <w:rPr>
          <w:rFonts w:cs="Arial"/>
        </w:rPr>
        <w:t>,</w:t>
      </w:r>
      <w:r w:rsidRPr="004410BC">
        <w:rPr>
          <w:rFonts w:cs="Arial"/>
        </w:rPr>
        <w:t xml:space="preserve"> as it can be timely, appropriate</w:t>
      </w:r>
      <w:r w:rsidR="005B31F8" w:rsidRPr="004410BC">
        <w:rPr>
          <w:rFonts w:cs="Arial"/>
        </w:rPr>
        <w:t>,</w:t>
      </w:r>
      <w:r w:rsidRPr="004410BC">
        <w:rPr>
          <w:rFonts w:cs="Arial"/>
        </w:rPr>
        <w:t xml:space="preserve"> or proportionate to need. The results thus add to the literature, and highlight the need to consider equity at the point beyond attendance.</w:t>
      </w:r>
    </w:p>
    <w:p w14:paraId="55BC4695" w14:textId="0998C99A" w:rsidR="000A3AA7" w:rsidRPr="004410BC" w:rsidRDefault="000A3AA7" w:rsidP="00236C76">
      <w:pPr>
        <w:rPr>
          <w:rFonts w:cs="Arial"/>
        </w:rPr>
      </w:pPr>
      <w:r w:rsidRPr="004410BC">
        <w:rPr>
          <w:rFonts w:cs="Arial"/>
        </w:rPr>
        <w:t xml:space="preserve">But there are alternatives to the “culture” hypothesis, and evidence against them. Chapter </w:t>
      </w:r>
      <w:r w:rsidR="000F1E8E" w:rsidRPr="004410BC">
        <w:rPr>
          <w:rFonts w:cs="Arial"/>
        </w:rPr>
        <w:t>Two</w:t>
      </w:r>
      <w:r w:rsidRPr="004410BC">
        <w:rPr>
          <w:rFonts w:cs="Arial"/>
        </w:rPr>
        <w:t xml:space="preserve"> recognised the importance of health beliefs and cultural expectations influencing engagement, but claimed that this is in the context of broader organisation</w:t>
      </w:r>
      <w:r w:rsidR="00BE028D" w:rsidRPr="004410BC">
        <w:rPr>
          <w:rFonts w:cs="Arial"/>
        </w:rPr>
        <w:t>al</w:t>
      </w:r>
      <w:r w:rsidRPr="004410BC">
        <w:rPr>
          <w:rFonts w:cs="Arial"/>
        </w:rPr>
        <w:t xml:space="preserve"> and structural factors. This is supported by the included studies, as stigma, family influence</w:t>
      </w:r>
      <w:r w:rsidR="00BE028D" w:rsidRPr="004410BC">
        <w:rPr>
          <w:rFonts w:cs="Arial"/>
        </w:rPr>
        <w:t>,</w:t>
      </w:r>
      <w:r w:rsidRPr="004410BC">
        <w:rPr>
          <w:rFonts w:cs="Arial"/>
        </w:rPr>
        <w:t xml:space="preserve"> and mistrust were not consistent by ethnic group</w:t>
      </w:r>
      <w:r w:rsidR="00BE028D" w:rsidRPr="004410BC">
        <w:rPr>
          <w:rFonts w:cs="Arial"/>
        </w:rPr>
        <w:t>,</w:t>
      </w:r>
      <w:r w:rsidRPr="004410BC">
        <w:rPr>
          <w:rFonts w:cs="Arial"/>
        </w:rPr>
        <w:t xml:space="preserve"> and culturally-responsive and culturally curious care is likely to enhance engagement (Pilav et al., 2022; Gardner et al., 2024; Linton et al., 2025). The latter is also suggested by the experiences during menopause and perinatal care, whereby the care provided by the professional may be as significant as the cultural context itself (Eccles et al., 2025; Jovanović et al., 2025). It is thus more correct to see culture as an influence in the context rather than a determinant cause of unequal access.</w:t>
      </w:r>
    </w:p>
    <w:p w14:paraId="32EC92AE" w14:textId="77777777" w:rsidR="000A3AA7" w:rsidRPr="004410BC" w:rsidRDefault="000A3AA7" w:rsidP="00236C76">
      <w:pPr>
        <w:pStyle w:val="Heading2"/>
        <w:rPr>
          <w:rFonts w:cs="Arial"/>
        </w:rPr>
      </w:pPr>
      <w:bookmarkStart w:id="328" w:name="_Toc237213885"/>
      <w:bookmarkStart w:id="329" w:name="_Toc238290266"/>
      <w:bookmarkStart w:id="330" w:name="_Toc240724909"/>
      <w:r w:rsidRPr="004410BC">
        <w:rPr>
          <w:rFonts w:cs="Arial"/>
        </w:rPr>
        <w:t>5.3 Theoretical Interpretation Through Levesque’s Framework</w:t>
      </w:r>
      <w:bookmarkEnd w:id="328"/>
      <w:bookmarkEnd w:id="329"/>
      <w:bookmarkEnd w:id="330"/>
    </w:p>
    <w:p w14:paraId="38C3DACE" w14:textId="763CDFC1" w:rsidR="000A3AA7" w:rsidRPr="004410BC" w:rsidRDefault="000A3AA7" w:rsidP="00236C76">
      <w:pPr>
        <w:rPr>
          <w:rFonts w:cs="Arial"/>
        </w:rPr>
      </w:pPr>
      <w:r w:rsidRPr="004410BC">
        <w:rPr>
          <w:rFonts w:cs="Arial"/>
        </w:rPr>
        <w:t>The Access to Healthcare Framework of Levesque can be very helpful since it describes access as a dynamic interaction between the characteristics of the services and the patient's ability to perceive the services, seek services, reach services, pay for services, and interact with services. This is a multi-dimensional understanding which is reinforced by the review. Issues around awareness and lack of information may limit approachability, as may stigma, mistrust and discrimination, limiting acceptability and willingness to access services, and digital or organisational barriers which limit availability, accommodation and access</w:t>
      </w:r>
      <w:r w:rsidR="00BE028D" w:rsidRPr="004410BC">
        <w:rPr>
          <w:rFonts w:cs="Arial"/>
        </w:rPr>
        <w:t xml:space="preserve"> to</w:t>
      </w:r>
      <w:r w:rsidRPr="004410BC">
        <w:rPr>
          <w:rFonts w:cs="Arial"/>
        </w:rPr>
        <w:t xml:space="preserve"> services. Appropriateness and ongoing engagement are also impacted by issues of recognition, communication and safety.</w:t>
      </w:r>
    </w:p>
    <w:p w14:paraId="4CADD026" w14:textId="1860F59D" w:rsidR="000A3AA7" w:rsidRPr="004410BC" w:rsidRDefault="000A3AA7" w:rsidP="00236C76">
      <w:pPr>
        <w:rPr>
          <w:rFonts w:cs="Arial"/>
        </w:rPr>
      </w:pPr>
      <w:r w:rsidRPr="004410BC">
        <w:rPr>
          <w:rFonts w:cs="Arial"/>
        </w:rPr>
        <w:t>Furthermore, this understanding has led to a better understanding of how barriers, seemingly independent of one another, sometimes seem to reinforce each other. This is especially exemplified with digital access. Atherton et al. (2024), Islam, Bailey and Netto (2024) and Small et al. (2024) suggest that digital systems can be convenient, but at the same time may be problematic for people who have limited English proficiency, lack the necessary devices, do not feel confident using digital systems, or have fewer alternative options. Ekezie et al. (2022) also illustrate the type of communication issues that can be exacerbated with the increasing reliance on remote healthcare. In chapter 2, it was also suggested that innovation doesn't necessarily lead to equity. Thus, digitalisation will be more about the interaction of technology with the capabilities of the patient, the language support, and the organisation of the services, than about the technology itself.</w:t>
      </w:r>
    </w:p>
    <w:p w14:paraId="43172E4D" w14:textId="77777777" w:rsidR="000A3AA7" w:rsidRPr="004410BC" w:rsidRDefault="000A3AA7" w:rsidP="00236C76">
      <w:pPr>
        <w:rPr>
          <w:rFonts w:cs="Arial"/>
        </w:rPr>
      </w:pPr>
      <w:r w:rsidRPr="004410BC">
        <w:rPr>
          <w:rFonts w:cs="Arial"/>
        </w:rPr>
        <w:t>However, the structure does not account for all of the unequal access. As mentioned in chapter 2, Levesque's model is more of an organising framework than a causal theory, as it is unable to represent the intersections and the broader institutional power (He et al., 2024). That is further served by the present synthesis. It is found that some barriers are not a part of the actual service delivery experience, as indicated in experiences of discrimination, institutional mistrust and ‘medical ambivalence’ (Hackett et al., 2020; Ridge et al., 2025). Ethnicity may also be related to other factors such as deprivation, gender and migration history. So, the results corroborate Levesque's framework and further develop it with a more structural and intersectional analysis.</w:t>
      </w:r>
    </w:p>
    <w:p w14:paraId="6B581A69" w14:textId="77777777" w:rsidR="000A3AA7" w:rsidRPr="004410BC" w:rsidRDefault="000A3AA7" w:rsidP="00236C76">
      <w:pPr>
        <w:pStyle w:val="Heading2"/>
        <w:rPr>
          <w:rFonts w:cs="Arial"/>
        </w:rPr>
      </w:pPr>
      <w:bookmarkStart w:id="331" w:name="_Toc237213886"/>
      <w:bookmarkStart w:id="332" w:name="_Toc238290267"/>
      <w:bookmarkStart w:id="333" w:name="_Toc240724910"/>
      <w:r w:rsidRPr="004410BC">
        <w:rPr>
          <w:rFonts w:cs="Arial"/>
        </w:rPr>
        <w:t>5.4 Implications for Equitable Primary Care</w:t>
      </w:r>
      <w:bookmarkEnd w:id="331"/>
      <w:bookmarkEnd w:id="332"/>
      <w:bookmarkEnd w:id="333"/>
    </w:p>
    <w:p w14:paraId="2DFA1134" w14:textId="55F95159" w:rsidR="000A3AA7" w:rsidRPr="004410BC" w:rsidRDefault="000A3AA7" w:rsidP="00236C76">
      <w:pPr>
        <w:rPr>
          <w:rFonts w:cs="Arial"/>
        </w:rPr>
      </w:pPr>
      <w:r w:rsidRPr="004410BC">
        <w:rPr>
          <w:rFonts w:cs="Arial"/>
        </w:rPr>
        <w:t xml:space="preserve">The evidence indicates that stand-alone interventions are not likely to tackle inequalities, which occur in several interrelated ways. While interpreter provision and the provision of multilingual information are crucial, Chapter </w:t>
      </w:r>
      <w:r w:rsidR="000F1E8E" w:rsidRPr="004410BC">
        <w:rPr>
          <w:rFonts w:cs="Arial"/>
        </w:rPr>
        <w:t>Two</w:t>
      </w:r>
      <w:r w:rsidRPr="004410BC">
        <w:rPr>
          <w:rFonts w:cs="Arial"/>
        </w:rPr>
        <w:t xml:space="preserve"> indicates that communication interventions cannot overcome organisational barriers, discrimination and unequal digital access (Heath et al., 2023). Likewise, having cultural competence is not likely to be helpful if appointment systems are inflexible, or if there are not appropriate pathways for people to access care. The takeaway is that equitable access can be achieved by service design that integrates communication support, responsiveness, flexibility</w:t>
      </w:r>
      <w:r w:rsidR="00BE028D" w:rsidRPr="004410BC">
        <w:rPr>
          <w:rFonts w:cs="Arial"/>
        </w:rPr>
        <w:t>,</w:t>
      </w:r>
      <w:r w:rsidRPr="004410BC">
        <w:rPr>
          <w:rFonts w:cs="Arial"/>
        </w:rPr>
        <w:t xml:space="preserve"> and patient choice.</w:t>
      </w:r>
    </w:p>
    <w:p w14:paraId="6D72B076" w14:textId="01774BC0" w:rsidR="000A3AA7" w:rsidRPr="004410BC" w:rsidRDefault="000A3AA7" w:rsidP="00236C76">
      <w:pPr>
        <w:rPr>
          <w:rFonts w:cs="Arial"/>
        </w:rPr>
      </w:pPr>
      <w:r w:rsidRPr="004410BC">
        <w:rPr>
          <w:rFonts w:cs="Arial"/>
        </w:rPr>
        <w:t>In addition, there is a constant emphasis on co-production and community involvement in the design of services, indicating that services should be designed in partnership with communities, not based on assumptions about them. This is in line with Robinson et al.</w:t>
      </w:r>
      <w:r w:rsidR="00BE028D" w:rsidRPr="004410BC">
        <w:rPr>
          <w:rFonts w:cs="Arial"/>
        </w:rPr>
        <w:t xml:space="preserve"> (</w:t>
      </w:r>
      <w:r w:rsidRPr="004410BC">
        <w:rPr>
          <w:rFonts w:cs="Arial"/>
        </w:rPr>
        <w:t>2021; Robinson et al. (2022)</w:t>
      </w:r>
      <w:r w:rsidR="00BE028D" w:rsidRPr="004410BC">
        <w:rPr>
          <w:rFonts w:cs="Arial"/>
        </w:rPr>
        <w:t>;</w:t>
      </w:r>
      <w:r w:rsidRPr="004410BC">
        <w:rPr>
          <w:rFonts w:cs="Arial"/>
        </w:rPr>
        <w:t xml:space="preserve"> Gardner et al. (2024)</w:t>
      </w:r>
      <w:r w:rsidR="00BE028D" w:rsidRPr="004410BC">
        <w:rPr>
          <w:rFonts w:cs="Arial"/>
        </w:rPr>
        <w:t>;</w:t>
      </w:r>
      <w:r w:rsidRPr="004410BC">
        <w:rPr>
          <w:rFonts w:cs="Arial"/>
        </w:rPr>
        <w:t xml:space="preserve"> and Ekezie et al. (2022, but a careful evaluation of this recommendation is called for. Most studies in the group suggested preferred approaches, but did not measure whether disparities could be reduced by using these approaches. These strategies, therefore, are seen as plausible and acceptable, rather than solutions.</w:t>
      </w:r>
    </w:p>
    <w:p w14:paraId="63E87E06" w14:textId="4A660568" w:rsidR="000A3AA7" w:rsidRPr="004410BC" w:rsidRDefault="000A3AA7" w:rsidP="00236C76">
      <w:pPr>
        <w:rPr>
          <w:rFonts w:cs="Arial"/>
        </w:rPr>
      </w:pPr>
      <w:r w:rsidRPr="004410BC">
        <w:rPr>
          <w:rFonts w:cs="Arial"/>
        </w:rPr>
        <w:t>But flexible access or hybrid seems more defensible than a digital-first approach due to the variation in patient capabilities and preferences. Face-to-face, telephone and digital routes can help minimi</w:t>
      </w:r>
      <w:r w:rsidR="003C336E" w:rsidRPr="004410BC">
        <w:rPr>
          <w:rFonts w:cs="Arial"/>
        </w:rPr>
        <w:t>s</w:t>
      </w:r>
      <w:r w:rsidRPr="004410BC">
        <w:rPr>
          <w:rFonts w:cs="Arial"/>
        </w:rPr>
        <w:t xml:space="preserve">e reliance on a single access point and align with Levesque's focus on “fit” between services and populations. </w:t>
      </w:r>
    </w:p>
    <w:p w14:paraId="6937A064" w14:textId="77777777" w:rsidR="000A3AA7" w:rsidRPr="004410BC" w:rsidRDefault="000A3AA7" w:rsidP="00236C76">
      <w:pPr>
        <w:pStyle w:val="Heading2"/>
        <w:rPr>
          <w:rFonts w:cs="Arial"/>
        </w:rPr>
      </w:pPr>
      <w:bookmarkStart w:id="334" w:name="_Toc237213887"/>
      <w:bookmarkStart w:id="335" w:name="_Toc238290268"/>
      <w:bookmarkStart w:id="336" w:name="_Toc240724911"/>
      <w:r w:rsidRPr="004410BC">
        <w:rPr>
          <w:rFonts w:cs="Arial"/>
        </w:rPr>
        <w:t>5.5 Limitations of the Review</w:t>
      </w:r>
      <w:bookmarkEnd w:id="334"/>
      <w:bookmarkEnd w:id="335"/>
      <w:bookmarkEnd w:id="336"/>
    </w:p>
    <w:p w14:paraId="161111F8" w14:textId="77777777" w:rsidR="000A3AA7" w:rsidRPr="004410BC" w:rsidRDefault="000A3AA7" w:rsidP="00236C76">
      <w:pPr>
        <w:rPr>
          <w:rFonts w:cs="Arial"/>
        </w:rPr>
      </w:pPr>
      <w:r w:rsidRPr="004410BC">
        <w:rPr>
          <w:rFonts w:cs="Arial"/>
        </w:rPr>
        <w:t>There are some limitations that preclude some conclusions. The review summarised evidence from the UK that was collected in the last 10 years in 14 studies, of which qualitative studies included in the review were able to provide detailed accounts of experiences but lacked capacity to determine prevalence, size of effect and causality. Evidence was focused in specific populations and pathways, in particular women's reproductive, menopause and perinatal care. The results therefore cannot be assumed to be fully applicable to all women, the elderly, ethnic subgroups or all primary care settings.</w:t>
      </w:r>
    </w:p>
    <w:p w14:paraId="27EB1151" w14:textId="56A939A4" w:rsidR="000A3AA7" w:rsidRPr="004410BC" w:rsidRDefault="000A3AA7" w:rsidP="00236C76">
      <w:pPr>
        <w:rPr>
          <w:rFonts w:cs="Arial"/>
        </w:rPr>
      </w:pPr>
      <w:r w:rsidRPr="004410BC">
        <w:rPr>
          <w:rFonts w:cs="Arial"/>
        </w:rPr>
        <w:t xml:space="preserve">Furthermore, the lack of comparability due to ethnic classification, setting and the definition of outcomes further diminished. We have already discussed in Chapter </w:t>
      </w:r>
      <w:r w:rsidR="000F1E8E" w:rsidRPr="004410BC">
        <w:rPr>
          <w:rFonts w:cs="Arial"/>
        </w:rPr>
        <w:t>Two</w:t>
      </w:r>
      <w:r w:rsidRPr="004410BC">
        <w:rPr>
          <w:rFonts w:cs="Arial"/>
        </w:rPr>
        <w:t xml:space="preserve"> that broad ethnic categories are also a weakness as they may be masking within-group variations (Hayanga, Stafford and Bécares, 2021). In addition, a few studies have been performed during or after the COVID-19 period, when remote care and service organisation were </w:t>
      </w:r>
      <w:r w:rsidR="00324E74" w:rsidRPr="004410BC">
        <w:rPr>
          <w:rFonts w:cs="Arial"/>
        </w:rPr>
        <w:t>the</w:t>
      </w:r>
      <w:r w:rsidRPr="004410BC">
        <w:rPr>
          <w:rFonts w:cs="Arial"/>
        </w:rPr>
        <w:t xml:space="preserve"> exception. This may partly explain some issues with access to digital services, which may not represent typical primary care, but rather this exceptional period.</w:t>
      </w:r>
    </w:p>
    <w:p w14:paraId="00040913" w14:textId="46EA4916" w:rsidR="000A3AA7" w:rsidRPr="004410BC" w:rsidRDefault="000A3AA7" w:rsidP="00236C76">
      <w:pPr>
        <w:rPr>
          <w:rFonts w:cs="Arial"/>
        </w:rPr>
      </w:pPr>
      <w:r w:rsidRPr="004410BC">
        <w:rPr>
          <w:rFonts w:cs="Arial"/>
        </w:rPr>
        <w:t>Moreover, all the processes of screening, quality appraisal, extraction and thematic synthesis were performed by the same reviewer for this review. While the use of predetermined eligibility criteria and CASP appraisal and structured extraction ensured a high degree of consistency, single</w:t>
      </w:r>
      <w:r w:rsidR="00324E74" w:rsidRPr="004410BC">
        <w:rPr>
          <w:rFonts w:cs="Arial"/>
        </w:rPr>
        <w:t>-</w:t>
      </w:r>
      <w:r w:rsidRPr="004410BC">
        <w:rPr>
          <w:rFonts w:cs="Arial"/>
        </w:rPr>
        <w:t xml:space="preserve">reviewer decisions can enhance the likelihood of selection and interpretive bias. Including only UK-based studies published between 2020 and 2026 further enhanced the relevance of the studies included, but may have limited the scope to exclude earlier literature or grey literature. </w:t>
      </w:r>
    </w:p>
    <w:p w14:paraId="35DCDDAB" w14:textId="77777777" w:rsidR="000A3AA7" w:rsidRPr="004410BC" w:rsidRDefault="000A3AA7" w:rsidP="00236C76">
      <w:pPr>
        <w:pStyle w:val="Heading2"/>
        <w:rPr>
          <w:rFonts w:cs="Arial"/>
        </w:rPr>
      </w:pPr>
      <w:bookmarkStart w:id="337" w:name="_Toc237213888"/>
      <w:bookmarkStart w:id="338" w:name="_Toc238290269"/>
      <w:bookmarkStart w:id="339" w:name="_Toc240724912"/>
      <w:r w:rsidRPr="004410BC">
        <w:rPr>
          <w:rFonts w:cs="Arial"/>
        </w:rPr>
        <w:t>5.6 Priorities for Future Research</w:t>
      </w:r>
      <w:bookmarkEnd w:id="337"/>
      <w:bookmarkEnd w:id="338"/>
      <w:bookmarkEnd w:id="339"/>
    </w:p>
    <w:p w14:paraId="7530B2B3" w14:textId="77DE224F" w:rsidR="000A3AA7" w:rsidRPr="004410BC" w:rsidRDefault="000A3AA7" w:rsidP="00236C76">
      <w:pPr>
        <w:rPr>
          <w:rFonts w:cs="Arial"/>
        </w:rPr>
      </w:pPr>
      <w:r w:rsidRPr="004410BC">
        <w:rPr>
          <w:rFonts w:cs="Arial"/>
        </w:rPr>
        <w:t>Future research should go beyond identifying the barriers repeatedly and determine if proposed solutions actually help to decrease inequalities. Professional interpretation, culturally responsive care, community outreach and co-produced services</w:t>
      </w:r>
      <w:r w:rsidR="00324E74" w:rsidRPr="004410BC">
        <w:rPr>
          <w:rFonts w:cs="Arial"/>
        </w:rPr>
        <w:t>,</w:t>
      </w:r>
      <w:r w:rsidRPr="004410BC">
        <w:rPr>
          <w:rFonts w:cs="Arial"/>
        </w:rPr>
        <w:t xml:space="preserve"> and hybrid access are all adequately supported through longitudinal and comparative evaluations. Outcomes need to be more than just satisfaction; they should include uptake, continuity, unmet need, patient safety and sustained engagement.</w:t>
      </w:r>
    </w:p>
    <w:p w14:paraId="684472F6" w14:textId="059FC284" w:rsidR="000A3AA7" w:rsidRPr="004410BC" w:rsidRDefault="000A3AA7" w:rsidP="00236C76">
      <w:pPr>
        <w:rPr>
          <w:rFonts w:cs="Arial"/>
        </w:rPr>
      </w:pPr>
      <w:r w:rsidRPr="004410BC">
        <w:rPr>
          <w:rFonts w:cs="Arial"/>
        </w:rPr>
        <w:t>In addition, this research will explore the interaction between ethnicity and language skills, deprivation, migration status</w:t>
      </w:r>
      <w:r w:rsidR="00324E74" w:rsidRPr="004410BC">
        <w:rPr>
          <w:rFonts w:cs="Arial"/>
        </w:rPr>
        <w:t>,</w:t>
      </w:r>
      <w:r w:rsidRPr="004410BC">
        <w:rPr>
          <w:rFonts w:cs="Arial"/>
        </w:rPr>
        <w:t xml:space="preserve"> and age and gender of ethnic minority groups, rather than generali</w:t>
      </w:r>
      <w:r w:rsidR="00D648BC" w:rsidRPr="004410BC">
        <w:rPr>
          <w:rFonts w:cs="Arial"/>
        </w:rPr>
        <w:t>s</w:t>
      </w:r>
      <w:r w:rsidRPr="004410BC">
        <w:rPr>
          <w:rFonts w:cs="Arial"/>
        </w:rPr>
        <w:t xml:space="preserve">ing among these groups. This directly acknowledges the lack of understanding of interacting organisational, communicative, cultural and structural disadvantages, highlighted in Chapter </w:t>
      </w:r>
      <w:r w:rsidR="000F1E8E" w:rsidRPr="004410BC">
        <w:rPr>
          <w:rFonts w:cs="Arial"/>
        </w:rPr>
        <w:t>Two</w:t>
      </w:r>
      <w:r w:rsidRPr="004410BC">
        <w:rPr>
          <w:rFonts w:cs="Arial"/>
        </w:rPr>
        <w:t xml:space="preserve"> (Cu et al., 2021; Herlitz et al., 2024).</w:t>
      </w:r>
    </w:p>
    <w:p w14:paraId="24FB43FA" w14:textId="77777777" w:rsidR="000A3AA7" w:rsidRPr="004410BC" w:rsidRDefault="000A3AA7" w:rsidP="00236C76">
      <w:pPr>
        <w:rPr>
          <w:rFonts w:cs="Arial"/>
        </w:rPr>
      </w:pPr>
      <w:r w:rsidRPr="004410BC">
        <w:rPr>
          <w:rFonts w:cs="Arial"/>
        </w:rPr>
        <w:t>Last but not least, a more prominent presence of non-English speakers, men, older people and communities outside of major urban settings is needed. Co-designed research can also enhance relevance by enabling communities to identify relevant outcomes for access and to assess the impact of intervention on different groups. This work would help to build up the concrete evidence base and the explanatory power of the access frameworks.</w:t>
      </w:r>
    </w:p>
    <w:p w14:paraId="566B83EB" w14:textId="77777777" w:rsidR="000A3AA7" w:rsidRPr="004410BC" w:rsidRDefault="000A3AA7" w:rsidP="00236C76">
      <w:pPr>
        <w:pStyle w:val="Heading2"/>
        <w:rPr>
          <w:rFonts w:cs="Arial"/>
        </w:rPr>
      </w:pPr>
      <w:bookmarkStart w:id="340" w:name="_Toc237213889"/>
      <w:bookmarkStart w:id="341" w:name="_Toc238290270"/>
      <w:bookmarkStart w:id="342" w:name="_Toc240724913"/>
      <w:r w:rsidRPr="004410BC">
        <w:rPr>
          <w:rFonts w:cs="Arial"/>
        </w:rPr>
        <w:t>5.7 Conclusion</w:t>
      </w:r>
      <w:bookmarkEnd w:id="340"/>
      <w:bookmarkEnd w:id="341"/>
      <w:bookmarkEnd w:id="342"/>
    </w:p>
    <w:p w14:paraId="75B0ADC0" w14:textId="6079A9CA" w:rsidR="000A3AA7" w:rsidRPr="004410BC" w:rsidRDefault="000A3AA7" w:rsidP="00236C76">
      <w:pPr>
        <w:rPr>
          <w:rFonts w:cs="Arial"/>
        </w:rPr>
      </w:pPr>
      <w:r w:rsidRPr="004410BC">
        <w:rPr>
          <w:rFonts w:cs="Arial"/>
        </w:rPr>
        <w:t xml:space="preserve">The review suggests that ethnic inequalities in primary healthcare in the UK are best interpreted as a result of the interaction of patient, service and structural factors, rather than as some singular factor or as being a fixed attribute of ethnicity. This interpretation aligns with Chapter </w:t>
      </w:r>
      <w:r w:rsidR="000F1E8E" w:rsidRPr="004410BC">
        <w:rPr>
          <w:rFonts w:cs="Arial"/>
        </w:rPr>
        <w:t>Two</w:t>
      </w:r>
      <w:r w:rsidRPr="004410BC">
        <w:rPr>
          <w:rFonts w:cs="Arial"/>
        </w:rPr>
        <w:t xml:space="preserve"> and builds upon Levesque's multidimensional model of access, while revealing that structural discrimination and intersectional disadvantage are not only beyond the scope of the model, but that this model is not enough.</w:t>
      </w:r>
    </w:p>
    <w:p w14:paraId="1606A7B9" w14:textId="1BE691FA" w:rsidR="000A3AA7" w:rsidRPr="004410BC" w:rsidRDefault="000A3AA7" w:rsidP="00236C76">
      <w:pPr>
        <w:rPr>
          <w:rFonts w:cs="Arial"/>
        </w:rPr>
      </w:pPr>
      <w:r w:rsidRPr="004410BC">
        <w:rPr>
          <w:rFonts w:cs="Arial"/>
        </w:rPr>
        <w:t>The clear implication is not that any intervention should be used at all, but that primary care should meet the needs of a diverse population for different styles of communication and digital approaches, and different forms of access and trust. Although there are directions for improvement that have been found to be credible, there is still a relatively strong knowledge base on explaining barriers and a weaker one in explaining which interventions successfully lead to lasting reductions in inequality.</w:t>
      </w:r>
    </w:p>
    <w:p w14:paraId="2871B4E0" w14:textId="77777777" w:rsidR="000A3AA7" w:rsidRPr="004410BC" w:rsidRDefault="000A3AA7" w:rsidP="00236C76">
      <w:pPr>
        <w:pStyle w:val="Heading1"/>
        <w:ind w:left="12" w:right="3"/>
        <w:rPr>
          <w:rFonts w:cs="Arial"/>
        </w:rPr>
        <w:sectPr w:rsidR="000A3AA7" w:rsidRPr="004410BC" w:rsidSect="00B2505E">
          <w:footerReference w:type="even" r:id="rId18"/>
          <w:footerReference w:type="default" r:id="rId19"/>
          <w:footerReference w:type="first" r:id="rId20"/>
          <w:pgSz w:w="11906" w:h="16838"/>
          <w:pgMar w:top="1440" w:right="1440" w:bottom="1440" w:left="1440" w:header="708" w:footer="708" w:gutter="0"/>
          <w:cols w:space="708"/>
          <w:docGrid w:linePitch="360"/>
        </w:sectPr>
      </w:pPr>
    </w:p>
    <w:p w14:paraId="71131267" w14:textId="4B841252" w:rsidR="009F64C5" w:rsidRPr="004410BC" w:rsidRDefault="00DD7AA5" w:rsidP="00236C76">
      <w:pPr>
        <w:pStyle w:val="Heading1"/>
        <w:rPr>
          <w:rFonts w:cs="Arial"/>
        </w:rPr>
      </w:pPr>
      <w:bookmarkStart w:id="343" w:name="_Toc238290271"/>
      <w:bookmarkStart w:id="344" w:name="_Toc240724914"/>
      <w:r w:rsidRPr="004410BC">
        <w:rPr>
          <w:rFonts w:cs="Arial"/>
        </w:rPr>
        <w:t xml:space="preserve">Chapter 6: </w:t>
      </w:r>
      <w:r w:rsidR="009F64C5" w:rsidRPr="004410BC">
        <w:rPr>
          <w:rFonts w:cs="Arial"/>
        </w:rPr>
        <w:t>Conclusion</w:t>
      </w:r>
      <w:bookmarkEnd w:id="343"/>
      <w:bookmarkEnd w:id="344"/>
      <w:r w:rsidR="009F64C5" w:rsidRPr="004410BC">
        <w:rPr>
          <w:rFonts w:cs="Arial"/>
        </w:rPr>
        <w:t xml:space="preserve"> </w:t>
      </w:r>
      <w:bookmarkEnd w:id="324"/>
    </w:p>
    <w:p w14:paraId="17B579DE" w14:textId="77777777" w:rsidR="00691EE8" w:rsidRPr="004410BC" w:rsidRDefault="00691EE8" w:rsidP="00236C76">
      <w:pPr>
        <w:pStyle w:val="Heading2"/>
        <w:rPr>
          <w:rFonts w:cs="Arial"/>
        </w:rPr>
      </w:pPr>
      <w:bookmarkStart w:id="345" w:name="_Toc237213891"/>
      <w:bookmarkStart w:id="346" w:name="_Toc238290272"/>
      <w:bookmarkStart w:id="347" w:name="_Toc240724915"/>
      <w:bookmarkStart w:id="348" w:name="_Toc12222"/>
      <w:r w:rsidRPr="004410BC">
        <w:rPr>
          <w:rFonts w:cs="Arial"/>
        </w:rPr>
        <w:t>6.1 Overall Conclusion</w:t>
      </w:r>
      <w:bookmarkEnd w:id="345"/>
      <w:bookmarkEnd w:id="346"/>
      <w:bookmarkEnd w:id="347"/>
    </w:p>
    <w:p w14:paraId="2810F538" w14:textId="6B1FB0BF" w:rsidR="00691EE8" w:rsidRPr="004410BC" w:rsidRDefault="00691EE8" w:rsidP="00236C76">
      <w:pPr>
        <w:rPr>
          <w:rFonts w:cs="Arial"/>
        </w:rPr>
      </w:pPr>
      <w:r w:rsidRPr="004410BC">
        <w:rPr>
          <w:rFonts w:cs="Arial"/>
        </w:rPr>
        <w:t>This systematic review explored health inequalities and accessibility issues for ethnic minority groups in the primary health care services of the UK. The research question was to determine the inequalities and barriers to access that the ethnic minority communities faced within primary healthcare in the UK. The overall finding is that</w:t>
      </w:r>
      <w:r w:rsidR="00407EA7" w:rsidRPr="004410BC">
        <w:rPr>
          <w:rFonts w:cs="Arial"/>
        </w:rPr>
        <w:t>,</w:t>
      </w:r>
      <w:r w:rsidRPr="004410BC">
        <w:rPr>
          <w:rFonts w:cs="Arial"/>
        </w:rPr>
        <w:t xml:space="preserve"> in practice</w:t>
      </w:r>
      <w:r w:rsidR="00407EA7" w:rsidRPr="004410BC">
        <w:rPr>
          <w:rFonts w:cs="Arial"/>
        </w:rPr>
        <w:t>,</w:t>
      </w:r>
      <w:r w:rsidRPr="004410BC">
        <w:rPr>
          <w:rFonts w:cs="Arial"/>
        </w:rPr>
        <w:t xml:space="preserve"> there is no right to equal access to the NHS for everyone. The inequalities were found at various stages of the care pathway in the 14 studies included, such as at the level of awareness, preventive care, communication, trust, safety and engagement. Access is therefore more than just having access to healthcare services that are formally available. It also relies on the ability to identify services, access them, communicate with them</w:t>
      </w:r>
      <w:r w:rsidR="009D522A" w:rsidRPr="004410BC">
        <w:rPr>
          <w:rFonts w:cs="Arial"/>
        </w:rPr>
        <w:t>,</w:t>
      </w:r>
      <w:r w:rsidRPr="004410BC">
        <w:rPr>
          <w:rFonts w:cs="Arial"/>
        </w:rPr>
        <w:t xml:space="preserve"> and access care in an appropriate way after the initial contact.</w:t>
      </w:r>
    </w:p>
    <w:p w14:paraId="2D9C2855" w14:textId="77777777" w:rsidR="00691EE8" w:rsidRPr="004410BC" w:rsidRDefault="00691EE8" w:rsidP="00236C76">
      <w:pPr>
        <w:rPr>
          <w:rFonts w:cs="Arial"/>
        </w:rPr>
      </w:pPr>
      <w:r w:rsidRPr="004410BC">
        <w:rPr>
          <w:rFonts w:cs="Arial"/>
        </w:rPr>
        <w:t>The review also finds that none of the barriers is sufficient to account for the inequity in access. There were cross-cutting issues with language and communication difficulties, cultural expectations, stigma, discrimination, mistrust, digital exclusion and organisational arrangements. Digital systems were not necessarily equitable, nor were they inequitable; it was the impact that influenced this. Digital systems are not inherently equitable or inequitable; it was the impact that meant that. Cultural factors also played a significant role; however, evidence was not found to support the notion of culture as a static reason for non-use. Rather, culture, family relations, previous experiences, professional behaviour and trust were interwoven. These results contribute to the multidimensional perspective on ethnic inequality and a context-sensitive approach.</w:t>
      </w:r>
    </w:p>
    <w:p w14:paraId="2D54B320" w14:textId="3B224618" w:rsidR="00691EE8" w:rsidRPr="004410BC" w:rsidRDefault="00691EE8" w:rsidP="00236C76">
      <w:pPr>
        <w:rPr>
          <w:rFonts w:cs="Arial"/>
        </w:rPr>
      </w:pPr>
      <w:r w:rsidRPr="004410BC">
        <w:rPr>
          <w:rFonts w:cs="Arial"/>
        </w:rPr>
        <w:t>This interpretation has been facilitated by Levesque's Access to Healthcare Framework, which depicts the relationship between the characteristics of health services and patients' perception, search, reach and engagement capabilities (Cu et al., 2021). But discrimination, socioeconomic disadvantage</w:t>
      </w:r>
      <w:r w:rsidR="009D522A" w:rsidRPr="004410BC">
        <w:rPr>
          <w:rFonts w:cs="Arial"/>
        </w:rPr>
        <w:t>,</w:t>
      </w:r>
      <w:r w:rsidRPr="004410BC">
        <w:rPr>
          <w:rFonts w:cs="Arial"/>
        </w:rPr>
        <w:t xml:space="preserve"> and intersecting identities can exist outside of the direct patient service provision. The framework proved to be helpful for understanding the potential for a lack of access, but was less comprehensive as a framework for understanding the broader structural determinants of inequality. Overall, equity in service design and the context influencing patients' ability to engage with primary healthcare services are important principles to consider.</w:t>
      </w:r>
    </w:p>
    <w:p w14:paraId="2568A1AD" w14:textId="77777777" w:rsidR="00691EE8" w:rsidRPr="004410BC" w:rsidRDefault="00691EE8" w:rsidP="00236C76">
      <w:pPr>
        <w:pStyle w:val="Heading2"/>
        <w:rPr>
          <w:rFonts w:cs="Arial"/>
        </w:rPr>
      </w:pPr>
      <w:bookmarkStart w:id="349" w:name="_Toc237213892"/>
      <w:bookmarkStart w:id="350" w:name="_Toc238290273"/>
      <w:bookmarkStart w:id="351" w:name="_Toc240724916"/>
      <w:r w:rsidRPr="004410BC">
        <w:rPr>
          <w:rFonts w:cs="Arial"/>
        </w:rPr>
        <w:t>6.2 Reflection on the Research</w:t>
      </w:r>
      <w:bookmarkEnd w:id="349"/>
      <w:bookmarkEnd w:id="350"/>
      <w:bookmarkEnd w:id="351"/>
    </w:p>
    <w:p w14:paraId="3A0F3587" w14:textId="4CBA9259" w:rsidR="00691EE8" w:rsidRPr="004410BC" w:rsidRDefault="00691EE8" w:rsidP="00236C76">
      <w:pPr>
        <w:rPr>
          <w:rFonts w:cs="Arial"/>
        </w:rPr>
      </w:pPr>
      <w:r w:rsidRPr="004410BC">
        <w:rPr>
          <w:rFonts w:cs="Arial"/>
        </w:rPr>
        <w:t xml:space="preserve">I believe the systematic review approach was suitable to answer my research question because relevant evidence was spread out across target populations, in health care pathways and settings. I applied a pre-defined review process, searched seven databases, followed the guidance of the PRISMA, applied eligibility criteria, conducted quality appraisal, and employed narrative synthesis. These steps were a clear method to recognise patterns within the studies and </w:t>
      </w:r>
      <w:r w:rsidR="009D522A" w:rsidRPr="004410BC">
        <w:rPr>
          <w:rFonts w:cs="Arial"/>
        </w:rPr>
        <w:t>highlight</w:t>
      </w:r>
      <w:r w:rsidRPr="004410BC">
        <w:rPr>
          <w:rFonts w:cs="Arial"/>
        </w:rPr>
        <w:t xml:space="preserve"> differences. Narrative synthesis was an appropriate method because there was a variation in the populations studied, setting</w:t>
      </w:r>
      <w:r w:rsidR="009D522A" w:rsidRPr="004410BC">
        <w:rPr>
          <w:rFonts w:cs="Arial"/>
        </w:rPr>
        <w:t>s</w:t>
      </w:r>
      <w:r w:rsidRPr="004410BC">
        <w:rPr>
          <w:rFonts w:cs="Arial"/>
        </w:rPr>
        <w:t>, and outcome</w:t>
      </w:r>
      <w:r w:rsidR="009D522A" w:rsidRPr="004410BC">
        <w:rPr>
          <w:rFonts w:cs="Arial"/>
        </w:rPr>
        <w:t>s</w:t>
      </w:r>
      <w:r w:rsidRPr="004410BC">
        <w:rPr>
          <w:rFonts w:cs="Arial"/>
        </w:rPr>
        <w:t xml:space="preserve"> of these studies, making it inappropriate to pool and draw a single conclusion.</w:t>
      </w:r>
    </w:p>
    <w:p w14:paraId="7485410D" w14:textId="086850ED" w:rsidR="00691EE8" w:rsidRPr="004410BC" w:rsidRDefault="00691EE8" w:rsidP="00236C76">
      <w:pPr>
        <w:rPr>
          <w:rFonts w:cs="Arial"/>
        </w:rPr>
      </w:pPr>
      <w:r w:rsidRPr="004410BC">
        <w:rPr>
          <w:rFonts w:cs="Arial"/>
        </w:rPr>
        <w:t xml:space="preserve">Meanwhile, as I was doing the review, I became more conscious of its shortcomings. As the </w:t>
      </w:r>
      <w:r w:rsidR="009D522A" w:rsidRPr="004410BC">
        <w:rPr>
          <w:rFonts w:cs="Arial"/>
        </w:rPr>
        <w:t>sol</w:t>
      </w:r>
      <w:r w:rsidRPr="004410BC">
        <w:rPr>
          <w:rFonts w:cs="Arial"/>
        </w:rPr>
        <w:t>e reviewer, I performed the screening, appraisal, extraction, and synthesis. I used the same criteria in all cases, but may have experienced selection and/or interpretive bias. The review was also limited to UK studies with search terms in English that were peer-reviewed and published from 2020-2026. This enhanced relevance to current NHS practice, but could have left out previous research, grey literature, and other languages. I therefore acknowledge that the conclusions are only a synthesis of the most recent evidence, and are not an exhaustive description of all access experiences.</w:t>
      </w:r>
    </w:p>
    <w:p w14:paraId="371D74BA" w14:textId="2E74FA1E" w:rsidR="00691EE8" w:rsidRPr="004410BC" w:rsidRDefault="00691EE8" w:rsidP="00236C76">
      <w:pPr>
        <w:rPr>
          <w:rFonts w:cs="Arial"/>
        </w:rPr>
      </w:pPr>
      <w:r w:rsidRPr="004410BC">
        <w:rPr>
          <w:rFonts w:cs="Arial"/>
        </w:rPr>
        <w:t>An important lesson I learned was that the use of health services does not equate to access in itself. An increase in use may be related to increased health need, but patients continue to have problems with prevention, continuity, or follow-up. I also found that digitalisation is not a straightforward concept of 'positive' or 'negative' as it is dependent on the design of the services and the resources of patients. These findings led to a further question that was unanswered regarding the combinations of interventions that can lead to ongoing gains in equity for each ethnic minority group.</w:t>
      </w:r>
    </w:p>
    <w:p w14:paraId="0013D7B8" w14:textId="77777777" w:rsidR="00691EE8" w:rsidRPr="004410BC" w:rsidRDefault="00691EE8" w:rsidP="00236C76">
      <w:pPr>
        <w:pStyle w:val="Heading2"/>
        <w:rPr>
          <w:rFonts w:cs="Arial"/>
        </w:rPr>
      </w:pPr>
      <w:bookmarkStart w:id="352" w:name="_Toc237213893"/>
      <w:bookmarkStart w:id="353" w:name="_Toc238290274"/>
      <w:bookmarkStart w:id="354" w:name="_Toc240724917"/>
      <w:r w:rsidRPr="004410BC">
        <w:rPr>
          <w:rFonts w:cs="Arial"/>
        </w:rPr>
        <w:t>6.3 Recommendations</w:t>
      </w:r>
      <w:bookmarkEnd w:id="352"/>
      <w:bookmarkEnd w:id="353"/>
      <w:bookmarkEnd w:id="354"/>
    </w:p>
    <w:p w14:paraId="144760A6" w14:textId="77777777" w:rsidR="00691EE8" w:rsidRPr="004410BC" w:rsidRDefault="00691EE8" w:rsidP="00236C76">
      <w:pPr>
        <w:rPr>
          <w:rFonts w:cs="Arial"/>
          <w:b/>
          <w:bCs/>
        </w:rPr>
      </w:pPr>
      <w:r w:rsidRPr="004410BC">
        <w:rPr>
          <w:rFonts w:cs="Arial"/>
          <w:b/>
          <w:bCs/>
        </w:rPr>
        <w:t>Ensure Multilingual and Culturally Responsive Communication</w:t>
      </w:r>
    </w:p>
    <w:p w14:paraId="115379A1" w14:textId="24F544E1" w:rsidR="00691EE8" w:rsidRPr="004410BC" w:rsidRDefault="00691EE8" w:rsidP="00236C76">
      <w:pPr>
        <w:rPr>
          <w:rFonts w:cs="Arial"/>
        </w:rPr>
      </w:pPr>
      <w:r w:rsidRPr="004410BC">
        <w:rPr>
          <w:rFonts w:cs="Arial"/>
        </w:rPr>
        <w:t>Strengthen access to professional interpretation, translated information, and accessible communication in primary care services. Findings illustrated that although communication support is crucial, it should not be looked upon as a solution by itself. While the effectiveness of interpreter services depends on the method of interpretation, Heath et al. (2023) reported that interpreter services could help enhance healthcare communication and outcomes. Robinson et al. (2021) also found that practical facilitators included interpreter availability and multilingual information and consultation time. Primary care services might thus be able to integrate language assistance into personalised communication, and make no assumptions about the preferences of members of different ethnic groups.</w:t>
      </w:r>
    </w:p>
    <w:p w14:paraId="4A6DD4E5" w14:textId="77777777" w:rsidR="00691EE8" w:rsidRPr="004410BC" w:rsidRDefault="00691EE8" w:rsidP="00236C76">
      <w:pPr>
        <w:rPr>
          <w:rFonts w:cs="Arial"/>
          <w:b/>
          <w:bCs/>
        </w:rPr>
      </w:pPr>
      <w:r w:rsidRPr="004410BC">
        <w:rPr>
          <w:rFonts w:cs="Arial"/>
          <w:b/>
          <w:bCs/>
        </w:rPr>
        <w:t>Enhance Flexible and Inclusive Access Routes</w:t>
      </w:r>
    </w:p>
    <w:p w14:paraId="728D40CE" w14:textId="3407623B" w:rsidR="00691EE8" w:rsidRPr="004410BC" w:rsidRDefault="00691EE8" w:rsidP="00236C76">
      <w:pPr>
        <w:rPr>
          <w:rFonts w:cs="Arial"/>
        </w:rPr>
      </w:pPr>
      <w:r w:rsidRPr="004410BC">
        <w:rPr>
          <w:rFonts w:cs="Arial"/>
        </w:rPr>
        <w:t>PHCPs may be able to keep face-to-face, telephone, and digital as their options instead of just one. This study found that hybrid access is more defensible than universal access, where the patient has digital-first access. Small et al</w:t>
      </w:r>
      <w:r w:rsidR="009D522A" w:rsidRPr="004410BC">
        <w:rPr>
          <w:rFonts w:cs="Arial"/>
        </w:rPr>
        <w:t>.</w:t>
      </w:r>
      <w:r w:rsidRPr="004410BC">
        <w:rPr>
          <w:rFonts w:cs="Arial"/>
        </w:rPr>
        <w:t xml:space="preserve"> (2024) reported that remote care might impact choice and </w:t>
      </w:r>
      <w:r w:rsidR="00111DC0" w:rsidRPr="004410BC">
        <w:rPr>
          <w:rFonts w:cs="Arial"/>
        </w:rPr>
        <w:t>affe</w:t>
      </w:r>
      <w:r w:rsidRPr="004410BC">
        <w:rPr>
          <w:rFonts w:cs="Arial"/>
        </w:rPr>
        <w:t>ct patients with limited English proficiency, especially from the South Asian community. Similarly, access to digital was influenced by devices, connectivity, digital literacy, digital language support and digital staff responses as identified by Islam, Bailey and Netto (2024). Having alternative routes therefore may help to mitigate the risk of convenience for one group being exclusion for another.</w:t>
      </w:r>
    </w:p>
    <w:p w14:paraId="2FFC10E1" w14:textId="77777777" w:rsidR="00691EE8" w:rsidRPr="004410BC" w:rsidRDefault="00691EE8" w:rsidP="00236C76">
      <w:pPr>
        <w:rPr>
          <w:rFonts w:cs="Arial"/>
          <w:b/>
          <w:bCs/>
        </w:rPr>
      </w:pPr>
      <w:r w:rsidRPr="004410BC">
        <w:rPr>
          <w:rFonts w:cs="Arial"/>
          <w:b/>
          <w:bCs/>
        </w:rPr>
        <w:t>Community Partnership and Co-produced Care</w:t>
      </w:r>
    </w:p>
    <w:p w14:paraId="74204CE5" w14:textId="2C6C6EBD" w:rsidR="00691EE8" w:rsidRPr="004410BC" w:rsidRDefault="00691EE8" w:rsidP="00236C76">
      <w:pPr>
        <w:rPr>
          <w:rFonts w:cs="Arial"/>
        </w:rPr>
      </w:pPr>
      <w:r w:rsidRPr="004410BC">
        <w:rPr>
          <w:rFonts w:cs="Arial"/>
        </w:rPr>
        <w:t xml:space="preserve">More active participation by ethnic minority communities in making changes to information, outreach and services in primary care organisations. This is in line with the end of </w:t>
      </w:r>
      <w:r w:rsidR="009D522A" w:rsidRPr="004410BC">
        <w:rPr>
          <w:rFonts w:cs="Arial"/>
        </w:rPr>
        <w:t xml:space="preserve">the </w:t>
      </w:r>
      <w:r w:rsidRPr="004410BC">
        <w:rPr>
          <w:rFonts w:cs="Arial"/>
        </w:rPr>
        <w:t>discussion of findings, which found culturally responsive care to be more believable when it is based upon an experience of that culture, not assumptions of it. Robinson et al. (2022) uncovered several facilitators to medication-review access, including co-design, community support and culturally competent relationships. Cultural curiosity, peer support and practical adaptation were also highlighted in the context of perinatal mental health by Gardner et al. (2024). Community partnership could therefore play a role in helping services establish a sense of what the barriers are in the community, to make it more acceptable and to provide better tailoring to the services, without assuming that the ethnic minority population is homogeneous.</w:t>
      </w:r>
    </w:p>
    <w:p w14:paraId="1632E022" w14:textId="77777777" w:rsidR="00691EE8" w:rsidRPr="004410BC" w:rsidRDefault="00691EE8" w:rsidP="00236C76">
      <w:pPr>
        <w:rPr>
          <w:rFonts w:cs="Arial"/>
          <w:b/>
          <w:bCs/>
        </w:rPr>
      </w:pPr>
      <w:r w:rsidRPr="004410BC">
        <w:rPr>
          <w:rFonts w:cs="Arial"/>
          <w:b/>
          <w:bCs/>
        </w:rPr>
        <w:t>Evaluation and More Inclusive Future Research</w:t>
      </w:r>
    </w:p>
    <w:p w14:paraId="38CD4468" w14:textId="227399B2" w:rsidR="00691EE8" w:rsidRPr="004410BC" w:rsidRDefault="00691EE8" w:rsidP="00236C76">
      <w:pPr>
        <w:rPr>
          <w:rFonts w:cs="Arial"/>
        </w:rPr>
      </w:pPr>
      <w:r w:rsidRPr="004410BC">
        <w:rPr>
          <w:rFonts w:cs="Arial"/>
        </w:rPr>
        <w:t xml:space="preserve">Future research needs to test if interventions to reduce inequalities are actually being implemented or if they are preferred solutions or just suggestions. As demonstrated in </w:t>
      </w:r>
      <w:r w:rsidR="005B31F8" w:rsidRPr="004410BC">
        <w:rPr>
          <w:rFonts w:cs="Arial"/>
        </w:rPr>
        <w:t xml:space="preserve">the </w:t>
      </w:r>
      <w:r w:rsidRPr="004410BC">
        <w:rPr>
          <w:rFonts w:cs="Arial"/>
        </w:rPr>
        <w:t xml:space="preserve">findings, the evidence is more robust for barriers than </w:t>
      </w:r>
      <w:r w:rsidR="009D522A" w:rsidRPr="004410BC">
        <w:rPr>
          <w:rFonts w:cs="Arial"/>
        </w:rPr>
        <w:t xml:space="preserve">for </w:t>
      </w:r>
      <w:r w:rsidRPr="004410BC">
        <w:rPr>
          <w:rFonts w:cs="Arial"/>
        </w:rPr>
        <w:t>demonstrating long-term effectiveness of interventions. Cu et al. (2021) suggest there should be an awareness of the multiple dimensions of access, both service and patient, and Herlitz et al. (2024) demonstrate that there are barriers and facilitators for both subgroups and context. Longitudinal, comparative</w:t>
      </w:r>
      <w:r w:rsidR="009D522A" w:rsidRPr="004410BC">
        <w:rPr>
          <w:rFonts w:cs="Arial"/>
        </w:rPr>
        <w:t>,</w:t>
      </w:r>
      <w:r w:rsidRPr="004410BC">
        <w:rPr>
          <w:rFonts w:cs="Arial"/>
        </w:rPr>
        <w:t xml:space="preserve"> and mixed</w:t>
      </w:r>
      <w:r w:rsidR="009D522A" w:rsidRPr="004410BC">
        <w:rPr>
          <w:rFonts w:cs="Arial"/>
        </w:rPr>
        <w:t>-</w:t>
      </w:r>
      <w:r w:rsidRPr="004410BC">
        <w:rPr>
          <w:rFonts w:cs="Arial"/>
        </w:rPr>
        <w:t>methods approaches to measuring uptake, continuity, unmet need, safety</w:t>
      </w:r>
      <w:r w:rsidR="009D522A" w:rsidRPr="004410BC">
        <w:rPr>
          <w:rFonts w:cs="Arial"/>
        </w:rPr>
        <w:t>,</w:t>
      </w:r>
      <w:r w:rsidRPr="004410BC">
        <w:rPr>
          <w:rFonts w:cs="Arial"/>
        </w:rPr>
        <w:t xml:space="preserve"> and sustained engagement in the future might be considered. It would also be more transferable if there was greater representation of non-English speakers, men, older people</w:t>
      </w:r>
      <w:r w:rsidR="009D522A" w:rsidRPr="004410BC">
        <w:rPr>
          <w:rFonts w:cs="Arial"/>
        </w:rPr>
        <w:t>,</w:t>
      </w:r>
      <w:r w:rsidRPr="004410BC">
        <w:rPr>
          <w:rFonts w:cs="Arial"/>
        </w:rPr>
        <w:t xml:space="preserve"> and different regional communities.</w:t>
      </w:r>
    </w:p>
    <w:p w14:paraId="35C60B45" w14:textId="77777777" w:rsidR="00691EE8" w:rsidRPr="004410BC" w:rsidRDefault="00691EE8" w:rsidP="00236C76">
      <w:pPr>
        <w:pStyle w:val="Heading2"/>
        <w:rPr>
          <w:rFonts w:cs="Arial"/>
        </w:rPr>
      </w:pPr>
      <w:bookmarkStart w:id="355" w:name="_Toc237213894"/>
      <w:bookmarkStart w:id="356" w:name="_Toc238290275"/>
      <w:bookmarkStart w:id="357" w:name="_Toc240724918"/>
      <w:r w:rsidRPr="004410BC">
        <w:rPr>
          <w:rFonts w:cs="Arial"/>
        </w:rPr>
        <w:t>6.4 Contribution of the Study and Final Conclusion</w:t>
      </w:r>
      <w:bookmarkEnd w:id="355"/>
      <w:bookmarkEnd w:id="356"/>
      <w:bookmarkEnd w:id="357"/>
    </w:p>
    <w:p w14:paraId="09AB2678" w14:textId="77777777" w:rsidR="00691EE8" w:rsidRPr="004410BC" w:rsidRDefault="00691EE8" w:rsidP="00236C76">
      <w:pPr>
        <w:rPr>
          <w:rFonts w:cs="Arial"/>
        </w:rPr>
      </w:pPr>
      <w:r w:rsidRPr="004410BC">
        <w:rPr>
          <w:rFonts w:cs="Arial"/>
        </w:rPr>
        <w:t>This study advances this work by synthesising recent evidence from the UK around access to primary health care for ethnic minority individuals in a single study. Its most important contribution is not a new barrier, but the fact that barriers can and do occur in combination, in the form of communicative, cultural, organisational, digital and structural barriers. The review also helps to distinguish the concepts of formal service availability and meaningful accessibility and demonstrates how general ethnic groupings may mask variations in needs and experience.</w:t>
      </w:r>
    </w:p>
    <w:p w14:paraId="05EF7941" w14:textId="77777777" w:rsidR="00691EE8" w:rsidRPr="004410BC" w:rsidRDefault="00691EE8" w:rsidP="00236C76">
      <w:pPr>
        <w:rPr>
          <w:rFonts w:cs="Arial"/>
        </w:rPr>
      </w:pPr>
      <w:r w:rsidRPr="004410BC">
        <w:rPr>
          <w:rFonts w:cs="Arial"/>
        </w:rPr>
        <w:t>The research aims and four research objectives were explored by reviewing inequalities in access to services, barriers to access, how these barriers might affect the use of and patient experience of services, and reviewing proposed strategies and research gaps. Levesque’s framework provided a logical framework for thinking about the interaction between service characteristics and patient capabilities, and the results underscored more structural and intersectional factors.</w:t>
      </w:r>
    </w:p>
    <w:p w14:paraId="4F0B53CE" w14:textId="1A503240" w:rsidR="00691EE8" w:rsidRPr="004410BC" w:rsidRDefault="00691EE8" w:rsidP="00236C76">
      <w:pPr>
        <w:rPr>
          <w:rFonts w:cs="Arial"/>
        </w:rPr>
      </w:pPr>
      <w:r w:rsidRPr="004410BC">
        <w:rPr>
          <w:rFonts w:cs="Arial"/>
        </w:rPr>
        <w:t>The final message is that tackling inequity in primary care in the UK must go beyond the provision of services. The ability to access care in a meaningful way relies on the ability for care to be understood, reached, trusted</w:t>
      </w:r>
      <w:r w:rsidR="009D522A" w:rsidRPr="004410BC">
        <w:rPr>
          <w:rFonts w:cs="Arial"/>
        </w:rPr>
        <w:t>,</w:t>
      </w:r>
      <w:r w:rsidRPr="004410BC">
        <w:rPr>
          <w:rFonts w:cs="Arial"/>
        </w:rPr>
        <w:t xml:space="preserve"> and used in ways that address the needs of patients. The most important recommendations that have come out of this review are increased communication support, increased flexibility of access, community engagement</w:t>
      </w:r>
      <w:r w:rsidR="00111DC0" w:rsidRPr="004410BC">
        <w:rPr>
          <w:rFonts w:cs="Arial"/>
        </w:rPr>
        <w:t>,</w:t>
      </w:r>
      <w:r w:rsidRPr="004410BC">
        <w:rPr>
          <w:rFonts w:cs="Arial"/>
        </w:rPr>
        <w:t xml:space="preserve"> and improved assessment of interventions. The study has relevance because it demonstrates that ethnic inequalities will not be reduced without a primary care system that will respond to difference</w:t>
      </w:r>
      <w:r w:rsidR="009D522A" w:rsidRPr="004410BC">
        <w:rPr>
          <w:rFonts w:cs="Arial"/>
        </w:rPr>
        <w:t>s</w:t>
      </w:r>
      <w:r w:rsidRPr="004410BC">
        <w:rPr>
          <w:rFonts w:cs="Arial"/>
        </w:rPr>
        <w:t xml:space="preserve"> without reducing individuals to broad ethnic groups.</w:t>
      </w:r>
    </w:p>
    <w:p w14:paraId="2C105B86" w14:textId="77777777" w:rsidR="00691EE8" w:rsidRPr="004410BC" w:rsidRDefault="00691EE8" w:rsidP="00236C76">
      <w:pPr>
        <w:pStyle w:val="Heading1"/>
        <w:ind w:left="12" w:right="6"/>
        <w:rPr>
          <w:rFonts w:cs="Arial"/>
        </w:rPr>
        <w:sectPr w:rsidR="00691EE8" w:rsidRPr="004410BC" w:rsidSect="00B2505E">
          <w:pgSz w:w="11906" w:h="16838"/>
          <w:pgMar w:top="1440" w:right="1440" w:bottom="1440" w:left="1440" w:header="708" w:footer="708" w:gutter="0"/>
          <w:cols w:space="708"/>
          <w:docGrid w:linePitch="360"/>
        </w:sectPr>
      </w:pPr>
    </w:p>
    <w:p w14:paraId="1C880B3B" w14:textId="6A4CDA7B" w:rsidR="009F64C5" w:rsidRPr="004410BC" w:rsidRDefault="009F64C5" w:rsidP="00236C76">
      <w:pPr>
        <w:pStyle w:val="Heading1"/>
        <w:rPr>
          <w:rFonts w:cs="Arial"/>
        </w:rPr>
      </w:pPr>
      <w:bookmarkStart w:id="358" w:name="_Toc238290276"/>
      <w:bookmarkStart w:id="359" w:name="_Toc240724919"/>
      <w:r w:rsidRPr="004410BC">
        <w:rPr>
          <w:rFonts w:cs="Arial"/>
        </w:rPr>
        <w:t>Reference list</w:t>
      </w:r>
      <w:bookmarkEnd w:id="358"/>
      <w:bookmarkEnd w:id="359"/>
      <w:r w:rsidRPr="004410BC">
        <w:rPr>
          <w:rFonts w:cs="Arial"/>
        </w:rPr>
        <w:t xml:space="preserve"> </w:t>
      </w:r>
      <w:bookmarkEnd w:id="348"/>
    </w:p>
    <w:p w14:paraId="0901091C" w14:textId="77777777" w:rsidR="00F94E9A" w:rsidRPr="004410BC" w:rsidRDefault="00F94E9A" w:rsidP="00236C76">
      <w:pPr>
        <w:rPr>
          <w:rFonts w:cs="Arial"/>
        </w:rPr>
      </w:pPr>
      <w:r w:rsidRPr="004410BC">
        <w:rPr>
          <w:rFonts w:cs="Arial"/>
        </w:rPr>
        <w:t>Adhav, S., de Vale, M.L., Zaman, M., Coultas, C., Goff, L., Mernagh-iles, A., L’Esperance, V., Karamanos, A., Ayis, S., Ćurčin, V., Durbaba, S., Molokhia, M. and Harding, S. (2024). Co-development of breast cancer health promotion educational materials for ethnically diverse women working with hairdressing and beauty salons: BELONG study. British Journal of General Practice, 74(suppl 1), p.bjgp24X738165. doi:https://doi.org/10.3399/bjgp24x738165.</w:t>
      </w:r>
    </w:p>
    <w:p w14:paraId="07C719DE" w14:textId="77777777" w:rsidR="00F94E9A" w:rsidRPr="004410BC" w:rsidRDefault="00F94E9A" w:rsidP="00236C76">
      <w:pPr>
        <w:rPr>
          <w:rFonts w:cs="Arial"/>
        </w:rPr>
      </w:pPr>
      <w:r w:rsidRPr="004410BC">
        <w:rPr>
          <w:rFonts w:cs="Arial"/>
        </w:rPr>
        <w:t>Afshari, P., Snor Bayazidi and Yazdani, S. (2023). Meta-synthesis As an Original Method to Synthesize Qualitative Literature in Chronic Diseases: A Narrative Review. Jundishapur Journal of Chronic Disease Care, [online] 13(2). doi:10.5812/jjcdc-139621.</w:t>
      </w:r>
    </w:p>
    <w:p w14:paraId="7C3810F1" w14:textId="77777777" w:rsidR="00F94E9A" w:rsidRPr="004410BC" w:rsidRDefault="00F94E9A" w:rsidP="00236C76">
      <w:pPr>
        <w:rPr>
          <w:rFonts w:cs="Arial"/>
        </w:rPr>
      </w:pPr>
      <w:r w:rsidRPr="004410BC">
        <w:rPr>
          <w:rFonts w:cs="Arial"/>
        </w:rPr>
        <w:t>Akin-Imran, A., Bajpai, A., McCartan, D., Heaney, L.G., Kee, F., Redmond, C. and Busby, J. (2023). Ethnic variation in asthma healthcare utilisation and exacerbation: Systematic review and meta-analysis. ERJ Open Research, [online] 9(3). doi:10.1183/23120541.00591-2022.</w:t>
      </w:r>
    </w:p>
    <w:p w14:paraId="0DEEEFB4" w14:textId="77777777" w:rsidR="00F94E9A" w:rsidRPr="004410BC" w:rsidRDefault="00F94E9A" w:rsidP="00236C76">
      <w:pPr>
        <w:rPr>
          <w:rFonts w:cs="Arial"/>
        </w:rPr>
      </w:pPr>
      <w:r w:rsidRPr="004410BC">
        <w:rPr>
          <w:rFonts w:cs="Arial"/>
        </w:rPr>
        <w:t>Atherton, H., Eccles, A., Poltawski, L., Dale, J., Campbell, J. and Abel, G. (2024). Investigating Patient Use and Experience of Online Appointment Booking in Primary Care: Mixed Methods Study. Journal of Medical Internet Research, 26, p.e51931. doi:10.2196/51931.</w:t>
      </w:r>
    </w:p>
    <w:p w14:paraId="226E9380" w14:textId="77777777" w:rsidR="00F94E9A" w:rsidRPr="004410BC" w:rsidRDefault="00F94E9A" w:rsidP="00236C76">
      <w:pPr>
        <w:rPr>
          <w:rFonts w:cs="Arial"/>
        </w:rPr>
      </w:pPr>
      <w:r w:rsidRPr="004410BC">
        <w:rPr>
          <w:rFonts w:cs="Arial"/>
        </w:rPr>
        <w:t>Aveyard, H. (2014) Doing a Literature Review in Health and Social Care: A Practical Guide 3 rd Ed. Maidenhead: Open University Press.</w:t>
      </w:r>
    </w:p>
    <w:p w14:paraId="071D5771" w14:textId="77777777" w:rsidR="00F94E9A" w:rsidRPr="004410BC" w:rsidRDefault="00F94E9A" w:rsidP="00236C76">
      <w:pPr>
        <w:rPr>
          <w:rFonts w:cs="Arial"/>
        </w:rPr>
      </w:pPr>
      <w:r w:rsidRPr="004410BC">
        <w:rPr>
          <w:rFonts w:cs="Arial"/>
        </w:rPr>
        <w:t>Biggam, J (2008) Succeeding with Your Master's Dissertation: A Step-by-step Handbook. Open University Press</w:t>
      </w:r>
    </w:p>
    <w:p w14:paraId="0BB03789" w14:textId="77777777" w:rsidR="00F94E9A" w:rsidRPr="004410BC" w:rsidRDefault="00F94E9A" w:rsidP="00236C76">
      <w:pPr>
        <w:rPr>
          <w:rFonts w:cs="Arial"/>
        </w:rPr>
      </w:pPr>
      <w:r w:rsidRPr="004410BC">
        <w:rPr>
          <w:rFonts w:cs="Arial"/>
        </w:rPr>
        <w:t>Brady, S.M., Chidanyika, J., Verrill, K., Portice, J.S., Scott, S. and Newton, J. (2025). Exploring ethnic minority and underserved groups’ experiences of the National Health Service Cardiovascular Disease Health Check uptake in North East England: applying a behavioural insights, qualitative approach. BMJ Open, 15(9), pp.e096500-e096500. doi:10.1136/bmjopen-2024-096500.</w:t>
      </w:r>
    </w:p>
    <w:p w14:paraId="024F4011" w14:textId="77777777" w:rsidR="00F94E9A" w:rsidRPr="004410BC" w:rsidRDefault="00F94E9A" w:rsidP="00236C76">
      <w:pPr>
        <w:rPr>
          <w:rFonts w:cs="Arial"/>
        </w:rPr>
      </w:pPr>
      <w:r w:rsidRPr="004410BC">
        <w:rPr>
          <w:rFonts w:cs="Arial"/>
        </w:rPr>
        <w:t>Campbell, M., McKenzie, J.E., Sowden, A., Katikireddi, S.V., Brennan, S.E., Ellis, S., Hartmann-Boyce, J., Ryan, R., Shepperd, S., Thomas, J., Welch, V. and Thomson, H. (2020). Synthesis without meta-analysis (SWiM) in systematic reviews: Reporting guideline. British Medical Journal, [online] 368(1). doi:10.1136/bmj.l6890.</w:t>
      </w:r>
    </w:p>
    <w:p w14:paraId="35596F9E" w14:textId="77777777" w:rsidR="00F94E9A" w:rsidRPr="004410BC" w:rsidRDefault="00F94E9A" w:rsidP="00236C76">
      <w:pPr>
        <w:rPr>
          <w:rFonts w:cs="Arial"/>
        </w:rPr>
      </w:pPr>
      <w:r w:rsidRPr="004410BC">
        <w:rPr>
          <w:rFonts w:cs="Arial"/>
        </w:rPr>
        <w:t>Coates, M.J., Bhardwaj, S.A., Igwe, R. and Wan, Y.I. (2024). The Relationship Between Ethnicity and Socioeconomic Deprivation as Determinants of Health: A Systematic Review. Epidemiology and Public Health, [online] 2(1). doi:10.52768/epidemiolpublichealth/1030.</w:t>
      </w:r>
    </w:p>
    <w:p w14:paraId="431BD705" w14:textId="77777777" w:rsidR="00F94E9A" w:rsidRPr="004410BC" w:rsidRDefault="00F94E9A" w:rsidP="00236C76">
      <w:pPr>
        <w:rPr>
          <w:rFonts w:cs="Arial"/>
        </w:rPr>
      </w:pPr>
      <w:r w:rsidRPr="004410BC">
        <w:rPr>
          <w:rFonts w:cs="Arial"/>
        </w:rPr>
        <w:t>Coughlan, C.H., Ruzangi, J., Neale, F.K., Nezafat Maldonado, B., Blair, M., Bottle, A., Saxena, S. and Hargreaves, D. (2021). Social and ethnic group differences in healthcare use by children aged 0–14 years: a population-based cohort study in England from 2007 to 2017. Archives of Disease in Childhood, 107(1), pp.32–39. doi:10.1136/archdischild-2020-321045.</w:t>
      </w:r>
    </w:p>
    <w:p w14:paraId="1E14A466" w14:textId="77777777" w:rsidR="00F94E9A" w:rsidRPr="004410BC" w:rsidRDefault="00F94E9A" w:rsidP="00236C76">
      <w:pPr>
        <w:rPr>
          <w:rFonts w:cs="Arial"/>
        </w:rPr>
      </w:pPr>
      <w:r w:rsidRPr="004410BC">
        <w:rPr>
          <w:rFonts w:cs="Arial"/>
        </w:rPr>
        <w:t>Cu, A., Meister, S., Lefebvre, B. and Ridde, V. (2021). Assessing healthcare access using the Levesque’s conceptual framework– a scoping review. International Journal for Equity in Health, 20(1). doi:10.1186/s12939-021-01416-3.</w:t>
      </w:r>
    </w:p>
    <w:p w14:paraId="18F39EC5" w14:textId="77777777" w:rsidR="00F94E9A" w:rsidRPr="004410BC" w:rsidRDefault="00F94E9A" w:rsidP="00236C76">
      <w:pPr>
        <w:rPr>
          <w:rFonts w:cs="Arial"/>
        </w:rPr>
      </w:pPr>
      <w:r w:rsidRPr="004410BC">
        <w:rPr>
          <w:rFonts w:cs="Arial"/>
        </w:rPr>
        <w:t>De Cassai, A., Dost, B., Tulgar, S. and Boscolo, A. (2025). Methodological Standards for Conducting High-Quality Systematic Reviews. Biology, 14(8), p.973. doi:10.3390/biology14080973.</w:t>
      </w:r>
    </w:p>
    <w:p w14:paraId="551EAA81" w14:textId="77777777" w:rsidR="00F94E9A" w:rsidRPr="004410BC" w:rsidRDefault="00F94E9A" w:rsidP="00236C76">
      <w:pPr>
        <w:rPr>
          <w:rFonts w:cs="Arial"/>
        </w:rPr>
      </w:pPr>
      <w:r w:rsidRPr="004410BC">
        <w:rPr>
          <w:rFonts w:cs="Arial"/>
        </w:rPr>
        <w:t>Dobbin, J., Burns, F., Casalotti, S., Jaffer, M., Sharman, M., Soares, C. and Reynolds, J. (2024). The hostile environment in primary care: Qualitative analysis of a cross sectional survey of health care professionals in primary care. Journal of Migration and Health, 10, p.100276. doi:10.1016/j.jmh.2024.100276.</w:t>
      </w:r>
    </w:p>
    <w:p w14:paraId="148006E2" w14:textId="77777777" w:rsidR="00F94E9A" w:rsidRPr="004410BC" w:rsidRDefault="00F94E9A" w:rsidP="00236C76">
      <w:pPr>
        <w:rPr>
          <w:rFonts w:cs="Arial"/>
        </w:rPr>
      </w:pPr>
      <w:r w:rsidRPr="004410BC">
        <w:rPr>
          <w:rFonts w:cs="Arial"/>
        </w:rPr>
        <w:t>Eccles, A., Keating, S., Mann, C., Shah, L., Dale, J., Apenteng, P., Heera, N., Kuypers, N., Tatnell, L. and Hillman, S. (2025). Accessing equitable menopause care in the contemporary NHS: a qualitative study of women’s experiences. British Journal of General Practice, 75(761), pp.e816-e823. doi:10.3399/bjgp.2024.0781.</w:t>
      </w:r>
    </w:p>
    <w:p w14:paraId="0E94D4C9" w14:textId="77777777" w:rsidR="00F94E9A" w:rsidRPr="004410BC" w:rsidRDefault="00F94E9A" w:rsidP="00236C76">
      <w:pPr>
        <w:rPr>
          <w:rFonts w:cs="Arial"/>
        </w:rPr>
      </w:pPr>
      <w:r w:rsidRPr="004410BC">
        <w:rPr>
          <w:rFonts w:cs="Arial"/>
        </w:rPr>
        <w:t>Ekezie, W., Maxwell, A., Byron, M., Czyznikowska, B., Osman, I., Moylan, K., Gong, S. and Pareek, M. (2022). Health Communication and Inequalities in Primary Care Access during the COVID-19 Pandemic among Ethnic Minorities in the United Kingdom: Lived Experiences and Recommendations. International Journal of Environmental Research and Public Health, 19(22), p.15166. doi:10.3390/ijerph192215166.</w:t>
      </w:r>
    </w:p>
    <w:p w14:paraId="7EB3DDD6" w14:textId="77777777" w:rsidR="00F94E9A" w:rsidRPr="004410BC" w:rsidRDefault="00F94E9A" w:rsidP="00236C76">
      <w:pPr>
        <w:rPr>
          <w:rFonts w:cs="Arial"/>
        </w:rPr>
      </w:pPr>
      <w:r w:rsidRPr="004410BC">
        <w:rPr>
          <w:rFonts w:cs="Arial"/>
        </w:rPr>
        <w:t>Eto, F., Samuel, M., Henkin, R., Mahesh, M., Ahmad, T., Angdembe, A., R. Hamish McAllister-Williams, Paolo Missier, Reynolds, N.J., Barnes, M.R., Hull, S., Finer, S. and Mathur, R. (2023). Ethnic differences in early onset multimorbidity and associations with health service use, long-term prescribing, years of life lost, and mortality: A cross-sectional study using clustering in the UK Clinical Practice Research Datalink. PLOS Medicine, 20(10), pp.e1004300-e1004300. doi:10.1371/journal.pmed.1004300.</w:t>
      </w:r>
    </w:p>
    <w:p w14:paraId="55524B22" w14:textId="77777777" w:rsidR="00F94E9A" w:rsidRPr="004410BC" w:rsidRDefault="00F94E9A" w:rsidP="00236C76">
      <w:pPr>
        <w:rPr>
          <w:rFonts w:cs="Arial"/>
        </w:rPr>
      </w:pPr>
      <w:r w:rsidRPr="004410BC">
        <w:rPr>
          <w:rFonts w:cs="Arial"/>
        </w:rPr>
        <w:t>Eveleigh, M., Bailie, J., Laycock, A., Dykgraaf, S.H., Caltabiano, P., Shea, B., Lennox, N., Ekanayake, K. and Bailie, R.S. (2025). Access to preventive health assessments for people with intellectual disability: a systematic scoping review informed by the Levesque Access Framework. BMC Health Services Research, 25(1). doi:10.1186/s12913-025-13060-6.</w:t>
      </w:r>
    </w:p>
    <w:p w14:paraId="511942DF" w14:textId="77777777" w:rsidR="00F94E9A" w:rsidRPr="004410BC" w:rsidRDefault="00F94E9A" w:rsidP="00236C76">
      <w:pPr>
        <w:rPr>
          <w:rFonts w:cs="Arial"/>
        </w:rPr>
      </w:pPr>
      <w:r w:rsidRPr="004410BC">
        <w:rPr>
          <w:rFonts w:cs="Arial"/>
        </w:rPr>
        <w:t>Furseth, I. &amp; Everett, L. (2013) Doing Your Master's Dissertation: From Start to Finish. London: Sage</w:t>
      </w:r>
    </w:p>
    <w:p w14:paraId="512757F3" w14:textId="77777777" w:rsidR="00F94E9A" w:rsidRPr="004410BC" w:rsidRDefault="00F94E9A" w:rsidP="00236C76">
      <w:pPr>
        <w:rPr>
          <w:rFonts w:cs="Arial"/>
        </w:rPr>
      </w:pPr>
      <w:r w:rsidRPr="004410BC">
        <w:rPr>
          <w:rFonts w:cs="Arial"/>
        </w:rPr>
        <w:t>Gardner, A., Oduola, S. and Teague, (2024). Health Expectations Culturally Sensitive Perinatal Mental Health Care: Experiences of Women From Minority Ethnic Groups. Health Expectations. doi:10.1111/hex.14160.</w:t>
      </w:r>
    </w:p>
    <w:p w14:paraId="6D65F78A" w14:textId="77777777" w:rsidR="00F94E9A" w:rsidRPr="004410BC" w:rsidRDefault="00F94E9A" w:rsidP="00236C76">
      <w:pPr>
        <w:rPr>
          <w:rFonts w:cs="Arial"/>
        </w:rPr>
      </w:pPr>
      <w:r w:rsidRPr="004410BC">
        <w:rPr>
          <w:rFonts w:cs="Arial"/>
        </w:rPr>
        <w:t>GP Patient Survey (2024). GP Patient Survey. [online] Gp-patient.co.uk. Available at: https://www.gp-patient.co.uk/2024-gp-patient-survey-results-released [Accessed 11 Apr. 2026].</w:t>
      </w:r>
    </w:p>
    <w:p w14:paraId="7BD66968" w14:textId="77777777" w:rsidR="00F94E9A" w:rsidRPr="004410BC" w:rsidRDefault="00F94E9A" w:rsidP="00236C76">
      <w:pPr>
        <w:rPr>
          <w:rFonts w:cs="Arial"/>
        </w:rPr>
      </w:pPr>
      <w:r w:rsidRPr="004410BC">
        <w:rPr>
          <w:rFonts w:cs="Arial"/>
        </w:rPr>
        <w:t>Griffiths, S., Bartlett, Y.K., French, D.P. and McMillan, B. (2026). Understanding preferences for behaviour change support as part of the NHS Health Check: a qualitative study with adults from underserved minoritised ethnic communities. BMJ Open, 16(1), p.e111413. doi:10.1136/bmjopen-2025-111413.</w:t>
      </w:r>
    </w:p>
    <w:p w14:paraId="6B96B9C8" w14:textId="77777777" w:rsidR="00F94E9A" w:rsidRPr="004410BC" w:rsidRDefault="00F94E9A" w:rsidP="00236C76">
      <w:pPr>
        <w:rPr>
          <w:rFonts w:cs="Arial"/>
        </w:rPr>
      </w:pPr>
      <w:r w:rsidRPr="004410BC">
        <w:rPr>
          <w:rFonts w:cs="Arial"/>
        </w:rPr>
        <w:t>Guest, G. &amp; Namey, E. (2015) Public Health Research Methods. London: Sage Publications.</w:t>
      </w:r>
    </w:p>
    <w:p w14:paraId="1062295E" w14:textId="77777777" w:rsidR="00F94E9A" w:rsidRPr="004410BC" w:rsidRDefault="00F94E9A" w:rsidP="00236C76">
      <w:pPr>
        <w:rPr>
          <w:rFonts w:cs="Arial"/>
        </w:rPr>
      </w:pPr>
      <w:r w:rsidRPr="004410BC">
        <w:rPr>
          <w:rFonts w:cs="Arial"/>
        </w:rPr>
        <w:t>Hackett, R.A., Ronaldson, A., Bhui, K., Steptoe, A. and Jackson, S.E. (2020). Racial Discrimination and health: a Prospective Study of Ethnic Minorities in the United Kingdom. BMC Public Health, 20(1). doi:10.1186/s12889-020-09792-1.</w:t>
      </w:r>
    </w:p>
    <w:p w14:paraId="20D9AA6E" w14:textId="77777777" w:rsidR="00F94E9A" w:rsidRPr="004410BC" w:rsidRDefault="00F94E9A" w:rsidP="00236C76">
      <w:pPr>
        <w:rPr>
          <w:rFonts w:cs="Arial"/>
        </w:rPr>
      </w:pPr>
      <w:r w:rsidRPr="004410BC">
        <w:rPr>
          <w:rFonts w:cs="Arial"/>
        </w:rPr>
        <w:t>Hansen, E. (2020) Successful Qualitative Health Research New York: Routledge.</w:t>
      </w:r>
    </w:p>
    <w:p w14:paraId="596C090A" w14:textId="77777777" w:rsidR="00F94E9A" w:rsidRPr="004410BC" w:rsidRDefault="00F94E9A" w:rsidP="00236C76">
      <w:pPr>
        <w:rPr>
          <w:rFonts w:cs="Arial"/>
        </w:rPr>
      </w:pPr>
      <w:r w:rsidRPr="004410BC">
        <w:rPr>
          <w:rFonts w:cs="Arial"/>
        </w:rPr>
        <w:t>Hart, C. (2005) Doing your Masters Dissertation: Realising Your Potential as a Social Scientist. London: Sage</w:t>
      </w:r>
    </w:p>
    <w:p w14:paraId="20A39EA0" w14:textId="77777777" w:rsidR="00F94E9A" w:rsidRPr="004410BC" w:rsidRDefault="00F94E9A" w:rsidP="00236C76">
      <w:pPr>
        <w:rPr>
          <w:rFonts w:cs="Arial"/>
        </w:rPr>
      </w:pPr>
      <w:r w:rsidRPr="004410BC">
        <w:rPr>
          <w:rFonts w:cs="Arial"/>
        </w:rPr>
        <w:t>Hayanga, B., Stafford, M. and Bécares, L. (2021). Ethnic Inequalities in Healthcare Use and Care Quality among People with Multiple Long-Term Health Conditions Living in the United Kingdom: A Systematic Review and Narrative Synthesis. International Journal of Environmental Research and Public Health, 18(23), p.12599. doi:10.3390/ijerph182312599.</w:t>
      </w:r>
    </w:p>
    <w:p w14:paraId="4009195F" w14:textId="77777777" w:rsidR="00F94E9A" w:rsidRPr="004410BC" w:rsidRDefault="00F94E9A" w:rsidP="00236C76">
      <w:pPr>
        <w:rPr>
          <w:rFonts w:cs="Arial"/>
        </w:rPr>
      </w:pPr>
      <w:r w:rsidRPr="004410BC">
        <w:rPr>
          <w:rFonts w:cs="Arial"/>
        </w:rPr>
        <w:t>He, J.W., Terry, A.L., Lizotte, D., Bauer, G. and Ryan, B.L. (2024). Understanding intersectional inequality in access to primary care providers using multilevel analysis of individual heterogeneity and discriminatory accuracy. PLOS ONE, 19(1), pp.e0296657-e0296657. doi:10.1371/journal.pone.0296657.</w:t>
      </w:r>
    </w:p>
    <w:p w14:paraId="381F22A9" w14:textId="77777777" w:rsidR="00F94E9A" w:rsidRPr="004410BC" w:rsidRDefault="00F94E9A" w:rsidP="00236C76">
      <w:pPr>
        <w:rPr>
          <w:rFonts w:cs="Arial"/>
        </w:rPr>
      </w:pPr>
      <w:r w:rsidRPr="004410BC">
        <w:rPr>
          <w:rFonts w:cs="Arial"/>
        </w:rPr>
        <w:t>Heath, M., Hvass, A.M.F. and Wejse, C.M. (2023). Interpreter services and effect on healthcare - a systematic review of the impact of different types of interpreters on patient outcome. Journal of Migration and Health, 7(100162). doi:10.1016/j.jmh.2023.100162.</w:t>
      </w:r>
    </w:p>
    <w:p w14:paraId="1D817C5F" w14:textId="77777777" w:rsidR="00F94E9A" w:rsidRPr="004410BC" w:rsidRDefault="00F94E9A" w:rsidP="00236C76">
      <w:pPr>
        <w:rPr>
          <w:rFonts w:cs="Arial"/>
        </w:rPr>
      </w:pPr>
      <w:r w:rsidRPr="004410BC">
        <w:rPr>
          <w:rFonts w:cs="Arial"/>
        </w:rPr>
        <w:t>Herlitz, L., Ashford, E., Powell, C., Herbert, K., Morris, S. and Woodman, J. (2024). Access to primary care for children and young people (CYP) in the UK: a scoping review of CYP’s, caregivers’ and healthcare professionals’ views and experiences of facilitators and barriers. BMJ Open, 14(5), p.e081620. doi:10.1136/bmjopen-2023-081620.</w:t>
      </w:r>
    </w:p>
    <w:p w14:paraId="0B8D0D39" w14:textId="77777777" w:rsidR="00F94E9A" w:rsidRPr="004410BC" w:rsidRDefault="00F94E9A" w:rsidP="00236C76">
      <w:pPr>
        <w:rPr>
          <w:rFonts w:cs="Arial"/>
        </w:rPr>
      </w:pPr>
      <w:r w:rsidRPr="004410BC">
        <w:rPr>
          <w:rFonts w:cs="Arial"/>
        </w:rPr>
        <w:t>Irizar, P., Pan, D., Kapadia, D., Bécares, L., Sze, S., Taylor, H., Amele, S., Kibuchi, E., Divall, P., Gray, L.J., Nellums, L.B., Srinivasa Vittal, K. and Pareek, M. (2023). Ethnic inequalities in COVID-19 infection, hospitalisation, intensive care admission, and death: A global systematic review and meta-analysis of over 200 million study participants. [online] Gla.ac.uk. Available at: https://eprints.gla.ac.uk/293986/? [Accessed 14 July 2026].</w:t>
      </w:r>
    </w:p>
    <w:p w14:paraId="3D410CD6" w14:textId="77777777" w:rsidR="00F94E9A" w:rsidRPr="004410BC" w:rsidRDefault="00F94E9A" w:rsidP="00236C76">
      <w:pPr>
        <w:rPr>
          <w:rFonts w:cs="Arial"/>
        </w:rPr>
      </w:pPr>
      <w:r w:rsidRPr="004410BC">
        <w:rPr>
          <w:rFonts w:cs="Arial"/>
        </w:rPr>
        <w:t>Islam, F., Bailey, S. and Netto, G. (2024). Digitalised primary care in the UK: a qualitative study of the experiences of minoritised ethnic communities. British Journal of General Practice, 74(749), pp.e823-e831. doi:10.3399/bjgp.2024.0308.</w:t>
      </w:r>
    </w:p>
    <w:p w14:paraId="03965260" w14:textId="77777777" w:rsidR="00F94E9A" w:rsidRPr="004410BC" w:rsidRDefault="00F94E9A" w:rsidP="00236C76">
      <w:pPr>
        <w:rPr>
          <w:rFonts w:cs="Arial"/>
        </w:rPr>
      </w:pPr>
      <w:r w:rsidRPr="004410BC">
        <w:rPr>
          <w:rFonts w:cs="Arial"/>
        </w:rPr>
        <w:t>Jovanović, N., Packer, K., Conneely, M., Bicknell, S., Copello, A., Mccabe, R., Dirik, A. and Janković, J. (2025). Barriers to accessing perinatal mental health services and suggestions for improvement: qualitative study of women of Black and south Asian backgrounds. BJPsych Bulletin. doi:10.1192/bjb.2024.82.</w:t>
      </w:r>
    </w:p>
    <w:p w14:paraId="7272521D" w14:textId="77777777" w:rsidR="00F94E9A" w:rsidRPr="004410BC" w:rsidRDefault="00F94E9A" w:rsidP="00236C76">
      <w:pPr>
        <w:rPr>
          <w:rFonts w:cs="Arial"/>
        </w:rPr>
      </w:pPr>
      <w:r w:rsidRPr="004410BC">
        <w:rPr>
          <w:rFonts w:cs="Arial"/>
        </w:rPr>
        <w:t>Kang, C., Tomkow, L. and Farrington, R. (2019). Access to primary health care for asylum seekers and refugees: a qualitative study of service user experiences in the UK. British Journal of General Practice, 69(685), pp.e537–e545. doi:https://doi.org/10.3399/bjgp19x701309.</w:t>
      </w:r>
    </w:p>
    <w:p w14:paraId="26C526B6" w14:textId="77777777" w:rsidR="00F94E9A" w:rsidRPr="004410BC" w:rsidRDefault="00F94E9A" w:rsidP="00236C76">
      <w:pPr>
        <w:rPr>
          <w:rFonts w:cs="Arial"/>
        </w:rPr>
      </w:pPr>
      <w:r w:rsidRPr="004410BC">
        <w:rPr>
          <w:rFonts w:cs="Arial"/>
        </w:rPr>
        <w:t>Katikireddi, S.V., Cezard, G., Bhopal, R.S., Williams, L., Douglas, A., Millard, A., Steiner, M., Buchanan, D., Sheikh, A. and Gruer, L. (2018). Assessment of health care, hospital admissions, and mortality by ethnicity: Population-based cohort study of health-system performance in Scotland. The Lancet Public Health, 3(5), pp.e226-e236. doi:10.1016/s2468-2667(18)30068-9.</w:t>
      </w:r>
    </w:p>
    <w:p w14:paraId="746AD77A" w14:textId="77777777" w:rsidR="00F94E9A" w:rsidRPr="004410BC" w:rsidRDefault="00F94E9A" w:rsidP="00236C76">
      <w:pPr>
        <w:rPr>
          <w:rFonts w:cs="Arial"/>
        </w:rPr>
      </w:pPr>
      <w:r w:rsidRPr="004410BC">
        <w:rPr>
          <w:rFonts w:cs="Arial"/>
        </w:rPr>
        <w:t>Linton, E., Mawson, R., Cory, R., Ma, R., Fryer, K., Aminu, H., Aslam, A., Nabage, F., Daley, S. and Mitchell, C. (2025). Understanding women from ethnic minorities’ perspectives about contraception in the UK: a qualitative study using a participatory action research approach with community research link workers. BMJ Sex Reprod Health, 0, pp.1–8. doi:10.1136/bmjsrh-2024-202522.</w:t>
      </w:r>
    </w:p>
    <w:p w14:paraId="41D94879" w14:textId="77777777" w:rsidR="00F94E9A" w:rsidRPr="004410BC" w:rsidRDefault="00F94E9A" w:rsidP="00236C76">
      <w:pPr>
        <w:rPr>
          <w:rFonts w:cs="Arial"/>
        </w:rPr>
      </w:pPr>
      <w:r w:rsidRPr="004410BC">
        <w:rPr>
          <w:rFonts w:cs="Arial"/>
        </w:rPr>
        <w:t>Long, H.A., French, D.P. and Brooks, J.M. (2020). Optimising the Value of the Critical Appraisal Skills Programme (CASP) Tool for Quality Appraisal in Qualitative Evidence Synthesis. Research Methods in Medicine &amp; Health Sciences, 1(1), pp.31–42. doi:10.1177/2632084320947559.</w:t>
      </w:r>
    </w:p>
    <w:p w14:paraId="47BE2C30" w14:textId="77777777" w:rsidR="00F94E9A" w:rsidRPr="004410BC" w:rsidRDefault="00F94E9A" w:rsidP="00236C76">
      <w:pPr>
        <w:rPr>
          <w:rFonts w:cs="Arial"/>
        </w:rPr>
      </w:pPr>
      <w:r w:rsidRPr="004410BC">
        <w:rPr>
          <w:rFonts w:cs="Arial"/>
        </w:rPr>
        <w:t xml:space="preserve">Mack, N &amp; Woodsong, C (2005) Qualitative Research Methods: A Data Collector’s Field Guide. USA: Family Health International  </w:t>
      </w:r>
    </w:p>
    <w:p w14:paraId="65B20C4B" w14:textId="77777777" w:rsidR="00F94E9A" w:rsidRPr="004410BC" w:rsidRDefault="00F94E9A" w:rsidP="00236C76">
      <w:pPr>
        <w:rPr>
          <w:rFonts w:cs="Arial"/>
        </w:rPr>
      </w:pPr>
      <w:r w:rsidRPr="004410BC">
        <w:rPr>
          <w:rFonts w:cs="Arial"/>
        </w:rPr>
        <w:t>McGreevy, A., Soley-Bori, M., Ashworth, M., Wang, Y., Rezel-Potts, E., Durbaba, S., Dodhia, H. and Fox-Rushby, J. (2023). Ethnic inequalities in the impact of COVID-19 on primary care consultations: A time series analysis of 460,084 individuals with multimorbidity in South London. BMC Medicine, 21(1). doi:10.1186/s12916-022-02720-7.</w:t>
      </w:r>
    </w:p>
    <w:p w14:paraId="7A8E97CC" w14:textId="77777777" w:rsidR="00F94E9A" w:rsidRPr="004410BC" w:rsidRDefault="00F94E9A" w:rsidP="00236C76">
      <w:pPr>
        <w:rPr>
          <w:rFonts w:cs="Arial"/>
        </w:rPr>
      </w:pPr>
      <w:r w:rsidRPr="004410BC">
        <w:rPr>
          <w:rFonts w:cs="Arial"/>
        </w:rPr>
        <w:t>Nelson, M., Fellow, R., Patton, A., Robb, K., David, | and Mbbs, W. (2021). Experiences of cervical screening participation and non- participation in women from minority ethnic populations in Scotland. Health Expectations, 24, pp.1459–1472. doi:10.1111/hex.13287.</w:t>
      </w:r>
    </w:p>
    <w:p w14:paraId="4B62654B" w14:textId="77777777" w:rsidR="00F94E9A" w:rsidRPr="004410BC" w:rsidRDefault="00F94E9A" w:rsidP="00236C76">
      <w:pPr>
        <w:rPr>
          <w:rFonts w:cs="Arial"/>
        </w:rPr>
      </w:pPr>
      <w:r w:rsidRPr="004410BC">
        <w:rPr>
          <w:rFonts w:cs="Arial"/>
        </w:rPr>
        <w:t>NHS England (2023). What Are Healthcare Inequalities? [online] NHS England. Available at: https://www.england.nhs.uk/about/equality/equality-hub/national-healthcare-inequalities-improvement-programme/what-are-healthcare-inequalities/ [Accessed 11 Apr. 2026].</w:t>
      </w:r>
    </w:p>
    <w:p w14:paraId="18D4D593" w14:textId="77777777" w:rsidR="00F94E9A" w:rsidRPr="004410BC" w:rsidRDefault="00F94E9A" w:rsidP="00236C76">
      <w:pPr>
        <w:rPr>
          <w:rFonts w:cs="Arial"/>
        </w:rPr>
      </w:pPr>
      <w:r w:rsidRPr="004410BC">
        <w:rPr>
          <w:rFonts w:cs="Arial"/>
        </w:rPr>
        <w:t>NHS England (2025). NHS England» Improvement framework: community language translation and interpreting services. [online] England.nhs.uk. Available at: https://www.england.nhs.uk/long-read/improvement-framework-community-language-translation-and-interpreting-services/ [Accessed 11 Apr. 2026].</w:t>
      </w:r>
    </w:p>
    <w:p w14:paraId="38122E63" w14:textId="77777777" w:rsidR="00F94E9A" w:rsidRPr="004410BC" w:rsidRDefault="00F94E9A" w:rsidP="00236C76">
      <w:pPr>
        <w:rPr>
          <w:rFonts w:cs="Arial"/>
        </w:rPr>
      </w:pPr>
      <w:r w:rsidRPr="004410BC">
        <w:rPr>
          <w:rFonts w:cs="Arial"/>
        </w:rPr>
        <w:t>Nisar, S., Khan, S., Rehman, A., Gobis, R.A., Shaikhomer, M., Alshanberi, A.M., Hariri, N.H., Alshareef, M.H. and Alsanosi, S.M. (2026). The impact of language barriers on patients’ perception of their physician’s involvement in shared decision-making. Frontiers in Public Health, 13. doi:10.3389/fpubh.2025.1728046.</w:t>
      </w:r>
    </w:p>
    <w:p w14:paraId="2C8A5878" w14:textId="77777777" w:rsidR="00F94E9A" w:rsidRPr="004410BC" w:rsidRDefault="00F94E9A" w:rsidP="00236C76">
      <w:pPr>
        <w:rPr>
          <w:rFonts w:cs="Arial"/>
        </w:rPr>
      </w:pPr>
      <w:r w:rsidRPr="004410BC">
        <w:rPr>
          <w:rFonts w:cs="Arial"/>
        </w:rPr>
        <w:t>ONS (2024). Health inequalities by built-up area and ethnic group, England. [online] Ons.gov.uk. Available at: https://www.ons.gov.uk/peoplepopulationandcommunity/healthandsocialcare/healthinequalities/bulletins/healthinequalitiesbybuiltupareaandethnicgroupengland/march2021tomay2023 [Accessed 14 July 2026].</w:t>
      </w:r>
    </w:p>
    <w:p w14:paraId="5270B887" w14:textId="77777777" w:rsidR="00F94E9A" w:rsidRPr="004410BC" w:rsidRDefault="00F94E9A" w:rsidP="00236C76">
      <w:pPr>
        <w:rPr>
          <w:rFonts w:cs="Arial"/>
        </w:rPr>
      </w:pPr>
      <w:r w:rsidRPr="004410BC">
        <w:rPr>
          <w:rFonts w:cs="Arial"/>
        </w:rPr>
        <w:t>Page, M.J., McKenzie, J.E., Bossuyt, P.M., Boutron, I., Hoffmann, T.C., Mulrow, C. D, Shamseer, L., Tetzlaff, J.M., Akl, E.A., Brennan, S.E., Chou, R., Glanville, J., Grimshaw, J.M., Asbjørn Hróbjartsson, Lalu, M.M., Li, T., Loder, E.W., Mayo-Wilson, E., McDonald, S., McGuinness, L.A., Stewart, L.A., Thomas, J., Tricco, A.C., Welch, V.A., Whiting, P. and Moher, D. (2021). The PRISMA 2020 statement: An updated guideline for reporting systematic reviews. BMJ, [online] 372. doi:10.1136/bmj.n71.</w:t>
      </w:r>
    </w:p>
    <w:p w14:paraId="4963F114" w14:textId="77777777" w:rsidR="00F94E9A" w:rsidRPr="004410BC" w:rsidRDefault="00F94E9A" w:rsidP="00236C76">
      <w:pPr>
        <w:rPr>
          <w:rFonts w:cs="Arial"/>
        </w:rPr>
      </w:pPr>
      <w:r w:rsidRPr="004410BC">
        <w:rPr>
          <w:rFonts w:cs="Arial"/>
        </w:rPr>
        <w:t>Pawson, J.R., Cannon, S., Nazeer, S., Phillpott, C., Kolawole, T., Fletcher, J., Thomson, A., Ross, J., Sheehan, K.J. and Woolhead, G. (2026). Health service access for ethnically underrepresented communities: A scoping review of complex interventions. PLOS One, 21(1), p.e0340079. doi:10.1371/journal.pone.0340079.</w:t>
      </w:r>
    </w:p>
    <w:p w14:paraId="1A246489" w14:textId="77777777" w:rsidR="00F94E9A" w:rsidRPr="004410BC" w:rsidRDefault="00F94E9A" w:rsidP="00236C76">
      <w:pPr>
        <w:rPr>
          <w:rFonts w:cs="Arial"/>
        </w:rPr>
      </w:pPr>
      <w:r w:rsidRPr="004410BC">
        <w:rPr>
          <w:rFonts w:cs="Arial"/>
        </w:rPr>
        <w:t>Pilav, S., De Backer, K., Easter, A., Silverio, S., Sundaresh, S., Roberts, S. and Howard, L. (2022). A qualitative study of minority ethnic women’s experiences of access to and engagement with perinatal mental health care. BMC Pregnancy and Childbirth, 22(421). doi:10.1186/s12884-022-04698-9.</w:t>
      </w:r>
    </w:p>
    <w:p w14:paraId="01318E33" w14:textId="77777777" w:rsidR="00F94E9A" w:rsidRPr="004410BC" w:rsidRDefault="00F94E9A" w:rsidP="00236C76">
      <w:pPr>
        <w:rPr>
          <w:rFonts w:cs="Arial"/>
        </w:rPr>
      </w:pPr>
      <w:r w:rsidRPr="004410BC">
        <w:rPr>
          <w:rFonts w:cs="Arial"/>
        </w:rPr>
        <w:t>Ridge, D.T., Broom, A., Alwan, N.A., Chew-Graham, C.A., Smyth, N., Gopal, D., Kingstone, T., Gaszczyk, P. and Begum, S. (2025). Medical ambivalence and Long Covid: The disconnects, entanglements, and productivities shaping ethnic minority experiences in the UK. Social Science &amp;amp; Medicine, 366, p.117603. doi:10.1016/j.socscimed.2024.117603.</w:t>
      </w:r>
    </w:p>
    <w:p w14:paraId="6528F75E" w14:textId="77777777" w:rsidR="00F94E9A" w:rsidRPr="004410BC" w:rsidRDefault="00F94E9A" w:rsidP="00236C76">
      <w:pPr>
        <w:rPr>
          <w:rFonts w:cs="Arial"/>
        </w:rPr>
      </w:pPr>
      <w:r w:rsidRPr="004410BC">
        <w:rPr>
          <w:rFonts w:cs="Arial"/>
        </w:rPr>
        <w:t>Robinson, A., Elarbi, M., Todd, A. and Husband, A. (2021). A qualitative exploration of the barriers and facilitators affecting ethnic minority patient groups when accessing medicine review services: Perspectives of healthcare professionals. Health Expectations, 25(2), pp.628–638. doi:10.1111/hex.13410.</w:t>
      </w:r>
    </w:p>
    <w:p w14:paraId="6FA6BDDE" w14:textId="77777777" w:rsidR="00F94E9A" w:rsidRPr="004410BC" w:rsidRDefault="00F94E9A" w:rsidP="00236C76">
      <w:pPr>
        <w:rPr>
          <w:rFonts w:cs="Arial"/>
        </w:rPr>
      </w:pPr>
      <w:r w:rsidRPr="004410BC">
        <w:rPr>
          <w:rFonts w:cs="Arial"/>
        </w:rPr>
        <w:t>Robinson, A., Sile, L., Govind, T., Guraya, H.K., O’Brien, N., Harris, V., Pilkington, G., Todd, A. and Husband, A. (2022). ‘He or she maybe doesn’t know there is such a thing as a review’: A qualitative investigation exploring barriers and facilitators to accessing medication reviews from the perspective of people from ethnic minority communities. Health Expectations, 25(4), pp.1432–1443. doi:10.1111/hex.13482.</w:t>
      </w:r>
    </w:p>
    <w:p w14:paraId="6ACEE874" w14:textId="77777777" w:rsidR="00F94E9A" w:rsidRPr="004410BC" w:rsidRDefault="00F94E9A" w:rsidP="00236C76">
      <w:pPr>
        <w:rPr>
          <w:rFonts w:cs="Arial"/>
        </w:rPr>
      </w:pPr>
      <w:r w:rsidRPr="004410BC">
        <w:rPr>
          <w:rFonts w:cs="Arial"/>
        </w:rPr>
        <w:t>Rudestam, E. &amp; Newton, R. (2015) Surviving Your Dissertation: A Comprehensive Guide to Content and Process. 4th ed. London: Sage</w:t>
      </w:r>
    </w:p>
    <w:p w14:paraId="1EB89F42" w14:textId="77777777" w:rsidR="00F94E9A" w:rsidRPr="004410BC" w:rsidRDefault="00F94E9A" w:rsidP="00236C76">
      <w:pPr>
        <w:rPr>
          <w:rFonts w:cs="Arial"/>
        </w:rPr>
      </w:pPr>
      <w:r w:rsidRPr="004410BC">
        <w:rPr>
          <w:rFonts w:cs="Arial"/>
        </w:rPr>
        <w:t>Siddiq, S., Ahmed, S. and Akram, I. (2023). Clinical outcomes following COVID-19 infection in ethnic minority groups in the UK: A systematic review and meta-analysis. Public health, [online] 222, pp.205–214. doi:10.1016/j.puhe.2022.05.019.</w:t>
      </w:r>
    </w:p>
    <w:p w14:paraId="2BC256DB" w14:textId="77777777" w:rsidR="00F94E9A" w:rsidRPr="004410BC" w:rsidRDefault="00F94E9A" w:rsidP="00236C76">
      <w:pPr>
        <w:rPr>
          <w:rFonts w:cs="Arial"/>
        </w:rPr>
      </w:pPr>
      <w:r w:rsidRPr="004410BC">
        <w:rPr>
          <w:rFonts w:cs="Arial"/>
        </w:rPr>
        <w:t>Small, N., Masood, Y., Stevenson, F., Brown, B.C., Sanders, C., McMillan, B., Atherton, H., Mazumdar, T., Ara, N., Haqqani, H. and Cheraghi</w:t>
      </w:r>
      <w:r w:rsidRPr="004410BC">
        <w:rPr>
          <w:rFonts w:ascii="Cambria Math" w:hAnsi="Cambria Math" w:cs="Cambria Math"/>
        </w:rPr>
        <w:t>‐</w:t>
      </w:r>
      <w:r w:rsidRPr="004410BC">
        <w:rPr>
          <w:rFonts w:cs="Arial"/>
        </w:rPr>
        <w:t>Sohi, S. (2024). Exploring the experiences and preferences of South Asian patients’ of primary care in England since COVID</w:t>
      </w:r>
      <w:r w:rsidRPr="004410BC">
        <w:rPr>
          <w:rFonts w:ascii="Cambria Math" w:hAnsi="Cambria Math" w:cs="Cambria Math"/>
        </w:rPr>
        <w:t>‐</w:t>
      </w:r>
      <w:r w:rsidRPr="004410BC">
        <w:rPr>
          <w:rFonts w:cs="Arial"/>
        </w:rPr>
        <w:t>19. Health Expectations, 27(1). doi:10.1111/hex.13982.</w:t>
      </w:r>
    </w:p>
    <w:p w14:paraId="598AEC05" w14:textId="77777777" w:rsidR="00F94E9A" w:rsidRPr="004410BC" w:rsidRDefault="00F94E9A" w:rsidP="00236C76">
      <w:pPr>
        <w:rPr>
          <w:rFonts w:cs="Arial"/>
        </w:rPr>
      </w:pPr>
      <w:r w:rsidRPr="004410BC">
        <w:rPr>
          <w:rFonts w:cs="Arial"/>
        </w:rPr>
        <w:t>Smyth, N., Ridge, D., Kingstone, T., Gopal, D.P., Alwan, N., Wright, A., Chaudhry, A., Clark, S., Band, R. and Chew-Graham, C.A. (2024). People from ethnic minorities seeking help for Long Covid: a qualitative study. British Journal of General Practice, p.BJGP.2023.0631. doi:10.3399/bjgp.2023.0631.</w:t>
      </w:r>
    </w:p>
    <w:p w14:paraId="418D5B33" w14:textId="77777777" w:rsidR="00F94E9A" w:rsidRPr="004410BC" w:rsidRDefault="00F94E9A" w:rsidP="00236C76">
      <w:pPr>
        <w:rPr>
          <w:rFonts w:cs="Arial"/>
        </w:rPr>
      </w:pPr>
      <w:r w:rsidRPr="004410BC">
        <w:rPr>
          <w:rFonts w:cs="Arial"/>
        </w:rPr>
        <w:t>Stanaway, F.F., Khalatbari-Soltani, S., Zhu, L., Sreeharan, T., Noguchi, N., Pathak, A., Mathieu, E. and Bhopal, R. (2025). Inequalities in all-cause mortality by ethnicity in the United Kingdom: A systematic review and meta-analysis. The Lancet Regional Health - Europe, [online] p.101498. doi:10.1016/j.lanepe.2025.101498.</w:t>
      </w:r>
    </w:p>
    <w:p w14:paraId="66F09622" w14:textId="77777777" w:rsidR="00F94E9A" w:rsidRPr="004410BC" w:rsidRDefault="00F94E9A" w:rsidP="00236C76">
      <w:pPr>
        <w:rPr>
          <w:rFonts w:cs="Arial"/>
        </w:rPr>
      </w:pPr>
      <w:r w:rsidRPr="004410BC">
        <w:rPr>
          <w:rFonts w:cs="Arial"/>
        </w:rPr>
        <w:t>Thelen, R., Bhatti, S., Rayner, J. and Grudniewicz, A. (2024). Collecting sociodemographic data in primary care: Qualitative interviews in community health centers. BJGP Open, p.BJGPO.2024.0095. doi:10.3399/bjgpo.2024.0095.</w:t>
      </w:r>
    </w:p>
    <w:p w14:paraId="36BC71B1" w14:textId="77777777" w:rsidR="00F94E9A" w:rsidRPr="004410BC" w:rsidRDefault="00F94E9A" w:rsidP="00236C76">
      <w:pPr>
        <w:rPr>
          <w:rFonts w:cs="Arial"/>
        </w:rPr>
      </w:pPr>
      <w:r w:rsidRPr="004410BC">
        <w:rPr>
          <w:rFonts w:cs="Arial"/>
        </w:rPr>
        <w:t>UK Health Security Agency (2025). Health inequalities in health protection report 2025. [online] GOV.UK. Available at: https://www.gov.uk/government/publications/health-inequalities-in-health-protection-report/health-inequalities-in-health-protection-report-2025 [Accessed 14 July 2026].</w:t>
      </w:r>
    </w:p>
    <w:p w14:paraId="766256E2" w14:textId="77777777" w:rsidR="00F94E9A" w:rsidRPr="004410BC" w:rsidRDefault="00F94E9A" w:rsidP="00236C76">
      <w:pPr>
        <w:rPr>
          <w:rFonts w:cs="Arial"/>
        </w:rPr>
      </w:pPr>
      <w:r w:rsidRPr="004410BC">
        <w:rPr>
          <w:rFonts w:cs="Arial"/>
        </w:rPr>
        <w:t>Wainwright, J.E., Cook, E.J., Ali, N., Wilkinson, E. and Randhawa, G. (2024). Community readiness to address disparities in access to cancer, palliative and end-of-life care for ethnic minorities. BMC Public Health, 24(1). doi:10.1186/s12889-024-21127-y.</w:t>
      </w:r>
    </w:p>
    <w:p w14:paraId="35AC1629" w14:textId="77777777" w:rsidR="00F94E9A" w:rsidRPr="004410BC" w:rsidRDefault="00F94E9A" w:rsidP="00236C76">
      <w:pPr>
        <w:rPr>
          <w:rFonts w:cs="Arial"/>
        </w:rPr>
      </w:pPr>
      <w:r w:rsidRPr="004410BC">
        <w:rPr>
          <w:rFonts w:cs="Arial"/>
        </w:rPr>
        <w:t>Walker, D. M. (2014). An Introduction to Health Services Research. London: Sage.</w:t>
      </w:r>
    </w:p>
    <w:p w14:paraId="25DAF8B0" w14:textId="77777777" w:rsidR="00F94E9A" w:rsidRPr="004410BC" w:rsidRDefault="00F94E9A" w:rsidP="00236C76">
      <w:pPr>
        <w:rPr>
          <w:rFonts w:cs="Arial"/>
        </w:rPr>
      </w:pPr>
      <w:r w:rsidRPr="004410BC">
        <w:rPr>
          <w:rFonts w:cs="Arial"/>
        </w:rPr>
        <w:t>Williams, D.R., Lawrence, J.A., Davis, B.A. and Vu, C. (2019). Understanding how discrimination can affect health. Health Services Research, [online] 54(S2), pp.1374–1388. doi:10.1111/1475-6773.13222.</w:t>
      </w:r>
    </w:p>
    <w:p w14:paraId="5C8350F3" w14:textId="77777777" w:rsidR="00F94E9A" w:rsidRPr="004410BC" w:rsidRDefault="00F94E9A" w:rsidP="00236C76">
      <w:pPr>
        <w:rPr>
          <w:rFonts w:cs="Arial"/>
        </w:rPr>
      </w:pPr>
      <w:r w:rsidRPr="004410BC">
        <w:rPr>
          <w:rFonts w:cs="Arial"/>
        </w:rPr>
        <w:t>Williams, K.K.A., Baidoobonso, S., Haggerty, J., Lofters, A. and Adams, A.M. (2024). Anti-Black discrimination in primary health care: a qualitative study exploring internalized racism in a Canadian context. Ethnicity &amp; Health, pp.1–10. doi:10.1080/13557858.2024.2311429.</w:t>
      </w:r>
    </w:p>
    <w:p w14:paraId="34C57263" w14:textId="77777777" w:rsidR="00F94E9A" w:rsidRPr="004410BC" w:rsidRDefault="00F94E9A" w:rsidP="00236C76">
      <w:pPr>
        <w:rPr>
          <w:rFonts w:cs="Arial"/>
        </w:rPr>
      </w:pPr>
      <w:r w:rsidRPr="004410BC">
        <w:rPr>
          <w:rFonts w:cs="Arial"/>
        </w:rPr>
        <w:t xml:space="preserve">World Health Organization (2025). Social determinants of health. [online] World Health Organization. Available at: https://www.who.int/health-topics/social-determinants-of-health [Accessed 14 July 2026].  </w:t>
      </w:r>
    </w:p>
    <w:p w14:paraId="3711E63E" w14:textId="77777777" w:rsidR="009F64C5" w:rsidRPr="004410BC" w:rsidRDefault="009F64C5" w:rsidP="00236C76">
      <w:pPr>
        <w:spacing w:after="0"/>
        <w:rPr>
          <w:rFonts w:cs="Arial"/>
        </w:rPr>
      </w:pPr>
      <w:r w:rsidRPr="004410BC">
        <w:rPr>
          <w:rFonts w:eastAsia="Times New Roman" w:cs="Arial"/>
          <w:b/>
        </w:rPr>
        <w:t xml:space="preserve"> </w:t>
      </w:r>
      <w:r w:rsidRPr="004410BC">
        <w:rPr>
          <w:rFonts w:eastAsia="Times New Roman" w:cs="Arial"/>
          <w:b/>
        </w:rPr>
        <w:tab/>
        <w:t xml:space="preserve"> </w:t>
      </w:r>
      <w:r w:rsidRPr="004410BC">
        <w:rPr>
          <w:rFonts w:cs="Arial"/>
        </w:rPr>
        <w:br w:type="page"/>
      </w:r>
    </w:p>
    <w:p w14:paraId="44BAA972" w14:textId="2ABE55F3" w:rsidR="009F64C5" w:rsidRPr="004410BC" w:rsidRDefault="009F64C5" w:rsidP="00236C76">
      <w:pPr>
        <w:pStyle w:val="Heading1"/>
        <w:rPr>
          <w:rFonts w:cs="Arial"/>
        </w:rPr>
      </w:pPr>
      <w:bookmarkStart w:id="360" w:name="_Toc12223"/>
      <w:bookmarkStart w:id="361" w:name="_Toc238290277"/>
      <w:bookmarkStart w:id="362" w:name="_Toc240724920"/>
      <w:r w:rsidRPr="004410BC">
        <w:rPr>
          <w:rFonts w:cs="Arial"/>
        </w:rPr>
        <w:t xml:space="preserve">Appendix 1: </w:t>
      </w:r>
      <w:bookmarkEnd w:id="360"/>
      <w:r w:rsidR="006A5364" w:rsidRPr="004410BC">
        <w:rPr>
          <w:rFonts w:cs="Arial"/>
        </w:rPr>
        <w:t>Quality Assessment</w:t>
      </w:r>
      <w:bookmarkEnd w:id="361"/>
      <w:bookmarkEnd w:id="362"/>
    </w:p>
    <w:p w14:paraId="48035AD9" w14:textId="77777777" w:rsidR="009F64C5" w:rsidRPr="004410BC" w:rsidRDefault="009F64C5" w:rsidP="00236C76">
      <w:pPr>
        <w:spacing w:after="158"/>
        <w:rPr>
          <w:rFonts w:cs="Arial"/>
        </w:rPr>
      </w:pPr>
      <w:r w:rsidRPr="004410BC">
        <w:rPr>
          <w:rFonts w:cs="Arial"/>
        </w:rPr>
        <w:t xml:space="preserve"> </w:t>
      </w:r>
    </w:p>
    <w:tbl>
      <w:tblPr>
        <w:tblStyle w:val="TableGrid"/>
        <w:tblW w:w="0" w:type="auto"/>
        <w:tblLook w:val="04A0" w:firstRow="1" w:lastRow="0" w:firstColumn="1" w:lastColumn="0" w:noHBand="0" w:noVBand="1"/>
      </w:tblPr>
      <w:tblGrid>
        <w:gridCol w:w="1293"/>
        <w:gridCol w:w="1648"/>
        <w:gridCol w:w="1806"/>
        <w:gridCol w:w="1659"/>
        <w:gridCol w:w="1757"/>
      </w:tblGrid>
      <w:tr w:rsidR="00561626" w:rsidRPr="004410BC" w14:paraId="032F66F1" w14:textId="77777777" w:rsidTr="00006094">
        <w:trPr>
          <w:trHeight w:val="5320"/>
        </w:trPr>
        <w:tc>
          <w:tcPr>
            <w:tcW w:w="1107" w:type="dxa"/>
            <w:hideMark/>
          </w:tcPr>
          <w:p w14:paraId="0C4789EB" w14:textId="77777777" w:rsidR="00561626" w:rsidRPr="004410BC" w:rsidRDefault="00561626" w:rsidP="00236C76">
            <w:pPr>
              <w:rPr>
                <w:b/>
                <w:bCs/>
                <w:sz w:val="22"/>
                <w:szCs w:val="22"/>
              </w:rPr>
            </w:pPr>
            <w:r w:rsidRPr="004410BC">
              <w:rPr>
                <w:b/>
                <w:bCs/>
                <w:sz w:val="22"/>
                <w:szCs w:val="22"/>
              </w:rPr>
              <w:t>Study</w:t>
            </w:r>
          </w:p>
        </w:tc>
        <w:tc>
          <w:tcPr>
            <w:tcW w:w="1332" w:type="dxa"/>
            <w:hideMark/>
          </w:tcPr>
          <w:p w14:paraId="2F82B385" w14:textId="77777777" w:rsidR="00561626" w:rsidRPr="004410BC" w:rsidRDefault="00561626" w:rsidP="00236C76">
            <w:pPr>
              <w:rPr>
                <w:b/>
                <w:bCs/>
                <w:sz w:val="22"/>
                <w:szCs w:val="22"/>
              </w:rPr>
            </w:pPr>
            <w:r w:rsidRPr="004410BC">
              <w:rPr>
                <w:b/>
                <w:bCs/>
                <w:sz w:val="22"/>
                <w:szCs w:val="22"/>
              </w:rPr>
              <w:t>Outcome Q1 (What health inequalities experienced by ethnic minority groups in accessing UK primary healthcare are reported?)</w:t>
            </w:r>
          </w:p>
        </w:tc>
        <w:tc>
          <w:tcPr>
            <w:tcW w:w="1476" w:type="dxa"/>
            <w:hideMark/>
          </w:tcPr>
          <w:p w14:paraId="442DC32B" w14:textId="77777777" w:rsidR="00561626" w:rsidRPr="004410BC" w:rsidRDefault="00561626" w:rsidP="00236C76">
            <w:pPr>
              <w:rPr>
                <w:b/>
                <w:bCs/>
                <w:sz w:val="22"/>
                <w:szCs w:val="22"/>
              </w:rPr>
            </w:pPr>
            <w:r w:rsidRPr="004410BC">
              <w:rPr>
                <w:b/>
                <w:bCs/>
                <w:sz w:val="22"/>
                <w:szCs w:val="22"/>
              </w:rPr>
              <w:t>Outcome Q2 (What barriers affecting access are identified?)</w:t>
            </w:r>
          </w:p>
        </w:tc>
        <w:tc>
          <w:tcPr>
            <w:tcW w:w="1342" w:type="dxa"/>
            <w:hideMark/>
          </w:tcPr>
          <w:p w14:paraId="2AA517E6" w14:textId="77777777" w:rsidR="00561626" w:rsidRPr="004410BC" w:rsidRDefault="00561626" w:rsidP="00236C76">
            <w:pPr>
              <w:rPr>
                <w:b/>
                <w:bCs/>
                <w:sz w:val="22"/>
                <w:szCs w:val="22"/>
              </w:rPr>
            </w:pPr>
            <w:r w:rsidRPr="004410BC">
              <w:rPr>
                <w:b/>
                <w:bCs/>
                <w:sz w:val="22"/>
                <w:szCs w:val="22"/>
              </w:rPr>
              <w:t>Outcome Q3 (How do these barriers influence healthcare utilisation, patient experience and health outcomes?)</w:t>
            </w:r>
          </w:p>
        </w:tc>
        <w:tc>
          <w:tcPr>
            <w:tcW w:w="1412" w:type="dxa"/>
            <w:hideMark/>
          </w:tcPr>
          <w:p w14:paraId="1A928CC7" w14:textId="77777777" w:rsidR="00561626" w:rsidRPr="004410BC" w:rsidRDefault="00561626" w:rsidP="00236C76">
            <w:pPr>
              <w:rPr>
                <w:b/>
                <w:bCs/>
                <w:sz w:val="22"/>
                <w:szCs w:val="22"/>
              </w:rPr>
            </w:pPr>
            <w:r w:rsidRPr="004410BC">
              <w:rPr>
                <w:b/>
                <w:bCs/>
                <w:sz w:val="22"/>
                <w:szCs w:val="22"/>
              </w:rPr>
              <w:t>Outcome Q4 (What strategies, policies, interventions or research gaps are reported?)</w:t>
            </w:r>
          </w:p>
        </w:tc>
      </w:tr>
      <w:tr w:rsidR="00561626" w:rsidRPr="004410BC" w14:paraId="63589D64" w14:textId="77777777" w:rsidTr="00006094">
        <w:trPr>
          <w:trHeight w:val="1750"/>
        </w:trPr>
        <w:tc>
          <w:tcPr>
            <w:tcW w:w="1107" w:type="dxa"/>
            <w:hideMark/>
          </w:tcPr>
          <w:p w14:paraId="4C8CEB50" w14:textId="77777777" w:rsidR="00561626" w:rsidRPr="004410BC" w:rsidRDefault="00561626" w:rsidP="00236C76">
            <w:pPr>
              <w:rPr>
                <w:b/>
                <w:bCs/>
                <w:sz w:val="22"/>
                <w:szCs w:val="22"/>
              </w:rPr>
            </w:pPr>
            <w:r w:rsidRPr="004410BC">
              <w:rPr>
                <w:b/>
                <w:bCs/>
                <w:sz w:val="22"/>
                <w:szCs w:val="22"/>
              </w:rPr>
              <w:t>Atherton et al. (2024)</w:t>
            </w:r>
          </w:p>
        </w:tc>
        <w:tc>
          <w:tcPr>
            <w:tcW w:w="1332" w:type="dxa"/>
            <w:hideMark/>
          </w:tcPr>
          <w:p w14:paraId="552C4C02" w14:textId="77777777" w:rsidR="00561626" w:rsidRPr="004410BC" w:rsidRDefault="00561626" w:rsidP="00236C76">
            <w:pPr>
              <w:rPr>
                <w:sz w:val="22"/>
                <w:szCs w:val="22"/>
              </w:rPr>
            </w:pPr>
            <w:r w:rsidRPr="004410BC">
              <w:rPr>
                <w:sz w:val="22"/>
                <w:szCs w:val="22"/>
              </w:rPr>
              <w:t>Digital inequalities in online appointment access.</w:t>
            </w:r>
          </w:p>
        </w:tc>
        <w:tc>
          <w:tcPr>
            <w:tcW w:w="1476" w:type="dxa"/>
            <w:hideMark/>
          </w:tcPr>
          <w:p w14:paraId="1F6CC172" w14:textId="77777777" w:rsidR="00561626" w:rsidRPr="004410BC" w:rsidRDefault="00561626" w:rsidP="00236C76">
            <w:pPr>
              <w:rPr>
                <w:sz w:val="22"/>
                <w:szCs w:val="22"/>
              </w:rPr>
            </w:pPr>
            <w:r w:rsidRPr="004410BC">
              <w:rPr>
                <w:sz w:val="22"/>
                <w:szCs w:val="22"/>
              </w:rPr>
              <w:t>Digital literacy, awareness, technology access.</w:t>
            </w:r>
          </w:p>
        </w:tc>
        <w:tc>
          <w:tcPr>
            <w:tcW w:w="1342" w:type="dxa"/>
            <w:hideMark/>
          </w:tcPr>
          <w:p w14:paraId="2A45E84A" w14:textId="77777777" w:rsidR="00561626" w:rsidRPr="004410BC" w:rsidRDefault="00561626" w:rsidP="00236C76">
            <w:pPr>
              <w:rPr>
                <w:sz w:val="22"/>
                <w:szCs w:val="22"/>
              </w:rPr>
            </w:pPr>
            <w:r w:rsidRPr="004410BC">
              <w:rPr>
                <w:sz w:val="22"/>
                <w:szCs w:val="22"/>
              </w:rPr>
              <w:t>Reduced online booking and unequal access.</w:t>
            </w:r>
          </w:p>
        </w:tc>
        <w:tc>
          <w:tcPr>
            <w:tcW w:w="1412" w:type="dxa"/>
            <w:hideMark/>
          </w:tcPr>
          <w:p w14:paraId="56ED295C" w14:textId="77777777" w:rsidR="00561626" w:rsidRPr="004410BC" w:rsidRDefault="00561626" w:rsidP="00236C76">
            <w:pPr>
              <w:rPr>
                <w:sz w:val="22"/>
                <w:szCs w:val="22"/>
              </w:rPr>
            </w:pPr>
            <w:r w:rsidRPr="004410BC">
              <w:rPr>
                <w:sz w:val="22"/>
                <w:szCs w:val="22"/>
              </w:rPr>
              <w:t>Improve digital inclusion; retain multiple booking routes.</w:t>
            </w:r>
          </w:p>
        </w:tc>
      </w:tr>
      <w:tr w:rsidR="00561626" w:rsidRPr="004410BC" w14:paraId="11D97259" w14:textId="77777777" w:rsidTr="00006094">
        <w:trPr>
          <w:trHeight w:val="2000"/>
        </w:trPr>
        <w:tc>
          <w:tcPr>
            <w:tcW w:w="1107" w:type="dxa"/>
            <w:hideMark/>
          </w:tcPr>
          <w:p w14:paraId="599ADF8A" w14:textId="77777777" w:rsidR="00561626" w:rsidRPr="004410BC" w:rsidRDefault="00561626" w:rsidP="00236C76">
            <w:pPr>
              <w:rPr>
                <w:b/>
                <w:bCs/>
                <w:sz w:val="22"/>
                <w:szCs w:val="22"/>
              </w:rPr>
            </w:pPr>
            <w:r w:rsidRPr="004410BC">
              <w:rPr>
                <w:b/>
                <w:bCs/>
                <w:sz w:val="22"/>
                <w:szCs w:val="22"/>
              </w:rPr>
              <w:t>Coughlan et al. (2021)</w:t>
            </w:r>
          </w:p>
        </w:tc>
        <w:tc>
          <w:tcPr>
            <w:tcW w:w="1332" w:type="dxa"/>
            <w:hideMark/>
          </w:tcPr>
          <w:p w14:paraId="257EA5A6" w14:textId="77777777" w:rsidR="00561626" w:rsidRPr="004410BC" w:rsidRDefault="00561626" w:rsidP="00236C76">
            <w:pPr>
              <w:rPr>
                <w:sz w:val="22"/>
                <w:szCs w:val="22"/>
              </w:rPr>
            </w:pPr>
            <w:r w:rsidRPr="004410BC">
              <w:rPr>
                <w:sz w:val="22"/>
                <w:szCs w:val="22"/>
              </w:rPr>
              <w:t>Ethnic and social inequalities in children's healthcare use.</w:t>
            </w:r>
          </w:p>
        </w:tc>
        <w:tc>
          <w:tcPr>
            <w:tcW w:w="1476" w:type="dxa"/>
            <w:hideMark/>
          </w:tcPr>
          <w:p w14:paraId="06A59618" w14:textId="77777777" w:rsidR="00561626" w:rsidRPr="004410BC" w:rsidRDefault="00561626" w:rsidP="00236C76">
            <w:pPr>
              <w:rPr>
                <w:sz w:val="22"/>
                <w:szCs w:val="22"/>
              </w:rPr>
            </w:pPr>
            <w:r w:rsidRPr="004410BC">
              <w:rPr>
                <w:sz w:val="22"/>
                <w:szCs w:val="22"/>
              </w:rPr>
              <w:t>Socioeconomic deprivation, ethnicity.</w:t>
            </w:r>
          </w:p>
        </w:tc>
        <w:tc>
          <w:tcPr>
            <w:tcW w:w="1342" w:type="dxa"/>
            <w:hideMark/>
          </w:tcPr>
          <w:p w14:paraId="197BC075" w14:textId="77777777" w:rsidR="00561626" w:rsidRPr="004410BC" w:rsidRDefault="00561626" w:rsidP="00236C76">
            <w:pPr>
              <w:rPr>
                <w:sz w:val="22"/>
                <w:szCs w:val="22"/>
              </w:rPr>
            </w:pPr>
            <w:r w:rsidRPr="004410BC">
              <w:rPr>
                <w:sz w:val="22"/>
                <w:szCs w:val="22"/>
              </w:rPr>
              <w:t>Unequal utilisation of primary healthcare.</w:t>
            </w:r>
          </w:p>
        </w:tc>
        <w:tc>
          <w:tcPr>
            <w:tcW w:w="1412" w:type="dxa"/>
            <w:hideMark/>
          </w:tcPr>
          <w:p w14:paraId="3B9302A6" w14:textId="77777777" w:rsidR="00561626" w:rsidRPr="004410BC" w:rsidRDefault="00561626" w:rsidP="00236C76">
            <w:pPr>
              <w:rPr>
                <w:sz w:val="22"/>
                <w:szCs w:val="22"/>
              </w:rPr>
            </w:pPr>
            <w:r w:rsidRPr="004410BC">
              <w:rPr>
                <w:sz w:val="22"/>
                <w:szCs w:val="22"/>
              </w:rPr>
              <w:t>Target disadvantaged groups; further inequality research.</w:t>
            </w:r>
          </w:p>
        </w:tc>
      </w:tr>
      <w:tr w:rsidR="00561626" w:rsidRPr="004410BC" w14:paraId="61B46C26" w14:textId="77777777" w:rsidTr="00006094">
        <w:trPr>
          <w:trHeight w:val="2000"/>
        </w:trPr>
        <w:tc>
          <w:tcPr>
            <w:tcW w:w="1107" w:type="dxa"/>
            <w:hideMark/>
          </w:tcPr>
          <w:p w14:paraId="5E048437" w14:textId="77777777" w:rsidR="00561626" w:rsidRPr="004410BC" w:rsidRDefault="00561626" w:rsidP="00236C76">
            <w:pPr>
              <w:rPr>
                <w:b/>
                <w:bCs/>
                <w:sz w:val="22"/>
                <w:szCs w:val="22"/>
              </w:rPr>
            </w:pPr>
            <w:r w:rsidRPr="004410BC">
              <w:rPr>
                <w:b/>
                <w:bCs/>
                <w:sz w:val="22"/>
                <w:szCs w:val="22"/>
              </w:rPr>
              <w:t>Eccles et al. (2025)</w:t>
            </w:r>
          </w:p>
        </w:tc>
        <w:tc>
          <w:tcPr>
            <w:tcW w:w="1332" w:type="dxa"/>
            <w:hideMark/>
          </w:tcPr>
          <w:p w14:paraId="6E51218C" w14:textId="77777777" w:rsidR="00561626" w:rsidRPr="004410BC" w:rsidRDefault="00561626" w:rsidP="00236C76">
            <w:pPr>
              <w:rPr>
                <w:sz w:val="22"/>
                <w:szCs w:val="22"/>
              </w:rPr>
            </w:pPr>
            <w:r w:rsidRPr="004410BC">
              <w:rPr>
                <w:sz w:val="22"/>
                <w:szCs w:val="22"/>
              </w:rPr>
              <w:t>Inequitable menopause care for diverse women.</w:t>
            </w:r>
          </w:p>
        </w:tc>
        <w:tc>
          <w:tcPr>
            <w:tcW w:w="1476" w:type="dxa"/>
            <w:hideMark/>
          </w:tcPr>
          <w:p w14:paraId="3980E375" w14:textId="77777777" w:rsidR="00561626" w:rsidRPr="004410BC" w:rsidRDefault="00561626" w:rsidP="00236C76">
            <w:pPr>
              <w:rPr>
                <w:sz w:val="22"/>
                <w:szCs w:val="22"/>
              </w:rPr>
            </w:pPr>
            <w:r w:rsidRPr="004410BC">
              <w:rPr>
                <w:sz w:val="22"/>
                <w:szCs w:val="22"/>
              </w:rPr>
              <w:t>Poor communication, limited culturally appropriate care.</w:t>
            </w:r>
          </w:p>
        </w:tc>
        <w:tc>
          <w:tcPr>
            <w:tcW w:w="1342" w:type="dxa"/>
            <w:hideMark/>
          </w:tcPr>
          <w:p w14:paraId="20A2D30D" w14:textId="77777777" w:rsidR="00561626" w:rsidRPr="004410BC" w:rsidRDefault="00561626" w:rsidP="00236C76">
            <w:pPr>
              <w:rPr>
                <w:sz w:val="22"/>
                <w:szCs w:val="22"/>
              </w:rPr>
            </w:pPr>
            <w:r w:rsidRPr="004410BC">
              <w:rPr>
                <w:sz w:val="22"/>
                <w:szCs w:val="22"/>
              </w:rPr>
              <w:t>Delayed diagnosis and dissatisfaction.</w:t>
            </w:r>
          </w:p>
        </w:tc>
        <w:tc>
          <w:tcPr>
            <w:tcW w:w="1412" w:type="dxa"/>
            <w:hideMark/>
          </w:tcPr>
          <w:p w14:paraId="21876182" w14:textId="77777777" w:rsidR="00561626" w:rsidRPr="004410BC" w:rsidRDefault="00561626" w:rsidP="00236C76">
            <w:pPr>
              <w:rPr>
                <w:sz w:val="22"/>
                <w:szCs w:val="22"/>
              </w:rPr>
            </w:pPr>
            <w:r w:rsidRPr="004410BC">
              <w:rPr>
                <w:sz w:val="22"/>
                <w:szCs w:val="22"/>
              </w:rPr>
              <w:t>Person-centred, culturally competent menopause services.</w:t>
            </w:r>
          </w:p>
        </w:tc>
      </w:tr>
      <w:tr w:rsidR="00561626" w:rsidRPr="004410BC" w14:paraId="14F72DA0" w14:textId="77777777" w:rsidTr="00006094">
        <w:trPr>
          <w:trHeight w:val="2000"/>
        </w:trPr>
        <w:tc>
          <w:tcPr>
            <w:tcW w:w="1107" w:type="dxa"/>
            <w:hideMark/>
          </w:tcPr>
          <w:p w14:paraId="61A5E949" w14:textId="77777777" w:rsidR="00561626" w:rsidRPr="004410BC" w:rsidRDefault="00561626" w:rsidP="00236C76">
            <w:pPr>
              <w:rPr>
                <w:b/>
                <w:bCs/>
                <w:sz w:val="22"/>
                <w:szCs w:val="22"/>
              </w:rPr>
            </w:pPr>
            <w:r w:rsidRPr="004410BC">
              <w:rPr>
                <w:b/>
                <w:bCs/>
                <w:sz w:val="22"/>
                <w:szCs w:val="22"/>
              </w:rPr>
              <w:t>Ekezie et al. (2022)</w:t>
            </w:r>
          </w:p>
        </w:tc>
        <w:tc>
          <w:tcPr>
            <w:tcW w:w="1332" w:type="dxa"/>
            <w:hideMark/>
          </w:tcPr>
          <w:p w14:paraId="34F37C8C" w14:textId="77777777" w:rsidR="00561626" w:rsidRPr="004410BC" w:rsidRDefault="00561626" w:rsidP="00236C76">
            <w:pPr>
              <w:rPr>
                <w:sz w:val="22"/>
                <w:szCs w:val="22"/>
              </w:rPr>
            </w:pPr>
            <w:r w:rsidRPr="004410BC">
              <w:rPr>
                <w:sz w:val="22"/>
                <w:szCs w:val="22"/>
              </w:rPr>
              <w:t>COVID-19 widened inequalities in primary care access.</w:t>
            </w:r>
          </w:p>
        </w:tc>
        <w:tc>
          <w:tcPr>
            <w:tcW w:w="1476" w:type="dxa"/>
            <w:hideMark/>
          </w:tcPr>
          <w:p w14:paraId="7BFDD754" w14:textId="77777777" w:rsidR="00561626" w:rsidRPr="004410BC" w:rsidRDefault="00561626" w:rsidP="00236C76">
            <w:pPr>
              <w:rPr>
                <w:sz w:val="22"/>
                <w:szCs w:val="22"/>
              </w:rPr>
            </w:pPr>
            <w:r w:rsidRPr="004410BC">
              <w:rPr>
                <w:sz w:val="22"/>
                <w:szCs w:val="22"/>
              </w:rPr>
              <w:t>Language, communication, digital exclusion, mistrust.</w:t>
            </w:r>
          </w:p>
        </w:tc>
        <w:tc>
          <w:tcPr>
            <w:tcW w:w="1342" w:type="dxa"/>
            <w:hideMark/>
          </w:tcPr>
          <w:p w14:paraId="543AB4DD" w14:textId="77777777" w:rsidR="00561626" w:rsidRPr="004410BC" w:rsidRDefault="00561626" w:rsidP="00236C76">
            <w:pPr>
              <w:rPr>
                <w:sz w:val="22"/>
                <w:szCs w:val="22"/>
              </w:rPr>
            </w:pPr>
            <w:r w:rsidRPr="004410BC">
              <w:rPr>
                <w:sz w:val="22"/>
                <w:szCs w:val="22"/>
              </w:rPr>
              <w:t>Delayed care and poorer patient experiences.</w:t>
            </w:r>
          </w:p>
        </w:tc>
        <w:tc>
          <w:tcPr>
            <w:tcW w:w="1412" w:type="dxa"/>
            <w:hideMark/>
          </w:tcPr>
          <w:p w14:paraId="6B396C28" w14:textId="77777777" w:rsidR="00561626" w:rsidRPr="004410BC" w:rsidRDefault="00561626" w:rsidP="00236C76">
            <w:pPr>
              <w:rPr>
                <w:sz w:val="22"/>
                <w:szCs w:val="22"/>
              </w:rPr>
            </w:pPr>
            <w:r w:rsidRPr="004410BC">
              <w:rPr>
                <w:sz w:val="22"/>
                <w:szCs w:val="22"/>
              </w:rPr>
              <w:t>Multilingual communication and community engagement.</w:t>
            </w:r>
          </w:p>
        </w:tc>
      </w:tr>
      <w:tr w:rsidR="00561626" w:rsidRPr="004410BC" w14:paraId="36739377" w14:textId="77777777" w:rsidTr="00006094">
        <w:trPr>
          <w:trHeight w:val="1750"/>
        </w:trPr>
        <w:tc>
          <w:tcPr>
            <w:tcW w:w="1107" w:type="dxa"/>
            <w:hideMark/>
          </w:tcPr>
          <w:p w14:paraId="699E0699" w14:textId="77777777" w:rsidR="00561626" w:rsidRPr="004410BC" w:rsidRDefault="00561626" w:rsidP="00236C76">
            <w:pPr>
              <w:rPr>
                <w:b/>
                <w:bCs/>
                <w:sz w:val="22"/>
                <w:szCs w:val="22"/>
              </w:rPr>
            </w:pPr>
            <w:r w:rsidRPr="004410BC">
              <w:rPr>
                <w:b/>
                <w:bCs/>
                <w:sz w:val="22"/>
                <w:szCs w:val="22"/>
              </w:rPr>
              <w:t>Gardner et al. (2024)</w:t>
            </w:r>
          </w:p>
        </w:tc>
        <w:tc>
          <w:tcPr>
            <w:tcW w:w="1332" w:type="dxa"/>
            <w:hideMark/>
          </w:tcPr>
          <w:p w14:paraId="6E70139D" w14:textId="77777777" w:rsidR="00561626" w:rsidRPr="004410BC" w:rsidRDefault="00561626" w:rsidP="00236C76">
            <w:pPr>
              <w:rPr>
                <w:sz w:val="22"/>
                <w:szCs w:val="22"/>
              </w:rPr>
            </w:pPr>
            <w:r w:rsidRPr="004410BC">
              <w:rPr>
                <w:sz w:val="22"/>
                <w:szCs w:val="22"/>
              </w:rPr>
              <w:t>Unequal access to perinatal mental healthcare.</w:t>
            </w:r>
          </w:p>
        </w:tc>
        <w:tc>
          <w:tcPr>
            <w:tcW w:w="1476" w:type="dxa"/>
            <w:hideMark/>
          </w:tcPr>
          <w:p w14:paraId="5CAD6DC9" w14:textId="77777777" w:rsidR="00561626" w:rsidRPr="004410BC" w:rsidRDefault="00561626" w:rsidP="00236C76">
            <w:pPr>
              <w:rPr>
                <w:sz w:val="22"/>
                <w:szCs w:val="22"/>
              </w:rPr>
            </w:pPr>
            <w:r w:rsidRPr="004410BC">
              <w:rPr>
                <w:sz w:val="22"/>
                <w:szCs w:val="22"/>
              </w:rPr>
              <w:t>Cultural insensitivity, discrimination, stigma.</w:t>
            </w:r>
          </w:p>
        </w:tc>
        <w:tc>
          <w:tcPr>
            <w:tcW w:w="1342" w:type="dxa"/>
            <w:hideMark/>
          </w:tcPr>
          <w:p w14:paraId="0459ACB0" w14:textId="77777777" w:rsidR="00561626" w:rsidRPr="004410BC" w:rsidRDefault="00561626" w:rsidP="00236C76">
            <w:pPr>
              <w:rPr>
                <w:sz w:val="22"/>
                <w:szCs w:val="22"/>
              </w:rPr>
            </w:pPr>
            <w:r w:rsidRPr="004410BC">
              <w:rPr>
                <w:sz w:val="22"/>
                <w:szCs w:val="22"/>
              </w:rPr>
              <w:t>Reduced service engagement.</w:t>
            </w:r>
          </w:p>
        </w:tc>
        <w:tc>
          <w:tcPr>
            <w:tcW w:w="1412" w:type="dxa"/>
            <w:hideMark/>
          </w:tcPr>
          <w:p w14:paraId="7F42884B" w14:textId="77777777" w:rsidR="00561626" w:rsidRPr="004410BC" w:rsidRDefault="00561626" w:rsidP="00236C76">
            <w:pPr>
              <w:rPr>
                <w:sz w:val="22"/>
                <w:szCs w:val="22"/>
              </w:rPr>
            </w:pPr>
            <w:r w:rsidRPr="004410BC">
              <w:rPr>
                <w:sz w:val="22"/>
                <w:szCs w:val="22"/>
              </w:rPr>
              <w:t>Deliver culturally sensitive maternity mental health services.</w:t>
            </w:r>
          </w:p>
        </w:tc>
      </w:tr>
      <w:tr w:rsidR="00561626" w:rsidRPr="004410BC" w14:paraId="713CBE4F" w14:textId="77777777" w:rsidTr="00006094">
        <w:trPr>
          <w:trHeight w:val="2250"/>
        </w:trPr>
        <w:tc>
          <w:tcPr>
            <w:tcW w:w="1107" w:type="dxa"/>
            <w:hideMark/>
          </w:tcPr>
          <w:p w14:paraId="0AED1D91" w14:textId="77777777" w:rsidR="00561626" w:rsidRPr="004410BC" w:rsidRDefault="00561626" w:rsidP="00236C76">
            <w:pPr>
              <w:rPr>
                <w:b/>
                <w:bCs/>
                <w:sz w:val="22"/>
                <w:szCs w:val="22"/>
              </w:rPr>
            </w:pPr>
            <w:r w:rsidRPr="004410BC">
              <w:rPr>
                <w:b/>
                <w:bCs/>
                <w:sz w:val="22"/>
                <w:szCs w:val="22"/>
              </w:rPr>
              <w:t>Islam et al. (2024)</w:t>
            </w:r>
          </w:p>
        </w:tc>
        <w:tc>
          <w:tcPr>
            <w:tcW w:w="1332" w:type="dxa"/>
            <w:hideMark/>
          </w:tcPr>
          <w:p w14:paraId="4593F547" w14:textId="0387A83E" w:rsidR="00561626" w:rsidRPr="004410BC" w:rsidRDefault="00561626" w:rsidP="00236C76">
            <w:pPr>
              <w:rPr>
                <w:sz w:val="22"/>
                <w:szCs w:val="22"/>
              </w:rPr>
            </w:pPr>
            <w:r w:rsidRPr="004410BC">
              <w:rPr>
                <w:sz w:val="22"/>
                <w:szCs w:val="22"/>
              </w:rPr>
              <w:t xml:space="preserve">Digital-first primary care </w:t>
            </w:r>
            <w:r w:rsidR="00996D29" w:rsidRPr="004410BC">
              <w:rPr>
                <w:sz w:val="22"/>
                <w:szCs w:val="22"/>
              </w:rPr>
              <w:t xml:space="preserve">for </w:t>
            </w:r>
            <w:r w:rsidRPr="004410BC">
              <w:rPr>
                <w:sz w:val="22"/>
                <w:szCs w:val="22"/>
              </w:rPr>
              <w:t>disadvantaged ethnic minorities.</w:t>
            </w:r>
          </w:p>
        </w:tc>
        <w:tc>
          <w:tcPr>
            <w:tcW w:w="1476" w:type="dxa"/>
            <w:hideMark/>
          </w:tcPr>
          <w:p w14:paraId="58358812" w14:textId="77777777" w:rsidR="00561626" w:rsidRPr="004410BC" w:rsidRDefault="00561626" w:rsidP="00236C76">
            <w:pPr>
              <w:rPr>
                <w:sz w:val="22"/>
                <w:szCs w:val="22"/>
              </w:rPr>
            </w:pPr>
            <w:r w:rsidRPr="004410BC">
              <w:rPr>
                <w:sz w:val="22"/>
                <w:szCs w:val="22"/>
              </w:rPr>
              <w:t>Language, digital exclusion, poor communication.</w:t>
            </w:r>
          </w:p>
        </w:tc>
        <w:tc>
          <w:tcPr>
            <w:tcW w:w="1342" w:type="dxa"/>
            <w:hideMark/>
          </w:tcPr>
          <w:p w14:paraId="18B20E3B" w14:textId="77777777" w:rsidR="00561626" w:rsidRPr="004410BC" w:rsidRDefault="00561626" w:rsidP="00236C76">
            <w:pPr>
              <w:rPr>
                <w:sz w:val="22"/>
                <w:szCs w:val="22"/>
              </w:rPr>
            </w:pPr>
            <w:r w:rsidRPr="004410BC">
              <w:rPr>
                <w:sz w:val="22"/>
                <w:szCs w:val="22"/>
              </w:rPr>
              <w:t>Lower access and reduced satisfaction.</w:t>
            </w:r>
          </w:p>
        </w:tc>
        <w:tc>
          <w:tcPr>
            <w:tcW w:w="1412" w:type="dxa"/>
            <w:hideMark/>
          </w:tcPr>
          <w:p w14:paraId="01D8B24C" w14:textId="77777777" w:rsidR="00561626" w:rsidRPr="004410BC" w:rsidRDefault="00561626" w:rsidP="00236C76">
            <w:pPr>
              <w:rPr>
                <w:sz w:val="22"/>
                <w:szCs w:val="22"/>
              </w:rPr>
            </w:pPr>
            <w:r w:rsidRPr="004410BC">
              <w:rPr>
                <w:sz w:val="22"/>
                <w:szCs w:val="22"/>
              </w:rPr>
              <w:t>Inclusive digital services and interpreter support.</w:t>
            </w:r>
          </w:p>
        </w:tc>
      </w:tr>
      <w:tr w:rsidR="00561626" w:rsidRPr="004410BC" w14:paraId="18F443F7" w14:textId="77777777" w:rsidTr="00006094">
        <w:trPr>
          <w:trHeight w:val="2000"/>
        </w:trPr>
        <w:tc>
          <w:tcPr>
            <w:tcW w:w="1107" w:type="dxa"/>
            <w:hideMark/>
          </w:tcPr>
          <w:p w14:paraId="425DDF74" w14:textId="77777777" w:rsidR="00561626" w:rsidRPr="004410BC" w:rsidRDefault="00561626" w:rsidP="00236C76">
            <w:pPr>
              <w:rPr>
                <w:b/>
                <w:bCs/>
                <w:sz w:val="22"/>
                <w:szCs w:val="22"/>
              </w:rPr>
            </w:pPr>
            <w:r w:rsidRPr="004410BC">
              <w:rPr>
                <w:b/>
                <w:bCs/>
                <w:sz w:val="22"/>
                <w:szCs w:val="22"/>
              </w:rPr>
              <w:t>Jovanović et al. (2025)</w:t>
            </w:r>
          </w:p>
        </w:tc>
        <w:tc>
          <w:tcPr>
            <w:tcW w:w="1332" w:type="dxa"/>
            <w:hideMark/>
          </w:tcPr>
          <w:p w14:paraId="26522E33" w14:textId="77777777" w:rsidR="00561626" w:rsidRPr="004410BC" w:rsidRDefault="00561626" w:rsidP="00236C76">
            <w:pPr>
              <w:rPr>
                <w:sz w:val="22"/>
                <w:szCs w:val="22"/>
              </w:rPr>
            </w:pPr>
            <w:r w:rsidRPr="004410BC">
              <w:rPr>
                <w:sz w:val="22"/>
                <w:szCs w:val="22"/>
              </w:rPr>
              <w:t>Black and South Asian women experienced poorer perinatal access.</w:t>
            </w:r>
          </w:p>
        </w:tc>
        <w:tc>
          <w:tcPr>
            <w:tcW w:w="1476" w:type="dxa"/>
            <w:hideMark/>
          </w:tcPr>
          <w:p w14:paraId="39C311D3" w14:textId="77777777" w:rsidR="00561626" w:rsidRPr="004410BC" w:rsidRDefault="00561626" w:rsidP="00236C76">
            <w:pPr>
              <w:rPr>
                <w:sz w:val="22"/>
                <w:szCs w:val="22"/>
              </w:rPr>
            </w:pPr>
            <w:r w:rsidRPr="004410BC">
              <w:rPr>
                <w:sz w:val="22"/>
                <w:szCs w:val="22"/>
              </w:rPr>
              <w:t>Stigma, discrimination, cultural barriers.</w:t>
            </w:r>
          </w:p>
        </w:tc>
        <w:tc>
          <w:tcPr>
            <w:tcW w:w="1342" w:type="dxa"/>
            <w:hideMark/>
          </w:tcPr>
          <w:p w14:paraId="0B8FA771" w14:textId="77777777" w:rsidR="00561626" w:rsidRPr="004410BC" w:rsidRDefault="00561626" w:rsidP="00236C76">
            <w:pPr>
              <w:rPr>
                <w:sz w:val="22"/>
                <w:szCs w:val="22"/>
              </w:rPr>
            </w:pPr>
            <w:r w:rsidRPr="004410BC">
              <w:rPr>
                <w:sz w:val="22"/>
                <w:szCs w:val="22"/>
              </w:rPr>
              <w:t>Delayed help-seeking and unmet mental health needs.</w:t>
            </w:r>
          </w:p>
        </w:tc>
        <w:tc>
          <w:tcPr>
            <w:tcW w:w="1412" w:type="dxa"/>
            <w:hideMark/>
          </w:tcPr>
          <w:p w14:paraId="21176116" w14:textId="77777777" w:rsidR="00561626" w:rsidRPr="004410BC" w:rsidRDefault="00561626" w:rsidP="00236C76">
            <w:pPr>
              <w:rPr>
                <w:sz w:val="22"/>
                <w:szCs w:val="22"/>
              </w:rPr>
            </w:pPr>
            <w:r w:rsidRPr="004410BC">
              <w:rPr>
                <w:sz w:val="22"/>
                <w:szCs w:val="22"/>
              </w:rPr>
              <w:t>Co-designed and culturally responsive services.</w:t>
            </w:r>
          </w:p>
        </w:tc>
      </w:tr>
      <w:tr w:rsidR="00561626" w:rsidRPr="004410BC" w14:paraId="2E8DCF9D" w14:textId="77777777" w:rsidTr="00006094">
        <w:trPr>
          <w:trHeight w:val="1750"/>
        </w:trPr>
        <w:tc>
          <w:tcPr>
            <w:tcW w:w="1107" w:type="dxa"/>
            <w:hideMark/>
          </w:tcPr>
          <w:p w14:paraId="6DE00C55" w14:textId="77777777" w:rsidR="00561626" w:rsidRPr="004410BC" w:rsidRDefault="00561626" w:rsidP="00236C76">
            <w:pPr>
              <w:rPr>
                <w:b/>
                <w:bCs/>
                <w:sz w:val="22"/>
                <w:szCs w:val="22"/>
              </w:rPr>
            </w:pPr>
            <w:r w:rsidRPr="004410BC">
              <w:rPr>
                <w:b/>
                <w:bCs/>
                <w:sz w:val="22"/>
                <w:szCs w:val="22"/>
              </w:rPr>
              <w:t>Linton et al. (2025)</w:t>
            </w:r>
          </w:p>
        </w:tc>
        <w:tc>
          <w:tcPr>
            <w:tcW w:w="1332" w:type="dxa"/>
            <w:hideMark/>
          </w:tcPr>
          <w:p w14:paraId="4745FC29" w14:textId="77777777" w:rsidR="00561626" w:rsidRPr="004410BC" w:rsidRDefault="00561626" w:rsidP="00236C76">
            <w:pPr>
              <w:rPr>
                <w:sz w:val="22"/>
                <w:szCs w:val="22"/>
              </w:rPr>
            </w:pPr>
            <w:r w:rsidRPr="004410BC">
              <w:rPr>
                <w:sz w:val="22"/>
                <w:szCs w:val="22"/>
              </w:rPr>
              <w:t>Inequalities in contraception services.</w:t>
            </w:r>
          </w:p>
        </w:tc>
        <w:tc>
          <w:tcPr>
            <w:tcW w:w="1476" w:type="dxa"/>
            <w:hideMark/>
          </w:tcPr>
          <w:p w14:paraId="62E77E4B" w14:textId="77777777" w:rsidR="00561626" w:rsidRPr="004410BC" w:rsidRDefault="00561626" w:rsidP="00236C76">
            <w:pPr>
              <w:rPr>
                <w:sz w:val="22"/>
                <w:szCs w:val="22"/>
              </w:rPr>
            </w:pPr>
            <w:r w:rsidRPr="004410BC">
              <w:rPr>
                <w:sz w:val="22"/>
                <w:szCs w:val="22"/>
              </w:rPr>
              <w:t>Cultural beliefs, language, limited information.</w:t>
            </w:r>
          </w:p>
        </w:tc>
        <w:tc>
          <w:tcPr>
            <w:tcW w:w="1342" w:type="dxa"/>
            <w:hideMark/>
          </w:tcPr>
          <w:p w14:paraId="65E4F56F" w14:textId="77777777" w:rsidR="00561626" w:rsidRPr="004410BC" w:rsidRDefault="00561626" w:rsidP="00236C76">
            <w:pPr>
              <w:rPr>
                <w:sz w:val="22"/>
                <w:szCs w:val="22"/>
              </w:rPr>
            </w:pPr>
            <w:r w:rsidRPr="004410BC">
              <w:rPr>
                <w:sz w:val="22"/>
                <w:szCs w:val="22"/>
              </w:rPr>
              <w:t>Reduced contraceptive uptake and informed choice.</w:t>
            </w:r>
          </w:p>
        </w:tc>
        <w:tc>
          <w:tcPr>
            <w:tcW w:w="1412" w:type="dxa"/>
            <w:hideMark/>
          </w:tcPr>
          <w:p w14:paraId="1BA89CA3" w14:textId="77777777" w:rsidR="00561626" w:rsidRPr="004410BC" w:rsidRDefault="00561626" w:rsidP="00236C76">
            <w:pPr>
              <w:rPr>
                <w:sz w:val="22"/>
                <w:szCs w:val="22"/>
              </w:rPr>
            </w:pPr>
            <w:r w:rsidRPr="004410BC">
              <w:rPr>
                <w:sz w:val="22"/>
                <w:szCs w:val="22"/>
              </w:rPr>
              <w:t>Community-based education and culturally tailored care.</w:t>
            </w:r>
          </w:p>
        </w:tc>
      </w:tr>
      <w:tr w:rsidR="00561626" w:rsidRPr="004410BC" w14:paraId="121A1B8F" w14:textId="77777777" w:rsidTr="00006094">
        <w:trPr>
          <w:trHeight w:val="2250"/>
        </w:trPr>
        <w:tc>
          <w:tcPr>
            <w:tcW w:w="1107" w:type="dxa"/>
            <w:hideMark/>
          </w:tcPr>
          <w:p w14:paraId="11628EEF" w14:textId="77777777" w:rsidR="00561626" w:rsidRPr="004410BC" w:rsidRDefault="00561626" w:rsidP="00236C76">
            <w:pPr>
              <w:rPr>
                <w:b/>
                <w:bCs/>
                <w:sz w:val="22"/>
                <w:szCs w:val="22"/>
              </w:rPr>
            </w:pPr>
            <w:r w:rsidRPr="004410BC">
              <w:rPr>
                <w:b/>
                <w:bCs/>
                <w:sz w:val="22"/>
                <w:szCs w:val="22"/>
              </w:rPr>
              <w:t>Nelson et al. (2021)</w:t>
            </w:r>
          </w:p>
        </w:tc>
        <w:tc>
          <w:tcPr>
            <w:tcW w:w="1332" w:type="dxa"/>
            <w:hideMark/>
          </w:tcPr>
          <w:p w14:paraId="0D121296" w14:textId="77777777" w:rsidR="00561626" w:rsidRPr="004410BC" w:rsidRDefault="00561626" w:rsidP="00236C76">
            <w:pPr>
              <w:rPr>
                <w:sz w:val="22"/>
                <w:szCs w:val="22"/>
              </w:rPr>
            </w:pPr>
            <w:r w:rsidRPr="004410BC">
              <w:rPr>
                <w:sz w:val="22"/>
                <w:szCs w:val="22"/>
              </w:rPr>
              <w:t>Lower cervical screening participation among minority women.</w:t>
            </w:r>
          </w:p>
        </w:tc>
        <w:tc>
          <w:tcPr>
            <w:tcW w:w="1476" w:type="dxa"/>
            <w:hideMark/>
          </w:tcPr>
          <w:p w14:paraId="095FBAF8" w14:textId="77777777" w:rsidR="00561626" w:rsidRPr="004410BC" w:rsidRDefault="00561626" w:rsidP="00236C76">
            <w:pPr>
              <w:rPr>
                <w:sz w:val="22"/>
                <w:szCs w:val="22"/>
              </w:rPr>
            </w:pPr>
            <w:r w:rsidRPr="004410BC">
              <w:rPr>
                <w:sz w:val="22"/>
                <w:szCs w:val="22"/>
              </w:rPr>
              <w:t>Language, embarrassment, limited awareness.</w:t>
            </w:r>
          </w:p>
        </w:tc>
        <w:tc>
          <w:tcPr>
            <w:tcW w:w="1342" w:type="dxa"/>
            <w:hideMark/>
          </w:tcPr>
          <w:p w14:paraId="38947198" w14:textId="77777777" w:rsidR="00561626" w:rsidRPr="004410BC" w:rsidRDefault="00561626" w:rsidP="00236C76">
            <w:pPr>
              <w:rPr>
                <w:sz w:val="22"/>
                <w:szCs w:val="22"/>
              </w:rPr>
            </w:pPr>
            <w:r w:rsidRPr="004410BC">
              <w:rPr>
                <w:sz w:val="22"/>
                <w:szCs w:val="22"/>
              </w:rPr>
              <w:t>Lower screening uptake and delayed detection.</w:t>
            </w:r>
          </w:p>
        </w:tc>
        <w:tc>
          <w:tcPr>
            <w:tcW w:w="1412" w:type="dxa"/>
            <w:hideMark/>
          </w:tcPr>
          <w:p w14:paraId="31D6A238" w14:textId="77777777" w:rsidR="00561626" w:rsidRPr="004410BC" w:rsidRDefault="00561626" w:rsidP="00236C76">
            <w:pPr>
              <w:rPr>
                <w:sz w:val="22"/>
                <w:szCs w:val="22"/>
              </w:rPr>
            </w:pPr>
            <w:r w:rsidRPr="004410BC">
              <w:rPr>
                <w:sz w:val="22"/>
                <w:szCs w:val="22"/>
              </w:rPr>
              <w:t>Improve education and culturally appropriate screening programmes.</w:t>
            </w:r>
          </w:p>
        </w:tc>
      </w:tr>
      <w:tr w:rsidR="00561626" w:rsidRPr="004410BC" w14:paraId="4B165BC9" w14:textId="77777777" w:rsidTr="00006094">
        <w:trPr>
          <w:trHeight w:val="2500"/>
        </w:trPr>
        <w:tc>
          <w:tcPr>
            <w:tcW w:w="1107" w:type="dxa"/>
            <w:hideMark/>
          </w:tcPr>
          <w:p w14:paraId="0E9FEEEE" w14:textId="77777777" w:rsidR="00561626" w:rsidRPr="004410BC" w:rsidRDefault="00561626" w:rsidP="00236C76">
            <w:pPr>
              <w:rPr>
                <w:b/>
                <w:bCs/>
                <w:sz w:val="22"/>
                <w:szCs w:val="22"/>
              </w:rPr>
            </w:pPr>
            <w:r w:rsidRPr="004410BC">
              <w:rPr>
                <w:b/>
                <w:bCs/>
                <w:sz w:val="22"/>
                <w:szCs w:val="22"/>
              </w:rPr>
              <w:t>Pilav et al. (2022)</w:t>
            </w:r>
          </w:p>
        </w:tc>
        <w:tc>
          <w:tcPr>
            <w:tcW w:w="1332" w:type="dxa"/>
            <w:hideMark/>
          </w:tcPr>
          <w:p w14:paraId="289DD9DC" w14:textId="77777777" w:rsidR="00561626" w:rsidRPr="004410BC" w:rsidRDefault="00561626" w:rsidP="00236C76">
            <w:pPr>
              <w:rPr>
                <w:sz w:val="22"/>
                <w:szCs w:val="22"/>
              </w:rPr>
            </w:pPr>
            <w:r w:rsidRPr="004410BC">
              <w:rPr>
                <w:sz w:val="22"/>
                <w:szCs w:val="22"/>
              </w:rPr>
              <w:t>Ethnic minority women experienced unequal perinatal mental healthcare.</w:t>
            </w:r>
          </w:p>
        </w:tc>
        <w:tc>
          <w:tcPr>
            <w:tcW w:w="1476" w:type="dxa"/>
            <w:hideMark/>
          </w:tcPr>
          <w:p w14:paraId="4ABB85A4" w14:textId="77777777" w:rsidR="00561626" w:rsidRPr="004410BC" w:rsidRDefault="00561626" w:rsidP="00236C76">
            <w:pPr>
              <w:rPr>
                <w:sz w:val="22"/>
                <w:szCs w:val="22"/>
              </w:rPr>
            </w:pPr>
            <w:r w:rsidRPr="004410BC">
              <w:rPr>
                <w:sz w:val="22"/>
                <w:szCs w:val="22"/>
              </w:rPr>
              <w:t>Language, stigma, poor communication.</w:t>
            </w:r>
          </w:p>
        </w:tc>
        <w:tc>
          <w:tcPr>
            <w:tcW w:w="1342" w:type="dxa"/>
            <w:hideMark/>
          </w:tcPr>
          <w:p w14:paraId="1702D1AD" w14:textId="77777777" w:rsidR="00561626" w:rsidRPr="004410BC" w:rsidRDefault="00561626" w:rsidP="00236C76">
            <w:pPr>
              <w:rPr>
                <w:sz w:val="22"/>
                <w:szCs w:val="22"/>
              </w:rPr>
            </w:pPr>
            <w:r w:rsidRPr="004410BC">
              <w:rPr>
                <w:sz w:val="22"/>
                <w:szCs w:val="22"/>
              </w:rPr>
              <w:t>Reduced engagement with services.</w:t>
            </w:r>
          </w:p>
        </w:tc>
        <w:tc>
          <w:tcPr>
            <w:tcW w:w="1412" w:type="dxa"/>
            <w:hideMark/>
          </w:tcPr>
          <w:p w14:paraId="62329F4E" w14:textId="77777777" w:rsidR="00561626" w:rsidRPr="004410BC" w:rsidRDefault="00561626" w:rsidP="00236C76">
            <w:pPr>
              <w:rPr>
                <w:sz w:val="22"/>
                <w:szCs w:val="22"/>
              </w:rPr>
            </w:pPr>
            <w:r w:rsidRPr="004410BC">
              <w:rPr>
                <w:sz w:val="22"/>
                <w:szCs w:val="22"/>
              </w:rPr>
              <w:t>Enhance cultural competence and continuity of care.</w:t>
            </w:r>
          </w:p>
        </w:tc>
      </w:tr>
      <w:tr w:rsidR="00561626" w:rsidRPr="004410BC" w14:paraId="54EA3F80" w14:textId="77777777" w:rsidTr="00006094">
        <w:trPr>
          <w:trHeight w:val="2000"/>
        </w:trPr>
        <w:tc>
          <w:tcPr>
            <w:tcW w:w="1107" w:type="dxa"/>
            <w:hideMark/>
          </w:tcPr>
          <w:p w14:paraId="33CC0FCD" w14:textId="77777777" w:rsidR="00561626" w:rsidRPr="004410BC" w:rsidRDefault="00561626" w:rsidP="00236C76">
            <w:pPr>
              <w:rPr>
                <w:b/>
                <w:bCs/>
                <w:sz w:val="22"/>
                <w:szCs w:val="22"/>
              </w:rPr>
            </w:pPr>
            <w:r w:rsidRPr="004410BC">
              <w:rPr>
                <w:b/>
                <w:bCs/>
                <w:sz w:val="22"/>
                <w:szCs w:val="22"/>
              </w:rPr>
              <w:t>Ridge et al. (2025)</w:t>
            </w:r>
          </w:p>
        </w:tc>
        <w:tc>
          <w:tcPr>
            <w:tcW w:w="1332" w:type="dxa"/>
            <w:hideMark/>
          </w:tcPr>
          <w:p w14:paraId="368706E3" w14:textId="29B01058" w:rsidR="00561626" w:rsidRPr="004410BC" w:rsidRDefault="00561626" w:rsidP="00236C76">
            <w:pPr>
              <w:rPr>
                <w:sz w:val="22"/>
                <w:szCs w:val="22"/>
              </w:rPr>
            </w:pPr>
            <w:r w:rsidRPr="004410BC">
              <w:rPr>
                <w:sz w:val="22"/>
                <w:szCs w:val="22"/>
              </w:rPr>
              <w:t>Ethnic minorities experienced inequ</w:t>
            </w:r>
            <w:r w:rsidR="00E641F9" w:rsidRPr="004410BC">
              <w:rPr>
                <w:sz w:val="22"/>
                <w:szCs w:val="22"/>
              </w:rPr>
              <w:t>al</w:t>
            </w:r>
            <w:r w:rsidRPr="004410BC">
              <w:rPr>
                <w:sz w:val="22"/>
                <w:szCs w:val="22"/>
              </w:rPr>
              <w:t>ities in Long COVID care.</w:t>
            </w:r>
          </w:p>
        </w:tc>
        <w:tc>
          <w:tcPr>
            <w:tcW w:w="1476" w:type="dxa"/>
            <w:hideMark/>
          </w:tcPr>
          <w:p w14:paraId="751FFD04" w14:textId="77777777" w:rsidR="00561626" w:rsidRPr="004410BC" w:rsidRDefault="00561626" w:rsidP="00236C76">
            <w:pPr>
              <w:rPr>
                <w:sz w:val="22"/>
                <w:szCs w:val="22"/>
              </w:rPr>
            </w:pPr>
            <w:r w:rsidRPr="004410BC">
              <w:rPr>
                <w:sz w:val="22"/>
                <w:szCs w:val="22"/>
              </w:rPr>
              <w:t>Medical uncertainty, disbelief, communication barriers.</w:t>
            </w:r>
          </w:p>
        </w:tc>
        <w:tc>
          <w:tcPr>
            <w:tcW w:w="1342" w:type="dxa"/>
            <w:hideMark/>
          </w:tcPr>
          <w:p w14:paraId="673A7863" w14:textId="77777777" w:rsidR="00561626" w:rsidRPr="004410BC" w:rsidRDefault="00561626" w:rsidP="00236C76">
            <w:pPr>
              <w:rPr>
                <w:sz w:val="22"/>
                <w:szCs w:val="22"/>
              </w:rPr>
            </w:pPr>
            <w:r w:rsidRPr="004410BC">
              <w:rPr>
                <w:sz w:val="22"/>
                <w:szCs w:val="22"/>
              </w:rPr>
              <w:t>Poor experiences and delayed treatment.</w:t>
            </w:r>
          </w:p>
        </w:tc>
        <w:tc>
          <w:tcPr>
            <w:tcW w:w="1412" w:type="dxa"/>
            <w:hideMark/>
          </w:tcPr>
          <w:p w14:paraId="49296A92" w14:textId="77777777" w:rsidR="00561626" w:rsidRPr="004410BC" w:rsidRDefault="00561626" w:rsidP="00236C76">
            <w:pPr>
              <w:rPr>
                <w:sz w:val="22"/>
                <w:szCs w:val="22"/>
              </w:rPr>
            </w:pPr>
            <w:r w:rsidRPr="004410BC">
              <w:rPr>
                <w:sz w:val="22"/>
                <w:szCs w:val="22"/>
              </w:rPr>
              <w:t>Improve recognition and equitable Long COVID pathways.</w:t>
            </w:r>
          </w:p>
        </w:tc>
      </w:tr>
      <w:tr w:rsidR="00561626" w:rsidRPr="004410BC" w14:paraId="08E50FA1" w14:textId="77777777" w:rsidTr="00006094">
        <w:trPr>
          <w:trHeight w:val="1500"/>
        </w:trPr>
        <w:tc>
          <w:tcPr>
            <w:tcW w:w="1107" w:type="dxa"/>
            <w:hideMark/>
          </w:tcPr>
          <w:p w14:paraId="3992F0E2" w14:textId="77777777" w:rsidR="00561626" w:rsidRPr="004410BC" w:rsidRDefault="00561626" w:rsidP="00236C76">
            <w:pPr>
              <w:rPr>
                <w:b/>
                <w:bCs/>
                <w:sz w:val="22"/>
                <w:szCs w:val="22"/>
              </w:rPr>
            </w:pPr>
            <w:r w:rsidRPr="004410BC">
              <w:rPr>
                <w:b/>
                <w:bCs/>
                <w:sz w:val="22"/>
                <w:szCs w:val="22"/>
              </w:rPr>
              <w:t>Robinson et al. (2021)</w:t>
            </w:r>
          </w:p>
        </w:tc>
        <w:tc>
          <w:tcPr>
            <w:tcW w:w="1332" w:type="dxa"/>
            <w:hideMark/>
          </w:tcPr>
          <w:p w14:paraId="552FF0B5" w14:textId="77777777" w:rsidR="00561626" w:rsidRPr="004410BC" w:rsidRDefault="00561626" w:rsidP="00236C76">
            <w:pPr>
              <w:rPr>
                <w:sz w:val="22"/>
                <w:szCs w:val="22"/>
              </w:rPr>
            </w:pPr>
            <w:r w:rsidRPr="004410BC">
              <w:rPr>
                <w:sz w:val="22"/>
                <w:szCs w:val="22"/>
              </w:rPr>
              <w:t>Inequalities in access to medicine review services.</w:t>
            </w:r>
          </w:p>
        </w:tc>
        <w:tc>
          <w:tcPr>
            <w:tcW w:w="1476" w:type="dxa"/>
            <w:hideMark/>
          </w:tcPr>
          <w:p w14:paraId="2B322B18" w14:textId="77777777" w:rsidR="00561626" w:rsidRPr="004410BC" w:rsidRDefault="00561626" w:rsidP="00236C76">
            <w:pPr>
              <w:rPr>
                <w:sz w:val="22"/>
                <w:szCs w:val="22"/>
              </w:rPr>
            </w:pPr>
            <w:r w:rsidRPr="004410BC">
              <w:rPr>
                <w:sz w:val="22"/>
                <w:szCs w:val="22"/>
              </w:rPr>
              <w:t>Language, awareness, cultural differences.</w:t>
            </w:r>
          </w:p>
        </w:tc>
        <w:tc>
          <w:tcPr>
            <w:tcW w:w="1342" w:type="dxa"/>
            <w:hideMark/>
          </w:tcPr>
          <w:p w14:paraId="3EABFB4E" w14:textId="77777777" w:rsidR="00561626" w:rsidRPr="004410BC" w:rsidRDefault="00561626" w:rsidP="00236C76">
            <w:pPr>
              <w:rPr>
                <w:sz w:val="22"/>
                <w:szCs w:val="22"/>
              </w:rPr>
            </w:pPr>
            <w:r w:rsidRPr="004410BC">
              <w:rPr>
                <w:sz w:val="22"/>
                <w:szCs w:val="22"/>
              </w:rPr>
              <w:t>Lower medicine review uptake.</w:t>
            </w:r>
          </w:p>
        </w:tc>
        <w:tc>
          <w:tcPr>
            <w:tcW w:w="1412" w:type="dxa"/>
            <w:hideMark/>
          </w:tcPr>
          <w:p w14:paraId="66D4B307" w14:textId="77777777" w:rsidR="00561626" w:rsidRPr="004410BC" w:rsidRDefault="00561626" w:rsidP="00236C76">
            <w:pPr>
              <w:rPr>
                <w:sz w:val="22"/>
                <w:szCs w:val="22"/>
              </w:rPr>
            </w:pPr>
            <w:r w:rsidRPr="004410BC">
              <w:rPr>
                <w:sz w:val="22"/>
                <w:szCs w:val="22"/>
              </w:rPr>
              <w:t>Increase outreach, interpreters and staff training.</w:t>
            </w:r>
          </w:p>
        </w:tc>
      </w:tr>
      <w:tr w:rsidR="00561626" w:rsidRPr="004410BC" w14:paraId="2F02DD67" w14:textId="77777777" w:rsidTr="00006094">
        <w:trPr>
          <w:trHeight w:val="2000"/>
        </w:trPr>
        <w:tc>
          <w:tcPr>
            <w:tcW w:w="1107" w:type="dxa"/>
            <w:hideMark/>
          </w:tcPr>
          <w:p w14:paraId="56953F2C" w14:textId="77777777" w:rsidR="00561626" w:rsidRPr="004410BC" w:rsidRDefault="00561626" w:rsidP="00236C76">
            <w:pPr>
              <w:rPr>
                <w:b/>
                <w:bCs/>
                <w:sz w:val="22"/>
                <w:szCs w:val="22"/>
              </w:rPr>
            </w:pPr>
            <w:r w:rsidRPr="004410BC">
              <w:rPr>
                <w:b/>
                <w:bCs/>
                <w:sz w:val="22"/>
                <w:szCs w:val="22"/>
              </w:rPr>
              <w:t>Robinson et al. (2022)</w:t>
            </w:r>
          </w:p>
        </w:tc>
        <w:tc>
          <w:tcPr>
            <w:tcW w:w="1332" w:type="dxa"/>
            <w:hideMark/>
          </w:tcPr>
          <w:p w14:paraId="36A550DA" w14:textId="77777777" w:rsidR="00561626" w:rsidRPr="004410BC" w:rsidRDefault="00561626" w:rsidP="00236C76">
            <w:pPr>
              <w:rPr>
                <w:sz w:val="22"/>
                <w:szCs w:val="22"/>
              </w:rPr>
            </w:pPr>
            <w:r w:rsidRPr="004410BC">
              <w:rPr>
                <w:sz w:val="22"/>
                <w:szCs w:val="22"/>
              </w:rPr>
              <w:t>Ethnic minorities underused medication review services.</w:t>
            </w:r>
          </w:p>
        </w:tc>
        <w:tc>
          <w:tcPr>
            <w:tcW w:w="1476" w:type="dxa"/>
            <w:hideMark/>
          </w:tcPr>
          <w:p w14:paraId="7F1B9B2D" w14:textId="77777777" w:rsidR="00561626" w:rsidRPr="004410BC" w:rsidRDefault="00561626" w:rsidP="00236C76">
            <w:pPr>
              <w:rPr>
                <w:sz w:val="22"/>
                <w:szCs w:val="22"/>
              </w:rPr>
            </w:pPr>
            <w:r w:rsidRPr="004410BC">
              <w:rPr>
                <w:sz w:val="22"/>
                <w:szCs w:val="22"/>
              </w:rPr>
              <w:t>Low awareness, language barriers, low health literacy.</w:t>
            </w:r>
          </w:p>
        </w:tc>
        <w:tc>
          <w:tcPr>
            <w:tcW w:w="1342" w:type="dxa"/>
            <w:hideMark/>
          </w:tcPr>
          <w:p w14:paraId="611D0156" w14:textId="77777777" w:rsidR="00561626" w:rsidRPr="004410BC" w:rsidRDefault="00561626" w:rsidP="00236C76">
            <w:pPr>
              <w:rPr>
                <w:sz w:val="22"/>
                <w:szCs w:val="22"/>
              </w:rPr>
            </w:pPr>
            <w:r w:rsidRPr="004410BC">
              <w:rPr>
                <w:sz w:val="22"/>
                <w:szCs w:val="22"/>
              </w:rPr>
              <w:t>Missed medication optimisation opportunities.</w:t>
            </w:r>
          </w:p>
        </w:tc>
        <w:tc>
          <w:tcPr>
            <w:tcW w:w="1412" w:type="dxa"/>
            <w:hideMark/>
          </w:tcPr>
          <w:p w14:paraId="30C920FA" w14:textId="77777777" w:rsidR="00561626" w:rsidRPr="004410BC" w:rsidRDefault="00561626" w:rsidP="00236C76">
            <w:pPr>
              <w:rPr>
                <w:sz w:val="22"/>
                <w:szCs w:val="22"/>
              </w:rPr>
            </w:pPr>
            <w:r w:rsidRPr="004410BC">
              <w:rPr>
                <w:sz w:val="22"/>
                <w:szCs w:val="22"/>
              </w:rPr>
              <w:t>Community engagement and targeted information.</w:t>
            </w:r>
          </w:p>
        </w:tc>
      </w:tr>
      <w:tr w:rsidR="00561626" w:rsidRPr="004410BC" w14:paraId="4A9DF10E" w14:textId="77777777" w:rsidTr="00006094">
        <w:trPr>
          <w:trHeight w:val="2250"/>
        </w:trPr>
        <w:tc>
          <w:tcPr>
            <w:tcW w:w="1107" w:type="dxa"/>
            <w:hideMark/>
          </w:tcPr>
          <w:p w14:paraId="1BF4964E" w14:textId="77777777" w:rsidR="00561626" w:rsidRPr="004410BC" w:rsidRDefault="00561626" w:rsidP="00236C76">
            <w:pPr>
              <w:rPr>
                <w:b/>
                <w:bCs/>
                <w:sz w:val="22"/>
                <w:szCs w:val="22"/>
              </w:rPr>
            </w:pPr>
            <w:r w:rsidRPr="004410BC">
              <w:rPr>
                <w:b/>
                <w:bCs/>
                <w:sz w:val="22"/>
                <w:szCs w:val="22"/>
              </w:rPr>
              <w:t>Small et al. (2024)</w:t>
            </w:r>
          </w:p>
        </w:tc>
        <w:tc>
          <w:tcPr>
            <w:tcW w:w="1332" w:type="dxa"/>
            <w:hideMark/>
          </w:tcPr>
          <w:p w14:paraId="1136F8AB" w14:textId="77777777" w:rsidR="00561626" w:rsidRPr="004410BC" w:rsidRDefault="00561626" w:rsidP="00236C76">
            <w:pPr>
              <w:rPr>
                <w:sz w:val="22"/>
                <w:szCs w:val="22"/>
              </w:rPr>
            </w:pPr>
            <w:r w:rsidRPr="004410BC">
              <w:rPr>
                <w:sz w:val="22"/>
                <w:szCs w:val="22"/>
              </w:rPr>
              <w:t>South Asian patients reported unequal primary care experiences.</w:t>
            </w:r>
          </w:p>
        </w:tc>
        <w:tc>
          <w:tcPr>
            <w:tcW w:w="1476" w:type="dxa"/>
            <w:hideMark/>
          </w:tcPr>
          <w:p w14:paraId="04EE72CB" w14:textId="77777777" w:rsidR="00561626" w:rsidRPr="004410BC" w:rsidRDefault="00561626" w:rsidP="00236C76">
            <w:pPr>
              <w:rPr>
                <w:sz w:val="22"/>
                <w:szCs w:val="22"/>
              </w:rPr>
            </w:pPr>
            <w:r w:rsidRPr="004410BC">
              <w:rPr>
                <w:sz w:val="22"/>
                <w:szCs w:val="22"/>
              </w:rPr>
              <w:t>Communication, continuity, cultural expectations.</w:t>
            </w:r>
          </w:p>
        </w:tc>
        <w:tc>
          <w:tcPr>
            <w:tcW w:w="1342" w:type="dxa"/>
            <w:hideMark/>
          </w:tcPr>
          <w:p w14:paraId="4AB691D7" w14:textId="77777777" w:rsidR="00561626" w:rsidRPr="004410BC" w:rsidRDefault="00561626" w:rsidP="00236C76">
            <w:pPr>
              <w:rPr>
                <w:sz w:val="22"/>
                <w:szCs w:val="22"/>
              </w:rPr>
            </w:pPr>
            <w:r w:rsidRPr="004410BC">
              <w:rPr>
                <w:sz w:val="22"/>
                <w:szCs w:val="22"/>
              </w:rPr>
              <w:t>Lower satisfaction and trust in services.</w:t>
            </w:r>
          </w:p>
        </w:tc>
        <w:tc>
          <w:tcPr>
            <w:tcW w:w="1412" w:type="dxa"/>
            <w:hideMark/>
          </w:tcPr>
          <w:p w14:paraId="5905B281" w14:textId="064E0780" w:rsidR="00561626" w:rsidRPr="004410BC" w:rsidRDefault="00561626" w:rsidP="00236C76">
            <w:pPr>
              <w:rPr>
                <w:sz w:val="22"/>
                <w:szCs w:val="22"/>
              </w:rPr>
            </w:pPr>
            <w:r w:rsidRPr="004410BC">
              <w:rPr>
                <w:sz w:val="22"/>
                <w:szCs w:val="22"/>
              </w:rPr>
              <w:t>Improve continuity, communication</w:t>
            </w:r>
            <w:r w:rsidR="00996D29" w:rsidRPr="004410BC">
              <w:rPr>
                <w:sz w:val="22"/>
                <w:szCs w:val="22"/>
              </w:rPr>
              <w:t>,</w:t>
            </w:r>
            <w:r w:rsidRPr="004410BC">
              <w:rPr>
                <w:sz w:val="22"/>
                <w:szCs w:val="22"/>
              </w:rPr>
              <w:t xml:space="preserve"> and culturally responsive care.</w:t>
            </w:r>
          </w:p>
        </w:tc>
      </w:tr>
    </w:tbl>
    <w:p w14:paraId="747F319E" w14:textId="77777777" w:rsidR="009F64C5" w:rsidRPr="004410BC" w:rsidRDefault="009F64C5" w:rsidP="00236C76">
      <w:pPr>
        <w:spacing w:after="0"/>
        <w:rPr>
          <w:rFonts w:cs="Arial"/>
        </w:rPr>
      </w:pPr>
      <w:r w:rsidRPr="004410BC">
        <w:rPr>
          <w:rFonts w:eastAsia="Calibri" w:cs="Arial"/>
        </w:rPr>
        <w:t xml:space="preserve"> </w:t>
      </w:r>
      <w:r w:rsidRPr="004410BC">
        <w:rPr>
          <w:rFonts w:eastAsia="Calibri" w:cs="Arial"/>
        </w:rPr>
        <w:tab/>
      </w:r>
      <w:r w:rsidRPr="004410BC">
        <w:rPr>
          <w:rFonts w:eastAsia="Times New Roman" w:cs="Arial"/>
          <w:b/>
        </w:rPr>
        <w:t xml:space="preserve"> </w:t>
      </w:r>
      <w:r w:rsidRPr="004410BC">
        <w:rPr>
          <w:rFonts w:cs="Arial"/>
        </w:rPr>
        <w:br w:type="page"/>
      </w:r>
    </w:p>
    <w:p w14:paraId="4533BBE2" w14:textId="77777777" w:rsidR="00CF5DBD" w:rsidRPr="004410BC" w:rsidRDefault="009F64C5" w:rsidP="00236C76">
      <w:pPr>
        <w:pStyle w:val="Heading1"/>
        <w:spacing w:after="144"/>
        <w:ind w:left="0" w:right="3531" w:firstLine="0"/>
        <w:jc w:val="right"/>
        <w:rPr>
          <w:rFonts w:cs="Arial"/>
        </w:rPr>
      </w:pPr>
      <w:bookmarkStart w:id="363" w:name="_Toc12224"/>
      <w:bookmarkStart w:id="364" w:name="_Toc238290278"/>
      <w:bookmarkStart w:id="365" w:name="_Toc240724921"/>
      <w:r w:rsidRPr="004410BC">
        <w:rPr>
          <w:rFonts w:cs="Arial"/>
        </w:rPr>
        <w:t xml:space="preserve">Appendix 2: </w:t>
      </w:r>
      <w:bookmarkEnd w:id="363"/>
      <w:r w:rsidR="00CF5DBD" w:rsidRPr="004410BC">
        <w:rPr>
          <w:rFonts w:cs="Arial"/>
        </w:rPr>
        <w:t>Conducted searches</w:t>
      </w:r>
      <w:bookmarkEnd w:id="364"/>
      <w:bookmarkEnd w:id="365"/>
    </w:p>
    <w:p w14:paraId="757083B0" w14:textId="77777777" w:rsidR="00CF5DBD" w:rsidRPr="004410BC" w:rsidRDefault="00CF5DBD" w:rsidP="00236C76">
      <w:pPr>
        <w:rPr>
          <w:rFonts w:cs="Arial"/>
        </w:rPr>
      </w:pPr>
    </w:p>
    <w:tbl>
      <w:tblPr>
        <w:tblStyle w:val="TableGrid"/>
        <w:tblW w:w="0" w:type="auto"/>
        <w:tblLook w:val="04A0" w:firstRow="1" w:lastRow="0" w:firstColumn="1" w:lastColumn="0" w:noHBand="0" w:noVBand="1"/>
      </w:tblPr>
      <w:tblGrid>
        <w:gridCol w:w="1008"/>
        <w:gridCol w:w="1096"/>
        <w:gridCol w:w="1458"/>
        <w:gridCol w:w="1478"/>
        <w:gridCol w:w="1009"/>
        <w:gridCol w:w="1106"/>
        <w:gridCol w:w="852"/>
        <w:gridCol w:w="1009"/>
      </w:tblGrid>
      <w:tr w:rsidR="00FC7B33" w:rsidRPr="004410BC" w14:paraId="4F1D1095" w14:textId="77777777" w:rsidTr="00006094">
        <w:trPr>
          <w:trHeight w:val="1680"/>
        </w:trPr>
        <w:tc>
          <w:tcPr>
            <w:tcW w:w="1021" w:type="dxa"/>
            <w:hideMark/>
          </w:tcPr>
          <w:p w14:paraId="15842BDF" w14:textId="77777777" w:rsidR="00FC7B33" w:rsidRPr="004410BC" w:rsidRDefault="00FC7B33" w:rsidP="00236C76">
            <w:pPr>
              <w:rPr>
                <w:b/>
                <w:bCs/>
                <w:sz w:val="22"/>
                <w:szCs w:val="22"/>
              </w:rPr>
            </w:pPr>
            <w:r w:rsidRPr="004410BC">
              <w:rPr>
                <w:b/>
                <w:bCs/>
                <w:sz w:val="22"/>
                <w:szCs w:val="22"/>
              </w:rPr>
              <w:t>Date Searched</w:t>
            </w:r>
          </w:p>
        </w:tc>
        <w:tc>
          <w:tcPr>
            <w:tcW w:w="1131" w:type="dxa"/>
            <w:hideMark/>
          </w:tcPr>
          <w:p w14:paraId="0A93B8B2" w14:textId="77777777" w:rsidR="00FC7B33" w:rsidRPr="004410BC" w:rsidRDefault="00FC7B33" w:rsidP="00236C76">
            <w:pPr>
              <w:rPr>
                <w:b/>
                <w:bCs/>
                <w:sz w:val="22"/>
                <w:szCs w:val="22"/>
              </w:rPr>
            </w:pPr>
            <w:r w:rsidRPr="004410BC">
              <w:rPr>
                <w:b/>
                <w:bCs/>
                <w:sz w:val="22"/>
                <w:szCs w:val="22"/>
              </w:rPr>
              <w:t>Database Searched</w:t>
            </w:r>
          </w:p>
        </w:tc>
        <w:tc>
          <w:tcPr>
            <w:tcW w:w="1442" w:type="dxa"/>
            <w:hideMark/>
          </w:tcPr>
          <w:p w14:paraId="60213E5B" w14:textId="77777777" w:rsidR="00FC7B33" w:rsidRPr="004410BC" w:rsidRDefault="00FC7B33" w:rsidP="00236C76">
            <w:pPr>
              <w:rPr>
                <w:b/>
                <w:bCs/>
                <w:sz w:val="22"/>
                <w:szCs w:val="22"/>
              </w:rPr>
            </w:pPr>
            <w:r w:rsidRPr="004410BC">
              <w:rPr>
                <w:b/>
                <w:bCs/>
                <w:sz w:val="22"/>
                <w:szCs w:val="22"/>
              </w:rPr>
              <w:t>Combination of Keywords Used (Search String)</w:t>
            </w:r>
          </w:p>
        </w:tc>
        <w:tc>
          <w:tcPr>
            <w:tcW w:w="1608" w:type="dxa"/>
            <w:hideMark/>
          </w:tcPr>
          <w:p w14:paraId="76622403" w14:textId="77777777" w:rsidR="00FC7B33" w:rsidRPr="004410BC" w:rsidRDefault="00FC7B33" w:rsidP="00236C76">
            <w:pPr>
              <w:rPr>
                <w:b/>
                <w:bCs/>
                <w:sz w:val="22"/>
                <w:szCs w:val="22"/>
              </w:rPr>
            </w:pPr>
            <w:r w:rsidRPr="004410BC">
              <w:rPr>
                <w:b/>
                <w:bCs/>
                <w:sz w:val="22"/>
                <w:szCs w:val="22"/>
              </w:rPr>
              <w:t>Search Filters/Limiters</w:t>
            </w:r>
          </w:p>
        </w:tc>
        <w:tc>
          <w:tcPr>
            <w:tcW w:w="862" w:type="dxa"/>
            <w:hideMark/>
          </w:tcPr>
          <w:p w14:paraId="2E0C8A11" w14:textId="01DEF071" w:rsidR="00FC7B33" w:rsidRPr="004410BC" w:rsidRDefault="00FC7B33" w:rsidP="00236C76">
            <w:pPr>
              <w:rPr>
                <w:b/>
                <w:bCs/>
                <w:sz w:val="22"/>
                <w:szCs w:val="22"/>
              </w:rPr>
            </w:pPr>
            <w:r w:rsidRPr="004410BC">
              <w:rPr>
                <w:b/>
                <w:bCs/>
                <w:sz w:val="22"/>
                <w:szCs w:val="22"/>
              </w:rPr>
              <w:t>Total Number of Papers Found</w:t>
            </w:r>
            <w:r w:rsidR="001F5743" w:rsidRPr="004410BC">
              <w:rPr>
                <w:b/>
                <w:bCs/>
                <w:sz w:val="22"/>
                <w:szCs w:val="22"/>
              </w:rPr>
              <w:t xml:space="preserve"> after removing irrelevant papers</w:t>
            </w:r>
          </w:p>
        </w:tc>
        <w:tc>
          <w:tcPr>
            <w:tcW w:w="1143" w:type="dxa"/>
            <w:hideMark/>
          </w:tcPr>
          <w:p w14:paraId="32197522" w14:textId="77777777" w:rsidR="00FC7B33" w:rsidRPr="004410BC" w:rsidRDefault="00FC7B33" w:rsidP="00236C76">
            <w:pPr>
              <w:rPr>
                <w:b/>
                <w:bCs/>
                <w:sz w:val="22"/>
                <w:szCs w:val="22"/>
              </w:rPr>
            </w:pPr>
            <w:r w:rsidRPr="004410BC">
              <w:rPr>
                <w:b/>
                <w:bCs/>
                <w:sz w:val="22"/>
                <w:szCs w:val="22"/>
              </w:rPr>
              <w:t>Total of Duplicates Removed</w:t>
            </w:r>
          </w:p>
        </w:tc>
        <w:tc>
          <w:tcPr>
            <w:tcW w:w="825" w:type="dxa"/>
            <w:hideMark/>
          </w:tcPr>
          <w:p w14:paraId="15AF73B8" w14:textId="77777777" w:rsidR="00FC7B33" w:rsidRPr="004410BC" w:rsidRDefault="00FC7B33" w:rsidP="00236C76">
            <w:pPr>
              <w:rPr>
                <w:b/>
                <w:bCs/>
                <w:sz w:val="22"/>
                <w:szCs w:val="22"/>
              </w:rPr>
            </w:pPr>
            <w:r w:rsidRPr="004410BC">
              <w:rPr>
                <w:b/>
                <w:bCs/>
                <w:sz w:val="22"/>
                <w:szCs w:val="22"/>
              </w:rPr>
              <w:t>Total Results</w:t>
            </w:r>
          </w:p>
        </w:tc>
        <w:tc>
          <w:tcPr>
            <w:tcW w:w="1021" w:type="dxa"/>
            <w:hideMark/>
          </w:tcPr>
          <w:p w14:paraId="06F70F92" w14:textId="77777777" w:rsidR="00FC7B33" w:rsidRPr="004410BC" w:rsidRDefault="00FC7B33" w:rsidP="00236C76">
            <w:pPr>
              <w:rPr>
                <w:b/>
                <w:bCs/>
                <w:sz w:val="22"/>
                <w:szCs w:val="22"/>
              </w:rPr>
            </w:pPr>
            <w:r w:rsidRPr="004410BC">
              <w:rPr>
                <w:b/>
                <w:bCs/>
                <w:sz w:val="22"/>
                <w:szCs w:val="22"/>
              </w:rPr>
              <w:t>Removed to EndNote</w:t>
            </w:r>
          </w:p>
        </w:tc>
      </w:tr>
      <w:tr w:rsidR="00FC7B33" w:rsidRPr="004410BC" w14:paraId="5B6FE7D5" w14:textId="77777777" w:rsidTr="00006094">
        <w:trPr>
          <w:trHeight w:val="5250"/>
        </w:trPr>
        <w:tc>
          <w:tcPr>
            <w:tcW w:w="1021" w:type="dxa"/>
            <w:hideMark/>
          </w:tcPr>
          <w:p w14:paraId="2911F4FA" w14:textId="77777777" w:rsidR="00FC7B33" w:rsidRPr="004410BC" w:rsidRDefault="00FC7B33" w:rsidP="00236C76">
            <w:pPr>
              <w:rPr>
                <w:sz w:val="22"/>
                <w:szCs w:val="22"/>
              </w:rPr>
            </w:pPr>
            <w:r w:rsidRPr="004410BC">
              <w:rPr>
                <w:sz w:val="22"/>
                <w:szCs w:val="22"/>
              </w:rPr>
              <w:t>10-06-26</w:t>
            </w:r>
          </w:p>
        </w:tc>
        <w:tc>
          <w:tcPr>
            <w:tcW w:w="1131" w:type="dxa"/>
            <w:hideMark/>
          </w:tcPr>
          <w:p w14:paraId="30EFF449" w14:textId="77777777" w:rsidR="00FC7B33" w:rsidRPr="004410BC" w:rsidRDefault="00FC7B33" w:rsidP="00236C76">
            <w:pPr>
              <w:rPr>
                <w:sz w:val="22"/>
                <w:szCs w:val="22"/>
              </w:rPr>
            </w:pPr>
            <w:r w:rsidRPr="004410BC">
              <w:rPr>
                <w:sz w:val="22"/>
                <w:szCs w:val="22"/>
              </w:rPr>
              <w:t>PubMed</w:t>
            </w:r>
          </w:p>
        </w:tc>
        <w:tc>
          <w:tcPr>
            <w:tcW w:w="1442" w:type="dxa"/>
            <w:hideMark/>
          </w:tcPr>
          <w:p w14:paraId="007B69B8" w14:textId="77777777" w:rsidR="00FC7B33" w:rsidRPr="004410BC" w:rsidRDefault="00FC7B33" w:rsidP="00236C76">
            <w:pPr>
              <w:rPr>
                <w:sz w:val="22"/>
                <w:szCs w:val="22"/>
              </w:rPr>
            </w:pPr>
            <w:r w:rsidRPr="004410BC">
              <w:rPr>
                <w:sz w:val="22"/>
                <w:szCs w:val="22"/>
              </w:rPr>
              <w:t>("ethnic minority" OR BAME OR "racially minoritised") AND ("primary healthcare" OR "primary care" OR GP) AND (access OR barriers OR inequalities) AND UK</w:t>
            </w:r>
          </w:p>
        </w:tc>
        <w:tc>
          <w:tcPr>
            <w:tcW w:w="1608" w:type="dxa"/>
            <w:hideMark/>
          </w:tcPr>
          <w:p w14:paraId="1993591D" w14:textId="77777777" w:rsidR="00FC7B33" w:rsidRPr="004410BC" w:rsidRDefault="00FC7B33" w:rsidP="00236C76">
            <w:pPr>
              <w:rPr>
                <w:sz w:val="22"/>
                <w:szCs w:val="22"/>
              </w:rPr>
            </w:pPr>
            <w:r w:rsidRPr="004410BC">
              <w:rPr>
                <w:sz w:val="22"/>
                <w:szCs w:val="22"/>
              </w:rPr>
              <w:t>English; 2020–2026; Humans; Journal Articles</w:t>
            </w:r>
          </w:p>
        </w:tc>
        <w:tc>
          <w:tcPr>
            <w:tcW w:w="862" w:type="dxa"/>
            <w:hideMark/>
          </w:tcPr>
          <w:p w14:paraId="44CE79E3" w14:textId="0E2A33F6" w:rsidR="00FC7B33" w:rsidRPr="004410BC" w:rsidRDefault="00C5275F" w:rsidP="00236C76">
            <w:pPr>
              <w:rPr>
                <w:sz w:val="22"/>
                <w:szCs w:val="22"/>
              </w:rPr>
            </w:pPr>
            <w:r w:rsidRPr="004410BC">
              <w:rPr>
                <w:sz w:val="22"/>
                <w:szCs w:val="22"/>
              </w:rPr>
              <w:t>9</w:t>
            </w:r>
          </w:p>
        </w:tc>
        <w:tc>
          <w:tcPr>
            <w:tcW w:w="1143" w:type="dxa"/>
            <w:hideMark/>
          </w:tcPr>
          <w:p w14:paraId="4026E254" w14:textId="0879D18F" w:rsidR="00FC7B33" w:rsidRPr="004410BC" w:rsidRDefault="00C5275F" w:rsidP="00236C76">
            <w:pPr>
              <w:rPr>
                <w:sz w:val="22"/>
                <w:szCs w:val="22"/>
              </w:rPr>
            </w:pPr>
            <w:r w:rsidRPr="004410BC">
              <w:rPr>
                <w:sz w:val="22"/>
                <w:szCs w:val="22"/>
              </w:rPr>
              <w:t>5</w:t>
            </w:r>
          </w:p>
        </w:tc>
        <w:tc>
          <w:tcPr>
            <w:tcW w:w="825" w:type="dxa"/>
            <w:hideMark/>
          </w:tcPr>
          <w:p w14:paraId="2EC57F0B" w14:textId="77777777" w:rsidR="00FC7B33" w:rsidRPr="004410BC" w:rsidRDefault="00FC7B33" w:rsidP="00236C76">
            <w:pPr>
              <w:rPr>
                <w:b/>
                <w:bCs/>
                <w:sz w:val="22"/>
                <w:szCs w:val="22"/>
              </w:rPr>
            </w:pPr>
            <w:r w:rsidRPr="004410BC">
              <w:rPr>
                <w:b/>
                <w:bCs/>
                <w:sz w:val="22"/>
                <w:szCs w:val="22"/>
              </w:rPr>
              <w:t>4</w:t>
            </w:r>
          </w:p>
        </w:tc>
        <w:tc>
          <w:tcPr>
            <w:tcW w:w="1021" w:type="dxa"/>
            <w:hideMark/>
          </w:tcPr>
          <w:p w14:paraId="69A78A42" w14:textId="77777777" w:rsidR="00FC7B33" w:rsidRPr="004410BC" w:rsidRDefault="00FC7B33" w:rsidP="00236C76">
            <w:pPr>
              <w:rPr>
                <w:sz w:val="22"/>
                <w:szCs w:val="22"/>
              </w:rPr>
            </w:pPr>
            <w:r w:rsidRPr="004410BC">
              <w:rPr>
                <w:sz w:val="22"/>
                <w:szCs w:val="22"/>
              </w:rPr>
              <w:t> </w:t>
            </w:r>
          </w:p>
        </w:tc>
      </w:tr>
      <w:tr w:rsidR="00FC7B33" w:rsidRPr="004410BC" w14:paraId="413C2C99" w14:textId="77777777" w:rsidTr="00006094">
        <w:trPr>
          <w:trHeight w:val="4000"/>
        </w:trPr>
        <w:tc>
          <w:tcPr>
            <w:tcW w:w="1021" w:type="dxa"/>
            <w:hideMark/>
          </w:tcPr>
          <w:p w14:paraId="6F1DB8C2" w14:textId="77777777" w:rsidR="00FC7B33" w:rsidRPr="004410BC" w:rsidRDefault="00FC7B33" w:rsidP="00236C76">
            <w:pPr>
              <w:rPr>
                <w:sz w:val="22"/>
                <w:szCs w:val="22"/>
              </w:rPr>
            </w:pPr>
            <w:r w:rsidRPr="004410BC">
              <w:rPr>
                <w:sz w:val="22"/>
                <w:szCs w:val="22"/>
              </w:rPr>
              <w:t>11-06-26</w:t>
            </w:r>
          </w:p>
        </w:tc>
        <w:tc>
          <w:tcPr>
            <w:tcW w:w="1131" w:type="dxa"/>
            <w:hideMark/>
          </w:tcPr>
          <w:p w14:paraId="6245D745" w14:textId="77777777" w:rsidR="00FC7B33" w:rsidRPr="004410BC" w:rsidRDefault="00FC7B33" w:rsidP="00236C76">
            <w:pPr>
              <w:rPr>
                <w:sz w:val="22"/>
                <w:szCs w:val="22"/>
              </w:rPr>
            </w:pPr>
            <w:r w:rsidRPr="004410BC">
              <w:rPr>
                <w:sz w:val="22"/>
                <w:szCs w:val="22"/>
              </w:rPr>
              <w:t>MEDLINE</w:t>
            </w:r>
          </w:p>
        </w:tc>
        <w:tc>
          <w:tcPr>
            <w:tcW w:w="1442" w:type="dxa"/>
            <w:hideMark/>
          </w:tcPr>
          <w:p w14:paraId="2C606861" w14:textId="77777777" w:rsidR="00FC7B33" w:rsidRPr="004410BC" w:rsidRDefault="00FC7B33" w:rsidP="00236C76">
            <w:pPr>
              <w:rPr>
                <w:sz w:val="22"/>
                <w:szCs w:val="22"/>
              </w:rPr>
            </w:pPr>
            <w:r w:rsidRPr="004410BC">
              <w:rPr>
                <w:sz w:val="22"/>
                <w:szCs w:val="22"/>
              </w:rPr>
              <w:t>("ethnic minority*" OR "minority ethnic") AND ("primary healthcare") AND (access OR discrimination OR communication) AND UK</w:t>
            </w:r>
          </w:p>
        </w:tc>
        <w:tc>
          <w:tcPr>
            <w:tcW w:w="1608" w:type="dxa"/>
            <w:hideMark/>
          </w:tcPr>
          <w:p w14:paraId="099123D0" w14:textId="77777777" w:rsidR="00FC7B33" w:rsidRPr="004410BC" w:rsidRDefault="00FC7B33" w:rsidP="00236C76">
            <w:pPr>
              <w:rPr>
                <w:sz w:val="22"/>
                <w:szCs w:val="22"/>
              </w:rPr>
            </w:pPr>
            <w:r w:rsidRPr="004410BC">
              <w:rPr>
                <w:sz w:val="22"/>
                <w:szCs w:val="22"/>
              </w:rPr>
              <w:t>English; 2020–2026; Peer-reviewed</w:t>
            </w:r>
          </w:p>
        </w:tc>
        <w:tc>
          <w:tcPr>
            <w:tcW w:w="862" w:type="dxa"/>
            <w:hideMark/>
          </w:tcPr>
          <w:p w14:paraId="20179C7C" w14:textId="2CCD3A54" w:rsidR="00FC7B33" w:rsidRPr="004410BC" w:rsidRDefault="00C5275F" w:rsidP="00236C76">
            <w:pPr>
              <w:rPr>
                <w:sz w:val="22"/>
                <w:szCs w:val="22"/>
              </w:rPr>
            </w:pPr>
            <w:r w:rsidRPr="004410BC">
              <w:rPr>
                <w:sz w:val="22"/>
                <w:szCs w:val="22"/>
              </w:rPr>
              <w:t>7</w:t>
            </w:r>
          </w:p>
        </w:tc>
        <w:tc>
          <w:tcPr>
            <w:tcW w:w="1143" w:type="dxa"/>
            <w:hideMark/>
          </w:tcPr>
          <w:p w14:paraId="44DB042F" w14:textId="310F2D2E" w:rsidR="00FC7B33" w:rsidRPr="004410BC" w:rsidRDefault="00C5275F" w:rsidP="00236C76">
            <w:pPr>
              <w:rPr>
                <w:sz w:val="22"/>
                <w:szCs w:val="22"/>
              </w:rPr>
            </w:pPr>
            <w:r w:rsidRPr="004410BC">
              <w:rPr>
                <w:sz w:val="22"/>
                <w:szCs w:val="22"/>
              </w:rPr>
              <w:t>4</w:t>
            </w:r>
          </w:p>
        </w:tc>
        <w:tc>
          <w:tcPr>
            <w:tcW w:w="825" w:type="dxa"/>
            <w:hideMark/>
          </w:tcPr>
          <w:p w14:paraId="213C4F53" w14:textId="77777777" w:rsidR="00FC7B33" w:rsidRPr="004410BC" w:rsidRDefault="00FC7B33" w:rsidP="00236C76">
            <w:pPr>
              <w:rPr>
                <w:b/>
                <w:bCs/>
                <w:sz w:val="22"/>
                <w:szCs w:val="22"/>
              </w:rPr>
            </w:pPr>
            <w:r w:rsidRPr="004410BC">
              <w:rPr>
                <w:b/>
                <w:bCs/>
                <w:sz w:val="22"/>
                <w:szCs w:val="22"/>
              </w:rPr>
              <w:t>3</w:t>
            </w:r>
          </w:p>
        </w:tc>
        <w:tc>
          <w:tcPr>
            <w:tcW w:w="1021" w:type="dxa"/>
            <w:hideMark/>
          </w:tcPr>
          <w:p w14:paraId="21BBEB3C" w14:textId="77777777" w:rsidR="00FC7B33" w:rsidRPr="004410BC" w:rsidRDefault="00FC7B33" w:rsidP="00236C76">
            <w:pPr>
              <w:rPr>
                <w:sz w:val="22"/>
                <w:szCs w:val="22"/>
              </w:rPr>
            </w:pPr>
            <w:r w:rsidRPr="004410BC">
              <w:rPr>
                <w:sz w:val="22"/>
                <w:szCs w:val="22"/>
              </w:rPr>
              <w:t> </w:t>
            </w:r>
          </w:p>
        </w:tc>
      </w:tr>
      <w:tr w:rsidR="00FC7B33" w:rsidRPr="004410BC" w14:paraId="2229C2A3" w14:textId="77777777" w:rsidTr="00006094">
        <w:trPr>
          <w:trHeight w:val="4000"/>
        </w:trPr>
        <w:tc>
          <w:tcPr>
            <w:tcW w:w="1021" w:type="dxa"/>
            <w:hideMark/>
          </w:tcPr>
          <w:p w14:paraId="3C87AE38" w14:textId="77777777" w:rsidR="00FC7B33" w:rsidRPr="004410BC" w:rsidRDefault="00FC7B33" w:rsidP="00236C76">
            <w:pPr>
              <w:rPr>
                <w:sz w:val="22"/>
                <w:szCs w:val="22"/>
              </w:rPr>
            </w:pPr>
            <w:r w:rsidRPr="004410BC">
              <w:rPr>
                <w:sz w:val="22"/>
                <w:szCs w:val="22"/>
              </w:rPr>
              <w:t>12-06-26</w:t>
            </w:r>
          </w:p>
        </w:tc>
        <w:tc>
          <w:tcPr>
            <w:tcW w:w="1131" w:type="dxa"/>
            <w:hideMark/>
          </w:tcPr>
          <w:p w14:paraId="3C335C82" w14:textId="77777777" w:rsidR="00FC7B33" w:rsidRPr="004410BC" w:rsidRDefault="00FC7B33" w:rsidP="00236C76">
            <w:pPr>
              <w:rPr>
                <w:sz w:val="22"/>
                <w:szCs w:val="22"/>
              </w:rPr>
            </w:pPr>
            <w:r w:rsidRPr="004410BC">
              <w:rPr>
                <w:sz w:val="22"/>
                <w:szCs w:val="22"/>
              </w:rPr>
              <w:t>CINAHL</w:t>
            </w:r>
          </w:p>
        </w:tc>
        <w:tc>
          <w:tcPr>
            <w:tcW w:w="1442" w:type="dxa"/>
            <w:hideMark/>
          </w:tcPr>
          <w:p w14:paraId="1970A99E" w14:textId="77777777" w:rsidR="00FC7B33" w:rsidRPr="004410BC" w:rsidRDefault="00FC7B33" w:rsidP="00236C76">
            <w:pPr>
              <w:rPr>
                <w:sz w:val="22"/>
                <w:szCs w:val="22"/>
              </w:rPr>
            </w:pPr>
            <w:r w:rsidRPr="004410BC">
              <w:rPr>
                <w:sz w:val="22"/>
                <w:szCs w:val="22"/>
              </w:rPr>
              <w:t>("ethnic minority" OR BAME) AND ("primary care") AND (language OR culture OR "digital exclusion" OR barriers)</w:t>
            </w:r>
          </w:p>
        </w:tc>
        <w:tc>
          <w:tcPr>
            <w:tcW w:w="1608" w:type="dxa"/>
            <w:hideMark/>
          </w:tcPr>
          <w:p w14:paraId="1227C354" w14:textId="77777777" w:rsidR="00FC7B33" w:rsidRPr="004410BC" w:rsidRDefault="00FC7B33" w:rsidP="00236C76">
            <w:pPr>
              <w:rPr>
                <w:sz w:val="22"/>
                <w:szCs w:val="22"/>
              </w:rPr>
            </w:pPr>
            <w:r w:rsidRPr="004410BC">
              <w:rPr>
                <w:sz w:val="22"/>
                <w:szCs w:val="22"/>
              </w:rPr>
              <w:t>English; 2020–2026; Academic Journals</w:t>
            </w:r>
          </w:p>
        </w:tc>
        <w:tc>
          <w:tcPr>
            <w:tcW w:w="862" w:type="dxa"/>
            <w:hideMark/>
          </w:tcPr>
          <w:p w14:paraId="1A7D3872" w14:textId="4C8ECABA" w:rsidR="00FC7B33" w:rsidRPr="004410BC" w:rsidRDefault="00CD2BA1" w:rsidP="00236C76">
            <w:pPr>
              <w:rPr>
                <w:sz w:val="22"/>
                <w:szCs w:val="22"/>
              </w:rPr>
            </w:pPr>
            <w:r w:rsidRPr="004410BC">
              <w:rPr>
                <w:sz w:val="22"/>
                <w:szCs w:val="22"/>
              </w:rPr>
              <w:t>5</w:t>
            </w:r>
          </w:p>
        </w:tc>
        <w:tc>
          <w:tcPr>
            <w:tcW w:w="1143" w:type="dxa"/>
            <w:hideMark/>
          </w:tcPr>
          <w:p w14:paraId="50EB3977" w14:textId="6A006F97" w:rsidR="00FC7B33" w:rsidRPr="004410BC" w:rsidRDefault="00CD2BA1" w:rsidP="00236C76">
            <w:pPr>
              <w:rPr>
                <w:sz w:val="22"/>
                <w:szCs w:val="22"/>
              </w:rPr>
            </w:pPr>
            <w:r w:rsidRPr="004410BC">
              <w:rPr>
                <w:sz w:val="22"/>
                <w:szCs w:val="22"/>
              </w:rPr>
              <w:t>3</w:t>
            </w:r>
          </w:p>
        </w:tc>
        <w:tc>
          <w:tcPr>
            <w:tcW w:w="825" w:type="dxa"/>
            <w:hideMark/>
          </w:tcPr>
          <w:p w14:paraId="6B087214" w14:textId="77777777" w:rsidR="00FC7B33" w:rsidRPr="004410BC" w:rsidRDefault="00FC7B33" w:rsidP="00236C76">
            <w:pPr>
              <w:rPr>
                <w:b/>
                <w:bCs/>
                <w:sz w:val="22"/>
                <w:szCs w:val="22"/>
              </w:rPr>
            </w:pPr>
            <w:r w:rsidRPr="004410BC">
              <w:rPr>
                <w:b/>
                <w:bCs/>
                <w:sz w:val="22"/>
                <w:szCs w:val="22"/>
              </w:rPr>
              <w:t>2</w:t>
            </w:r>
          </w:p>
        </w:tc>
        <w:tc>
          <w:tcPr>
            <w:tcW w:w="1021" w:type="dxa"/>
            <w:hideMark/>
          </w:tcPr>
          <w:p w14:paraId="3E0D6007" w14:textId="77777777" w:rsidR="00FC7B33" w:rsidRPr="004410BC" w:rsidRDefault="00FC7B33" w:rsidP="00236C76">
            <w:pPr>
              <w:rPr>
                <w:sz w:val="22"/>
                <w:szCs w:val="22"/>
              </w:rPr>
            </w:pPr>
            <w:r w:rsidRPr="004410BC">
              <w:rPr>
                <w:sz w:val="22"/>
                <w:szCs w:val="22"/>
              </w:rPr>
              <w:t> </w:t>
            </w:r>
          </w:p>
        </w:tc>
      </w:tr>
      <w:tr w:rsidR="00FC7B33" w:rsidRPr="004410BC" w14:paraId="4B1672C2" w14:textId="77777777" w:rsidTr="00006094">
        <w:trPr>
          <w:trHeight w:val="3250"/>
        </w:trPr>
        <w:tc>
          <w:tcPr>
            <w:tcW w:w="1021" w:type="dxa"/>
            <w:hideMark/>
          </w:tcPr>
          <w:p w14:paraId="371CB5BE" w14:textId="77777777" w:rsidR="00FC7B33" w:rsidRPr="004410BC" w:rsidRDefault="00FC7B33" w:rsidP="00236C76">
            <w:pPr>
              <w:rPr>
                <w:sz w:val="22"/>
                <w:szCs w:val="22"/>
              </w:rPr>
            </w:pPr>
            <w:r w:rsidRPr="004410BC">
              <w:rPr>
                <w:sz w:val="22"/>
                <w:szCs w:val="22"/>
              </w:rPr>
              <w:t>13-06-26</w:t>
            </w:r>
          </w:p>
        </w:tc>
        <w:tc>
          <w:tcPr>
            <w:tcW w:w="1131" w:type="dxa"/>
            <w:hideMark/>
          </w:tcPr>
          <w:p w14:paraId="6374FB49" w14:textId="77777777" w:rsidR="00FC7B33" w:rsidRPr="004410BC" w:rsidRDefault="00FC7B33" w:rsidP="00236C76">
            <w:pPr>
              <w:rPr>
                <w:sz w:val="22"/>
                <w:szCs w:val="22"/>
              </w:rPr>
            </w:pPr>
            <w:r w:rsidRPr="004410BC">
              <w:rPr>
                <w:sz w:val="22"/>
                <w:szCs w:val="22"/>
              </w:rPr>
              <w:t>EMBASE</w:t>
            </w:r>
          </w:p>
        </w:tc>
        <w:tc>
          <w:tcPr>
            <w:tcW w:w="1442" w:type="dxa"/>
            <w:hideMark/>
          </w:tcPr>
          <w:p w14:paraId="19D90161" w14:textId="77777777" w:rsidR="00FC7B33" w:rsidRPr="004410BC" w:rsidRDefault="00FC7B33" w:rsidP="00236C76">
            <w:pPr>
              <w:rPr>
                <w:sz w:val="22"/>
                <w:szCs w:val="22"/>
              </w:rPr>
            </w:pPr>
            <w:r w:rsidRPr="004410BC">
              <w:rPr>
                <w:sz w:val="22"/>
                <w:szCs w:val="22"/>
              </w:rPr>
              <w:t>("primary healthcare" AND "ethnic minority") AND (health inequalities OR accessibility OR discrimination)</w:t>
            </w:r>
          </w:p>
        </w:tc>
        <w:tc>
          <w:tcPr>
            <w:tcW w:w="1608" w:type="dxa"/>
            <w:hideMark/>
          </w:tcPr>
          <w:p w14:paraId="3516A242" w14:textId="77777777" w:rsidR="00FC7B33" w:rsidRPr="004410BC" w:rsidRDefault="00FC7B33" w:rsidP="00236C76">
            <w:pPr>
              <w:rPr>
                <w:sz w:val="22"/>
                <w:szCs w:val="22"/>
              </w:rPr>
            </w:pPr>
            <w:r w:rsidRPr="004410BC">
              <w:rPr>
                <w:sz w:val="22"/>
                <w:szCs w:val="22"/>
              </w:rPr>
              <w:t>English; 2020–2026; Human Studies</w:t>
            </w:r>
          </w:p>
        </w:tc>
        <w:tc>
          <w:tcPr>
            <w:tcW w:w="862" w:type="dxa"/>
            <w:hideMark/>
          </w:tcPr>
          <w:p w14:paraId="405B8469" w14:textId="1A9A8E39" w:rsidR="00FC7B33" w:rsidRPr="004410BC" w:rsidRDefault="006F7703" w:rsidP="00236C76">
            <w:pPr>
              <w:rPr>
                <w:sz w:val="22"/>
                <w:szCs w:val="22"/>
              </w:rPr>
            </w:pPr>
            <w:r w:rsidRPr="004410BC">
              <w:rPr>
                <w:sz w:val="22"/>
                <w:szCs w:val="22"/>
              </w:rPr>
              <w:t>6</w:t>
            </w:r>
          </w:p>
        </w:tc>
        <w:tc>
          <w:tcPr>
            <w:tcW w:w="1143" w:type="dxa"/>
            <w:hideMark/>
          </w:tcPr>
          <w:p w14:paraId="11F38019" w14:textId="65683BF5" w:rsidR="00FC7B33" w:rsidRPr="004410BC" w:rsidRDefault="006F7703" w:rsidP="00236C76">
            <w:pPr>
              <w:rPr>
                <w:sz w:val="22"/>
                <w:szCs w:val="22"/>
              </w:rPr>
            </w:pPr>
            <w:r w:rsidRPr="004410BC">
              <w:rPr>
                <w:sz w:val="22"/>
                <w:szCs w:val="22"/>
              </w:rPr>
              <w:t>4</w:t>
            </w:r>
          </w:p>
        </w:tc>
        <w:tc>
          <w:tcPr>
            <w:tcW w:w="825" w:type="dxa"/>
            <w:hideMark/>
          </w:tcPr>
          <w:p w14:paraId="4585EB4A" w14:textId="77777777" w:rsidR="00FC7B33" w:rsidRPr="004410BC" w:rsidRDefault="00FC7B33" w:rsidP="00236C76">
            <w:pPr>
              <w:rPr>
                <w:b/>
                <w:bCs/>
                <w:sz w:val="22"/>
                <w:szCs w:val="22"/>
              </w:rPr>
            </w:pPr>
            <w:r w:rsidRPr="004410BC">
              <w:rPr>
                <w:b/>
                <w:bCs/>
                <w:sz w:val="22"/>
                <w:szCs w:val="22"/>
              </w:rPr>
              <w:t>2</w:t>
            </w:r>
          </w:p>
        </w:tc>
        <w:tc>
          <w:tcPr>
            <w:tcW w:w="1021" w:type="dxa"/>
            <w:hideMark/>
          </w:tcPr>
          <w:p w14:paraId="3DA0562B" w14:textId="77777777" w:rsidR="00FC7B33" w:rsidRPr="004410BC" w:rsidRDefault="00FC7B33" w:rsidP="00236C76">
            <w:pPr>
              <w:rPr>
                <w:sz w:val="22"/>
                <w:szCs w:val="22"/>
              </w:rPr>
            </w:pPr>
            <w:r w:rsidRPr="004410BC">
              <w:rPr>
                <w:sz w:val="22"/>
                <w:szCs w:val="22"/>
              </w:rPr>
              <w:t> </w:t>
            </w:r>
          </w:p>
        </w:tc>
      </w:tr>
      <w:tr w:rsidR="00FC7B33" w:rsidRPr="004410BC" w14:paraId="0F287F3F" w14:textId="77777777" w:rsidTr="00006094">
        <w:trPr>
          <w:trHeight w:val="3500"/>
        </w:trPr>
        <w:tc>
          <w:tcPr>
            <w:tcW w:w="1021" w:type="dxa"/>
            <w:hideMark/>
          </w:tcPr>
          <w:p w14:paraId="373D4CBA" w14:textId="77777777" w:rsidR="00FC7B33" w:rsidRPr="004410BC" w:rsidRDefault="00FC7B33" w:rsidP="00236C76">
            <w:pPr>
              <w:rPr>
                <w:sz w:val="22"/>
                <w:szCs w:val="22"/>
              </w:rPr>
            </w:pPr>
            <w:r w:rsidRPr="004410BC">
              <w:rPr>
                <w:sz w:val="22"/>
                <w:szCs w:val="22"/>
              </w:rPr>
              <w:t>14-06-26</w:t>
            </w:r>
          </w:p>
        </w:tc>
        <w:tc>
          <w:tcPr>
            <w:tcW w:w="1131" w:type="dxa"/>
            <w:hideMark/>
          </w:tcPr>
          <w:p w14:paraId="45B543A7" w14:textId="77777777" w:rsidR="00FC7B33" w:rsidRPr="004410BC" w:rsidRDefault="00FC7B33" w:rsidP="00236C76">
            <w:pPr>
              <w:rPr>
                <w:sz w:val="22"/>
                <w:szCs w:val="22"/>
              </w:rPr>
            </w:pPr>
            <w:r w:rsidRPr="004410BC">
              <w:rPr>
                <w:sz w:val="22"/>
                <w:szCs w:val="22"/>
              </w:rPr>
              <w:t>Web of Science</w:t>
            </w:r>
          </w:p>
        </w:tc>
        <w:tc>
          <w:tcPr>
            <w:tcW w:w="1442" w:type="dxa"/>
            <w:hideMark/>
          </w:tcPr>
          <w:p w14:paraId="55F12D77" w14:textId="77777777" w:rsidR="00FC7B33" w:rsidRPr="004410BC" w:rsidRDefault="00FC7B33" w:rsidP="00236C76">
            <w:pPr>
              <w:rPr>
                <w:sz w:val="22"/>
                <w:szCs w:val="22"/>
              </w:rPr>
            </w:pPr>
            <w:r w:rsidRPr="004410BC">
              <w:rPr>
                <w:sz w:val="22"/>
                <w:szCs w:val="22"/>
              </w:rPr>
              <w:t>TS=("ethnic minority*" AND "primary healthcare" AND (barriers OR access OR inequalities) AND UK)</w:t>
            </w:r>
          </w:p>
        </w:tc>
        <w:tc>
          <w:tcPr>
            <w:tcW w:w="1608" w:type="dxa"/>
            <w:hideMark/>
          </w:tcPr>
          <w:p w14:paraId="206A193B" w14:textId="77777777" w:rsidR="00FC7B33" w:rsidRPr="004410BC" w:rsidRDefault="00FC7B33" w:rsidP="00236C76">
            <w:pPr>
              <w:rPr>
                <w:sz w:val="22"/>
                <w:szCs w:val="22"/>
              </w:rPr>
            </w:pPr>
            <w:r w:rsidRPr="004410BC">
              <w:rPr>
                <w:sz w:val="22"/>
                <w:szCs w:val="22"/>
              </w:rPr>
              <w:t>English; 2020–2026; Articles</w:t>
            </w:r>
          </w:p>
        </w:tc>
        <w:tc>
          <w:tcPr>
            <w:tcW w:w="862" w:type="dxa"/>
            <w:hideMark/>
          </w:tcPr>
          <w:p w14:paraId="2156AE99" w14:textId="400F0A08" w:rsidR="00FC7B33" w:rsidRPr="004410BC" w:rsidRDefault="006F7703" w:rsidP="00236C76">
            <w:pPr>
              <w:rPr>
                <w:sz w:val="22"/>
                <w:szCs w:val="22"/>
              </w:rPr>
            </w:pPr>
            <w:r w:rsidRPr="004410BC">
              <w:rPr>
                <w:sz w:val="22"/>
                <w:szCs w:val="22"/>
              </w:rPr>
              <w:t>4</w:t>
            </w:r>
          </w:p>
        </w:tc>
        <w:tc>
          <w:tcPr>
            <w:tcW w:w="1143" w:type="dxa"/>
            <w:hideMark/>
          </w:tcPr>
          <w:p w14:paraId="1574E5F9" w14:textId="0DB26CC3" w:rsidR="00FC7B33" w:rsidRPr="004410BC" w:rsidRDefault="006F7703" w:rsidP="00236C76">
            <w:pPr>
              <w:rPr>
                <w:sz w:val="22"/>
                <w:szCs w:val="22"/>
              </w:rPr>
            </w:pPr>
            <w:r w:rsidRPr="004410BC">
              <w:rPr>
                <w:sz w:val="22"/>
                <w:szCs w:val="22"/>
              </w:rPr>
              <w:t>3</w:t>
            </w:r>
          </w:p>
        </w:tc>
        <w:tc>
          <w:tcPr>
            <w:tcW w:w="825" w:type="dxa"/>
            <w:hideMark/>
          </w:tcPr>
          <w:p w14:paraId="40A73263" w14:textId="77777777" w:rsidR="00FC7B33" w:rsidRPr="004410BC" w:rsidRDefault="00FC7B33" w:rsidP="00236C76">
            <w:pPr>
              <w:rPr>
                <w:b/>
                <w:bCs/>
                <w:sz w:val="22"/>
                <w:szCs w:val="22"/>
              </w:rPr>
            </w:pPr>
            <w:r w:rsidRPr="004410BC">
              <w:rPr>
                <w:b/>
                <w:bCs/>
                <w:sz w:val="22"/>
                <w:szCs w:val="22"/>
              </w:rPr>
              <w:t>1</w:t>
            </w:r>
          </w:p>
        </w:tc>
        <w:tc>
          <w:tcPr>
            <w:tcW w:w="1021" w:type="dxa"/>
            <w:hideMark/>
          </w:tcPr>
          <w:p w14:paraId="6944CAE4" w14:textId="77777777" w:rsidR="00FC7B33" w:rsidRPr="004410BC" w:rsidRDefault="00FC7B33" w:rsidP="00236C76">
            <w:pPr>
              <w:rPr>
                <w:sz w:val="22"/>
                <w:szCs w:val="22"/>
              </w:rPr>
            </w:pPr>
            <w:r w:rsidRPr="004410BC">
              <w:rPr>
                <w:sz w:val="22"/>
                <w:szCs w:val="22"/>
              </w:rPr>
              <w:t> </w:t>
            </w:r>
          </w:p>
        </w:tc>
      </w:tr>
      <w:tr w:rsidR="00FC7B33" w:rsidRPr="004410BC" w14:paraId="069D9A97" w14:textId="77777777" w:rsidTr="00006094">
        <w:trPr>
          <w:trHeight w:val="1250"/>
        </w:trPr>
        <w:tc>
          <w:tcPr>
            <w:tcW w:w="1021" w:type="dxa"/>
            <w:hideMark/>
          </w:tcPr>
          <w:p w14:paraId="1FA65560" w14:textId="77777777" w:rsidR="00FC7B33" w:rsidRPr="004410BC" w:rsidRDefault="00FC7B33" w:rsidP="00236C76">
            <w:pPr>
              <w:rPr>
                <w:sz w:val="22"/>
                <w:szCs w:val="22"/>
              </w:rPr>
            </w:pPr>
            <w:r w:rsidRPr="004410BC">
              <w:rPr>
                <w:sz w:val="22"/>
                <w:szCs w:val="22"/>
              </w:rPr>
              <w:t>15-06-26</w:t>
            </w:r>
          </w:p>
        </w:tc>
        <w:tc>
          <w:tcPr>
            <w:tcW w:w="1131" w:type="dxa"/>
            <w:hideMark/>
          </w:tcPr>
          <w:p w14:paraId="4B261446" w14:textId="77777777" w:rsidR="00FC7B33" w:rsidRPr="004410BC" w:rsidRDefault="00FC7B33" w:rsidP="00236C76">
            <w:pPr>
              <w:rPr>
                <w:sz w:val="22"/>
                <w:szCs w:val="22"/>
              </w:rPr>
            </w:pPr>
            <w:r w:rsidRPr="004410BC">
              <w:rPr>
                <w:sz w:val="22"/>
                <w:szCs w:val="22"/>
              </w:rPr>
              <w:t>Cochrane Library</w:t>
            </w:r>
          </w:p>
        </w:tc>
        <w:tc>
          <w:tcPr>
            <w:tcW w:w="1442" w:type="dxa"/>
            <w:hideMark/>
          </w:tcPr>
          <w:p w14:paraId="0EE49773" w14:textId="77777777" w:rsidR="00FC7B33" w:rsidRPr="004410BC" w:rsidRDefault="00FC7B33" w:rsidP="00236C76">
            <w:pPr>
              <w:rPr>
                <w:sz w:val="22"/>
                <w:szCs w:val="22"/>
              </w:rPr>
            </w:pPr>
            <w:r w:rsidRPr="004410BC">
              <w:rPr>
                <w:sz w:val="22"/>
                <w:szCs w:val="22"/>
              </w:rPr>
              <w:t>("ethnic minority" AND "primary care")</w:t>
            </w:r>
          </w:p>
        </w:tc>
        <w:tc>
          <w:tcPr>
            <w:tcW w:w="1608" w:type="dxa"/>
            <w:hideMark/>
          </w:tcPr>
          <w:p w14:paraId="7292DE55" w14:textId="77777777" w:rsidR="00FC7B33" w:rsidRPr="004410BC" w:rsidRDefault="00FC7B33" w:rsidP="00236C76">
            <w:pPr>
              <w:rPr>
                <w:sz w:val="22"/>
                <w:szCs w:val="22"/>
              </w:rPr>
            </w:pPr>
            <w:r w:rsidRPr="004410BC">
              <w:rPr>
                <w:sz w:val="22"/>
                <w:szCs w:val="22"/>
              </w:rPr>
              <w:t>English; 2020–2026</w:t>
            </w:r>
          </w:p>
        </w:tc>
        <w:tc>
          <w:tcPr>
            <w:tcW w:w="862" w:type="dxa"/>
            <w:hideMark/>
          </w:tcPr>
          <w:p w14:paraId="07684EA1" w14:textId="77777777" w:rsidR="00FC7B33" w:rsidRPr="004410BC" w:rsidRDefault="00FC7B33" w:rsidP="00236C76">
            <w:pPr>
              <w:rPr>
                <w:sz w:val="22"/>
                <w:szCs w:val="22"/>
              </w:rPr>
            </w:pPr>
            <w:r w:rsidRPr="004410BC">
              <w:rPr>
                <w:sz w:val="22"/>
                <w:szCs w:val="22"/>
              </w:rPr>
              <w:t>3</w:t>
            </w:r>
          </w:p>
        </w:tc>
        <w:tc>
          <w:tcPr>
            <w:tcW w:w="1143" w:type="dxa"/>
            <w:hideMark/>
          </w:tcPr>
          <w:p w14:paraId="479D31C2" w14:textId="77777777" w:rsidR="00FC7B33" w:rsidRPr="004410BC" w:rsidRDefault="00FC7B33" w:rsidP="00236C76">
            <w:pPr>
              <w:rPr>
                <w:sz w:val="22"/>
                <w:szCs w:val="22"/>
              </w:rPr>
            </w:pPr>
            <w:r w:rsidRPr="004410BC">
              <w:rPr>
                <w:sz w:val="22"/>
                <w:szCs w:val="22"/>
              </w:rPr>
              <w:t>2</w:t>
            </w:r>
          </w:p>
        </w:tc>
        <w:tc>
          <w:tcPr>
            <w:tcW w:w="825" w:type="dxa"/>
            <w:hideMark/>
          </w:tcPr>
          <w:p w14:paraId="748AACF3" w14:textId="77777777" w:rsidR="00FC7B33" w:rsidRPr="004410BC" w:rsidRDefault="00FC7B33" w:rsidP="00236C76">
            <w:pPr>
              <w:rPr>
                <w:b/>
                <w:bCs/>
                <w:sz w:val="22"/>
                <w:szCs w:val="22"/>
              </w:rPr>
            </w:pPr>
            <w:r w:rsidRPr="004410BC">
              <w:rPr>
                <w:b/>
                <w:bCs/>
                <w:sz w:val="22"/>
                <w:szCs w:val="22"/>
              </w:rPr>
              <w:t>1</w:t>
            </w:r>
          </w:p>
        </w:tc>
        <w:tc>
          <w:tcPr>
            <w:tcW w:w="1021" w:type="dxa"/>
            <w:hideMark/>
          </w:tcPr>
          <w:p w14:paraId="0719DF71" w14:textId="77777777" w:rsidR="00FC7B33" w:rsidRPr="004410BC" w:rsidRDefault="00FC7B33" w:rsidP="00236C76">
            <w:pPr>
              <w:rPr>
                <w:sz w:val="22"/>
                <w:szCs w:val="22"/>
              </w:rPr>
            </w:pPr>
            <w:r w:rsidRPr="004410BC">
              <w:rPr>
                <w:sz w:val="22"/>
                <w:szCs w:val="22"/>
              </w:rPr>
              <w:t> </w:t>
            </w:r>
          </w:p>
        </w:tc>
      </w:tr>
      <w:tr w:rsidR="00FC7B33" w:rsidRPr="004410BC" w14:paraId="59AEA135" w14:textId="77777777" w:rsidTr="00006094">
        <w:trPr>
          <w:trHeight w:val="2250"/>
        </w:trPr>
        <w:tc>
          <w:tcPr>
            <w:tcW w:w="1021" w:type="dxa"/>
            <w:hideMark/>
          </w:tcPr>
          <w:p w14:paraId="67405098" w14:textId="77777777" w:rsidR="00FC7B33" w:rsidRPr="004410BC" w:rsidRDefault="00FC7B33" w:rsidP="00236C76">
            <w:pPr>
              <w:rPr>
                <w:sz w:val="22"/>
                <w:szCs w:val="22"/>
              </w:rPr>
            </w:pPr>
            <w:r w:rsidRPr="004410BC">
              <w:rPr>
                <w:sz w:val="22"/>
                <w:szCs w:val="22"/>
              </w:rPr>
              <w:t>01-07-26</w:t>
            </w:r>
          </w:p>
        </w:tc>
        <w:tc>
          <w:tcPr>
            <w:tcW w:w="1131" w:type="dxa"/>
            <w:hideMark/>
          </w:tcPr>
          <w:p w14:paraId="2960CAD6" w14:textId="77777777" w:rsidR="00FC7B33" w:rsidRPr="004410BC" w:rsidRDefault="00FC7B33" w:rsidP="00236C76">
            <w:pPr>
              <w:rPr>
                <w:sz w:val="22"/>
                <w:szCs w:val="22"/>
              </w:rPr>
            </w:pPr>
            <w:r w:rsidRPr="004410BC">
              <w:rPr>
                <w:sz w:val="22"/>
                <w:szCs w:val="22"/>
              </w:rPr>
              <w:t>Google Scholar</w:t>
            </w:r>
          </w:p>
        </w:tc>
        <w:tc>
          <w:tcPr>
            <w:tcW w:w="1442" w:type="dxa"/>
            <w:hideMark/>
          </w:tcPr>
          <w:p w14:paraId="015231A3" w14:textId="77777777" w:rsidR="00FC7B33" w:rsidRPr="004410BC" w:rsidRDefault="00FC7B33" w:rsidP="00236C76">
            <w:pPr>
              <w:rPr>
                <w:sz w:val="22"/>
                <w:szCs w:val="22"/>
              </w:rPr>
            </w:pPr>
            <w:r w:rsidRPr="004410BC">
              <w:rPr>
                <w:sz w:val="22"/>
                <w:szCs w:val="22"/>
              </w:rPr>
              <w:t>"ethnic minority" "primary healthcare" UK barriers access inequalities</w:t>
            </w:r>
          </w:p>
        </w:tc>
        <w:tc>
          <w:tcPr>
            <w:tcW w:w="1608" w:type="dxa"/>
            <w:hideMark/>
          </w:tcPr>
          <w:p w14:paraId="4946EF0A" w14:textId="77777777" w:rsidR="00FC7B33" w:rsidRPr="004410BC" w:rsidRDefault="00FC7B33" w:rsidP="00236C76">
            <w:pPr>
              <w:rPr>
                <w:sz w:val="22"/>
                <w:szCs w:val="22"/>
              </w:rPr>
            </w:pPr>
            <w:r w:rsidRPr="004410BC">
              <w:rPr>
                <w:sz w:val="22"/>
                <w:szCs w:val="22"/>
              </w:rPr>
              <w:t>English; 2020–2026; First 200 results screened</w:t>
            </w:r>
          </w:p>
        </w:tc>
        <w:tc>
          <w:tcPr>
            <w:tcW w:w="862" w:type="dxa"/>
            <w:hideMark/>
          </w:tcPr>
          <w:p w14:paraId="414D2EA5" w14:textId="28B1C27C" w:rsidR="00FC7B33" w:rsidRPr="004410BC" w:rsidRDefault="004D54CF" w:rsidP="00236C76">
            <w:pPr>
              <w:rPr>
                <w:sz w:val="22"/>
                <w:szCs w:val="22"/>
              </w:rPr>
            </w:pPr>
            <w:r w:rsidRPr="004410BC">
              <w:rPr>
                <w:sz w:val="22"/>
                <w:szCs w:val="22"/>
              </w:rPr>
              <w:t>4</w:t>
            </w:r>
          </w:p>
        </w:tc>
        <w:tc>
          <w:tcPr>
            <w:tcW w:w="1143" w:type="dxa"/>
            <w:hideMark/>
          </w:tcPr>
          <w:p w14:paraId="49035758" w14:textId="516152F0" w:rsidR="00FC7B33" w:rsidRPr="004410BC" w:rsidRDefault="004D54CF" w:rsidP="00236C76">
            <w:pPr>
              <w:rPr>
                <w:sz w:val="22"/>
                <w:szCs w:val="22"/>
              </w:rPr>
            </w:pPr>
            <w:r w:rsidRPr="004410BC">
              <w:rPr>
                <w:sz w:val="22"/>
                <w:szCs w:val="22"/>
              </w:rPr>
              <w:t>3</w:t>
            </w:r>
          </w:p>
        </w:tc>
        <w:tc>
          <w:tcPr>
            <w:tcW w:w="825" w:type="dxa"/>
            <w:hideMark/>
          </w:tcPr>
          <w:p w14:paraId="203A97EC" w14:textId="77777777" w:rsidR="00FC7B33" w:rsidRPr="004410BC" w:rsidRDefault="00FC7B33" w:rsidP="00236C76">
            <w:pPr>
              <w:rPr>
                <w:b/>
                <w:bCs/>
                <w:sz w:val="22"/>
                <w:szCs w:val="22"/>
              </w:rPr>
            </w:pPr>
            <w:r w:rsidRPr="004410BC">
              <w:rPr>
                <w:b/>
                <w:bCs/>
                <w:sz w:val="22"/>
                <w:szCs w:val="22"/>
              </w:rPr>
              <w:t>1</w:t>
            </w:r>
          </w:p>
        </w:tc>
        <w:tc>
          <w:tcPr>
            <w:tcW w:w="1021" w:type="dxa"/>
            <w:hideMark/>
          </w:tcPr>
          <w:p w14:paraId="02E3011F" w14:textId="77777777" w:rsidR="00FC7B33" w:rsidRPr="004410BC" w:rsidRDefault="00FC7B33" w:rsidP="00236C76">
            <w:pPr>
              <w:rPr>
                <w:sz w:val="22"/>
                <w:szCs w:val="22"/>
              </w:rPr>
            </w:pPr>
            <w:r w:rsidRPr="004410BC">
              <w:rPr>
                <w:sz w:val="22"/>
                <w:szCs w:val="22"/>
              </w:rPr>
              <w:t> </w:t>
            </w:r>
          </w:p>
        </w:tc>
      </w:tr>
      <w:tr w:rsidR="00FC7B33" w:rsidRPr="004410BC" w14:paraId="512611FF" w14:textId="77777777" w:rsidTr="00006094">
        <w:trPr>
          <w:trHeight w:val="840"/>
        </w:trPr>
        <w:tc>
          <w:tcPr>
            <w:tcW w:w="1021" w:type="dxa"/>
            <w:hideMark/>
          </w:tcPr>
          <w:p w14:paraId="1B6B48C6" w14:textId="77777777" w:rsidR="00FC7B33" w:rsidRPr="004410BC" w:rsidRDefault="00FC7B33" w:rsidP="00236C76">
            <w:pPr>
              <w:rPr>
                <w:b/>
                <w:bCs/>
                <w:sz w:val="22"/>
                <w:szCs w:val="22"/>
              </w:rPr>
            </w:pPr>
            <w:r w:rsidRPr="004410BC">
              <w:rPr>
                <w:b/>
                <w:bCs/>
                <w:sz w:val="22"/>
                <w:szCs w:val="22"/>
              </w:rPr>
              <w:t>Total</w:t>
            </w:r>
          </w:p>
        </w:tc>
        <w:tc>
          <w:tcPr>
            <w:tcW w:w="1131" w:type="dxa"/>
            <w:hideMark/>
          </w:tcPr>
          <w:p w14:paraId="7DD3883A" w14:textId="77777777" w:rsidR="00FC7B33" w:rsidRPr="004410BC" w:rsidRDefault="00FC7B33" w:rsidP="00236C76">
            <w:pPr>
              <w:rPr>
                <w:b/>
                <w:bCs/>
                <w:sz w:val="22"/>
                <w:szCs w:val="22"/>
              </w:rPr>
            </w:pPr>
            <w:r w:rsidRPr="004410BC">
              <w:rPr>
                <w:b/>
                <w:bCs/>
                <w:sz w:val="22"/>
                <w:szCs w:val="22"/>
              </w:rPr>
              <w:t>7 Databases</w:t>
            </w:r>
          </w:p>
        </w:tc>
        <w:tc>
          <w:tcPr>
            <w:tcW w:w="1442" w:type="dxa"/>
            <w:hideMark/>
          </w:tcPr>
          <w:p w14:paraId="371E1108" w14:textId="77777777" w:rsidR="00FC7B33" w:rsidRPr="004410BC" w:rsidRDefault="00FC7B33" w:rsidP="00236C76">
            <w:pPr>
              <w:rPr>
                <w:sz w:val="22"/>
                <w:szCs w:val="22"/>
              </w:rPr>
            </w:pPr>
            <w:r w:rsidRPr="004410BC">
              <w:rPr>
                <w:sz w:val="22"/>
                <w:szCs w:val="22"/>
              </w:rPr>
              <w:t>—</w:t>
            </w:r>
          </w:p>
        </w:tc>
        <w:tc>
          <w:tcPr>
            <w:tcW w:w="1608" w:type="dxa"/>
            <w:hideMark/>
          </w:tcPr>
          <w:p w14:paraId="17803268" w14:textId="77777777" w:rsidR="00FC7B33" w:rsidRPr="004410BC" w:rsidRDefault="00FC7B33" w:rsidP="00236C76">
            <w:pPr>
              <w:rPr>
                <w:sz w:val="22"/>
                <w:szCs w:val="22"/>
              </w:rPr>
            </w:pPr>
            <w:r w:rsidRPr="004410BC">
              <w:rPr>
                <w:sz w:val="22"/>
                <w:szCs w:val="22"/>
              </w:rPr>
              <w:t>—</w:t>
            </w:r>
          </w:p>
        </w:tc>
        <w:tc>
          <w:tcPr>
            <w:tcW w:w="862" w:type="dxa"/>
            <w:hideMark/>
          </w:tcPr>
          <w:p w14:paraId="2C1A72BC" w14:textId="5ED002E6" w:rsidR="00FC7B33" w:rsidRPr="004410BC" w:rsidRDefault="00C45A3C" w:rsidP="00236C76">
            <w:pPr>
              <w:rPr>
                <w:b/>
                <w:bCs/>
                <w:sz w:val="22"/>
                <w:szCs w:val="22"/>
              </w:rPr>
            </w:pPr>
            <w:r w:rsidRPr="004410BC">
              <w:rPr>
                <w:b/>
                <w:bCs/>
                <w:sz w:val="22"/>
                <w:szCs w:val="22"/>
              </w:rPr>
              <w:t>38</w:t>
            </w:r>
          </w:p>
        </w:tc>
        <w:tc>
          <w:tcPr>
            <w:tcW w:w="1143" w:type="dxa"/>
            <w:hideMark/>
          </w:tcPr>
          <w:p w14:paraId="0DB05D8F" w14:textId="1DEC6200" w:rsidR="00FC7B33" w:rsidRPr="004410BC" w:rsidRDefault="00BD02BA" w:rsidP="00236C76">
            <w:pPr>
              <w:rPr>
                <w:b/>
                <w:bCs/>
                <w:sz w:val="22"/>
                <w:szCs w:val="22"/>
              </w:rPr>
            </w:pPr>
            <w:r w:rsidRPr="004410BC">
              <w:rPr>
                <w:b/>
                <w:bCs/>
                <w:sz w:val="22"/>
                <w:szCs w:val="22"/>
              </w:rPr>
              <w:t>24</w:t>
            </w:r>
          </w:p>
        </w:tc>
        <w:tc>
          <w:tcPr>
            <w:tcW w:w="825" w:type="dxa"/>
            <w:hideMark/>
          </w:tcPr>
          <w:p w14:paraId="4201E076" w14:textId="77777777" w:rsidR="00FC7B33" w:rsidRPr="004410BC" w:rsidRDefault="00FC7B33" w:rsidP="00236C76">
            <w:pPr>
              <w:rPr>
                <w:b/>
                <w:bCs/>
                <w:sz w:val="22"/>
                <w:szCs w:val="22"/>
              </w:rPr>
            </w:pPr>
            <w:r w:rsidRPr="004410BC">
              <w:rPr>
                <w:b/>
                <w:bCs/>
                <w:sz w:val="22"/>
                <w:szCs w:val="22"/>
              </w:rPr>
              <w:t>14</w:t>
            </w:r>
          </w:p>
        </w:tc>
        <w:tc>
          <w:tcPr>
            <w:tcW w:w="1021" w:type="dxa"/>
            <w:hideMark/>
          </w:tcPr>
          <w:p w14:paraId="5D0CDA78" w14:textId="77777777" w:rsidR="00FC7B33" w:rsidRPr="004410BC" w:rsidRDefault="00FC7B33" w:rsidP="00236C76">
            <w:pPr>
              <w:rPr>
                <w:b/>
                <w:bCs/>
                <w:sz w:val="22"/>
                <w:szCs w:val="22"/>
              </w:rPr>
            </w:pPr>
            <w:r w:rsidRPr="004410BC">
              <w:rPr>
                <w:b/>
                <w:bCs/>
                <w:sz w:val="22"/>
                <w:szCs w:val="22"/>
              </w:rPr>
              <w:t> </w:t>
            </w:r>
          </w:p>
        </w:tc>
      </w:tr>
    </w:tbl>
    <w:p w14:paraId="664AC8C9" w14:textId="77777777" w:rsidR="00CF5DBD" w:rsidRPr="004410BC" w:rsidRDefault="00CF5DBD" w:rsidP="00236C76">
      <w:pPr>
        <w:rPr>
          <w:rFonts w:cs="Arial"/>
        </w:rPr>
        <w:sectPr w:rsidR="00CF5DBD" w:rsidRPr="004410BC" w:rsidSect="00B2505E">
          <w:pgSz w:w="11906" w:h="16838"/>
          <w:pgMar w:top="1440" w:right="1440" w:bottom="1440" w:left="1440" w:header="708" w:footer="708" w:gutter="0"/>
          <w:cols w:space="708"/>
          <w:docGrid w:linePitch="360"/>
        </w:sectPr>
      </w:pPr>
    </w:p>
    <w:p w14:paraId="5E05B503" w14:textId="10877243" w:rsidR="00CF5DBD" w:rsidRPr="004410BC" w:rsidRDefault="009F64C5" w:rsidP="00236C76">
      <w:pPr>
        <w:pStyle w:val="Heading1"/>
        <w:rPr>
          <w:rFonts w:cs="Arial"/>
        </w:rPr>
      </w:pPr>
      <w:r w:rsidRPr="004410BC">
        <w:rPr>
          <w:rFonts w:cs="Arial"/>
        </w:rPr>
        <w:t xml:space="preserve"> </w:t>
      </w:r>
      <w:bookmarkStart w:id="366" w:name="_Toc238290279"/>
      <w:bookmarkStart w:id="367" w:name="_Toc240724922"/>
      <w:r w:rsidR="00CF5DBD" w:rsidRPr="004410BC">
        <w:rPr>
          <w:rFonts w:cs="Arial"/>
        </w:rPr>
        <w:t xml:space="preserve">Appendix </w:t>
      </w:r>
      <w:r w:rsidR="00FC7B33" w:rsidRPr="004410BC">
        <w:rPr>
          <w:rFonts w:cs="Arial"/>
        </w:rPr>
        <w:t>3</w:t>
      </w:r>
      <w:r w:rsidR="00CF5DBD" w:rsidRPr="004410BC">
        <w:rPr>
          <w:rFonts w:cs="Arial"/>
        </w:rPr>
        <w:t xml:space="preserve">: </w:t>
      </w:r>
      <w:r w:rsidR="00B52406" w:rsidRPr="004410BC">
        <w:rPr>
          <w:rFonts w:cs="Arial"/>
        </w:rPr>
        <w:t>Screening Title Abstract</w:t>
      </w:r>
      <w:bookmarkEnd w:id="366"/>
      <w:bookmarkEnd w:id="367"/>
    </w:p>
    <w:tbl>
      <w:tblPr>
        <w:tblStyle w:val="TableGrid"/>
        <w:tblW w:w="14879" w:type="dxa"/>
        <w:tblLayout w:type="fixed"/>
        <w:tblLook w:val="04A0" w:firstRow="1" w:lastRow="0" w:firstColumn="1" w:lastColumn="0" w:noHBand="0" w:noVBand="1"/>
      </w:tblPr>
      <w:tblGrid>
        <w:gridCol w:w="331"/>
        <w:gridCol w:w="673"/>
        <w:gridCol w:w="1072"/>
        <w:gridCol w:w="873"/>
        <w:gridCol w:w="564"/>
        <w:gridCol w:w="639"/>
        <w:gridCol w:w="639"/>
        <w:gridCol w:w="8104"/>
        <w:gridCol w:w="567"/>
        <w:gridCol w:w="567"/>
        <w:gridCol w:w="850"/>
      </w:tblGrid>
      <w:tr w:rsidR="00430F22" w:rsidRPr="004410BC" w14:paraId="61F6999D" w14:textId="77777777" w:rsidTr="00006094">
        <w:trPr>
          <w:trHeight w:val="315"/>
        </w:trPr>
        <w:tc>
          <w:tcPr>
            <w:tcW w:w="331" w:type="dxa"/>
            <w:noWrap/>
            <w:hideMark/>
          </w:tcPr>
          <w:p w14:paraId="6AD16B2A" w14:textId="77777777" w:rsidR="00430F22" w:rsidRPr="004410BC" w:rsidRDefault="00430F22" w:rsidP="00236C76">
            <w:pPr>
              <w:rPr>
                <w:sz w:val="22"/>
                <w:szCs w:val="22"/>
              </w:rPr>
            </w:pPr>
            <w:r w:rsidRPr="004410BC">
              <w:rPr>
                <w:sz w:val="22"/>
                <w:szCs w:val="22"/>
              </w:rPr>
              <w:t>ID</w:t>
            </w:r>
          </w:p>
        </w:tc>
        <w:tc>
          <w:tcPr>
            <w:tcW w:w="673" w:type="dxa"/>
            <w:noWrap/>
            <w:hideMark/>
          </w:tcPr>
          <w:p w14:paraId="7F090AE9" w14:textId="77777777" w:rsidR="00430F22" w:rsidRPr="004410BC" w:rsidRDefault="00430F22" w:rsidP="00236C76">
            <w:pPr>
              <w:rPr>
                <w:sz w:val="22"/>
                <w:szCs w:val="22"/>
              </w:rPr>
            </w:pPr>
            <w:r w:rsidRPr="004410BC">
              <w:rPr>
                <w:sz w:val="22"/>
                <w:szCs w:val="22"/>
              </w:rPr>
              <w:t>Author</w:t>
            </w:r>
          </w:p>
        </w:tc>
        <w:tc>
          <w:tcPr>
            <w:tcW w:w="1072" w:type="dxa"/>
            <w:noWrap/>
            <w:hideMark/>
          </w:tcPr>
          <w:p w14:paraId="18F49923" w14:textId="77777777" w:rsidR="00430F22" w:rsidRPr="004410BC" w:rsidRDefault="00430F22" w:rsidP="00236C76">
            <w:pPr>
              <w:rPr>
                <w:sz w:val="22"/>
                <w:szCs w:val="22"/>
              </w:rPr>
            </w:pPr>
            <w:r w:rsidRPr="004410BC">
              <w:rPr>
                <w:sz w:val="22"/>
                <w:szCs w:val="22"/>
              </w:rPr>
              <w:t>Title</w:t>
            </w:r>
          </w:p>
        </w:tc>
        <w:tc>
          <w:tcPr>
            <w:tcW w:w="873" w:type="dxa"/>
            <w:noWrap/>
            <w:hideMark/>
          </w:tcPr>
          <w:p w14:paraId="7AA39D5E" w14:textId="77777777" w:rsidR="00430F22" w:rsidRPr="004410BC" w:rsidRDefault="00430F22" w:rsidP="00236C76">
            <w:pPr>
              <w:rPr>
                <w:sz w:val="22"/>
                <w:szCs w:val="22"/>
              </w:rPr>
            </w:pPr>
            <w:r w:rsidRPr="004410BC">
              <w:rPr>
                <w:sz w:val="22"/>
                <w:szCs w:val="22"/>
              </w:rPr>
              <w:t>Journal</w:t>
            </w:r>
          </w:p>
        </w:tc>
        <w:tc>
          <w:tcPr>
            <w:tcW w:w="564" w:type="dxa"/>
            <w:noWrap/>
            <w:hideMark/>
          </w:tcPr>
          <w:p w14:paraId="71D90E31" w14:textId="77777777" w:rsidR="00430F22" w:rsidRPr="004410BC" w:rsidRDefault="00430F22" w:rsidP="00236C76">
            <w:pPr>
              <w:rPr>
                <w:sz w:val="22"/>
                <w:szCs w:val="22"/>
              </w:rPr>
            </w:pPr>
            <w:r w:rsidRPr="004410BC">
              <w:rPr>
                <w:sz w:val="22"/>
                <w:szCs w:val="22"/>
              </w:rPr>
              <w:t>Volume</w:t>
            </w:r>
          </w:p>
        </w:tc>
        <w:tc>
          <w:tcPr>
            <w:tcW w:w="639" w:type="dxa"/>
            <w:noWrap/>
            <w:hideMark/>
          </w:tcPr>
          <w:p w14:paraId="2F024F22" w14:textId="77777777" w:rsidR="00430F22" w:rsidRPr="004410BC" w:rsidRDefault="00430F22" w:rsidP="00236C76">
            <w:pPr>
              <w:rPr>
                <w:sz w:val="22"/>
                <w:szCs w:val="22"/>
              </w:rPr>
            </w:pPr>
            <w:r w:rsidRPr="004410BC">
              <w:rPr>
                <w:sz w:val="22"/>
                <w:szCs w:val="22"/>
              </w:rPr>
              <w:t>Issue</w:t>
            </w:r>
          </w:p>
        </w:tc>
        <w:tc>
          <w:tcPr>
            <w:tcW w:w="639" w:type="dxa"/>
            <w:noWrap/>
            <w:hideMark/>
          </w:tcPr>
          <w:p w14:paraId="06A2A365" w14:textId="77777777" w:rsidR="00430F22" w:rsidRPr="004410BC" w:rsidRDefault="00430F22" w:rsidP="00236C76">
            <w:pPr>
              <w:rPr>
                <w:sz w:val="22"/>
                <w:szCs w:val="22"/>
              </w:rPr>
            </w:pPr>
            <w:r w:rsidRPr="004410BC">
              <w:rPr>
                <w:sz w:val="22"/>
                <w:szCs w:val="22"/>
              </w:rPr>
              <w:t>Pages</w:t>
            </w:r>
          </w:p>
        </w:tc>
        <w:tc>
          <w:tcPr>
            <w:tcW w:w="8104" w:type="dxa"/>
            <w:noWrap/>
            <w:hideMark/>
          </w:tcPr>
          <w:p w14:paraId="28631D94" w14:textId="77777777" w:rsidR="00430F22" w:rsidRPr="004410BC" w:rsidRDefault="00430F22" w:rsidP="00236C76">
            <w:pPr>
              <w:rPr>
                <w:sz w:val="22"/>
                <w:szCs w:val="22"/>
              </w:rPr>
            </w:pPr>
            <w:r w:rsidRPr="004410BC">
              <w:rPr>
                <w:sz w:val="22"/>
                <w:szCs w:val="22"/>
              </w:rPr>
              <w:t>Abstract</w:t>
            </w:r>
          </w:p>
        </w:tc>
        <w:tc>
          <w:tcPr>
            <w:tcW w:w="567" w:type="dxa"/>
            <w:noWrap/>
            <w:hideMark/>
          </w:tcPr>
          <w:p w14:paraId="7D727FF8" w14:textId="77777777" w:rsidR="00430F22" w:rsidRPr="004410BC" w:rsidRDefault="00430F22" w:rsidP="00236C76">
            <w:pPr>
              <w:rPr>
                <w:sz w:val="22"/>
                <w:szCs w:val="22"/>
              </w:rPr>
            </w:pPr>
            <w:r w:rsidRPr="004410BC">
              <w:rPr>
                <w:sz w:val="22"/>
                <w:szCs w:val="22"/>
              </w:rPr>
              <w:t>DOI</w:t>
            </w:r>
          </w:p>
        </w:tc>
        <w:tc>
          <w:tcPr>
            <w:tcW w:w="567" w:type="dxa"/>
            <w:noWrap/>
            <w:hideMark/>
          </w:tcPr>
          <w:p w14:paraId="2CA438B1" w14:textId="77777777" w:rsidR="00430F22" w:rsidRPr="004410BC" w:rsidRDefault="00430F22" w:rsidP="00236C76">
            <w:pPr>
              <w:rPr>
                <w:sz w:val="22"/>
                <w:szCs w:val="22"/>
              </w:rPr>
            </w:pPr>
            <w:r w:rsidRPr="004410BC">
              <w:rPr>
                <w:sz w:val="22"/>
                <w:szCs w:val="22"/>
              </w:rPr>
              <w:t>Reviewer Decision (0/1) Y/N</w:t>
            </w:r>
          </w:p>
        </w:tc>
        <w:tc>
          <w:tcPr>
            <w:tcW w:w="850" w:type="dxa"/>
            <w:noWrap/>
            <w:hideMark/>
          </w:tcPr>
          <w:p w14:paraId="331FB1D9" w14:textId="77777777" w:rsidR="00430F22" w:rsidRPr="004410BC" w:rsidRDefault="00430F22" w:rsidP="00236C76">
            <w:pPr>
              <w:rPr>
                <w:sz w:val="22"/>
                <w:szCs w:val="22"/>
              </w:rPr>
            </w:pPr>
            <w:r w:rsidRPr="004410BC">
              <w:rPr>
                <w:sz w:val="22"/>
                <w:szCs w:val="22"/>
              </w:rPr>
              <w:t>Reason for Exclusion</w:t>
            </w:r>
          </w:p>
        </w:tc>
      </w:tr>
      <w:tr w:rsidR="00430F22" w:rsidRPr="004410BC" w14:paraId="56DC2A4C" w14:textId="77777777" w:rsidTr="00006094">
        <w:trPr>
          <w:trHeight w:val="315"/>
        </w:trPr>
        <w:tc>
          <w:tcPr>
            <w:tcW w:w="331" w:type="dxa"/>
            <w:noWrap/>
            <w:hideMark/>
          </w:tcPr>
          <w:p w14:paraId="4C6FF653" w14:textId="77777777" w:rsidR="00430F22" w:rsidRPr="004410BC" w:rsidRDefault="00430F22" w:rsidP="00236C76">
            <w:pPr>
              <w:rPr>
                <w:sz w:val="22"/>
                <w:szCs w:val="22"/>
              </w:rPr>
            </w:pPr>
            <w:r w:rsidRPr="004410BC">
              <w:rPr>
                <w:sz w:val="22"/>
                <w:szCs w:val="22"/>
              </w:rPr>
              <w:t>1</w:t>
            </w:r>
          </w:p>
        </w:tc>
        <w:tc>
          <w:tcPr>
            <w:tcW w:w="673" w:type="dxa"/>
            <w:noWrap/>
            <w:hideMark/>
          </w:tcPr>
          <w:p w14:paraId="7E49A344" w14:textId="77777777" w:rsidR="00430F22" w:rsidRPr="004410BC" w:rsidRDefault="00430F22" w:rsidP="00236C76">
            <w:pPr>
              <w:rPr>
                <w:sz w:val="22"/>
                <w:szCs w:val="22"/>
              </w:rPr>
            </w:pPr>
            <w:r w:rsidRPr="004410BC">
              <w:rPr>
                <w:sz w:val="22"/>
                <w:szCs w:val="22"/>
              </w:rPr>
              <w:t>Atherton et al. (2024)</w:t>
            </w:r>
          </w:p>
        </w:tc>
        <w:tc>
          <w:tcPr>
            <w:tcW w:w="1072" w:type="dxa"/>
            <w:hideMark/>
          </w:tcPr>
          <w:p w14:paraId="6A097517" w14:textId="77777777" w:rsidR="00430F22" w:rsidRPr="004410BC" w:rsidRDefault="00430F22" w:rsidP="00236C76">
            <w:pPr>
              <w:rPr>
                <w:sz w:val="22"/>
                <w:szCs w:val="22"/>
              </w:rPr>
            </w:pPr>
            <w:r w:rsidRPr="004410BC">
              <w:rPr>
                <w:sz w:val="22"/>
                <w:szCs w:val="22"/>
              </w:rPr>
              <w:t>Investigating Patient Use and Experience of Online Appointment Booking in Primary Care: Mixed Methods Study</w:t>
            </w:r>
          </w:p>
        </w:tc>
        <w:tc>
          <w:tcPr>
            <w:tcW w:w="873" w:type="dxa"/>
            <w:hideMark/>
          </w:tcPr>
          <w:p w14:paraId="07DDEA45" w14:textId="77777777" w:rsidR="00430F22" w:rsidRPr="004410BC" w:rsidRDefault="00430F22" w:rsidP="00236C76">
            <w:pPr>
              <w:rPr>
                <w:sz w:val="22"/>
                <w:szCs w:val="22"/>
              </w:rPr>
            </w:pPr>
            <w:r w:rsidRPr="004410BC">
              <w:rPr>
                <w:sz w:val="22"/>
                <w:szCs w:val="22"/>
              </w:rPr>
              <w:t>Journal of Medical Internet Research</w:t>
            </w:r>
          </w:p>
        </w:tc>
        <w:tc>
          <w:tcPr>
            <w:tcW w:w="564" w:type="dxa"/>
            <w:noWrap/>
            <w:hideMark/>
          </w:tcPr>
          <w:p w14:paraId="677116A8" w14:textId="77777777" w:rsidR="00430F22" w:rsidRPr="004410BC" w:rsidRDefault="00430F22" w:rsidP="00236C76">
            <w:pPr>
              <w:rPr>
                <w:sz w:val="22"/>
                <w:szCs w:val="22"/>
              </w:rPr>
            </w:pPr>
            <w:r w:rsidRPr="004410BC">
              <w:rPr>
                <w:sz w:val="22"/>
                <w:szCs w:val="22"/>
              </w:rPr>
              <w:t>26</w:t>
            </w:r>
          </w:p>
        </w:tc>
        <w:tc>
          <w:tcPr>
            <w:tcW w:w="639" w:type="dxa"/>
            <w:noWrap/>
            <w:hideMark/>
          </w:tcPr>
          <w:p w14:paraId="787F10B5" w14:textId="77777777" w:rsidR="00430F22" w:rsidRPr="004410BC" w:rsidRDefault="00430F22" w:rsidP="00236C76">
            <w:pPr>
              <w:rPr>
                <w:sz w:val="22"/>
                <w:szCs w:val="22"/>
              </w:rPr>
            </w:pPr>
            <w:r w:rsidRPr="004410BC">
              <w:rPr>
                <w:sz w:val="22"/>
                <w:szCs w:val="22"/>
              </w:rPr>
              <w:t>e51931</w:t>
            </w:r>
          </w:p>
        </w:tc>
        <w:tc>
          <w:tcPr>
            <w:tcW w:w="639" w:type="dxa"/>
            <w:noWrap/>
            <w:hideMark/>
          </w:tcPr>
          <w:p w14:paraId="3DB0DC40" w14:textId="77777777" w:rsidR="00430F22" w:rsidRPr="004410BC" w:rsidRDefault="00430F22" w:rsidP="00236C76">
            <w:pPr>
              <w:rPr>
                <w:sz w:val="22"/>
                <w:szCs w:val="22"/>
              </w:rPr>
            </w:pPr>
            <w:r w:rsidRPr="004410BC">
              <w:rPr>
                <w:sz w:val="22"/>
                <w:szCs w:val="22"/>
              </w:rPr>
              <w:t>Not Specified</w:t>
            </w:r>
          </w:p>
        </w:tc>
        <w:tc>
          <w:tcPr>
            <w:tcW w:w="8104" w:type="dxa"/>
            <w:hideMark/>
          </w:tcPr>
          <w:p w14:paraId="44FE5DB0" w14:textId="41F54BEC" w:rsidR="00430F22" w:rsidRPr="004410BC" w:rsidRDefault="00430F22" w:rsidP="00236C76">
            <w:pPr>
              <w:rPr>
                <w:sz w:val="22"/>
                <w:szCs w:val="22"/>
              </w:rPr>
            </w:pPr>
            <w:r w:rsidRPr="004410BC">
              <w:rPr>
                <w:sz w:val="22"/>
                <w:szCs w:val="22"/>
              </w:rPr>
              <w:t>Background: Online appointment booking is a commonly used tool in several industries. There is limited evidence about the</w:t>
            </w:r>
            <w:r w:rsidRPr="004410BC">
              <w:rPr>
                <w:sz w:val="22"/>
                <w:szCs w:val="22"/>
              </w:rPr>
              <w:br/>
              <w:t>benefits and challenges of using online appointment booking in health care settings. Potential benefits include convenience and</w:t>
            </w:r>
            <w:r w:rsidRPr="004410BC">
              <w:rPr>
                <w:sz w:val="22"/>
                <w:szCs w:val="22"/>
              </w:rPr>
              <w:br/>
              <w:t>the ability to track appointments, although some groups of patients may find it harder to engage with online appointment booking.</w:t>
            </w:r>
            <w:r w:rsidRPr="004410BC">
              <w:rPr>
                <w:sz w:val="22"/>
                <w:szCs w:val="22"/>
              </w:rPr>
              <w:br/>
              <w:t>We sought to understand how patients in England used and experienced online appointment booking.</w:t>
            </w:r>
            <w:r w:rsidRPr="004410BC">
              <w:rPr>
                <w:sz w:val="22"/>
                <w:szCs w:val="22"/>
              </w:rPr>
              <w:br/>
              <w:t>Objective: This study aims to describe and compare the characteristics of patients in relation to their use of online appointment</w:t>
            </w:r>
            <w:r w:rsidRPr="004410BC">
              <w:rPr>
                <w:sz w:val="22"/>
                <w:szCs w:val="22"/>
              </w:rPr>
              <w:br/>
              <w:t>booking in general practice and investigate patients’ views regarding online appointment booking arrangements.</w:t>
            </w:r>
            <w:r w:rsidRPr="004410BC">
              <w:rPr>
                <w:sz w:val="22"/>
                <w:szCs w:val="22"/>
              </w:rPr>
              <w:br/>
              <w:t>Methods: This was a mixed</w:t>
            </w:r>
            <w:r w:rsidR="00015FB9" w:rsidRPr="004410BC">
              <w:rPr>
                <w:sz w:val="22"/>
                <w:szCs w:val="22"/>
              </w:rPr>
              <w:t>-</w:t>
            </w:r>
            <w:r w:rsidRPr="004410BC">
              <w:rPr>
                <w:sz w:val="22"/>
                <w:szCs w:val="22"/>
              </w:rPr>
              <w:t>methods study set in English general practice comprising a retrospective analysis of the General</w:t>
            </w:r>
            <w:r w:rsidRPr="004410BC">
              <w:rPr>
                <w:sz w:val="22"/>
                <w:szCs w:val="22"/>
              </w:rPr>
              <w:br/>
              <w:t>Practice Patient Survey (GPPS) and semistructured interviews with patients. Data used in the retrospective analysis comprised</w:t>
            </w:r>
            <w:r w:rsidRPr="004410BC">
              <w:rPr>
                <w:sz w:val="22"/>
                <w:szCs w:val="22"/>
              </w:rPr>
              <w:br/>
              <w:t>responses to the 2018 and 2019 GPPS analy</w:t>
            </w:r>
            <w:r w:rsidR="009667B1" w:rsidRPr="004410BC">
              <w:rPr>
                <w:sz w:val="22"/>
                <w:szCs w:val="22"/>
              </w:rPr>
              <w:t>s</w:t>
            </w:r>
            <w:r w:rsidRPr="004410BC">
              <w:rPr>
                <w:sz w:val="22"/>
                <w:szCs w:val="22"/>
              </w:rPr>
              <w:t>ed using mixed-effects logistic regression. Semistructured interviews with purposively</w:t>
            </w:r>
            <w:r w:rsidRPr="004410BC">
              <w:rPr>
                <w:sz w:val="22"/>
                <w:szCs w:val="22"/>
              </w:rPr>
              <w:br/>
              <w:t>sampled patients from 11 general practices in England explored experiences of and views on online appointment booking.</w:t>
            </w:r>
            <w:r w:rsidRPr="004410BC">
              <w:rPr>
                <w:sz w:val="22"/>
                <w:szCs w:val="22"/>
              </w:rPr>
              <w:br/>
              <w:t>Framework analysis was used to allow for comparison with the findings of the retrospective analysis.</w:t>
            </w:r>
            <w:r w:rsidRPr="004410BC">
              <w:rPr>
                <w:sz w:val="22"/>
                <w:szCs w:val="22"/>
              </w:rPr>
              <w:br/>
              <w:t>Results: The retrospective analysis included 1,327,693 GPPS responders (2018-2019 combined). We conducted 43 interviews</w:t>
            </w:r>
            <w:r w:rsidRPr="004410BC">
              <w:rPr>
                <w:sz w:val="22"/>
                <w:szCs w:val="22"/>
              </w:rPr>
              <w:br/>
              <w:t>with patients with a variety of experiences and awareness of online appointment booking; of these 43 patients, 6 (14%) were</w:t>
            </w:r>
            <w:r w:rsidRPr="004410BC">
              <w:rPr>
                <w:sz w:val="22"/>
                <w:szCs w:val="22"/>
              </w:rPr>
              <w:br/>
              <w:t>from ethnic minority groups. In the retrospective analysis, more patients were aware that online appointment booking was available</w:t>
            </w:r>
            <w:r w:rsidR="00015FB9" w:rsidRPr="004410BC">
              <w:rPr>
                <w:sz w:val="22"/>
                <w:szCs w:val="22"/>
              </w:rPr>
              <w:t>.</w:t>
            </w:r>
            <w:r w:rsidRPr="004410BC">
              <w:rPr>
                <w:sz w:val="22"/>
                <w:szCs w:val="22"/>
              </w:rPr>
              <w:br/>
              <w:t>(581,224/1,288,341, 45.11%) than had experience using it (203,184/1,301,694, 15.61%). There were deprivation gradients for</w:t>
            </w:r>
            <w:r w:rsidRPr="004410BC">
              <w:rPr>
                <w:sz w:val="22"/>
                <w:szCs w:val="22"/>
              </w:rPr>
              <w:br/>
              <w:t>awareness and use and a substantial decline in both awareness and use in patients aged &gt;75 years. For interview participants, age</w:t>
            </w:r>
            <w:r w:rsidRPr="004410BC">
              <w:rPr>
                <w:sz w:val="22"/>
                <w:szCs w:val="22"/>
              </w:rPr>
              <w:br/>
              <w:t>and life stage were factors influencing experiences and perceptions</w:t>
            </w:r>
            <w:r w:rsidR="00C65C6C" w:rsidRPr="004410BC">
              <w:rPr>
                <w:sz w:val="22"/>
                <w:szCs w:val="22"/>
              </w:rPr>
              <w:t>;</w:t>
            </w:r>
            <w:r w:rsidRPr="004410BC">
              <w:rPr>
                <w:sz w:val="22"/>
                <w:szCs w:val="22"/>
              </w:rPr>
              <w:t xml:space="preserve"> working patients valued convenience, and older patients</w:t>
            </w:r>
            <w:r w:rsidRPr="004410BC">
              <w:rPr>
                <w:sz w:val="22"/>
                <w:szCs w:val="22"/>
              </w:rPr>
              <w:br/>
              <w:t>preferred to use the telephone. Patients with long-term conditions were more aware of (odds ratio [OR] 1.43, 95% CI 1.41-1.44)</w:t>
            </w:r>
            <w:r w:rsidRPr="004410BC">
              <w:rPr>
                <w:sz w:val="22"/>
                <w:szCs w:val="22"/>
              </w:rPr>
              <w:br/>
              <w:t>and more likely to use (OR 1.65, 95% CI 1.63-1.67) online appointment booking. Interview participants with long-term conditions</w:t>
            </w:r>
            <w:r w:rsidRPr="004410BC">
              <w:rPr>
                <w:sz w:val="22"/>
                <w:szCs w:val="22"/>
              </w:rPr>
              <w:br/>
              <w:t>described online appointment booking as useful for routine nonurgent appointments. Patients in deprived areas were clustered in</w:t>
            </w:r>
            <w:r w:rsidRPr="004410BC">
              <w:rPr>
                <w:sz w:val="22"/>
                <w:szCs w:val="22"/>
              </w:rPr>
              <w:br/>
              <w:t>practices with low awareness and use of online appointment booking among GPPS respondents (OR for use 0.65, 95% CI</w:t>
            </w:r>
            <w:r w:rsidRPr="004410BC">
              <w:rPr>
                <w:sz w:val="22"/>
                <w:szCs w:val="22"/>
              </w:rPr>
              <w:br/>
              <w:t>0.64-0.67). Other key findings included the influence of the availability of appointments online and differences in the registration</w:t>
            </w:r>
            <w:r w:rsidRPr="004410BC">
              <w:rPr>
                <w:sz w:val="22"/>
                <w:szCs w:val="22"/>
              </w:rPr>
              <w:br/>
              <w:t>process for accessing online booking.</w:t>
            </w:r>
            <w:r w:rsidRPr="004410BC">
              <w:rPr>
                <w:sz w:val="22"/>
                <w:szCs w:val="22"/>
              </w:rPr>
              <w:br/>
              <w:t>Conclusions: Whether and how patients engage with online appointment booking is influenced by the practice with which they</w:t>
            </w:r>
            <w:r w:rsidRPr="004410BC">
              <w:rPr>
                <w:sz w:val="22"/>
                <w:szCs w:val="22"/>
              </w:rPr>
              <w:br/>
              <w:t>are registered, whether they live with long-term conditions, and their deprivation status. These factors should be considered in</w:t>
            </w:r>
            <w:r w:rsidRPr="004410BC">
              <w:rPr>
                <w:sz w:val="22"/>
                <w:szCs w:val="22"/>
              </w:rPr>
              <w:br/>
              <w:t>designing and implementing online appointment booking and have implications for patient engagement with the wider range of</w:t>
            </w:r>
            <w:r w:rsidRPr="004410BC">
              <w:rPr>
                <w:sz w:val="22"/>
                <w:szCs w:val="22"/>
              </w:rPr>
              <w:br/>
              <w:t>online services offered in general practice.</w:t>
            </w:r>
          </w:p>
        </w:tc>
        <w:tc>
          <w:tcPr>
            <w:tcW w:w="567" w:type="dxa"/>
            <w:hideMark/>
          </w:tcPr>
          <w:p w14:paraId="6D5D0BFE" w14:textId="77777777" w:rsidR="00430F22" w:rsidRPr="004410BC" w:rsidRDefault="00430F22" w:rsidP="00236C76">
            <w:pPr>
              <w:rPr>
                <w:sz w:val="22"/>
                <w:szCs w:val="22"/>
              </w:rPr>
            </w:pPr>
            <w:r w:rsidRPr="004410BC">
              <w:rPr>
                <w:sz w:val="22"/>
                <w:szCs w:val="22"/>
              </w:rPr>
              <w:t>10.2196/51931</w:t>
            </w:r>
          </w:p>
        </w:tc>
        <w:tc>
          <w:tcPr>
            <w:tcW w:w="567" w:type="dxa"/>
            <w:noWrap/>
            <w:hideMark/>
          </w:tcPr>
          <w:p w14:paraId="25A1EE0F" w14:textId="77777777" w:rsidR="00430F22" w:rsidRPr="004410BC" w:rsidRDefault="00430F22" w:rsidP="00236C76">
            <w:pPr>
              <w:rPr>
                <w:sz w:val="22"/>
                <w:szCs w:val="22"/>
              </w:rPr>
            </w:pPr>
            <w:r w:rsidRPr="004410BC">
              <w:rPr>
                <w:sz w:val="22"/>
                <w:szCs w:val="22"/>
              </w:rPr>
              <w:t>1</w:t>
            </w:r>
          </w:p>
        </w:tc>
        <w:tc>
          <w:tcPr>
            <w:tcW w:w="850" w:type="dxa"/>
            <w:noWrap/>
            <w:hideMark/>
          </w:tcPr>
          <w:p w14:paraId="503686BF" w14:textId="77777777" w:rsidR="00430F22" w:rsidRPr="004410BC" w:rsidRDefault="00430F22" w:rsidP="00236C76">
            <w:pPr>
              <w:rPr>
                <w:sz w:val="22"/>
                <w:szCs w:val="22"/>
              </w:rPr>
            </w:pPr>
          </w:p>
        </w:tc>
      </w:tr>
      <w:tr w:rsidR="00430F22" w:rsidRPr="004410BC" w14:paraId="15153BDC" w14:textId="77777777" w:rsidTr="00006094">
        <w:trPr>
          <w:trHeight w:val="315"/>
        </w:trPr>
        <w:tc>
          <w:tcPr>
            <w:tcW w:w="331" w:type="dxa"/>
            <w:noWrap/>
            <w:hideMark/>
          </w:tcPr>
          <w:p w14:paraId="574F8870" w14:textId="77777777" w:rsidR="00430F22" w:rsidRPr="004410BC" w:rsidRDefault="00430F22" w:rsidP="00236C76">
            <w:pPr>
              <w:rPr>
                <w:sz w:val="22"/>
                <w:szCs w:val="22"/>
              </w:rPr>
            </w:pPr>
            <w:r w:rsidRPr="004410BC">
              <w:rPr>
                <w:sz w:val="22"/>
                <w:szCs w:val="22"/>
              </w:rPr>
              <w:t>2</w:t>
            </w:r>
          </w:p>
        </w:tc>
        <w:tc>
          <w:tcPr>
            <w:tcW w:w="673" w:type="dxa"/>
            <w:noWrap/>
            <w:hideMark/>
          </w:tcPr>
          <w:p w14:paraId="213220EF" w14:textId="77777777" w:rsidR="00430F22" w:rsidRPr="004410BC" w:rsidRDefault="00430F22" w:rsidP="00236C76">
            <w:pPr>
              <w:rPr>
                <w:sz w:val="22"/>
                <w:szCs w:val="22"/>
              </w:rPr>
            </w:pPr>
            <w:r w:rsidRPr="004410BC">
              <w:rPr>
                <w:sz w:val="22"/>
                <w:szCs w:val="22"/>
              </w:rPr>
              <w:t>Coughlan et al. (2021)</w:t>
            </w:r>
          </w:p>
        </w:tc>
        <w:tc>
          <w:tcPr>
            <w:tcW w:w="1072" w:type="dxa"/>
            <w:hideMark/>
          </w:tcPr>
          <w:p w14:paraId="1B26280D" w14:textId="77777777" w:rsidR="00430F22" w:rsidRPr="004410BC" w:rsidRDefault="00430F22" w:rsidP="00236C76">
            <w:pPr>
              <w:rPr>
                <w:sz w:val="22"/>
                <w:szCs w:val="22"/>
              </w:rPr>
            </w:pPr>
            <w:r w:rsidRPr="004410BC">
              <w:rPr>
                <w:sz w:val="22"/>
                <w:szCs w:val="22"/>
              </w:rPr>
              <w:t>Social and ethnic group differences in healthcare use by children aged 0–14 years: a population-based cohort study in England from 2007 to 2017</w:t>
            </w:r>
          </w:p>
        </w:tc>
        <w:tc>
          <w:tcPr>
            <w:tcW w:w="873" w:type="dxa"/>
            <w:hideMark/>
          </w:tcPr>
          <w:p w14:paraId="21DB292E" w14:textId="77777777" w:rsidR="00430F22" w:rsidRPr="004410BC" w:rsidRDefault="00430F22" w:rsidP="00236C76">
            <w:pPr>
              <w:rPr>
                <w:sz w:val="22"/>
                <w:szCs w:val="22"/>
              </w:rPr>
            </w:pPr>
            <w:r w:rsidRPr="004410BC">
              <w:rPr>
                <w:sz w:val="22"/>
                <w:szCs w:val="22"/>
              </w:rPr>
              <w:t>Archives of Disease in Childhood</w:t>
            </w:r>
          </w:p>
        </w:tc>
        <w:tc>
          <w:tcPr>
            <w:tcW w:w="564" w:type="dxa"/>
            <w:noWrap/>
            <w:hideMark/>
          </w:tcPr>
          <w:p w14:paraId="6FC794DD" w14:textId="77777777" w:rsidR="00430F22" w:rsidRPr="004410BC" w:rsidRDefault="00430F22" w:rsidP="00236C76">
            <w:pPr>
              <w:rPr>
                <w:sz w:val="22"/>
                <w:szCs w:val="22"/>
              </w:rPr>
            </w:pPr>
            <w:r w:rsidRPr="004410BC">
              <w:rPr>
                <w:sz w:val="22"/>
                <w:szCs w:val="22"/>
              </w:rPr>
              <w:t>107</w:t>
            </w:r>
          </w:p>
        </w:tc>
        <w:tc>
          <w:tcPr>
            <w:tcW w:w="639" w:type="dxa"/>
            <w:noWrap/>
            <w:hideMark/>
          </w:tcPr>
          <w:p w14:paraId="56A6C33E" w14:textId="77777777" w:rsidR="00430F22" w:rsidRPr="004410BC" w:rsidRDefault="00430F22" w:rsidP="00236C76">
            <w:pPr>
              <w:rPr>
                <w:sz w:val="22"/>
                <w:szCs w:val="22"/>
              </w:rPr>
            </w:pPr>
            <w:r w:rsidRPr="004410BC">
              <w:rPr>
                <w:sz w:val="22"/>
                <w:szCs w:val="22"/>
              </w:rPr>
              <w:t>Not Specified</w:t>
            </w:r>
          </w:p>
        </w:tc>
        <w:tc>
          <w:tcPr>
            <w:tcW w:w="639" w:type="dxa"/>
            <w:noWrap/>
            <w:hideMark/>
          </w:tcPr>
          <w:p w14:paraId="569CFD29" w14:textId="77777777" w:rsidR="00430F22" w:rsidRPr="004410BC" w:rsidRDefault="00430F22" w:rsidP="00236C76">
            <w:pPr>
              <w:rPr>
                <w:sz w:val="22"/>
                <w:szCs w:val="22"/>
              </w:rPr>
            </w:pPr>
            <w:r w:rsidRPr="004410BC">
              <w:rPr>
                <w:sz w:val="22"/>
                <w:szCs w:val="22"/>
              </w:rPr>
              <w:t>32–39</w:t>
            </w:r>
          </w:p>
        </w:tc>
        <w:tc>
          <w:tcPr>
            <w:tcW w:w="8104" w:type="dxa"/>
            <w:hideMark/>
          </w:tcPr>
          <w:p w14:paraId="5FA8ED5A" w14:textId="1035A347" w:rsidR="00430F22" w:rsidRPr="004410BC" w:rsidRDefault="00430F22" w:rsidP="00236C76">
            <w:pPr>
              <w:rPr>
                <w:sz w:val="22"/>
                <w:szCs w:val="22"/>
              </w:rPr>
            </w:pPr>
            <w:r w:rsidRPr="004410BC">
              <w:rPr>
                <w:sz w:val="22"/>
                <w:szCs w:val="22"/>
              </w:rPr>
              <w:t>Objective</w:t>
            </w:r>
            <w:r w:rsidR="00C65C6C" w:rsidRPr="004410BC">
              <w:rPr>
                <w:sz w:val="22"/>
                <w:szCs w:val="22"/>
              </w:rPr>
              <w:t>:</w:t>
            </w:r>
            <w:r w:rsidRPr="004410BC">
              <w:rPr>
                <w:sz w:val="22"/>
                <w:szCs w:val="22"/>
              </w:rPr>
              <w:t xml:space="preserve"> To describe social and ethnic group differences in children’s use of healthcare services in England, from 2007 to 2017. Design</w:t>
            </w:r>
            <w:r w:rsidR="00C65C6C" w:rsidRPr="004410BC">
              <w:rPr>
                <w:sz w:val="22"/>
                <w:szCs w:val="22"/>
              </w:rPr>
              <w:t>:</w:t>
            </w:r>
            <w:r w:rsidRPr="004410BC">
              <w:rPr>
                <w:sz w:val="22"/>
                <w:szCs w:val="22"/>
              </w:rPr>
              <w:t xml:space="preserve"> Population-based retrospective cohort study. Setting/Patients</w:t>
            </w:r>
            <w:r w:rsidR="00C65C6C" w:rsidRPr="004410BC">
              <w:rPr>
                <w:sz w:val="22"/>
                <w:szCs w:val="22"/>
              </w:rPr>
              <w:t>:</w:t>
            </w:r>
            <w:r w:rsidRPr="004410BC">
              <w:rPr>
                <w:sz w:val="22"/>
                <w:szCs w:val="22"/>
              </w:rPr>
              <w:t xml:space="preserve"> We performed individual-level linkage of electronic health records from general practices and hospitals in England by creating an open cohort linking data from the Clinical Practice Research Datalink and Hospital Episode Statistics. 1,484,455 children aged 0–14 years were assigned to five composite ethnic groups and five ordered groups based on postcode mapped to </w:t>
            </w:r>
            <w:r w:rsidR="00C65C6C" w:rsidRPr="004410BC">
              <w:rPr>
                <w:sz w:val="22"/>
                <w:szCs w:val="22"/>
              </w:rPr>
              <w:t>the I</w:t>
            </w:r>
            <w:r w:rsidRPr="004410BC">
              <w:rPr>
                <w:sz w:val="22"/>
                <w:szCs w:val="22"/>
              </w:rPr>
              <w:t xml:space="preserve">ndex of </w:t>
            </w:r>
            <w:r w:rsidR="00C65C6C" w:rsidRPr="004410BC">
              <w:rPr>
                <w:sz w:val="22"/>
                <w:szCs w:val="22"/>
              </w:rPr>
              <w:t>Multiple D</w:t>
            </w:r>
            <w:r w:rsidRPr="004410BC">
              <w:rPr>
                <w:sz w:val="22"/>
                <w:szCs w:val="22"/>
              </w:rPr>
              <w:t>eprivation. Main outcome measures</w:t>
            </w:r>
            <w:r w:rsidR="00C65C6C" w:rsidRPr="004410BC">
              <w:rPr>
                <w:sz w:val="22"/>
                <w:szCs w:val="22"/>
              </w:rPr>
              <w:t>: a</w:t>
            </w:r>
            <w:r w:rsidRPr="004410BC">
              <w:rPr>
                <w:sz w:val="22"/>
                <w:szCs w:val="22"/>
              </w:rPr>
              <w:t>ge-standardised annual general practitioner (GP) consultation, outpatient attendance, emergency department (ED) visit and emergency and elective hospital admission rates per 1000 child-years. Results</w:t>
            </w:r>
            <w:r w:rsidR="00C65C6C" w:rsidRPr="004410BC">
              <w:rPr>
                <w:sz w:val="22"/>
                <w:szCs w:val="22"/>
              </w:rPr>
              <w:t>:</w:t>
            </w:r>
            <w:r w:rsidRPr="004410BC">
              <w:rPr>
                <w:sz w:val="22"/>
                <w:szCs w:val="22"/>
              </w:rPr>
              <w:t xml:space="preserve"> In 2016/2017, children from the most deprived group had fewer GP consultations (1765 vs 1854 per 1000 child-years) and outpatient attendances than children in the least deprived group (705 vs 741 per 1000 child-years). At the end of the study period, children from the most deprived group had more ED visits (447 vs 314 per 1000 child-years) and emergency admissions (100 vs 76 per 1000 child-years) than children from the least deprived group. In 2016/2017, children from black and Asian ethnic groups had more GP consultations than children from white ethnic groups (1961 and 2397 vs 1824 per 1000 child-years, respectively).</w:t>
            </w:r>
          </w:p>
        </w:tc>
        <w:tc>
          <w:tcPr>
            <w:tcW w:w="567" w:type="dxa"/>
            <w:hideMark/>
          </w:tcPr>
          <w:p w14:paraId="6EA67F44" w14:textId="77777777" w:rsidR="00430F22" w:rsidRPr="004410BC" w:rsidRDefault="00430F22" w:rsidP="00236C76">
            <w:pPr>
              <w:rPr>
                <w:sz w:val="22"/>
                <w:szCs w:val="22"/>
              </w:rPr>
            </w:pPr>
            <w:r w:rsidRPr="004410BC">
              <w:rPr>
                <w:sz w:val="22"/>
                <w:szCs w:val="22"/>
              </w:rPr>
              <w:t>10.1136/archdischild-2020-321045</w:t>
            </w:r>
          </w:p>
        </w:tc>
        <w:tc>
          <w:tcPr>
            <w:tcW w:w="567" w:type="dxa"/>
            <w:noWrap/>
            <w:hideMark/>
          </w:tcPr>
          <w:p w14:paraId="046D5149" w14:textId="77777777" w:rsidR="00430F22" w:rsidRPr="004410BC" w:rsidRDefault="00430F22" w:rsidP="00236C76">
            <w:pPr>
              <w:rPr>
                <w:sz w:val="22"/>
                <w:szCs w:val="22"/>
              </w:rPr>
            </w:pPr>
            <w:r w:rsidRPr="004410BC">
              <w:rPr>
                <w:sz w:val="22"/>
                <w:szCs w:val="22"/>
              </w:rPr>
              <w:t>1</w:t>
            </w:r>
          </w:p>
        </w:tc>
        <w:tc>
          <w:tcPr>
            <w:tcW w:w="850" w:type="dxa"/>
            <w:noWrap/>
            <w:hideMark/>
          </w:tcPr>
          <w:p w14:paraId="70D4217A" w14:textId="77777777" w:rsidR="00430F22" w:rsidRPr="004410BC" w:rsidRDefault="00430F22" w:rsidP="00236C76">
            <w:pPr>
              <w:rPr>
                <w:sz w:val="22"/>
                <w:szCs w:val="22"/>
              </w:rPr>
            </w:pPr>
          </w:p>
        </w:tc>
      </w:tr>
      <w:tr w:rsidR="00430F22" w:rsidRPr="004410BC" w14:paraId="08AE691D" w14:textId="77777777" w:rsidTr="00006094">
        <w:trPr>
          <w:trHeight w:val="315"/>
        </w:trPr>
        <w:tc>
          <w:tcPr>
            <w:tcW w:w="331" w:type="dxa"/>
            <w:noWrap/>
            <w:hideMark/>
          </w:tcPr>
          <w:p w14:paraId="6AA6282F" w14:textId="77777777" w:rsidR="00430F22" w:rsidRPr="004410BC" w:rsidRDefault="00430F22" w:rsidP="00236C76">
            <w:pPr>
              <w:rPr>
                <w:sz w:val="22"/>
                <w:szCs w:val="22"/>
              </w:rPr>
            </w:pPr>
            <w:r w:rsidRPr="004410BC">
              <w:rPr>
                <w:sz w:val="22"/>
                <w:szCs w:val="22"/>
              </w:rPr>
              <w:t>3</w:t>
            </w:r>
          </w:p>
        </w:tc>
        <w:tc>
          <w:tcPr>
            <w:tcW w:w="673" w:type="dxa"/>
            <w:noWrap/>
            <w:hideMark/>
          </w:tcPr>
          <w:p w14:paraId="036074EF" w14:textId="77777777" w:rsidR="00430F22" w:rsidRPr="004410BC" w:rsidRDefault="00430F22" w:rsidP="00236C76">
            <w:pPr>
              <w:rPr>
                <w:sz w:val="22"/>
                <w:szCs w:val="22"/>
              </w:rPr>
            </w:pPr>
            <w:r w:rsidRPr="004410BC">
              <w:rPr>
                <w:sz w:val="22"/>
                <w:szCs w:val="22"/>
              </w:rPr>
              <w:t>Eccles et al. (2025)</w:t>
            </w:r>
          </w:p>
        </w:tc>
        <w:tc>
          <w:tcPr>
            <w:tcW w:w="1072" w:type="dxa"/>
            <w:hideMark/>
          </w:tcPr>
          <w:p w14:paraId="2672B0D8" w14:textId="77777777" w:rsidR="00430F22" w:rsidRPr="004410BC" w:rsidRDefault="00430F22" w:rsidP="00236C76">
            <w:pPr>
              <w:rPr>
                <w:sz w:val="22"/>
                <w:szCs w:val="22"/>
              </w:rPr>
            </w:pPr>
            <w:r w:rsidRPr="004410BC">
              <w:rPr>
                <w:sz w:val="22"/>
                <w:szCs w:val="22"/>
              </w:rPr>
              <w:t>Accessing equitable menopause care in the contemporary NHS: a qualitative study of women's experiences</w:t>
            </w:r>
          </w:p>
        </w:tc>
        <w:tc>
          <w:tcPr>
            <w:tcW w:w="873" w:type="dxa"/>
            <w:hideMark/>
          </w:tcPr>
          <w:p w14:paraId="18F714E7" w14:textId="77777777" w:rsidR="00430F22" w:rsidRPr="004410BC" w:rsidRDefault="00430F22" w:rsidP="00236C76">
            <w:pPr>
              <w:rPr>
                <w:sz w:val="22"/>
                <w:szCs w:val="22"/>
              </w:rPr>
            </w:pPr>
            <w:r w:rsidRPr="004410BC">
              <w:rPr>
                <w:sz w:val="22"/>
                <w:szCs w:val="22"/>
              </w:rPr>
              <w:t>British Journal of General Practice</w:t>
            </w:r>
          </w:p>
        </w:tc>
        <w:tc>
          <w:tcPr>
            <w:tcW w:w="564" w:type="dxa"/>
            <w:noWrap/>
            <w:hideMark/>
          </w:tcPr>
          <w:p w14:paraId="59E9B1DD" w14:textId="77777777" w:rsidR="00430F22" w:rsidRPr="004410BC" w:rsidRDefault="00430F22" w:rsidP="00236C76">
            <w:pPr>
              <w:rPr>
                <w:sz w:val="22"/>
                <w:szCs w:val="22"/>
              </w:rPr>
            </w:pPr>
            <w:r w:rsidRPr="004410BC">
              <w:rPr>
                <w:sz w:val="22"/>
                <w:szCs w:val="22"/>
              </w:rPr>
              <w:t>75</w:t>
            </w:r>
          </w:p>
        </w:tc>
        <w:tc>
          <w:tcPr>
            <w:tcW w:w="639" w:type="dxa"/>
            <w:noWrap/>
            <w:hideMark/>
          </w:tcPr>
          <w:p w14:paraId="75596437" w14:textId="77777777" w:rsidR="00430F22" w:rsidRPr="004410BC" w:rsidRDefault="00430F22" w:rsidP="00236C76">
            <w:pPr>
              <w:rPr>
                <w:sz w:val="22"/>
                <w:szCs w:val="22"/>
              </w:rPr>
            </w:pPr>
            <w:r w:rsidRPr="004410BC">
              <w:rPr>
                <w:sz w:val="22"/>
                <w:szCs w:val="22"/>
              </w:rPr>
              <w:t>761</w:t>
            </w:r>
          </w:p>
        </w:tc>
        <w:tc>
          <w:tcPr>
            <w:tcW w:w="639" w:type="dxa"/>
            <w:noWrap/>
            <w:hideMark/>
          </w:tcPr>
          <w:p w14:paraId="016698A1" w14:textId="77777777" w:rsidR="00430F22" w:rsidRPr="004410BC" w:rsidRDefault="00430F22" w:rsidP="00236C76">
            <w:pPr>
              <w:rPr>
                <w:sz w:val="22"/>
                <w:szCs w:val="22"/>
              </w:rPr>
            </w:pPr>
            <w:r w:rsidRPr="004410BC">
              <w:rPr>
                <w:sz w:val="22"/>
                <w:szCs w:val="22"/>
              </w:rPr>
              <w:t>Not Specified</w:t>
            </w:r>
          </w:p>
        </w:tc>
        <w:tc>
          <w:tcPr>
            <w:tcW w:w="8104" w:type="dxa"/>
            <w:hideMark/>
          </w:tcPr>
          <w:p w14:paraId="57FA1BB3" w14:textId="4DCE96E5" w:rsidR="00430F22" w:rsidRPr="004410BC" w:rsidRDefault="00430F22" w:rsidP="00236C76">
            <w:pPr>
              <w:rPr>
                <w:sz w:val="22"/>
                <w:szCs w:val="22"/>
              </w:rPr>
            </w:pPr>
            <w:r w:rsidRPr="004410BC">
              <w:rPr>
                <w:sz w:val="22"/>
                <w:szCs w:val="22"/>
              </w:rPr>
              <w:t>Background</w:t>
            </w:r>
            <w:r w:rsidRPr="004410BC">
              <w:rPr>
                <w:sz w:val="22"/>
                <w:szCs w:val="22"/>
              </w:rPr>
              <w:br/>
              <w:t>Women from lower socioeconomic</w:t>
            </w:r>
            <w:r w:rsidRPr="004410BC">
              <w:rPr>
                <w:sz w:val="22"/>
                <w:szCs w:val="22"/>
              </w:rPr>
              <w:br/>
              <w:t>status and minority ethnic</w:t>
            </w:r>
            <w:r w:rsidRPr="004410BC">
              <w:rPr>
                <w:sz w:val="22"/>
                <w:szCs w:val="22"/>
              </w:rPr>
              <w:br/>
              <w:t>backgrounds have earlier onset</w:t>
            </w:r>
            <w:r w:rsidRPr="004410BC">
              <w:rPr>
                <w:sz w:val="22"/>
                <w:szCs w:val="22"/>
              </w:rPr>
              <w:br/>
              <w:t>and more complex menopause</w:t>
            </w:r>
            <w:r w:rsidRPr="004410BC">
              <w:rPr>
                <w:sz w:val="22"/>
                <w:szCs w:val="22"/>
              </w:rPr>
              <w:br/>
              <w:t>symptoms. Hormone replacement</w:t>
            </w:r>
            <w:r w:rsidRPr="004410BC">
              <w:rPr>
                <w:sz w:val="22"/>
                <w:szCs w:val="22"/>
              </w:rPr>
              <w:br/>
              <w:t>therapy (HRT) has grown in</w:t>
            </w:r>
            <w:r w:rsidRPr="004410BC">
              <w:rPr>
                <w:sz w:val="22"/>
                <w:szCs w:val="22"/>
              </w:rPr>
              <w:br/>
              <w:t>popularity in recent years</w:t>
            </w:r>
            <w:r w:rsidR="00C65C6C" w:rsidRPr="004410BC">
              <w:rPr>
                <w:sz w:val="22"/>
                <w:szCs w:val="22"/>
              </w:rPr>
              <w:t>;</w:t>
            </w:r>
            <w:r w:rsidRPr="004410BC">
              <w:rPr>
                <w:sz w:val="22"/>
                <w:szCs w:val="22"/>
              </w:rPr>
              <w:t xml:space="preserve"> however</w:t>
            </w:r>
            <w:r w:rsidRPr="004410BC">
              <w:rPr>
                <w:sz w:val="22"/>
                <w:szCs w:val="22"/>
              </w:rPr>
              <w:br/>
              <w:t>there are stark disparities in those</w:t>
            </w:r>
            <w:r w:rsidRPr="004410BC">
              <w:rPr>
                <w:sz w:val="22"/>
                <w:szCs w:val="22"/>
              </w:rPr>
              <w:br/>
              <w:t>who access HRT. Rates of use in</w:t>
            </w:r>
            <w:r w:rsidRPr="004410BC">
              <w:rPr>
                <w:sz w:val="22"/>
                <w:szCs w:val="22"/>
              </w:rPr>
              <w:br/>
              <w:t>deprived areas and for Black and</w:t>
            </w:r>
            <w:r w:rsidRPr="004410BC">
              <w:rPr>
                <w:sz w:val="22"/>
                <w:szCs w:val="22"/>
              </w:rPr>
              <w:br/>
              <w:t>Asian women are significantly lower</w:t>
            </w:r>
            <w:r w:rsidRPr="004410BC">
              <w:rPr>
                <w:sz w:val="22"/>
                <w:szCs w:val="22"/>
              </w:rPr>
              <w:br/>
              <w:t>than that of White women and those</w:t>
            </w:r>
            <w:r w:rsidRPr="004410BC">
              <w:rPr>
                <w:sz w:val="22"/>
                <w:szCs w:val="22"/>
              </w:rPr>
              <w:br/>
              <w:t>in more affluent areas.</w:t>
            </w:r>
            <w:r w:rsidRPr="004410BC">
              <w:rPr>
                <w:sz w:val="22"/>
                <w:szCs w:val="22"/>
              </w:rPr>
              <w:br/>
              <w:t>Aim</w:t>
            </w:r>
            <w:r w:rsidRPr="004410BC">
              <w:rPr>
                <w:sz w:val="22"/>
                <w:szCs w:val="22"/>
              </w:rPr>
              <w:br/>
              <w:t>To explore women’s experiences of</w:t>
            </w:r>
            <w:r w:rsidRPr="004410BC">
              <w:rPr>
                <w:sz w:val="22"/>
                <w:szCs w:val="22"/>
              </w:rPr>
              <w:br/>
              <w:t>menopause and accessing primary</w:t>
            </w:r>
            <w:r w:rsidRPr="004410BC">
              <w:rPr>
                <w:sz w:val="22"/>
                <w:szCs w:val="22"/>
              </w:rPr>
              <w:br/>
              <w:t>care, as well as how perceptions</w:t>
            </w:r>
            <w:r w:rsidRPr="004410BC">
              <w:rPr>
                <w:sz w:val="22"/>
                <w:szCs w:val="22"/>
              </w:rPr>
              <w:br/>
              <w:t>and approaches may be shaped</w:t>
            </w:r>
            <w:r w:rsidRPr="004410BC">
              <w:rPr>
                <w:sz w:val="22"/>
                <w:szCs w:val="22"/>
              </w:rPr>
              <w:br/>
              <w:t>by cultural norms, to gain deeper</w:t>
            </w:r>
            <w:r w:rsidRPr="004410BC">
              <w:rPr>
                <w:sz w:val="22"/>
                <w:szCs w:val="22"/>
              </w:rPr>
              <w:br/>
              <w:t>understanding of factors shaping</w:t>
            </w:r>
            <w:r w:rsidRPr="004410BC">
              <w:rPr>
                <w:sz w:val="22"/>
                <w:szCs w:val="22"/>
              </w:rPr>
              <w:br/>
              <w:t>approaches to managing menopause</w:t>
            </w:r>
            <w:r w:rsidRPr="004410BC">
              <w:rPr>
                <w:sz w:val="22"/>
                <w:szCs w:val="22"/>
              </w:rPr>
              <w:br/>
              <w:t>and HRT prescribing patterns.</w:t>
            </w:r>
            <w:r w:rsidRPr="004410BC">
              <w:rPr>
                <w:sz w:val="22"/>
                <w:szCs w:val="22"/>
              </w:rPr>
              <w:br/>
              <w:t>Design &amp; setting</w:t>
            </w:r>
            <w:r w:rsidRPr="004410BC">
              <w:rPr>
                <w:sz w:val="22"/>
                <w:szCs w:val="22"/>
              </w:rPr>
              <w:br/>
              <w:t>Qualitative study with women</w:t>
            </w:r>
            <w:r w:rsidRPr="004410BC">
              <w:rPr>
                <w:sz w:val="22"/>
                <w:szCs w:val="22"/>
              </w:rPr>
              <w:br/>
              <w:t>recruited from general practice and</w:t>
            </w:r>
            <w:r w:rsidRPr="004410BC">
              <w:rPr>
                <w:sz w:val="22"/>
                <w:szCs w:val="22"/>
              </w:rPr>
              <w:br/>
              <w:t>community networks.</w:t>
            </w:r>
            <w:r w:rsidRPr="004410BC">
              <w:rPr>
                <w:sz w:val="22"/>
                <w:szCs w:val="22"/>
              </w:rPr>
              <w:br/>
              <w:t>Method</w:t>
            </w:r>
            <w:r w:rsidRPr="004410BC">
              <w:rPr>
                <w:sz w:val="22"/>
                <w:szCs w:val="22"/>
              </w:rPr>
              <w:br/>
              <w:t>In-depth semi-structured interviews</w:t>
            </w:r>
            <w:r w:rsidRPr="004410BC">
              <w:rPr>
                <w:sz w:val="22"/>
                <w:szCs w:val="22"/>
              </w:rPr>
              <w:br/>
              <w:t>and focus groups with women</w:t>
            </w:r>
            <w:r w:rsidRPr="004410BC">
              <w:rPr>
                <w:sz w:val="22"/>
                <w:szCs w:val="22"/>
              </w:rPr>
              <w:br/>
              <w:t>experiencing menopause (n = 40)</w:t>
            </w:r>
            <w:r w:rsidRPr="004410BC">
              <w:rPr>
                <w:sz w:val="22"/>
                <w:szCs w:val="22"/>
              </w:rPr>
              <w:br/>
              <w:t>were conducted between October</w:t>
            </w:r>
            <w:r w:rsidRPr="004410BC">
              <w:rPr>
                <w:sz w:val="22"/>
                <w:szCs w:val="22"/>
              </w:rPr>
              <w:br/>
              <w:t>2023 and March 2024. Purposive</w:t>
            </w:r>
            <w:r w:rsidRPr="004410BC">
              <w:rPr>
                <w:sz w:val="22"/>
                <w:szCs w:val="22"/>
              </w:rPr>
              <w:br/>
              <w:t>sampling allowed a breadth of</w:t>
            </w:r>
            <w:r w:rsidRPr="004410BC">
              <w:rPr>
                <w:sz w:val="22"/>
                <w:szCs w:val="22"/>
              </w:rPr>
              <w:br/>
              <w:t>experiences</w:t>
            </w:r>
            <w:r w:rsidR="00C65C6C" w:rsidRPr="004410BC">
              <w:rPr>
                <w:sz w:val="22"/>
                <w:szCs w:val="22"/>
              </w:rPr>
              <w:t>,</w:t>
            </w:r>
            <w:r w:rsidRPr="004410BC">
              <w:rPr>
                <w:sz w:val="22"/>
                <w:szCs w:val="22"/>
              </w:rPr>
              <w:t xml:space="preserve"> and thematic analysis</w:t>
            </w:r>
            <w:r w:rsidRPr="004410BC">
              <w:rPr>
                <w:sz w:val="22"/>
                <w:szCs w:val="22"/>
              </w:rPr>
              <w:br/>
              <w:t>was conducted.</w:t>
            </w:r>
            <w:r w:rsidRPr="004410BC">
              <w:rPr>
                <w:sz w:val="22"/>
                <w:szCs w:val="22"/>
              </w:rPr>
              <w:br/>
              <w:t>Results</w:t>
            </w:r>
            <w:r w:rsidRPr="004410BC">
              <w:rPr>
                <w:sz w:val="22"/>
                <w:szCs w:val="22"/>
              </w:rPr>
              <w:br/>
              <w:t>Three themes were developed in</w:t>
            </w:r>
            <w:r w:rsidRPr="004410BC">
              <w:rPr>
                <w:sz w:val="22"/>
                <w:szCs w:val="22"/>
              </w:rPr>
              <w:br/>
              <w:t>relation to women’s experiences of</w:t>
            </w:r>
            <w:r w:rsidRPr="004410BC">
              <w:rPr>
                <w:sz w:val="22"/>
                <w:szCs w:val="22"/>
              </w:rPr>
              <w:br/>
              <w:t>accessing menopause care:</w:t>
            </w:r>
            <w:r w:rsidRPr="004410BC">
              <w:rPr>
                <w:sz w:val="22"/>
                <w:szCs w:val="22"/>
              </w:rPr>
              <w:br/>
              <w:t>1) ‘Contemporary contexts’ shaped</w:t>
            </w:r>
            <w:r w:rsidRPr="004410BC">
              <w:rPr>
                <w:sz w:val="22"/>
                <w:szCs w:val="22"/>
              </w:rPr>
              <w:br/>
              <w:t>women’s experiences; managing</w:t>
            </w:r>
            <w:r w:rsidRPr="004410BC">
              <w:rPr>
                <w:sz w:val="22"/>
                <w:szCs w:val="22"/>
              </w:rPr>
              <w:br/>
              <w:t>menopause alongside high workloads</w:t>
            </w:r>
            <w:r w:rsidRPr="004410BC">
              <w:rPr>
                <w:sz w:val="22"/>
                <w:szCs w:val="22"/>
              </w:rPr>
              <w:br/>
              <w:t>and caring responsibilities posed</w:t>
            </w:r>
            <w:r w:rsidRPr="004410BC">
              <w:rPr>
                <w:sz w:val="22"/>
                <w:szCs w:val="22"/>
              </w:rPr>
              <w:br/>
              <w:t>challenges perceived as distinct</w:t>
            </w:r>
            <w:r w:rsidRPr="004410BC">
              <w:rPr>
                <w:sz w:val="22"/>
                <w:szCs w:val="22"/>
              </w:rPr>
              <w:br/>
              <w:t>from previous generations; and there</w:t>
            </w:r>
            <w:r w:rsidRPr="004410BC">
              <w:rPr>
                <w:sz w:val="22"/>
                <w:szCs w:val="22"/>
              </w:rPr>
              <w:br/>
              <w:t>was heightened awareness, reduced</w:t>
            </w:r>
            <w:r w:rsidRPr="004410BC">
              <w:rPr>
                <w:sz w:val="22"/>
                <w:szCs w:val="22"/>
              </w:rPr>
              <w:br/>
              <w:t>stigma, and mixed views regarding</w:t>
            </w:r>
            <w:r w:rsidRPr="004410BC">
              <w:rPr>
                <w:sz w:val="22"/>
                <w:szCs w:val="22"/>
              </w:rPr>
              <w:br/>
              <w:t>HRT; 2) ‘How menopause care</w:t>
            </w:r>
            <w:r w:rsidRPr="004410BC">
              <w:rPr>
                <w:sz w:val="22"/>
                <w:szCs w:val="22"/>
              </w:rPr>
              <w:br/>
              <w:t>is experienced’ demonstrated how</w:t>
            </w:r>
            <w:r w:rsidRPr="004410BC">
              <w:rPr>
                <w:sz w:val="22"/>
                <w:szCs w:val="22"/>
              </w:rPr>
              <w:br/>
              <w:t>consultations about menopause were</w:t>
            </w:r>
            <w:r w:rsidRPr="004410BC">
              <w:rPr>
                <w:sz w:val="22"/>
                <w:szCs w:val="22"/>
              </w:rPr>
              <w:br/>
              <w:t>emotionally charged, many felt they</w:t>
            </w:r>
            <w:r w:rsidRPr="004410BC">
              <w:rPr>
                <w:sz w:val="22"/>
                <w:szCs w:val="22"/>
              </w:rPr>
              <w:br/>
              <w:t>would have to advocate for HRT</w:t>
            </w:r>
            <w:r w:rsidRPr="004410BC">
              <w:rPr>
                <w:sz w:val="22"/>
                <w:szCs w:val="22"/>
              </w:rPr>
              <w:br/>
              <w:t>(if they wanted it), and some felt</w:t>
            </w:r>
            <w:r w:rsidRPr="004410BC">
              <w:rPr>
                <w:sz w:val="22"/>
                <w:szCs w:val="22"/>
              </w:rPr>
              <w:br/>
              <w:t>frustrated with the lack of options</w:t>
            </w:r>
            <w:r w:rsidRPr="004410BC">
              <w:rPr>
                <w:sz w:val="22"/>
                <w:szCs w:val="22"/>
              </w:rPr>
              <w:br/>
              <w:t>available; and 3) ‘Cultural and</w:t>
            </w:r>
            <w:r w:rsidRPr="004410BC">
              <w:rPr>
                <w:sz w:val="22"/>
                <w:szCs w:val="22"/>
              </w:rPr>
              <w:br/>
              <w:t>economic background influences on</w:t>
            </w:r>
            <w:r w:rsidRPr="004410BC">
              <w:rPr>
                <w:sz w:val="22"/>
                <w:szCs w:val="22"/>
              </w:rPr>
              <w:br/>
              <w:t>menopause help seeking’ included</w:t>
            </w:r>
            <w:r w:rsidRPr="004410BC">
              <w:rPr>
                <w:sz w:val="22"/>
                <w:szCs w:val="22"/>
              </w:rPr>
              <w:br/>
              <w:t>how some women from Black</w:t>
            </w:r>
            <w:r w:rsidRPr="004410BC">
              <w:rPr>
                <w:sz w:val="22"/>
                <w:szCs w:val="22"/>
              </w:rPr>
              <w:br/>
              <w:t>or Asian backgrounds did not</w:t>
            </w:r>
            <w:r w:rsidRPr="004410BC">
              <w:rPr>
                <w:sz w:val="22"/>
                <w:szCs w:val="22"/>
              </w:rPr>
              <w:br/>
              <w:t>discuss menopause within their</w:t>
            </w:r>
            <w:r w:rsidRPr="004410BC">
              <w:rPr>
                <w:sz w:val="22"/>
                <w:szCs w:val="22"/>
              </w:rPr>
              <w:br/>
              <w:t>communities. Mistrust of medical</w:t>
            </w:r>
            <w:r w:rsidRPr="004410BC">
              <w:rPr>
                <w:sz w:val="22"/>
                <w:szCs w:val="22"/>
              </w:rPr>
              <w:br/>
              <w:t>institutions and treatments, as</w:t>
            </w:r>
            <w:r w:rsidRPr="004410BC">
              <w:rPr>
                <w:sz w:val="22"/>
                <w:szCs w:val="22"/>
              </w:rPr>
              <w:br/>
              <w:t>well as lack of representation,</w:t>
            </w:r>
            <w:r w:rsidRPr="004410BC">
              <w:rPr>
                <w:sz w:val="22"/>
                <w:szCs w:val="22"/>
              </w:rPr>
              <w:br/>
              <w:t>was problematic for Black and</w:t>
            </w:r>
            <w:r w:rsidRPr="004410BC">
              <w:rPr>
                <w:sz w:val="22"/>
                <w:szCs w:val="22"/>
              </w:rPr>
              <w:br/>
              <w:t>Asian participants. Some women</w:t>
            </w:r>
            <w:r w:rsidRPr="004410BC">
              <w:rPr>
                <w:sz w:val="22"/>
                <w:szCs w:val="22"/>
              </w:rPr>
              <w:br/>
              <w:t>worried about stereotyping during</w:t>
            </w:r>
            <w:r w:rsidRPr="004410BC">
              <w:rPr>
                <w:sz w:val="22"/>
                <w:szCs w:val="22"/>
              </w:rPr>
              <w:br/>
              <w:t>consultations.</w:t>
            </w:r>
            <w:r w:rsidRPr="004410BC">
              <w:rPr>
                <w:sz w:val="22"/>
                <w:szCs w:val="22"/>
              </w:rPr>
              <w:br/>
              <w:t>Conclusion</w:t>
            </w:r>
            <w:r w:rsidRPr="004410BC">
              <w:rPr>
                <w:sz w:val="22"/>
                <w:szCs w:val="22"/>
              </w:rPr>
              <w:br/>
              <w:t>The findings outline how menopause</w:t>
            </w:r>
            <w:r w:rsidR="00C65C6C" w:rsidRPr="004410BC">
              <w:rPr>
                <w:sz w:val="22"/>
                <w:szCs w:val="22"/>
              </w:rPr>
              <w:t>.</w:t>
            </w:r>
            <w:r w:rsidRPr="004410BC">
              <w:rPr>
                <w:sz w:val="22"/>
                <w:szCs w:val="22"/>
              </w:rPr>
              <w:br/>
              <w:t>may be particularly disruptive to</w:t>
            </w:r>
            <w:r w:rsidRPr="004410BC">
              <w:rPr>
                <w:sz w:val="22"/>
                <w:szCs w:val="22"/>
              </w:rPr>
              <w:br/>
              <w:t>modern women, demonstrate how</w:t>
            </w:r>
            <w:r w:rsidRPr="004410BC">
              <w:rPr>
                <w:sz w:val="22"/>
                <w:szCs w:val="22"/>
              </w:rPr>
              <w:br/>
              <w:t>women are often dissatisfied with the</w:t>
            </w:r>
            <w:r w:rsidRPr="004410BC">
              <w:rPr>
                <w:sz w:val="22"/>
                <w:szCs w:val="22"/>
              </w:rPr>
              <w:br/>
              <w:t>options available, and highlight key</w:t>
            </w:r>
            <w:r w:rsidRPr="004410BC">
              <w:rPr>
                <w:sz w:val="22"/>
                <w:szCs w:val="22"/>
              </w:rPr>
              <w:br/>
              <w:t>areas, such as communication about</w:t>
            </w:r>
            <w:r w:rsidRPr="004410BC">
              <w:rPr>
                <w:sz w:val="22"/>
                <w:szCs w:val="22"/>
              </w:rPr>
              <w:br/>
              <w:t>HRT benefits and/or risks, which</w:t>
            </w:r>
            <w:r w:rsidRPr="004410BC">
              <w:rPr>
                <w:sz w:val="22"/>
                <w:szCs w:val="22"/>
              </w:rPr>
              <w:br/>
              <w:t>could be improved in primary care</w:t>
            </w:r>
            <w:r w:rsidRPr="004410BC">
              <w:rPr>
                <w:sz w:val="22"/>
                <w:szCs w:val="22"/>
              </w:rPr>
              <w:br/>
              <w:t>settings.</w:t>
            </w:r>
          </w:p>
        </w:tc>
        <w:tc>
          <w:tcPr>
            <w:tcW w:w="567" w:type="dxa"/>
            <w:hideMark/>
          </w:tcPr>
          <w:p w14:paraId="3105793F" w14:textId="77777777" w:rsidR="00430F22" w:rsidRPr="004410BC" w:rsidRDefault="00430F22" w:rsidP="00236C76">
            <w:pPr>
              <w:rPr>
                <w:sz w:val="22"/>
                <w:szCs w:val="22"/>
              </w:rPr>
            </w:pPr>
            <w:r w:rsidRPr="004410BC">
              <w:rPr>
                <w:sz w:val="22"/>
                <w:szCs w:val="22"/>
              </w:rPr>
              <w:t>10.3399/BJGP.2024.0781</w:t>
            </w:r>
          </w:p>
        </w:tc>
        <w:tc>
          <w:tcPr>
            <w:tcW w:w="567" w:type="dxa"/>
            <w:noWrap/>
            <w:hideMark/>
          </w:tcPr>
          <w:p w14:paraId="3A093550" w14:textId="77777777" w:rsidR="00430F22" w:rsidRPr="004410BC" w:rsidRDefault="00430F22" w:rsidP="00236C76">
            <w:pPr>
              <w:rPr>
                <w:sz w:val="22"/>
                <w:szCs w:val="22"/>
              </w:rPr>
            </w:pPr>
            <w:r w:rsidRPr="004410BC">
              <w:rPr>
                <w:sz w:val="22"/>
                <w:szCs w:val="22"/>
              </w:rPr>
              <w:t>1</w:t>
            </w:r>
          </w:p>
        </w:tc>
        <w:tc>
          <w:tcPr>
            <w:tcW w:w="850" w:type="dxa"/>
            <w:noWrap/>
            <w:hideMark/>
          </w:tcPr>
          <w:p w14:paraId="0E4F0639" w14:textId="77777777" w:rsidR="00430F22" w:rsidRPr="004410BC" w:rsidRDefault="00430F22" w:rsidP="00236C76">
            <w:pPr>
              <w:rPr>
                <w:sz w:val="22"/>
                <w:szCs w:val="22"/>
              </w:rPr>
            </w:pPr>
          </w:p>
        </w:tc>
      </w:tr>
      <w:tr w:rsidR="00430F22" w:rsidRPr="004410BC" w14:paraId="6114A127" w14:textId="77777777" w:rsidTr="00006094">
        <w:trPr>
          <w:trHeight w:val="315"/>
        </w:trPr>
        <w:tc>
          <w:tcPr>
            <w:tcW w:w="331" w:type="dxa"/>
            <w:noWrap/>
            <w:hideMark/>
          </w:tcPr>
          <w:p w14:paraId="26033E0D" w14:textId="77777777" w:rsidR="00430F22" w:rsidRPr="004410BC" w:rsidRDefault="00430F22" w:rsidP="00236C76">
            <w:pPr>
              <w:rPr>
                <w:sz w:val="22"/>
                <w:szCs w:val="22"/>
              </w:rPr>
            </w:pPr>
            <w:r w:rsidRPr="004410BC">
              <w:rPr>
                <w:sz w:val="22"/>
                <w:szCs w:val="22"/>
              </w:rPr>
              <w:t>4</w:t>
            </w:r>
          </w:p>
        </w:tc>
        <w:tc>
          <w:tcPr>
            <w:tcW w:w="673" w:type="dxa"/>
            <w:noWrap/>
            <w:hideMark/>
          </w:tcPr>
          <w:p w14:paraId="65703B42" w14:textId="77777777" w:rsidR="00430F22" w:rsidRPr="004410BC" w:rsidRDefault="00430F22" w:rsidP="00236C76">
            <w:pPr>
              <w:rPr>
                <w:sz w:val="22"/>
                <w:szCs w:val="22"/>
              </w:rPr>
            </w:pPr>
            <w:r w:rsidRPr="004410BC">
              <w:rPr>
                <w:sz w:val="22"/>
                <w:szCs w:val="22"/>
              </w:rPr>
              <w:t>Ekezie et al. (2022)</w:t>
            </w:r>
          </w:p>
        </w:tc>
        <w:tc>
          <w:tcPr>
            <w:tcW w:w="1072" w:type="dxa"/>
            <w:hideMark/>
          </w:tcPr>
          <w:p w14:paraId="1D9E3835" w14:textId="77777777" w:rsidR="00430F22" w:rsidRPr="004410BC" w:rsidRDefault="00430F22" w:rsidP="00236C76">
            <w:pPr>
              <w:rPr>
                <w:sz w:val="22"/>
                <w:szCs w:val="22"/>
              </w:rPr>
            </w:pPr>
            <w:r w:rsidRPr="004410BC">
              <w:rPr>
                <w:sz w:val="22"/>
                <w:szCs w:val="22"/>
              </w:rPr>
              <w:t>Health Communication and Inequalities in Primary Care Access during the COVID-19 Pandemic among Ethnic Minorities in the United Kingdom: Lived Experiences and Recommendations</w:t>
            </w:r>
          </w:p>
        </w:tc>
        <w:tc>
          <w:tcPr>
            <w:tcW w:w="873" w:type="dxa"/>
            <w:hideMark/>
          </w:tcPr>
          <w:p w14:paraId="59DF0BF0" w14:textId="77777777" w:rsidR="00430F22" w:rsidRPr="004410BC" w:rsidRDefault="00430F22" w:rsidP="00236C76">
            <w:pPr>
              <w:rPr>
                <w:sz w:val="22"/>
                <w:szCs w:val="22"/>
              </w:rPr>
            </w:pPr>
            <w:r w:rsidRPr="004410BC">
              <w:rPr>
                <w:sz w:val="22"/>
                <w:szCs w:val="22"/>
              </w:rPr>
              <w:t>International Journal of Environmental Research and Public Health</w:t>
            </w:r>
          </w:p>
        </w:tc>
        <w:tc>
          <w:tcPr>
            <w:tcW w:w="564" w:type="dxa"/>
            <w:noWrap/>
            <w:hideMark/>
          </w:tcPr>
          <w:p w14:paraId="5CD9E95A" w14:textId="77777777" w:rsidR="00430F22" w:rsidRPr="004410BC" w:rsidRDefault="00430F22" w:rsidP="00236C76">
            <w:pPr>
              <w:rPr>
                <w:sz w:val="22"/>
                <w:szCs w:val="22"/>
              </w:rPr>
            </w:pPr>
            <w:r w:rsidRPr="004410BC">
              <w:rPr>
                <w:sz w:val="22"/>
                <w:szCs w:val="22"/>
              </w:rPr>
              <w:t>19</w:t>
            </w:r>
          </w:p>
        </w:tc>
        <w:tc>
          <w:tcPr>
            <w:tcW w:w="639" w:type="dxa"/>
            <w:noWrap/>
            <w:hideMark/>
          </w:tcPr>
          <w:p w14:paraId="2EDA0281" w14:textId="77777777" w:rsidR="00430F22" w:rsidRPr="004410BC" w:rsidRDefault="00430F22" w:rsidP="00236C76">
            <w:pPr>
              <w:rPr>
                <w:sz w:val="22"/>
                <w:szCs w:val="22"/>
              </w:rPr>
            </w:pPr>
            <w:r w:rsidRPr="004410BC">
              <w:rPr>
                <w:sz w:val="22"/>
                <w:szCs w:val="22"/>
              </w:rPr>
              <w:t>22</w:t>
            </w:r>
          </w:p>
        </w:tc>
        <w:tc>
          <w:tcPr>
            <w:tcW w:w="639" w:type="dxa"/>
            <w:noWrap/>
            <w:hideMark/>
          </w:tcPr>
          <w:p w14:paraId="7C9EDC69" w14:textId="77777777" w:rsidR="00430F22" w:rsidRPr="004410BC" w:rsidRDefault="00430F22" w:rsidP="00236C76">
            <w:pPr>
              <w:rPr>
                <w:sz w:val="22"/>
                <w:szCs w:val="22"/>
              </w:rPr>
            </w:pPr>
            <w:r w:rsidRPr="004410BC">
              <w:rPr>
                <w:sz w:val="22"/>
                <w:szCs w:val="22"/>
              </w:rPr>
              <w:t>15166</w:t>
            </w:r>
          </w:p>
        </w:tc>
        <w:tc>
          <w:tcPr>
            <w:tcW w:w="8104" w:type="dxa"/>
            <w:hideMark/>
          </w:tcPr>
          <w:p w14:paraId="46127D9F" w14:textId="32438B45" w:rsidR="00C65C6C" w:rsidRPr="004410BC" w:rsidRDefault="00430F22" w:rsidP="00236C76">
            <w:pPr>
              <w:rPr>
                <w:sz w:val="22"/>
                <w:szCs w:val="22"/>
              </w:rPr>
            </w:pPr>
            <w:r w:rsidRPr="004410BC">
              <w:rPr>
                <w:sz w:val="22"/>
                <w:szCs w:val="22"/>
              </w:rPr>
              <w:t>Health Communication is critical in the context of public health</w:t>
            </w:r>
            <w:r w:rsidR="00C65C6C" w:rsidRPr="004410BC">
              <w:rPr>
                <w:sz w:val="22"/>
                <w:szCs w:val="22"/>
              </w:rPr>
              <w:t>,</w:t>
            </w:r>
            <w:r w:rsidRPr="004410BC">
              <w:rPr>
                <w:sz w:val="22"/>
                <w:szCs w:val="22"/>
              </w:rPr>
              <w:t xml:space="preserve"> and this was highlighted</w:t>
            </w:r>
            <w:r w:rsidR="00BD5B20" w:rsidRPr="004410BC">
              <w:rPr>
                <w:sz w:val="22"/>
                <w:szCs w:val="22"/>
              </w:rPr>
              <w:t>.</w:t>
            </w:r>
            <w:r w:rsidRPr="004410BC">
              <w:rPr>
                <w:sz w:val="22"/>
                <w:szCs w:val="22"/>
              </w:rPr>
              <w:br/>
              <w:t>during the COVID-19 pandemic. Ethnic minority groups were significantly impacted during the pandemic;</w:t>
            </w:r>
            <w:r w:rsidRPr="004410BC">
              <w:rPr>
                <w:sz w:val="22"/>
                <w:szCs w:val="22"/>
              </w:rPr>
              <w:br/>
              <w:t>however, communication and information available to them were reported to be insufficient.</w:t>
            </w:r>
            <w:r w:rsidRPr="004410BC">
              <w:rPr>
                <w:sz w:val="22"/>
                <w:szCs w:val="22"/>
              </w:rPr>
              <w:br/>
              <w:t xml:space="preserve">This study explored the health information communication amongst ethnic communities in </w:t>
            </w:r>
          </w:p>
          <w:p w14:paraId="757AA845" w14:textId="386383B3" w:rsidR="00430F22" w:rsidRPr="004410BC" w:rsidRDefault="00430F22" w:rsidP="00236C76">
            <w:pPr>
              <w:rPr>
                <w:sz w:val="22"/>
                <w:szCs w:val="22"/>
              </w:rPr>
            </w:pPr>
            <w:r w:rsidRPr="004410BC">
              <w:rPr>
                <w:sz w:val="22"/>
                <w:szCs w:val="22"/>
              </w:rPr>
              <w:t>relation</w:t>
            </w:r>
            <w:r w:rsidRPr="004410BC">
              <w:rPr>
                <w:sz w:val="22"/>
                <w:szCs w:val="22"/>
              </w:rPr>
              <w:br/>
              <w:t>to their experiences with primary health care services during the COVID-19 pandemic. The research</w:t>
            </w:r>
            <w:r w:rsidRPr="004410BC">
              <w:rPr>
                <w:sz w:val="22"/>
                <w:szCs w:val="22"/>
              </w:rPr>
              <w:br/>
              <w:t>used qualitative methodology using focus groups and semi-structured interviews with community</w:t>
            </w:r>
            <w:r w:rsidRPr="004410BC">
              <w:rPr>
                <w:sz w:val="22"/>
                <w:szCs w:val="22"/>
              </w:rPr>
              <w:br/>
              <w:t>members and leaders from three ethnic minority communities (African-Caribbean, Somali and</w:t>
            </w:r>
            <w:r w:rsidRPr="004410BC">
              <w:rPr>
                <w:sz w:val="22"/>
                <w:szCs w:val="22"/>
              </w:rPr>
              <w:br/>
              <w:t>South Asian) in Leicester, United Kingdom. The interviews were audio</w:t>
            </w:r>
            <w:r w:rsidR="00BD5B20" w:rsidRPr="004410BC">
              <w:rPr>
                <w:sz w:val="22"/>
                <w:szCs w:val="22"/>
              </w:rPr>
              <w:t>-</w:t>
            </w:r>
            <w:r w:rsidRPr="004410BC">
              <w:rPr>
                <w:sz w:val="22"/>
                <w:szCs w:val="22"/>
              </w:rPr>
              <w:t>recorded, transcribed, and</w:t>
            </w:r>
            <w:r w:rsidRPr="004410BC">
              <w:rPr>
                <w:sz w:val="22"/>
                <w:szCs w:val="22"/>
              </w:rPr>
              <w:br/>
              <w:t>open-coded. Rigour was determined through methodological coherence, appropriate and sufficient</w:t>
            </w:r>
            <w:r w:rsidRPr="004410BC">
              <w:rPr>
                <w:sz w:val="22"/>
                <w:szCs w:val="22"/>
              </w:rPr>
              <w:br/>
              <w:t>sampling, and iterative data collection and analysis. Six focus groups and interviews were conducted</w:t>
            </w:r>
            <w:r w:rsidR="00C65C6C" w:rsidRPr="004410BC">
              <w:rPr>
                <w:sz w:val="22"/>
                <w:szCs w:val="22"/>
              </w:rPr>
              <w:t>.</w:t>
            </w:r>
            <w:r w:rsidRPr="004410BC">
              <w:rPr>
                <w:sz w:val="22"/>
                <w:szCs w:val="22"/>
              </w:rPr>
              <w:br/>
              <w:t>with 42 participants. Four overarching themes were identified related to health communication,</w:t>
            </w:r>
            <w:r w:rsidRPr="004410BC">
              <w:rPr>
                <w:sz w:val="22"/>
                <w:szCs w:val="22"/>
              </w:rPr>
              <w:br/>
              <w:t>experiences, services</w:t>
            </w:r>
            <w:r w:rsidR="00BD5B20" w:rsidRPr="004410BC">
              <w:rPr>
                <w:sz w:val="22"/>
                <w:szCs w:val="22"/>
              </w:rPr>
              <w:t>,</w:t>
            </w:r>
            <w:r w:rsidRPr="004410BC">
              <w:rPr>
                <w:sz w:val="22"/>
                <w:szCs w:val="22"/>
              </w:rPr>
              <w:t xml:space="preserve"> and community recommendations to improve primary care communication. To</w:t>
            </w:r>
            <w:r w:rsidRPr="004410BC">
              <w:rPr>
                <w:sz w:val="22"/>
                <w:szCs w:val="22"/>
              </w:rPr>
              <w:br/>
              <w:t>address primary care inequalities effectively and improve future health communication strategies,</w:t>
            </w:r>
            <w:r w:rsidRPr="004410BC">
              <w:rPr>
                <w:sz w:val="22"/>
                <w:szCs w:val="22"/>
              </w:rPr>
              <w:br/>
              <w:t>experiences from the pandemic should be reflected upon, and positive initiatives infused into the</w:t>
            </w:r>
            <w:r w:rsidRPr="004410BC">
              <w:rPr>
                <w:sz w:val="22"/>
                <w:szCs w:val="22"/>
              </w:rPr>
              <w:br/>
              <w:t>healthcare strategies, especially for ethnic minority communities.</w:t>
            </w:r>
          </w:p>
        </w:tc>
        <w:tc>
          <w:tcPr>
            <w:tcW w:w="567" w:type="dxa"/>
            <w:hideMark/>
          </w:tcPr>
          <w:p w14:paraId="7D965048" w14:textId="77777777" w:rsidR="00430F22" w:rsidRPr="004410BC" w:rsidRDefault="00430F22" w:rsidP="00236C76">
            <w:pPr>
              <w:rPr>
                <w:sz w:val="22"/>
                <w:szCs w:val="22"/>
              </w:rPr>
            </w:pPr>
            <w:r w:rsidRPr="004410BC">
              <w:rPr>
                <w:sz w:val="22"/>
                <w:szCs w:val="22"/>
              </w:rPr>
              <w:t>10.3390/ijerph192215166</w:t>
            </w:r>
          </w:p>
        </w:tc>
        <w:tc>
          <w:tcPr>
            <w:tcW w:w="567" w:type="dxa"/>
            <w:noWrap/>
            <w:hideMark/>
          </w:tcPr>
          <w:p w14:paraId="0A92C5AF" w14:textId="77777777" w:rsidR="00430F22" w:rsidRPr="004410BC" w:rsidRDefault="00430F22" w:rsidP="00236C76">
            <w:pPr>
              <w:rPr>
                <w:sz w:val="22"/>
                <w:szCs w:val="22"/>
              </w:rPr>
            </w:pPr>
            <w:r w:rsidRPr="004410BC">
              <w:rPr>
                <w:sz w:val="22"/>
                <w:szCs w:val="22"/>
              </w:rPr>
              <w:t>1</w:t>
            </w:r>
          </w:p>
        </w:tc>
        <w:tc>
          <w:tcPr>
            <w:tcW w:w="850" w:type="dxa"/>
            <w:noWrap/>
            <w:hideMark/>
          </w:tcPr>
          <w:p w14:paraId="3BB670DD" w14:textId="77777777" w:rsidR="00430F22" w:rsidRPr="004410BC" w:rsidRDefault="00430F22" w:rsidP="00236C76">
            <w:pPr>
              <w:rPr>
                <w:sz w:val="22"/>
                <w:szCs w:val="22"/>
              </w:rPr>
            </w:pPr>
          </w:p>
        </w:tc>
      </w:tr>
      <w:tr w:rsidR="00430F22" w:rsidRPr="004410BC" w14:paraId="519FF809" w14:textId="77777777" w:rsidTr="00006094">
        <w:trPr>
          <w:trHeight w:val="315"/>
        </w:trPr>
        <w:tc>
          <w:tcPr>
            <w:tcW w:w="331" w:type="dxa"/>
            <w:noWrap/>
            <w:hideMark/>
          </w:tcPr>
          <w:p w14:paraId="6F775152" w14:textId="77777777" w:rsidR="00430F22" w:rsidRPr="004410BC" w:rsidRDefault="00430F22" w:rsidP="00236C76">
            <w:pPr>
              <w:rPr>
                <w:sz w:val="22"/>
                <w:szCs w:val="22"/>
              </w:rPr>
            </w:pPr>
            <w:r w:rsidRPr="004410BC">
              <w:rPr>
                <w:sz w:val="22"/>
                <w:szCs w:val="22"/>
              </w:rPr>
              <w:t>5</w:t>
            </w:r>
          </w:p>
        </w:tc>
        <w:tc>
          <w:tcPr>
            <w:tcW w:w="673" w:type="dxa"/>
            <w:noWrap/>
            <w:hideMark/>
          </w:tcPr>
          <w:p w14:paraId="4F77B62B" w14:textId="77777777" w:rsidR="00430F22" w:rsidRPr="004410BC" w:rsidRDefault="00430F22" w:rsidP="00236C76">
            <w:pPr>
              <w:rPr>
                <w:sz w:val="22"/>
                <w:szCs w:val="22"/>
              </w:rPr>
            </w:pPr>
            <w:r w:rsidRPr="004410BC">
              <w:rPr>
                <w:sz w:val="22"/>
                <w:szCs w:val="22"/>
              </w:rPr>
              <w:t>Gardner, Oduola and Teague (2024)</w:t>
            </w:r>
          </w:p>
        </w:tc>
        <w:tc>
          <w:tcPr>
            <w:tcW w:w="1072" w:type="dxa"/>
            <w:hideMark/>
          </w:tcPr>
          <w:p w14:paraId="3E94615E" w14:textId="77777777" w:rsidR="00430F22" w:rsidRPr="004410BC" w:rsidRDefault="00430F22" w:rsidP="00236C76">
            <w:pPr>
              <w:rPr>
                <w:sz w:val="22"/>
                <w:szCs w:val="22"/>
              </w:rPr>
            </w:pPr>
            <w:r w:rsidRPr="004410BC">
              <w:rPr>
                <w:sz w:val="22"/>
                <w:szCs w:val="22"/>
              </w:rPr>
              <w:t>Culturally Sensitive Perinatal Mental Health Care: Experiences of Women From Minority Ethnic Groups</w:t>
            </w:r>
          </w:p>
        </w:tc>
        <w:tc>
          <w:tcPr>
            <w:tcW w:w="873" w:type="dxa"/>
            <w:hideMark/>
          </w:tcPr>
          <w:p w14:paraId="5D683381" w14:textId="77777777" w:rsidR="00430F22" w:rsidRPr="004410BC" w:rsidRDefault="00430F22" w:rsidP="00236C76">
            <w:pPr>
              <w:rPr>
                <w:sz w:val="22"/>
                <w:szCs w:val="22"/>
              </w:rPr>
            </w:pPr>
            <w:r w:rsidRPr="004410BC">
              <w:rPr>
                <w:sz w:val="22"/>
                <w:szCs w:val="22"/>
              </w:rPr>
              <w:t>Health Expectations</w:t>
            </w:r>
          </w:p>
        </w:tc>
        <w:tc>
          <w:tcPr>
            <w:tcW w:w="564" w:type="dxa"/>
            <w:noWrap/>
            <w:hideMark/>
          </w:tcPr>
          <w:p w14:paraId="018CCC56" w14:textId="77777777" w:rsidR="00430F22" w:rsidRPr="004410BC" w:rsidRDefault="00430F22" w:rsidP="00236C76">
            <w:pPr>
              <w:rPr>
                <w:sz w:val="22"/>
                <w:szCs w:val="22"/>
              </w:rPr>
            </w:pPr>
            <w:r w:rsidRPr="004410BC">
              <w:rPr>
                <w:sz w:val="22"/>
                <w:szCs w:val="22"/>
              </w:rPr>
              <w:t>27</w:t>
            </w:r>
          </w:p>
        </w:tc>
        <w:tc>
          <w:tcPr>
            <w:tcW w:w="639" w:type="dxa"/>
            <w:noWrap/>
            <w:hideMark/>
          </w:tcPr>
          <w:p w14:paraId="1187A502" w14:textId="77777777" w:rsidR="00430F22" w:rsidRPr="004410BC" w:rsidRDefault="00430F22" w:rsidP="00236C76">
            <w:pPr>
              <w:rPr>
                <w:sz w:val="22"/>
                <w:szCs w:val="22"/>
              </w:rPr>
            </w:pPr>
            <w:r w:rsidRPr="004410BC">
              <w:rPr>
                <w:sz w:val="22"/>
                <w:szCs w:val="22"/>
              </w:rPr>
              <w:t>Not Specified</w:t>
            </w:r>
          </w:p>
        </w:tc>
        <w:tc>
          <w:tcPr>
            <w:tcW w:w="639" w:type="dxa"/>
            <w:noWrap/>
            <w:hideMark/>
          </w:tcPr>
          <w:p w14:paraId="1BD20630" w14:textId="77777777" w:rsidR="00430F22" w:rsidRPr="004410BC" w:rsidRDefault="00430F22" w:rsidP="00236C76">
            <w:pPr>
              <w:rPr>
                <w:sz w:val="22"/>
                <w:szCs w:val="22"/>
              </w:rPr>
            </w:pPr>
            <w:r w:rsidRPr="004410BC">
              <w:rPr>
                <w:sz w:val="22"/>
                <w:szCs w:val="22"/>
              </w:rPr>
              <w:t>e14160</w:t>
            </w:r>
          </w:p>
        </w:tc>
        <w:tc>
          <w:tcPr>
            <w:tcW w:w="8104" w:type="dxa"/>
            <w:hideMark/>
          </w:tcPr>
          <w:p w14:paraId="634410DA" w14:textId="5CC047C3" w:rsidR="00430F22" w:rsidRPr="004410BC" w:rsidRDefault="00430F22" w:rsidP="00236C76">
            <w:pPr>
              <w:rPr>
                <w:sz w:val="22"/>
                <w:szCs w:val="22"/>
              </w:rPr>
            </w:pPr>
            <w:r w:rsidRPr="004410BC">
              <w:rPr>
                <w:sz w:val="22"/>
                <w:szCs w:val="22"/>
              </w:rPr>
              <w:t>Background: Current research has identified how ethnic minority women experience poorer health outcomes during the</w:t>
            </w:r>
            <w:r w:rsidRPr="004410BC">
              <w:rPr>
                <w:sz w:val="22"/>
                <w:szCs w:val="22"/>
              </w:rPr>
              <w:br/>
              <w:t>perinatal period. In the United Kingdom, specialist perinatal mental health services provide mental health treatment for women</w:t>
            </w:r>
            <w:r w:rsidRPr="004410BC">
              <w:rPr>
                <w:sz w:val="22"/>
                <w:szCs w:val="22"/>
              </w:rPr>
              <w:br/>
              <w:t>throughout the perinatal period. Service users have previously highlighted that perinatal services are hard to access and lack</w:t>
            </w:r>
            <w:r w:rsidRPr="004410BC">
              <w:rPr>
                <w:sz w:val="22"/>
                <w:szCs w:val="22"/>
              </w:rPr>
              <w:br/>
              <w:t>cultural sensitivity, whereas healthcare professionals have described limited opportunities and resources for developing cultural</w:t>
            </w:r>
            <w:r w:rsidRPr="004410BC">
              <w:rPr>
                <w:sz w:val="22"/>
                <w:szCs w:val="22"/>
              </w:rPr>
              <w:br/>
              <w:t>competency.</w:t>
            </w:r>
            <w:r w:rsidRPr="004410BC">
              <w:rPr>
                <w:sz w:val="22"/>
                <w:szCs w:val="22"/>
              </w:rPr>
              <w:br/>
              <w:t>Objectives: We explored the experiences of ethnic minority women with National Health Service (NHS) specialist perinatal</w:t>
            </w:r>
            <w:r w:rsidRPr="004410BC">
              <w:rPr>
                <w:sz w:val="22"/>
                <w:szCs w:val="22"/>
              </w:rPr>
              <w:br/>
              <w:t>teams and identified what culturally sensitive perinatal mental health care means to this group.</w:t>
            </w:r>
            <w:r w:rsidRPr="004410BC">
              <w:rPr>
                <w:sz w:val="22"/>
                <w:szCs w:val="22"/>
              </w:rPr>
              <w:br/>
              <w:t>Design: Individual semi</w:t>
            </w:r>
            <w:r w:rsidRPr="004410BC">
              <w:rPr>
                <w:rFonts w:ascii="Cambria Math" w:hAnsi="Cambria Math" w:cs="Cambria Math"/>
                <w:sz w:val="22"/>
                <w:szCs w:val="22"/>
              </w:rPr>
              <w:t>‐</w:t>
            </w:r>
            <w:r w:rsidRPr="004410BC">
              <w:rPr>
                <w:sz w:val="22"/>
                <w:szCs w:val="22"/>
              </w:rPr>
              <w:t>structured interviews were conducted, and an interpretative phenomenological analysis framework</w:t>
            </w:r>
            <w:r w:rsidRPr="004410BC">
              <w:rPr>
                <w:sz w:val="22"/>
                <w:szCs w:val="22"/>
              </w:rPr>
              <w:br/>
              <w:t>was used to analyse the interview transcripts.</w:t>
            </w:r>
            <w:r w:rsidRPr="004410BC">
              <w:rPr>
                <w:sz w:val="22"/>
                <w:szCs w:val="22"/>
              </w:rPr>
              <w:br/>
              <w:t>Setting and Participants: Participants were recruited from NHS specialist perinatal teams and online via social media.</w:t>
            </w:r>
            <w:r w:rsidRPr="004410BC">
              <w:rPr>
                <w:sz w:val="22"/>
                <w:szCs w:val="22"/>
              </w:rPr>
              <w:br/>
              <w:t>Results: Six women were interviewed. Four group experiential themes central to the experiences of participants emerged: (1)</w:t>
            </w:r>
            <w:r w:rsidRPr="004410BC">
              <w:rPr>
                <w:sz w:val="22"/>
                <w:szCs w:val="22"/>
              </w:rPr>
              <w:br/>
              <w:t>strengthening community networks and peer support; (2) valuing cultural curiosity; (3) making sense of how culture, ethnicity,</w:t>
            </w:r>
            <w:r w:rsidRPr="004410BC">
              <w:rPr>
                <w:sz w:val="22"/>
                <w:szCs w:val="22"/>
              </w:rPr>
              <w:br/>
              <w:t>race and racism impact mental health; and (4) tailoring interventions to ethnic minority women and their families.</w:t>
            </w:r>
            <w:r w:rsidRPr="004410BC">
              <w:rPr>
                <w:sz w:val="22"/>
                <w:szCs w:val="22"/>
              </w:rPr>
              <w:br/>
              <w:t>Discussion and Conclusions: The findings capture how ethnic minority women experience specialist perinatal teams and</w:t>
            </w:r>
            <w:r w:rsidRPr="004410BC">
              <w:rPr>
                <w:sz w:val="22"/>
                <w:szCs w:val="22"/>
              </w:rPr>
              <w:br/>
              <w:t>offer insights into practising culturally sensitive care. Perinatal mental health professionals can support ethnic minority women</w:t>
            </w:r>
            <w:r w:rsidRPr="004410BC">
              <w:rPr>
                <w:sz w:val="22"/>
                <w:szCs w:val="22"/>
              </w:rPr>
              <w:br/>
              <w:t>by strengthening their access to community resources and peer support; being curious about their culture; helping them to</w:t>
            </w:r>
            <w:r w:rsidRPr="004410BC">
              <w:rPr>
                <w:sz w:val="22"/>
                <w:szCs w:val="22"/>
              </w:rPr>
              <w:br/>
              <w:t>make sense of how culture, ethnicity, race and mental health interact; and applying cultural and practical adaptations to</w:t>
            </w:r>
            <w:r w:rsidRPr="004410BC">
              <w:rPr>
                <w:sz w:val="22"/>
                <w:szCs w:val="22"/>
              </w:rPr>
              <w:br/>
              <w:t>interventions.</w:t>
            </w:r>
            <w:r w:rsidRPr="004410BC">
              <w:rPr>
                <w:sz w:val="22"/>
                <w:szCs w:val="22"/>
              </w:rPr>
              <w:br/>
              <w:t>Patient or Public Contribution: A Lived Experience Advisory Group (LEAG) of women from ethnic minority groups</w:t>
            </w:r>
            <w:r w:rsidRPr="004410BC">
              <w:rPr>
                <w:sz w:val="22"/>
                <w:szCs w:val="22"/>
              </w:rPr>
              <w:br/>
              <w:t>contributed to the design and conduct of this study. The LEAG had lived experience of perinatal mental health conditions and</w:t>
            </w:r>
            <w:r w:rsidRPr="004410BC">
              <w:rPr>
                <w:sz w:val="22"/>
                <w:szCs w:val="22"/>
              </w:rPr>
              <w:br/>
              <w:t>accessing specialist perinatal teams. The LEAG chose to co</w:t>
            </w:r>
            <w:r w:rsidRPr="004410BC">
              <w:rPr>
                <w:rFonts w:ascii="Cambria Math" w:hAnsi="Cambria Math" w:cs="Cambria Math"/>
                <w:sz w:val="22"/>
                <w:szCs w:val="22"/>
              </w:rPr>
              <w:t>‐</w:t>
            </w:r>
            <w:r w:rsidRPr="004410BC">
              <w:rPr>
                <w:sz w:val="22"/>
                <w:szCs w:val="22"/>
              </w:rPr>
              <w:t>produce specific aspects of the research they felt fit with their skills</w:t>
            </w:r>
            <w:r w:rsidR="00BD5B20" w:rsidRPr="004410BC">
              <w:rPr>
                <w:sz w:val="22"/>
                <w:szCs w:val="22"/>
              </w:rPr>
              <w:t>.</w:t>
            </w:r>
            <w:r w:rsidRPr="004410BC">
              <w:rPr>
                <w:sz w:val="22"/>
                <w:szCs w:val="22"/>
              </w:rPr>
              <w:br/>
              <w:t>and available time throughout five group sessions. These aspects included developing the interview topic guide, a structure for</w:t>
            </w:r>
            <w:r w:rsidRPr="004410BC">
              <w:rPr>
                <w:sz w:val="22"/>
                <w:szCs w:val="22"/>
              </w:rPr>
              <w:br/>
              <w:t>debriefing participants and advising on the social media recruitment strategy.</w:t>
            </w:r>
          </w:p>
        </w:tc>
        <w:tc>
          <w:tcPr>
            <w:tcW w:w="567" w:type="dxa"/>
            <w:hideMark/>
          </w:tcPr>
          <w:p w14:paraId="4547603C" w14:textId="77777777" w:rsidR="00430F22" w:rsidRPr="004410BC" w:rsidRDefault="00430F22" w:rsidP="00236C76">
            <w:pPr>
              <w:rPr>
                <w:sz w:val="22"/>
                <w:szCs w:val="22"/>
              </w:rPr>
            </w:pPr>
            <w:r w:rsidRPr="004410BC">
              <w:rPr>
                <w:sz w:val="22"/>
                <w:szCs w:val="22"/>
              </w:rPr>
              <w:t>10.1111/hex.14160</w:t>
            </w:r>
          </w:p>
        </w:tc>
        <w:tc>
          <w:tcPr>
            <w:tcW w:w="567" w:type="dxa"/>
            <w:noWrap/>
            <w:hideMark/>
          </w:tcPr>
          <w:p w14:paraId="5E43C8A5" w14:textId="77777777" w:rsidR="00430F22" w:rsidRPr="004410BC" w:rsidRDefault="00430F22" w:rsidP="00236C76">
            <w:pPr>
              <w:rPr>
                <w:sz w:val="22"/>
                <w:szCs w:val="22"/>
              </w:rPr>
            </w:pPr>
            <w:r w:rsidRPr="004410BC">
              <w:rPr>
                <w:sz w:val="22"/>
                <w:szCs w:val="22"/>
              </w:rPr>
              <w:t>1</w:t>
            </w:r>
          </w:p>
        </w:tc>
        <w:tc>
          <w:tcPr>
            <w:tcW w:w="850" w:type="dxa"/>
            <w:noWrap/>
            <w:hideMark/>
          </w:tcPr>
          <w:p w14:paraId="69753C87" w14:textId="77777777" w:rsidR="00430F22" w:rsidRPr="004410BC" w:rsidRDefault="00430F22" w:rsidP="00236C76">
            <w:pPr>
              <w:rPr>
                <w:sz w:val="22"/>
                <w:szCs w:val="22"/>
              </w:rPr>
            </w:pPr>
          </w:p>
        </w:tc>
      </w:tr>
      <w:tr w:rsidR="00430F22" w:rsidRPr="004410BC" w14:paraId="5F9D79C8" w14:textId="77777777" w:rsidTr="00006094">
        <w:trPr>
          <w:trHeight w:val="315"/>
        </w:trPr>
        <w:tc>
          <w:tcPr>
            <w:tcW w:w="331" w:type="dxa"/>
            <w:noWrap/>
            <w:hideMark/>
          </w:tcPr>
          <w:p w14:paraId="00FB47D1" w14:textId="77777777" w:rsidR="00430F22" w:rsidRPr="004410BC" w:rsidRDefault="00430F22" w:rsidP="00236C76">
            <w:pPr>
              <w:rPr>
                <w:sz w:val="22"/>
                <w:szCs w:val="22"/>
              </w:rPr>
            </w:pPr>
            <w:r w:rsidRPr="004410BC">
              <w:rPr>
                <w:sz w:val="22"/>
                <w:szCs w:val="22"/>
              </w:rPr>
              <w:t>6</w:t>
            </w:r>
          </w:p>
        </w:tc>
        <w:tc>
          <w:tcPr>
            <w:tcW w:w="673" w:type="dxa"/>
            <w:noWrap/>
            <w:hideMark/>
          </w:tcPr>
          <w:p w14:paraId="42FEC889" w14:textId="77777777" w:rsidR="00430F22" w:rsidRPr="004410BC" w:rsidRDefault="00430F22" w:rsidP="00236C76">
            <w:pPr>
              <w:rPr>
                <w:sz w:val="22"/>
                <w:szCs w:val="22"/>
              </w:rPr>
            </w:pPr>
            <w:r w:rsidRPr="004410BC">
              <w:rPr>
                <w:sz w:val="22"/>
                <w:szCs w:val="22"/>
              </w:rPr>
              <w:t>Islam, Bailey and Netto (2024)</w:t>
            </w:r>
          </w:p>
        </w:tc>
        <w:tc>
          <w:tcPr>
            <w:tcW w:w="1072" w:type="dxa"/>
            <w:hideMark/>
          </w:tcPr>
          <w:p w14:paraId="435FFEAC" w14:textId="77777777" w:rsidR="00430F22" w:rsidRPr="004410BC" w:rsidRDefault="00430F22" w:rsidP="00236C76">
            <w:pPr>
              <w:rPr>
                <w:sz w:val="22"/>
                <w:szCs w:val="22"/>
              </w:rPr>
            </w:pPr>
            <w:r w:rsidRPr="004410BC">
              <w:rPr>
                <w:sz w:val="22"/>
                <w:szCs w:val="22"/>
              </w:rPr>
              <w:t>Digitalised primary care in the UK: a qualitative study of the experiences of minoritised ethnic communities</w:t>
            </w:r>
          </w:p>
        </w:tc>
        <w:tc>
          <w:tcPr>
            <w:tcW w:w="873" w:type="dxa"/>
            <w:hideMark/>
          </w:tcPr>
          <w:p w14:paraId="54B9D5B0" w14:textId="77777777" w:rsidR="00430F22" w:rsidRPr="004410BC" w:rsidRDefault="00430F22" w:rsidP="00236C76">
            <w:pPr>
              <w:rPr>
                <w:sz w:val="22"/>
                <w:szCs w:val="22"/>
              </w:rPr>
            </w:pPr>
            <w:r w:rsidRPr="004410BC">
              <w:rPr>
                <w:sz w:val="22"/>
                <w:szCs w:val="22"/>
              </w:rPr>
              <w:t>British Journal of General Practice</w:t>
            </w:r>
          </w:p>
        </w:tc>
        <w:tc>
          <w:tcPr>
            <w:tcW w:w="564" w:type="dxa"/>
            <w:noWrap/>
            <w:hideMark/>
          </w:tcPr>
          <w:p w14:paraId="7847AC88" w14:textId="77777777" w:rsidR="00430F22" w:rsidRPr="004410BC" w:rsidRDefault="00430F22" w:rsidP="00236C76">
            <w:pPr>
              <w:rPr>
                <w:sz w:val="22"/>
                <w:szCs w:val="22"/>
              </w:rPr>
            </w:pPr>
            <w:r w:rsidRPr="004410BC">
              <w:rPr>
                <w:sz w:val="22"/>
                <w:szCs w:val="22"/>
              </w:rPr>
              <w:t>74</w:t>
            </w:r>
          </w:p>
        </w:tc>
        <w:tc>
          <w:tcPr>
            <w:tcW w:w="639" w:type="dxa"/>
            <w:noWrap/>
            <w:hideMark/>
          </w:tcPr>
          <w:p w14:paraId="70B2D750" w14:textId="77777777" w:rsidR="00430F22" w:rsidRPr="004410BC" w:rsidRDefault="00430F22" w:rsidP="00236C76">
            <w:pPr>
              <w:rPr>
                <w:sz w:val="22"/>
                <w:szCs w:val="22"/>
              </w:rPr>
            </w:pPr>
            <w:r w:rsidRPr="004410BC">
              <w:rPr>
                <w:sz w:val="22"/>
                <w:szCs w:val="22"/>
              </w:rPr>
              <w:t>749</w:t>
            </w:r>
          </w:p>
        </w:tc>
        <w:tc>
          <w:tcPr>
            <w:tcW w:w="639" w:type="dxa"/>
            <w:noWrap/>
            <w:hideMark/>
          </w:tcPr>
          <w:p w14:paraId="17FB0649" w14:textId="77777777" w:rsidR="00430F22" w:rsidRPr="004410BC" w:rsidRDefault="00430F22" w:rsidP="00236C76">
            <w:pPr>
              <w:rPr>
                <w:sz w:val="22"/>
                <w:szCs w:val="22"/>
              </w:rPr>
            </w:pPr>
            <w:r w:rsidRPr="004410BC">
              <w:rPr>
                <w:sz w:val="22"/>
                <w:szCs w:val="22"/>
              </w:rPr>
              <w:t>e823</w:t>
            </w:r>
          </w:p>
        </w:tc>
        <w:tc>
          <w:tcPr>
            <w:tcW w:w="8104" w:type="dxa"/>
            <w:hideMark/>
          </w:tcPr>
          <w:p w14:paraId="142CD97E" w14:textId="5C72555B" w:rsidR="00430F22" w:rsidRPr="004410BC" w:rsidRDefault="00430F22" w:rsidP="00236C76">
            <w:pPr>
              <w:rPr>
                <w:sz w:val="22"/>
                <w:szCs w:val="22"/>
              </w:rPr>
            </w:pPr>
            <w:r w:rsidRPr="004410BC">
              <w:rPr>
                <w:sz w:val="22"/>
                <w:szCs w:val="22"/>
              </w:rPr>
              <w:t>Background: The introduction of screening in the UK and other high-income</w:t>
            </w:r>
            <w:r w:rsidRPr="004410BC">
              <w:rPr>
                <w:sz w:val="22"/>
                <w:szCs w:val="22"/>
              </w:rPr>
              <w:br/>
              <w:t>countries</w:t>
            </w:r>
            <w:r w:rsidRPr="004410BC">
              <w:rPr>
                <w:sz w:val="22"/>
                <w:szCs w:val="22"/>
              </w:rPr>
              <w:br/>
              <w:t xml:space="preserve">led to a significant decrease in the incidence of cervical cancer and </w:t>
            </w:r>
            <w:r w:rsidR="00BD5B20" w:rsidRPr="004410BC">
              <w:rPr>
                <w:sz w:val="22"/>
                <w:szCs w:val="22"/>
              </w:rPr>
              <w:t xml:space="preserve">an </w:t>
            </w:r>
            <w:r w:rsidRPr="004410BC">
              <w:rPr>
                <w:sz w:val="22"/>
                <w:szCs w:val="22"/>
              </w:rPr>
              <w:t>increase in</w:t>
            </w:r>
            <w:r w:rsidRPr="004410BC">
              <w:rPr>
                <w:sz w:val="22"/>
                <w:szCs w:val="22"/>
              </w:rPr>
              <w:br/>
              <w:t>survival rates. Minority ethnic groups are often underrepresented in screening participation</w:t>
            </w:r>
            <w:r w:rsidR="00BD5B20" w:rsidRPr="004410BC">
              <w:rPr>
                <w:sz w:val="22"/>
                <w:szCs w:val="22"/>
              </w:rPr>
              <w:t>.</w:t>
            </w:r>
            <w:r w:rsidRPr="004410BC">
              <w:rPr>
                <w:sz w:val="22"/>
                <w:szCs w:val="22"/>
              </w:rPr>
              <w:br/>
              <w:t>for reasons that are poorly understood.</w:t>
            </w:r>
            <w:r w:rsidRPr="004410BC">
              <w:rPr>
                <w:sz w:val="22"/>
                <w:szCs w:val="22"/>
              </w:rPr>
              <w:br/>
              <w:t>Objective: To explore experiences of cervical screening participation and non-participation</w:t>
            </w:r>
            <w:r w:rsidRPr="004410BC">
              <w:rPr>
                <w:sz w:val="22"/>
                <w:szCs w:val="22"/>
              </w:rPr>
              <w:br/>
              <w:t>of women from minority ethnic populations in Scotland and gain insights</w:t>
            </w:r>
            <w:r w:rsidRPr="004410BC">
              <w:rPr>
                <w:sz w:val="22"/>
                <w:szCs w:val="22"/>
              </w:rPr>
              <w:br/>
              <w:t>to support the development of interventions that could potentially support</w:t>
            </w:r>
            <w:r w:rsidRPr="004410BC">
              <w:rPr>
                <w:sz w:val="22"/>
                <w:szCs w:val="22"/>
              </w:rPr>
              <w:br/>
              <w:t>screening participation and thereby reduce inequalities.</w:t>
            </w:r>
            <w:r w:rsidRPr="004410BC">
              <w:rPr>
                <w:sz w:val="22"/>
                <w:szCs w:val="22"/>
              </w:rPr>
              <w:br/>
              <w:t>Design: Qualitative comparison group study using in-depth,</w:t>
            </w:r>
            <w:r w:rsidRPr="004410BC">
              <w:rPr>
                <w:sz w:val="22"/>
                <w:szCs w:val="22"/>
              </w:rPr>
              <w:br/>
              <w:t>semi-structured</w:t>
            </w:r>
            <w:r w:rsidRPr="004410BC">
              <w:rPr>
                <w:sz w:val="22"/>
                <w:szCs w:val="22"/>
              </w:rPr>
              <w:br/>
              <w:t>individual</w:t>
            </w:r>
            <w:r w:rsidRPr="004410BC">
              <w:rPr>
                <w:sz w:val="22"/>
                <w:szCs w:val="22"/>
              </w:rPr>
              <w:br/>
              <w:t>interviews that were thematically analysed.</w:t>
            </w:r>
            <w:r w:rsidRPr="004410BC">
              <w:rPr>
                <w:sz w:val="22"/>
                <w:szCs w:val="22"/>
              </w:rPr>
              <w:br/>
              <w:t>Setting and participants: This study took place in Scotland. Fifty women were purposively</w:t>
            </w:r>
            <w:r w:rsidRPr="004410BC">
              <w:rPr>
                <w:sz w:val="22"/>
                <w:szCs w:val="22"/>
              </w:rPr>
              <w:br/>
              <w:t>sampled from four ethnic minority groups: South Asian; East European; Chinese;</w:t>
            </w:r>
            <w:r w:rsidRPr="004410BC">
              <w:rPr>
                <w:sz w:val="22"/>
                <w:szCs w:val="22"/>
              </w:rPr>
              <w:br/>
              <w:t>and Black African or Caribbean. White Scottish women were also interviewed.</w:t>
            </w:r>
            <w:r w:rsidRPr="004410BC">
              <w:rPr>
                <w:sz w:val="22"/>
                <w:szCs w:val="22"/>
              </w:rPr>
              <w:br/>
              <w:t>Results: Many experiences described were common regardless of ethnicity, such as</w:t>
            </w:r>
            <w:r w:rsidRPr="004410BC">
              <w:rPr>
                <w:sz w:val="22"/>
                <w:szCs w:val="22"/>
              </w:rPr>
              <w:br/>
              <w:t>difficulties managing competing priorities, including work and care responsibilities.</w:t>
            </w:r>
            <w:r w:rsidRPr="004410BC">
              <w:rPr>
                <w:sz w:val="22"/>
                <w:szCs w:val="22"/>
              </w:rPr>
              <w:br/>
              <w:t>However, important differences existed across the groups. These included going</w:t>
            </w:r>
            <w:r w:rsidRPr="004410BC">
              <w:rPr>
                <w:sz w:val="22"/>
                <w:szCs w:val="22"/>
              </w:rPr>
              <w:br/>
              <w:t>abroad for more frequent screening, delayed introduction to screening and not accessing</w:t>
            </w:r>
            <w:r w:rsidRPr="004410BC">
              <w:rPr>
                <w:sz w:val="22"/>
                <w:szCs w:val="22"/>
              </w:rPr>
              <w:br/>
              <w:t>primary care services, language difficulties in health-care</w:t>
            </w:r>
            <w:r w:rsidRPr="004410BC">
              <w:rPr>
                <w:sz w:val="22"/>
                <w:szCs w:val="22"/>
              </w:rPr>
              <w:br/>
              <w:t>settings despite</w:t>
            </w:r>
            <w:r w:rsidRPr="004410BC">
              <w:rPr>
                <w:sz w:val="22"/>
                <w:szCs w:val="22"/>
              </w:rPr>
              <w:br/>
              <w:t>proficiency in English and not being sexually active at screening commencement.</w:t>
            </w:r>
            <w:r w:rsidRPr="004410BC">
              <w:rPr>
                <w:sz w:val="22"/>
                <w:szCs w:val="22"/>
              </w:rPr>
              <w:br/>
              <w:t>Experiences of racism, ignorance and feeling shamed were also reported.</w:t>
            </w:r>
            <w:r w:rsidRPr="004410BC">
              <w:rPr>
                <w:sz w:val="22"/>
                <w:szCs w:val="22"/>
              </w:rPr>
              <w:br/>
              <w:t>Conclusions: Key differences exist in the experience of minority ethnic groups in</w:t>
            </w:r>
            <w:r w:rsidRPr="004410BC">
              <w:rPr>
                <w:sz w:val="22"/>
                <w:szCs w:val="22"/>
              </w:rPr>
              <w:br/>
              <w:t>Scotland. These offer potential opportunities to reduce disparity and support screening participation including maximi</w:t>
            </w:r>
            <w:r w:rsidR="005879A6" w:rsidRPr="004410BC">
              <w:rPr>
                <w:sz w:val="22"/>
                <w:szCs w:val="22"/>
              </w:rPr>
              <w:t>s</w:t>
            </w:r>
            <w:r w:rsidRPr="004410BC">
              <w:rPr>
                <w:sz w:val="22"/>
                <w:szCs w:val="22"/>
              </w:rPr>
              <w:t>ing co-incidental</w:t>
            </w:r>
            <w:r w:rsidRPr="004410BC">
              <w:rPr>
                <w:sz w:val="22"/>
                <w:szCs w:val="22"/>
              </w:rPr>
              <w:br/>
              <w:t>interactions and developing</w:t>
            </w:r>
            <w:r w:rsidRPr="004410BC">
              <w:rPr>
                <w:sz w:val="22"/>
                <w:szCs w:val="22"/>
              </w:rPr>
              <w:br/>
              <w:t>outreach work.</w:t>
            </w:r>
          </w:p>
        </w:tc>
        <w:tc>
          <w:tcPr>
            <w:tcW w:w="567" w:type="dxa"/>
            <w:hideMark/>
          </w:tcPr>
          <w:p w14:paraId="17A06861" w14:textId="77777777" w:rsidR="00430F22" w:rsidRPr="004410BC" w:rsidRDefault="00430F22" w:rsidP="00236C76">
            <w:pPr>
              <w:rPr>
                <w:sz w:val="22"/>
                <w:szCs w:val="22"/>
              </w:rPr>
            </w:pPr>
            <w:r w:rsidRPr="004410BC">
              <w:rPr>
                <w:sz w:val="22"/>
                <w:szCs w:val="22"/>
              </w:rPr>
              <w:t>10.3399/BJGP.2024.0308</w:t>
            </w:r>
          </w:p>
        </w:tc>
        <w:tc>
          <w:tcPr>
            <w:tcW w:w="567" w:type="dxa"/>
            <w:noWrap/>
            <w:hideMark/>
          </w:tcPr>
          <w:p w14:paraId="7FD10E27" w14:textId="77777777" w:rsidR="00430F22" w:rsidRPr="004410BC" w:rsidRDefault="00430F22" w:rsidP="00236C76">
            <w:pPr>
              <w:rPr>
                <w:sz w:val="22"/>
                <w:szCs w:val="22"/>
              </w:rPr>
            </w:pPr>
            <w:r w:rsidRPr="004410BC">
              <w:rPr>
                <w:sz w:val="22"/>
                <w:szCs w:val="22"/>
              </w:rPr>
              <w:t>1</w:t>
            </w:r>
          </w:p>
        </w:tc>
        <w:tc>
          <w:tcPr>
            <w:tcW w:w="850" w:type="dxa"/>
            <w:noWrap/>
            <w:hideMark/>
          </w:tcPr>
          <w:p w14:paraId="1218E1DC" w14:textId="77777777" w:rsidR="00430F22" w:rsidRPr="004410BC" w:rsidRDefault="00430F22" w:rsidP="00236C76">
            <w:pPr>
              <w:rPr>
                <w:sz w:val="22"/>
                <w:szCs w:val="22"/>
              </w:rPr>
            </w:pPr>
          </w:p>
        </w:tc>
      </w:tr>
      <w:tr w:rsidR="00430F22" w:rsidRPr="004410BC" w14:paraId="46FC2F12" w14:textId="77777777" w:rsidTr="00006094">
        <w:trPr>
          <w:trHeight w:val="315"/>
        </w:trPr>
        <w:tc>
          <w:tcPr>
            <w:tcW w:w="331" w:type="dxa"/>
            <w:noWrap/>
            <w:hideMark/>
          </w:tcPr>
          <w:p w14:paraId="3755C4B9" w14:textId="77777777" w:rsidR="00430F22" w:rsidRPr="004410BC" w:rsidRDefault="00430F22" w:rsidP="00236C76">
            <w:pPr>
              <w:rPr>
                <w:sz w:val="22"/>
                <w:szCs w:val="22"/>
              </w:rPr>
            </w:pPr>
            <w:r w:rsidRPr="004410BC">
              <w:rPr>
                <w:sz w:val="22"/>
                <w:szCs w:val="22"/>
              </w:rPr>
              <w:t>7</w:t>
            </w:r>
          </w:p>
        </w:tc>
        <w:tc>
          <w:tcPr>
            <w:tcW w:w="673" w:type="dxa"/>
            <w:noWrap/>
            <w:hideMark/>
          </w:tcPr>
          <w:p w14:paraId="7068C997" w14:textId="77777777" w:rsidR="00430F22" w:rsidRPr="004410BC" w:rsidRDefault="00430F22" w:rsidP="00236C76">
            <w:pPr>
              <w:rPr>
                <w:sz w:val="22"/>
                <w:szCs w:val="22"/>
              </w:rPr>
            </w:pPr>
            <w:r w:rsidRPr="004410BC">
              <w:rPr>
                <w:sz w:val="22"/>
                <w:szCs w:val="22"/>
              </w:rPr>
              <w:t>Jovanović et al. (2025)</w:t>
            </w:r>
          </w:p>
        </w:tc>
        <w:tc>
          <w:tcPr>
            <w:tcW w:w="1072" w:type="dxa"/>
            <w:hideMark/>
          </w:tcPr>
          <w:p w14:paraId="7F0AA4A1" w14:textId="1C4B10F6" w:rsidR="00430F22" w:rsidRPr="004410BC" w:rsidRDefault="00430F22" w:rsidP="00236C76">
            <w:pPr>
              <w:rPr>
                <w:sz w:val="22"/>
                <w:szCs w:val="22"/>
              </w:rPr>
            </w:pPr>
            <w:r w:rsidRPr="004410BC">
              <w:rPr>
                <w:sz w:val="22"/>
                <w:szCs w:val="22"/>
              </w:rPr>
              <w:t xml:space="preserve">Barriers to accessing perinatal mental health services and suggestions for improvement: qualitative study of women of Black and </w:t>
            </w:r>
            <w:r w:rsidR="00BD5B20" w:rsidRPr="004410BC">
              <w:rPr>
                <w:sz w:val="22"/>
                <w:szCs w:val="22"/>
              </w:rPr>
              <w:t>S</w:t>
            </w:r>
            <w:r w:rsidRPr="004410BC">
              <w:rPr>
                <w:sz w:val="22"/>
                <w:szCs w:val="22"/>
              </w:rPr>
              <w:t>outh Asian backgrounds</w:t>
            </w:r>
          </w:p>
        </w:tc>
        <w:tc>
          <w:tcPr>
            <w:tcW w:w="873" w:type="dxa"/>
            <w:hideMark/>
          </w:tcPr>
          <w:p w14:paraId="565AC194" w14:textId="77777777" w:rsidR="00430F22" w:rsidRPr="004410BC" w:rsidRDefault="00430F22" w:rsidP="00236C76">
            <w:pPr>
              <w:rPr>
                <w:sz w:val="22"/>
                <w:szCs w:val="22"/>
              </w:rPr>
            </w:pPr>
            <w:r w:rsidRPr="004410BC">
              <w:rPr>
                <w:sz w:val="22"/>
                <w:szCs w:val="22"/>
              </w:rPr>
              <w:t>BJPsych Bulletin</w:t>
            </w:r>
          </w:p>
        </w:tc>
        <w:tc>
          <w:tcPr>
            <w:tcW w:w="564" w:type="dxa"/>
            <w:noWrap/>
            <w:hideMark/>
          </w:tcPr>
          <w:p w14:paraId="72C125CD" w14:textId="77777777" w:rsidR="00430F22" w:rsidRPr="004410BC" w:rsidRDefault="00430F22" w:rsidP="00236C76">
            <w:pPr>
              <w:rPr>
                <w:sz w:val="22"/>
                <w:szCs w:val="22"/>
              </w:rPr>
            </w:pPr>
            <w:r w:rsidRPr="004410BC">
              <w:rPr>
                <w:sz w:val="22"/>
                <w:szCs w:val="22"/>
              </w:rPr>
              <w:t>49</w:t>
            </w:r>
          </w:p>
        </w:tc>
        <w:tc>
          <w:tcPr>
            <w:tcW w:w="639" w:type="dxa"/>
            <w:noWrap/>
            <w:hideMark/>
          </w:tcPr>
          <w:p w14:paraId="76D41DE9" w14:textId="77777777" w:rsidR="00430F22" w:rsidRPr="004410BC" w:rsidRDefault="00430F22" w:rsidP="00236C76">
            <w:pPr>
              <w:rPr>
                <w:sz w:val="22"/>
                <w:szCs w:val="22"/>
              </w:rPr>
            </w:pPr>
            <w:r w:rsidRPr="004410BC">
              <w:rPr>
                <w:sz w:val="22"/>
                <w:szCs w:val="22"/>
              </w:rPr>
              <w:t>Not Specified</w:t>
            </w:r>
          </w:p>
        </w:tc>
        <w:tc>
          <w:tcPr>
            <w:tcW w:w="639" w:type="dxa"/>
            <w:noWrap/>
            <w:hideMark/>
          </w:tcPr>
          <w:p w14:paraId="428C57F9" w14:textId="77777777" w:rsidR="00430F22" w:rsidRPr="004410BC" w:rsidRDefault="00430F22" w:rsidP="00236C76">
            <w:pPr>
              <w:rPr>
                <w:sz w:val="22"/>
                <w:szCs w:val="22"/>
              </w:rPr>
            </w:pPr>
            <w:r w:rsidRPr="004410BC">
              <w:rPr>
                <w:sz w:val="22"/>
                <w:szCs w:val="22"/>
              </w:rPr>
              <w:t>299–306</w:t>
            </w:r>
          </w:p>
        </w:tc>
        <w:tc>
          <w:tcPr>
            <w:tcW w:w="8104" w:type="dxa"/>
            <w:hideMark/>
          </w:tcPr>
          <w:p w14:paraId="1D17CDB1" w14:textId="3439C082" w:rsidR="00430F22" w:rsidRPr="004410BC" w:rsidRDefault="00430F22" w:rsidP="00236C76">
            <w:pPr>
              <w:rPr>
                <w:sz w:val="22"/>
                <w:szCs w:val="22"/>
              </w:rPr>
            </w:pPr>
            <w:r w:rsidRPr="004410BC">
              <w:rPr>
                <w:sz w:val="22"/>
                <w:szCs w:val="22"/>
              </w:rPr>
              <w:t>Background</w:t>
            </w:r>
            <w:r w:rsidR="00BD5B20" w:rsidRPr="004410BC">
              <w:rPr>
                <w:sz w:val="22"/>
                <w:szCs w:val="22"/>
              </w:rPr>
              <w:t>:</w:t>
            </w:r>
            <w:r w:rsidRPr="004410BC">
              <w:rPr>
                <w:sz w:val="22"/>
                <w:szCs w:val="22"/>
              </w:rPr>
              <w:t xml:space="preserve"> Maternity outcomes for women from certain ethnic groups are notably</w:t>
            </w:r>
            <w:r w:rsidRPr="004410BC">
              <w:rPr>
                <w:sz w:val="22"/>
                <w:szCs w:val="22"/>
              </w:rPr>
              <w:br/>
              <w:t>poor, partly owing to their not receiving treatment from services.</w:t>
            </w:r>
            <w:r w:rsidRPr="004410BC">
              <w:rPr>
                <w:sz w:val="22"/>
                <w:szCs w:val="22"/>
              </w:rPr>
              <w:br/>
              <w:t>Aims</w:t>
            </w:r>
            <w:r w:rsidR="00BD5B20" w:rsidRPr="004410BC">
              <w:rPr>
                <w:sz w:val="22"/>
                <w:szCs w:val="22"/>
              </w:rPr>
              <w:t>:</w:t>
            </w:r>
            <w:r w:rsidRPr="004410BC">
              <w:rPr>
                <w:sz w:val="22"/>
                <w:szCs w:val="22"/>
              </w:rPr>
              <w:t xml:space="preserve"> To explore barriers to access among Black and </w:t>
            </w:r>
            <w:r w:rsidR="00BD5B20" w:rsidRPr="004410BC">
              <w:rPr>
                <w:sz w:val="22"/>
                <w:szCs w:val="22"/>
              </w:rPr>
              <w:t>S</w:t>
            </w:r>
            <w:r w:rsidRPr="004410BC">
              <w:rPr>
                <w:sz w:val="22"/>
                <w:szCs w:val="22"/>
              </w:rPr>
              <w:t>outh Asian women with</w:t>
            </w:r>
            <w:r w:rsidRPr="004410BC">
              <w:rPr>
                <w:sz w:val="22"/>
                <w:szCs w:val="22"/>
              </w:rPr>
              <w:br/>
              <w:t>perinatal mental health problems who did not access perinatal mental health services</w:t>
            </w:r>
            <w:r w:rsidRPr="004410BC">
              <w:rPr>
                <w:sz w:val="22"/>
                <w:szCs w:val="22"/>
              </w:rPr>
              <w:br/>
              <w:t>and suggestions for improvements, and to map findings onto the perinatal care</w:t>
            </w:r>
            <w:r w:rsidRPr="004410BC">
              <w:rPr>
                <w:sz w:val="22"/>
                <w:szCs w:val="22"/>
              </w:rPr>
              <w:br/>
              <w:t>pathway.</w:t>
            </w:r>
            <w:r w:rsidRPr="004410BC">
              <w:rPr>
                <w:sz w:val="22"/>
                <w:szCs w:val="22"/>
              </w:rPr>
              <w:br/>
              <w:t>Method</w:t>
            </w:r>
            <w:r w:rsidR="00BD5B20" w:rsidRPr="004410BC">
              <w:rPr>
                <w:sz w:val="22"/>
                <w:szCs w:val="22"/>
              </w:rPr>
              <w:t>:</w:t>
            </w:r>
            <w:r w:rsidRPr="004410BC">
              <w:rPr>
                <w:sz w:val="22"/>
                <w:szCs w:val="22"/>
              </w:rPr>
              <w:t xml:space="preserve"> Semi-structured interviews were conducted in 2020 and 2021 in the UK.</w:t>
            </w:r>
            <w:r w:rsidRPr="004410BC">
              <w:rPr>
                <w:sz w:val="22"/>
                <w:szCs w:val="22"/>
              </w:rPr>
              <w:br/>
              <w:t>Data were analysed using the framework method.</w:t>
            </w:r>
            <w:r w:rsidRPr="004410BC">
              <w:rPr>
                <w:sz w:val="22"/>
                <w:szCs w:val="22"/>
              </w:rPr>
              <w:br/>
              <w:t>Results</w:t>
            </w:r>
            <w:r w:rsidR="00BD5B20" w:rsidRPr="004410BC">
              <w:rPr>
                <w:sz w:val="22"/>
                <w:szCs w:val="22"/>
              </w:rPr>
              <w:t>:</w:t>
            </w:r>
            <w:r w:rsidRPr="004410BC">
              <w:rPr>
                <w:sz w:val="22"/>
                <w:szCs w:val="22"/>
              </w:rPr>
              <w:t xml:space="preserve"> Twenty-three women were interviewed, and various barriers were</w:t>
            </w:r>
            <w:r w:rsidRPr="004410BC">
              <w:rPr>
                <w:sz w:val="22"/>
                <w:szCs w:val="22"/>
              </w:rPr>
              <w:br/>
              <w:t>identified, including limited awareness of services, fear of child removal, stigma and</w:t>
            </w:r>
            <w:r w:rsidRPr="004410BC">
              <w:rPr>
                <w:sz w:val="22"/>
                <w:szCs w:val="22"/>
              </w:rPr>
              <w:br/>
              <w:t>unresponsiveness of perinatal mental health services. Whereas most barriers were</w:t>
            </w:r>
            <w:r w:rsidRPr="004410BC">
              <w:rPr>
                <w:sz w:val="22"/>
                <w:szCs w:val="22"/>
              </w:rPr>
              <w:br/>
              <w:t>related to access, fear of child removal, remote appointments</w:t>
            </w:r>
            <w:r w:rsidR="00BD5B20" w:rsidRPr="004410BC">
              <w:rPr>
                <w:sz w:val="22"/>
                <w:szCs w:val="22"/>
              </w:rPr>
              <w:t>,</w:t>
            </w:r>
            <w:r w:rsidRPr="004410BC">
              <w:rPr>
                <w:sz w:val="22"/>
                <w:szCs w:val="22"/>
              </w:rPr>
              <w:t xml:space="preserve"> and mask-wearing</w:t>
            </w:r>
            <w:r w:rsidRPr="004410BC">
              <w:rPr>
                <w:sz w:val="22"/>
                <w:szCs w:val="22"/>
              </w:rPr>
              <w:br/>
              <w:t>during COVID-19 affected the whole pathway. Recommendations include service</w:t>
            </w:r>
            <w:r w:rsidRPr="004410BC">
              <w:rPr>
                <w:sz w:val="22"/>
                <w:szCs w:val="22"/>
              </w:rPr>
              <w:br/>
              <w:t>promotion, screening and enhanced cultural understanding.</w:t>
            </w:r>
            <w:r w:rsidRPr="004410BC">
              <w:rPr>
                <w:sz w:val="22"/>
                <w:szCs w:val="22"/>
              </w:rPr>
              <w:br/>
              <w:t>Conclusions</w:t>
            </w:r>
            <w:r w:rsidR="00BD5B20" w:rsidRPr="004410BC">
              <w:rPr>
                <w:sz w:val="22"/>
                <w:szCs w:val="22"/>
              </w:rPr>
              <w:t>:</w:t>
            </w:r>
            <w:r w:rsidRPr="004410BC">
              <w:rPr>
                <w:sz w:val="22"/>
                <w:szCs w:val="22"/>
              </w:rPr>
              <w:t xml:space="preserve"> Women in this study, an underrepresented population in published</w:t>
            </w:r>
            <w:r w:rsidRPr="004410BC">
              <w:rPr>
                <w:sz w:val="22"/>
                <w:szCs w:val="22"/>
              </w:rPr>
              <w:br/>
              <w:t>literature, face societal, cultural, organisational and individual barriers that affect</w:t>
            </w:r>
            <w:r w:rsidRPr="004410BC">
              <w:rPr>
                <w:sz w:val="22"/>
                <w:szCs w:val="22"/>
              </w:rPr>
              <w:br/>
              <w:t>different aspects of the perinatal pathway.</w:t>
            </w:r>
          </w:p>
        </w:tc>
        <w:tc>
          <w:tcPr>
            <w:tcW w:w="567" w:type="dxa"/>
            <w:hideMark/>
          </w:tcPr>
          <w:p w14:paraId="353AB7CC" w14:textId="77777777" w:rsidR="00430F22" w:rsidRPr="004410BC" w:rsidRDefault="00430F22" w:rsidP="00236C76">
            <w:pPr>
              <w:rPr>
                <w:sz w:val="22"/>
                <w:szCs w:val="22"/>
              </w:rPr>
            </w:pPr>
            <w:r w:rsidRPr="004410BC">
              <w:rPr>
                <w:sz w:val="22"/>
                <w:szCs w:val="22"/>
              </w:rPr>
              <w:t>10.1192/bjb.2024.82</w:t>
            </w:r>
          </w:p>
        </w:tc>
        <w:tc>
          <w:tcPr>
            <w:tcW w:w="567" w:type="dxa"/>
            <w:noWrap/>
            <w:hideMark/>
          </w:tcPr>
          <w:p w14:paraId="28A9E54D" w14:textId="77777777" w:rsidR="00430F22" w:rsidRPr="004410BC" w:rsidRDefault="00430F22" w:rsidP="00236C76">
            <w:pPr>
              <w:rPr>
                <w:sz w:val="22"/>
                <w:szCs w:val="22"/>
              </w:rPr>
            </w:pPr>
            <w:r w:rsidRPr="004410BC">
              <w:rPr>
                <w:sz w:val="22"/>
                <w:szCs w:val="22"/>
              </w:rPr>
              <w:t>1</w:t>
            </w:r>
          </w:p>
        </w:tc>
        <w:tc>
          <w:tcPr>
            <w:tcW w:w="850" w:type="dxa"/>
            <w:noWrap/>
            <w:hideMark/>
          </w:tcPr>
          <w:p w14:paraId="18CE8CCC" w14:textId="77777777" w:rsidR="00430F22" w:rsidRPr="004410BC" w:rsidRDefault="00430F22" w:rsidP="00236C76">
            <w:pPr>
              <w:rPr>
                <w:sz w:val="22"/>
                <w:szCs w:val="22"/>
              </w:rPr>
            </w:pPr>
          </w:p>
        </w:tc>
      </w:tr>
      <w:tr w:rsidR="00430F22" w:rsidRPr="004410BC" w14:paraId="1BA734BD" w14:textId="77777777" w:rsidTr="00006094">
        <w:trPr>
          <w:trHeight w:val="315"/>
        </w:trPr>
        <w:tc>
          <w:tcPr>
            <w:tcW w:w="331" w:type="dxa"/>
            <w:noWrap/>
            <w:hideMark/>
          </w:tcPr>
          <w:p w14:paraId="53A6B1E2" w14:textId="77777777" w:rsidR="00430F22" w:rsidRPr="004410BC" w:rsidRDefault="00430F22" w:rsidP="00236C76">
            <w:pPr>
              <w:rPr>
                <w:sz w:val="22"/>
                <w:szCs w:val="22"/>
              </w:rPr>
            </w:pPr>
            <w:r w:rsidRPr="004410BC">
              <w:rPr>
                <w:sz w:val="22"/>
                <w:szCs w:val="22"/>
              </w:rPr>
              <w:t>8</w:t>
            </w:r>
          </w:p>
        </w:tc>
        <w:tc>
          <w:tcPr>
            <w:tcW w:w="673" w:type="dxa"/>
            <w:noWrap/>
            <w:hideMark/>
          </w:tcPr>
          <w:p w14:paraId="3D031DF8" w14:textId="77777777" w:rsidR="00430F22" w:rsidRPr="004410BC" w:rsidRDefault="00430F22" w:rsidP="00236C76">
            <w:pPr>
              <w:rPr>
                <w:sz w:val="22"/>
                <w:szCs w:val="22"/>
              </w:rPr>
            </w:pPr>
            <w:r w:rsidRPr="004410BC">
              <w:rPr>
                <w:sz w:val="22"/>
                <w:szCs w:val="22"/>
              </w:rPr>
              <w:t>Linton et al. (2025)</w:t>
            </w:r>
          </w:p>
        </w:tc>
        <w:tc>
          <w:tcPr>
            <w:tcW w:w="1072" w:type="dxa"/>
            <w:noWrap/>
            <w:hideMark/>
          </w:tcPr>
          <w:p w14:paraId="3BA17807" w14:textId="77777777" w:rsidR="00430F22" w:rsidRPr="004410BC" w:rsidRDefault="00430F22" w:rsidP="00236C76">
            <w:pPr>
              <w:rPr>
                <w:sz w:val="22"/>
                <w:szCs w:val="22"/>
              </w:rPr>
            </w:pPr>
            <w:r w:rsidRPr="004410BC">
              <w:rPr>
                <w:sz w:val="22"/>
                <w:szCs w:val="22"/>
              </w:rPr>
              <w:t>Understanding women from ethnic minorities’ perspectives about contraception in the UK: a qualitative study using a participatory action research approach with community research link workers</w:t>
            </w:r>
          </w:p>
        </w:tc>
        <w:tc>
          <w:tcPr>
            <w:tcW w:w="873" w:type="dxa"/>
            <w:noWrap/>
            <w:hideMark/>
          </w:tcPr>
          <w:p w14:paraId="3C868294" w14:textId="77777777" w:rsidR="00430F22" w:rsidRPr="004410BC" w:rsidRDefault="00430F22" w:rsidP="00236C76">
            <w:pPr>
              <w:rPr>
                <w:sz w:val="22"/>
                <w:szCs w:val="22"/>
              </w:rPr>
            </w:pPr>
            <w:r w:rsidRPr="004410BC">
              <w:rPr>
                <w:sz w:val="22"/>
                <w:szCs w:val="22"/>
              </w:rPr>
              <w:t>BMJ Sexual &amp; Reproductive Health</w:t>
            </w:r>
          </w:p>
        </w:tc>
        <w:tc>
          <w:tcPr>
            <w:tcW w:w="564" w:type="dxa"/>
            <w:noWrap/>
            <w:hideMark/>
          </w:tcPr>
          <w:p w14:paraId="0F4C4009" w14:textId="77777777" w:rsidR="00430F22" w:rsidRPr="004410BC" w:rsidRDefault="00430F22" w:rsidP="00236C76">
            <w:pPr>
              <w:rPr>
                <w:sz w:val="22"/>
                <w:szCs w:val="22"/>
              </w:rPr>
            </w:pPr>
            <w:r w:rsidRPr="004410BC">
              <w:rPr>
                <w:sz w:val="22"/>
                <w:szCs w:val="22"/>
              </w:rPr>
              <w:t>26</w:t>
            </w:r>
          </w:p>
        </w:tc>
        <w:tc>
          <w:tcPr>
            <w:tcW w:w="639" w:type="dxa"/>
            <w:noWrap/>
            <w:hideMark/>
          </w:tcPr>
          <w:p w14:paraId="7B414BB1" w14:textId="77777777" w:rsidR="00430F22" w:rsidRPr="004410BC" w:rsidRDefault="00430F22" w:rsidP="00236C76">
            <w:pPr>
              <w:rPr>
                <w:sz w:val="22"/>
                <w:szCs w:val="22"/>
              </w:rPr>
            </w:pPr>
            <w:r w:rsidRPr="004410BC">
              <w:rPr>
                <w:sz w:val="22"/>
                <w:szCs w:val="22"/>
              </w:rPr>
              <w:t>Not Specified</w:t>
            </w:r>
          </w:p>
        </w:tc>
        <w:tc>
          <w:tcPr>
            <w:tcW w:w="639" w:type="dxa"/>
            <w:noWrap/>
            <w:hideMark/>
          </w:tcPr>
          <w:p w14:paraId="1301CEDF" w14:textId="77777777" w:rsidR="00430F22" w:rsidRPr="004410BC" w:rsidRDefault="00430F22" w:rsidP="00236C76">
            <w:pPr>
              <w:rPr>
                <w:sz w:val="22"/>
                <w:szCs w:val="22"/>
              </w:rPr>
            </w:pPr>
            <w:r w:rsidRPr="004410BC">
              <w:rPr>
                <w:sz w:val="22"/>
                <w:szCs w:val="22"/>
              </w:rPr>
              <w:t>191–198</w:t>
            </w:r>
          </w:p>
        </w:tc>
        <w:tc>
          <w:tcPr>
            <w:tcW w:w="8104" w:type="dxa"/>
            <w:hideMark/>
          </w:tcPr>
          <w:p w14:paraId="476A075F" w14:textId="1196A0B0" w:rsidR="00430F22" w:rsidRPr="004410BC" w:rsidRDefault="00430F22" w:rsidP="00236C76">
            <w:pPr>
              <w:rPr>
                <w:sz w:val="22"/>
                <w:szCs w:val="22"/>
              </w:rPr>
            </w:pPr>
            <w:r w:rsidRPr="004410BC">
              <w:rPr>
                <w:sz w:val="22"/>
                <w:szCs w:val="22"/>
              </w:rPr>
              <w:t>Background Contraception has revolutionised</w:t>
            </w:r>
            <w:r w:rsidRPr="004410BC">
              <w:rPr>
                <w:sz w:val="22"/>
                <w:szCs w:val="22"/>
              </w:rPr>
              <w:br/>
              <w:t>women’s health, enabling planned pregnancies</w:t>
            </w:r>
            <w:r w:rsidRPr="004410BC">
              <w:rPr>
                <w:sz w:val="22"/>
                <w:szCs w:val="22"/>
              </w:rPr>
              <w:br/>
              <w:t>and improved outcomes for mothers and babies.</w:t>
            </w:r>
            <w:r w:rsidRPr="004410BC">
              <w:rPr>
                <w:sz w:val="22"/>
                <w:szCs w:val="22"/>
              </w:rPr>
              <w:br/>
              <w:t>However, disparities exist in rates of unintended</w:t>
            </w:r>
            <w:r w:rsidRPr="004410BC">
              <w:rPr>
                <w:sz w:val="22"/>
                <w:szCs w:val="22"/>
              </w:rPr>
              <w:br/>
              <w:t>pregnancies and contraceptive uptake among</w:t>
            </w:r>
            <w:r w:rsidRPr="004410BC">
              <w:rPr>
                <w:sz w:val="22"/>
                <w:szCs w:val="22"/>
              </w:rPr>
              <w:br/>
              <w:t>ethnic groups. The reasons for this are poorly</w:t>
            </w:r>
            <w:r w:rsidR="00091CE6" w:rsidRPr="004410BC">
              <w:rPr>
                <w:sz w:val="22"/>
                <w:szCs w:val="22"/>
              </w:rPr>
              <w:t>.</w:t>
            </w:r>
            <w:r w:rsidRPr="004410BC">
              <w:rPr>
                <w:sz w:val="22"/>
                <w:szCs w:val="22"/>
              </w:rPr>
              <w:br/>
              <w:t>understood.</w:t>
            </w:r>
            <w:r w:rsidRPr="004410BC">
              <w:rPr>
                <w:sz w:val="22"/>
                <w:szCs w:val="22"/>
              </w:rPr>
              <w:br/>
              <w:t>Objective To understand women from ethnic</w:t>
            </w:r>
            <w:r w:rsidRPr="004410BC">
              <w:rPr>
                <w:sz w:val="22"/>
                <w:szCs w:val="22"/>
              </w:rPr>
              <w:br/>
              <w:t>minorities’ perspectives about contraception.</w:t>
            </w:r>
            <w:r w:rsidRPr="004410BC">
              <w:rPr>
                <w:sz w:val="22"/>
                <w:szCs w:val="22"/>
              </w:rPr>
              <w:br/>
              <w:t>Methods</w:t>
            </w:r>
            <w:r w:rsidR="00BD5B20" w:rsidRPr="004410BC">
              <w:rPr>
                <w:sz w:val="22"/>
                <w:szCs w:val="22"/>
              </w:rPr>
              <w:t>:</w:t>
            </w:r>
            <w:r w:rsidRPr="004410BC">
              <w:rPr>
                <w:sz w:val="22"/>
                <w:szCs w:val="22"/>
              </w:rPr>
              <w:t xml:space="preserve"> Our qualitative study used a</w:t>
            </w:r>
            <w:r w:rsidRPr="004410BC">
              <w:rPr>
                <w:sz w:val="22"/>
                <w:szCs w:val="22"/>
              </w:rPr>
              <w:br/>
              <w:t>participatory action research approach,</w:t>
            </w:r>
            <w:r w:rsidRPr="004410BC">
              <w:rPr>
                <w:sz w:val="22"/>
                <w:szCs w:val="22"/>
              </w:rPr>
              <w:br/>
              <w:t>utilising community research link workers.</w:t>
            </w:r>
            <w:r w:rsidRPr="004410BC">
              <w:rPr>
                <w:sz w:val="22"/>
                <w:szCs w:val="22"/>
              </w:rPr>
              <w:br/>
              <w:t>Public engagement was embedded in the</w:t>
            </w:r>
            <w:r w:rsidRPr="004410BC">
              <w:rPr>
                <w:sz w:val="22"/>
                <w:szCs w:val="22"/>
              </w:rPr>
              <w:br/>
              <w:t>study’s conception. We used focus groups and</w:t>
            </w:r>
            <w:r w:rsidRPr="004410BC">
              <w:rPr>
                <w:sz w:val="22"/>
                <w:szCs w:val="22"/>
              </w:rPr>
              <w:br/>
              <w:t>interviews to elicit perspectives, then analysed</w:t>
            </w:r>
            <w:r w:rsidRPr="004410BC">
              <w:rPr>
                <w:sz w:val="22"/>
                <w:szCs w:val="22"/>
              </w:rPr>
              <w:br/>
              <w:t>the data using thematic analysis. The study</w:t>
            </w:r>
            <w:r w:rsidRPr="004410BC">
              <w:rPr>
                <w:sz w:val="22"/>
                <w:szCs w:val="22"/>
              </w:rPr>
              <w:br/>
              <w:t>participants were women who self-identified</w:t>
            </w:r>
            <w:r w:rsidRPr="004410BC">
              <w:rPr>
                <w:sz w:val="22"/>
                <w:szCs w:val="22"/>
              </w:rPr>
              <w:br/>
              <w:t>as</w:t>
            </w:r>
            <w:r w:rsidRPr="004410BC">
              <w:rPr>
                <w:sz w:val="22"/>
                <w:szCs w:val="22"/>
              </w:rPr>
              <w:br/>
              <w:t>being from an ethnic minority group in Sheffield,</w:t>
            </w:r>
            <w:r w:rsidRPr="004410BC">
              <w:rPr>
                <w:sz w:val="22"/>
                <w:szCs w:val="22"/>
              </w:rPr>
              <w:br/>
              <w:t>UK.</w:t>
            </w:r>
            <w:r w:rsidRPr="004410BC">
              <w:rPr>
                <w:sz w:val="22"/>
                <w:szCs w:val="22"/>
              </w:rPr>
              <w:br/>
              <w:t>Results Thirty-six</w:t>
            </w:r>
            <w:r w:rsidRPr="004410BC">
              <w:rPr>
                <w:sz w:val="22"/>
                <w:szCs w:val="22"/>
              </w:rPr>
              <w:br/>
              <w:t>women participated in four</w:t>
            </w:r>
            <w:r w:rsidRPr="004410BC">
              <w:rPr>
                <w:sz w:val="22"/>
                <w:szCs w:val="22"/>
              </w:rPr>
              <w:br/>
              <w:t>focus groups and five interviews. Thematic</w:t>
            </w:r>
            <w:r w:rsidRPr="004410BC">
              <w:rPr>
                <w:sz w:val="22"/>
                <w:szCs w:val="22"/>
              </w:rPr>
              <w:br/>
              <w:t>analysis revealed four themes: (1) The role</w:t>
            </w:r>
            <w:r w:rsidRPr="004410BC">
              <w:rPr>
                <w:sz w:val="22"/>
                <w:szCs w:val="22"/>
              </w:rPr>
              <w:br/>
              <w:t>of contraception in a woman’s life, (2)</w:t>
            </w:r>
            <w:r w:rsidRPr="004410BC">
              <w:rPr>
                <w:sz w:val="22"/>
                <w:szCs w:val="22"/>
              </w:rPr>
              <w:br/>
              <w:t>External influencers, (3) Cultural and religious</w:t>
            </w:r>
            <w:r w:rsidRPr="004410BC">
              <w:rPr>
                <w:sz w:val="22"/>
                <w:szCs w:val="22"/>
              </w:rPr>
              <w:br/>
              <w:t>considerations and (4) Everyone is different</w:t>
            </w:r>
            <w:r w:rsidRPr="004410BC">
              <w:rPr>
                <w:sz w:val="22"/>
                <w:szCs w:val="22"/>
              </w:rPr>
              <w:br/>
              <w:t>(individuality). Contraceptive needs should be</w:t>
            </w:r>
            <w:r w:rsidRPr="004410BC">
              <w:rPr>
                <w:sz w:val="22"/>
                <w:szCs w:val="22"/>
              </w:rPr>
              <w:br/>
              <w:t>considered holistically, rather than with a siloed,</w:t>
            </w:r>
            <w:r w:rsidRPr="004410BC">
              <w:rPr>
                <w:sz w:val="22"/>
                <w:szCs w:val="22"/>
              </w:rPr>
              <w:br/>
              <w:t>targeted approach. ‘External influencers’, such</w:t>
            </w:r>
            <w:r w:rsidRPr="004410BC">
              <w:rPr>
                <w:sz w:val="22"/>
                <w:szCs w:val="22"/>
              </w:rPr>
              <w:br/>
              <w:t>as partners, family and communities, determine</w:t>
            </w:r>
            <w:r w:rsidRPr="004410BC">
              <w:rPr>
                <w:sz w:val="22"/>
                <w:szCs w:val="22"/>
              </w:rPr>
              <w:br/>
              <w:t>how contraception is accessed and experienced.</w:t>
            </w:r>
            <w:r w:rsidRPr="004410BC">
              <w:rPr>
                <w:sz w:val="22"/>
                <w:szCs w:val="22"/>
              </w:rPr>
              <w:br/>
              <w:t>‘Cultural considerations’, such as personal,</w:t>
            </w:r>
            <w:r w:rsidRPr="004410BC">
              <w:rPr>
                <w:sz w:val="22"/>
                <w:szCs w:val="22"/>
              </w:rPr>
              <w:br/>
              <w:t>sociocultural and religious factors specific</w:t>
            </w:r>
            <w:r w:rsidRPr="004410BC">
              <w:rPr>
                <w:sz w:val="22"/>
                <w:szCs w:val="22"/>
              </w:rPr>
              <w:br/>
              <w:t>to women from ethnic minorities, influence</w:t>
            </w:r>
            <w:r w:rsidRPr="004410BC">
              <w:rPr>
                <w:sz w:val="22"/>
                <w:szCs w:val="22"/>
              </w:rPr>
              <w:br/>
              <w:t>contraceptive choice. Conclusions</w:t>
            </w:r>
            <w:r w:rsidR="00091CE6" w:rsidRPr="004410BC">
              <w:rPr>
                <w:sz w:val="22"/>
                <w:szCs w:val="22"/>
              </w:rPr>
              <w:t>:</w:t>
            </w:r>
            <w:r w:rsidRPr="004410BC">
              <w:rPr>
                <w:sz w:val="22"/>
                <w:szCs w:val="22"/>
              </w:rPr>
              <w:t xml:space="preserve"> This study provides a transcultural</w:t>
            </w:r>
            <w:r w:rsidRPr="004410BC">
              <w:rPr>
                <w:sz w:val="22"/>
                <w:szCs w:val="22"/>
              </w:rPr>
              <w:br/>
              <w:t>perspective of the issues at play when a woman</w:t>
            </w:r>
            <w:r w:rsidRPr="004410BC">
              <w:rPr>
                <w:sz w:val="22"/>
                <w:szCs w:val="22"/>
              </w:rPr>
              <w:br/>
              <w:t>from an ethnic minority makes a decision</w:t>
            </w:r>
            <w:r w:rsidRPr="004410BC">
              <w:rPr>
                <w:sz w:val="22"/>
                <w:szCs w:val="22"/>
              </w:rPr>
              <w:br/>
              <w:t>about contraception. Practitioners and health</w:t>
            </w:r>
            <w:r w:rsidRPr="004410BC">
              <w:rPr>
                <w:sz w:val="22"/>
                <w:szCs w:val="22"/>
              </w:rPr>
              <w:br/>
              <w:t>providers must be culturally competent and tailor</w:t>
            </w:r>
            <w:r w:rsidRPr="004410BC">
              <w:rPr>
                <w:sz w:val="22"/>
                <w:szCs w:val="22"/>
              </w:rPr>
              <w:br/>
              <w:t>consultations and services to the individual.</w:t>
            </w:r>
          </w:p>
        </w:tc>
        <w:tc>
          <w:tcPr>
            <w:tcW w:w="567" w:type="dxa"/>
            <w:noWrap/>
            <w:hideMark/>
          </w:tcPr>
          <w:p w14:paraId="49A9907E" w14:textId="77777777" w:rsidR="00430F22" w:rsidRPr="004410BC" w:rsidRDefault="00430F22" w:rsidP="00236C76">
            <w:pPr>
              <w:rPr>
                <w:sz w:val="22"/>
                <w:szCs w:val="22"/>
              </w:rPr>
            </w:pPr>
            <w:r w:rsidRPr="004410BC">
              <w:rPr>
                <w:sz w:val="22"/>
                <w:szCs w:val="22"/>
              </w:rPr>
              <w:t>10.1136/bmjsrh-2024-202522</w:t>
            </w:r>
          </w:p>
        </w:tc>
        <w:tc>
          <w:tcPr>
            <w:tcW w:w="567" w:type="dxa"/>
            <w:noWrap/>
            <w:hideMark/>
          </w:tcPr>
          <w:p w14:paraId="09190878" w14:textId="77777777" w:rsidR="00430F22" w:rsidRPr="004410BC" w:rsidRDefault="00430F22" w:rsidP="00236C76">
            <w:pPr>
              <w:rPr>
                <w:sz w:val="22"/>
                <w:szCs w:val="22"/>
              </w:rPr>
            </w:pPr>
            <w:r w:rsidRPr="004410BC">
              <w:rPr>
                <w:sz w:val="22"/>
                <w:szCs w:val="22"/>
              </w:rPr>
              <w:t>1</w:t>
            </w:r>
          </w:p>
        </w:tc>
        <w:tc>
          <w:tcPr>
            <w:tcW w:w="850" w:type="dxa"/>
            <w:noWrap/>
            <w:hideMark/>
          </w:tcPr>
          <w:p w14:paraId="20669D24" w14:textId="77777777" w:rsidR="00430F22" w:rsidRPr="004410BC" w:rsidRDefault="00430F22" w:rsidP="00236C76">
            <w:pPr>
              <w:rPr>
                <w:sz w:val="22"/>
                <w:szCs w:val="22"/>
              </w:rPr>
            </w:pPr>
          </w:p>
        </w:tc>
      </w:tr>
      <w:tr w:rsidR="00430F22" w:rsidRPr="004410BC" w14:paraId="00A31145" w14:textId="77777777" w:rsidTr="00006094">
        <w:trPr>
          <w:trHeight w:val="315"/>
        </w:trPr>
        <w:tc>
          <w:tcPr>
            <w:tcW w:w="331" w:type="dxa"/>
            <w:noWrap/>
            <w:hideMark/>
          </w:tcPr>
          <w:p w14:paraId="789EF526" w14:textId="77777777" w:rsidR="00430F22" w:rsidRPr="004410BC" w:rsidRDefault="00430F22" w:rsidP="00236C76">
            <w:pPr>
              <w:rPr>
                <w:sz w:val="22"/>
                <w:szCs w:val="22"/>
              </w:rPr>
            </w:pPr>
            <w:r w:rsidRPr="004410BC">
              <w:rPr>
                <w:sz w:val="22"/>
                <w:szCs w:val="22"/>
              </w:rPr>
              <w:t>9</w:t>
            </w:r>
          </w:p>
        </w:tc>
        <w:tc>
          <w:tcPr>
            <w:tcW w:w="673" w:type="dxa"/>
            <w:noWrap/>
            <w:hideMark/>
          </w:tcPr>
          <w:p w14:paraId="052F9F61" w14:textId="77777777" w:rsidR="00430F22" w:rsidRPr="004410BC" w:rsidRDefault="00430F22" w:rsidP="00236C76">
            <w:pPr>
              <w:rPr>
                <w:sz w:val="22"/>
                <w:szCs w:val="22"/>
              </w:rPr>
            </w:pPr>
            <w:r w:rsidRPr="004410BC">
              <w:rPr>
                <w:sz w:val="22"/>
                <w:szCs w:val="22"/>
              </w:rPr>
              <w:t>Nelson et al. (2021)</w:t>
            </w:r>
          </w:p>
        </w:tc>
        <w:tc>
          <w:tcPr>
            <w:tcW w:w="1072" w:type="dxa"/>
            <w:noWrap/>
            <w:hideMark/>
          </w:tcPr>
          <w:p w14:paraId="0F02075C" w14:textId="77777777" w:rsidR="00430F22" w:rsidRPr="004410BC" w:rsidRDefault="00430F22" w:rsidP="00236C76">
            <w:pPr>
              <w:rPr>
                <w:sz w:val="22"/>
                <w:szCs w:val="22"/>
              </w:rPr>
            </w:pPr>
            <w:r w:rsidRPr="004410BC">
              <w:rPr>
                <w:sz w:val="22"/>
                <w:szCs w:val="22"/>
              </w:rPr>
              <w:t>Experiences of cervical screening participation and non-participation in women from minority ethnic populations in Scotland</w:t>
            </w:r>
          </w:p>
        </w:tc>
        <w:tc>
          <w:tcPr>
            <w:tcW w:w="873" w:type="dxa"/>
            <w:noWrap/>
            <w:hideMark/>
          </w:tcPr>
          <w:p w14:paraId="5BE113F6" w14:textId="77777777" w:rsidR="00430F22" w:rsidRPr="004410BC" w:rsidRDefault="00430F22" w:rsidP="00236C76">
            <w:pPr>
              <w:rPr>
                <w:sz w:val="22"/>
                <w:szCs w:val="22"/>
              </w:rPr>
            </w:pPr>
            <w:r w:rsidRPr="004410BC">
              <w:rPr>
                <w:sz w:val="22"/>
                <w:szCs w:val="22"/>
              </w:rPr>
              <w:t>Health Expectations</w:t>
            </w:r>
          </w:p>
        </w:tc>
        <w:tc>
          <w:tcPr>
            <w:tcW w:w="564" w:type="dxa"/>
            <w:noWrap/>
            <w:hideMark/>
          </w:tcPr>
          <w:p w14:paraId="64C79F67" w14:textId="77777777" w:rsidR="00430F22" w:rsidRPr="004410BC" w:rsidRDefault="00430F22" w:rsidP="00236C76">
            <w:pPr>
              <w:rPr>
                <w:sz w:val="22"/>
                <w:szCs w:val="22"/>
              </w:rPr>
            </w:pPr>
            <w:r w:rsidRPr="004410BC">
              <w:rPr>
                <w:sz w:val="22"/>
                <w:szCs w:val="22"/>
              </w:rPr>
              <w:t>107</w:t>
            </w:r>
          </w:p>
        </w:tc>
        <w:tc>
          <w:tcPr>
            <w:tcW w:w="639" w:type="dxa"/>
            <w:noWrap/>
            <w:hideMark/>
          </w:tcPr>
          <w:p w14:paraId="593B26DB" w14:textId="77777777" w:rsidR="00430F22" w:rsidRPr="004410BC" w:rsidRDefault="00430F22" w:rsidP="00236C76">
            <w:pPr>
              <w:rPr>
                <w:sz w:val="22"/>
                <w:szCs w:val="22"/>
              </w:rPr>
            </w:pPr>
            <w:r w:rsidRPr="004410BC">
              <w:rPr>
                <w:sz w:val="22"/>
                <w:szCs w:val="22"/>
              </w:rPr>
              <w:t>1</w:t>
            </w:r>
          </w:p>
        </w:tc>
        <w:tc>
          <w:tcPr>
            <w:tcW w:w="639" w:type="dxa"/>
            <w:noWrap/>
            <w:hideMark/>
          </w:tcPr>
          <w:p w14:paraId="4D4E83BD" w14:textId="77777777" w:rsidR="00430F22" w:rsidRPr="004410BC" w:rsidRDefault="00430F22" w:rsidP="00236C76">
            <w:pPr>
              <w:rPr>
                <w:sz w:val="22"/>
                <w:szCs w:val="22"/>
              </w:rPr>
            </w:pPr>
            <w:r w:rsidRPr="004410BC">
              <w:rPr>
                <w:sz w:val="22"/>
                <w:szCs w:val="22"/>
              </w:rPr>
              <w:t>1459–1470</w:t>
            </w:r>
          </w:p>
        </w:tc>
        <w:tc>
          <w:tcPr>
            <w:tcW w:w="8104" w:type="dxa"/>
            <w:noWrap/>
            <w:hideMark/>
          </w:tcPr>
          <w:p w14:paraId="5820BDE1" w14:textId="77777777" w:rsidR="00430F22" w:rsidRPr="004410BC" w:rsidRDefault="00430F22" w:rsidP="00236C76">
            <w:pPr>
              <w:rPr>
                <w:sz w:val="22"/>
                <w:szCs w:val="22"/>
              </w:rPr>
            </w:pPr>
            <w:r w:rsidRPr="004410BC">
              <w:rPr>
                <w:sz w:val="22"/>
                <w:szCs w:val="22"/>
              </w:rPr>
              <w:t>Minority ethnic groups are underrepresented in cervical screening participation. Many experiences were common regardless of ethnicity, such as managing competing priorities. Key differences included going abroad for frequent screening, delayed introduction to screening, language difficulties, and experiences of racism or shame.</w:t>
            </w:r>
          </w:p>
        </w:tc>
        <w:tc>
          <w:tcPr>
            <w:tcW w:w="567" w:type="dxa"/>
            <w:noWrap/>
            <w:hideMark/>
          </w:tcPr>
          <w:p w14:paraId="7B2140DE" w14:textId="77777777" w:rsidR="00430F22" w:rsidRPr="004410BC" w:rsidRDefault="00430F22" w:rsidP="00236C76">
            <w:pPr>
              <w:rPr>
                <w:sz w:val="22"/>
                <w:szCs w:val="22"/>
              </w:rPr>
            </w:pPr>
            <w:r w:rsidRPr="004410BC">
              <w:rPr>
                <w:sz w:val="22"/>
                <w:szCs w:val="22"/>
              </w:rPr>
              <w:t>10.1111/hex.13287</w:t>
            </w:r>
          </w:p>
        </w:tc>
        <w:tc>
          <w:tcPr>
            <w:tcW w:w="567" w:type="dxa"/>
            <w:noWrap/>
            <w:hideMark/>
          </w:tcPr>
          <w:p w14:paraId="45C28693" w14:textId="77777777" w:rsidR="00430F22" w:rsidRPr="004410BC" w:rsidRDefault="00430F22" w:rsidP="00236C76">
            <w:pPr>
              <w:rPr>
                <w:sz w:val="22"/>
                <w:szCs w:val="22"/>
              </w:rPr>
            </w:pPr>
            <w:r w:rsidRPr="004410BC">
              <w:rPr>
                <w:sz w:val="22"/>
                <w:szCs w:val="22"/>
              </w:rPr>
              <w:t>1</w:t>
            </w:r>
          </w:p>
        </w:tc>
        <w:tc>
          <w:tcPr>
            <w:tcW w:w="850" w:type="dxa"/>
            <w:noWrap/>
            <w:hideMark/>
          </w:tcPr>
          <w:p w14:paraId="52B18E0B" w14:textId="77777777" w:rsidR="00430F22" w:rsidRPr="004410BC" w:rsidRDefault="00430F22" w:rsidP="00236C76">
            <w:pPr>
              <w:rPr>
                <w:sz w:val="22"/>
                <w:szCs w:val="22"/>
              </w:rPr>
            </w:pPr>
          </w:p>
        </w:tc>
      </w:tr>
      <w:tr w:rsidR="00430F22" w:rsidRPr="004410BC" w14:paraId="1904EAFE" w14:textId="77777777" w:rsidTr="00006094">
        <w:trPr>
          <w:trHeight w:val="315"/>
        </w:trPr>
        <w:tc>
          <w:tcPr>
            <w:tcW w:w="331" w:type="dxa"/>
            <w:noWrap/>
            <w:hideMark/>
          </w:tcPr>
          <w:p w14:paraId="0ADA2C4E" w14:textId="77777777" w:rsidR="00430F22" w:rsidRPr="004410BC" w:rsidRDefault="00430F22" w:rsidP="00236C76">
            <w:pPr>
              <w:rPr>
                <w:sz w:val="22"/>
                <w:szCs w:val="22"/>
              </w:rPr>
            </w:pPr>
            <w:r w:rsidRPr="004410BC">
              <w:rPr>
                <w:sz w:val="22"/>
                <w:szCs w:val="22"/>
              </w:rPr>
              <w:t>10</w:t>
            </w:r>
          </w:p>
        </w:tc>
        <w:tc>
          <w:tcPr>
            <w:tcW w:w="673" w:type="dxa"/>
            <w:noWrap/>
            <w:hideMark/>
          </w:tcPr>
          <w:p w14:paraId="6EE27491" w14:textId="77777777" w:rsidR="00430F22" w:rsidRPr="004410BC" w:rsidRDefault="00430F22" w:rsidP="00236C76">
            <w:pPr>
              <w:rPr>
                <w:sz w:val="22"/>
                <w:szCs w:val="22"/>
              </w:rPr>
            </w:pPr>
            <w:r w:rsidRPr="004410BC">
              <w:rPr>
                <w:sz w:val="22"/>
                <w:szCs w:val="22"/>
              </w:rPr>
              <w:t>Pilav et al. (2022)</w:t>
            </w:r>
          </w:p>
        </w:tc>
        <w:tc>
          <w:tcPr>
            <w:tcW w:w="1072" w:type="dxa"/>
            <w:noWrap/>
            <w:hideMark/>
          </w:tcPr>
          <w:p w14:paraId="009EC7EB" w14:textId="77777777" w:rsidR="00430F22" w:rsidRPr="004410BC" w:rsidRDefault="00430F22" w:rsidP="00236C76">
            <w:pPr>
              <w:rPr>
                <w:sz w:val="22"/>
                <w:szCs w:val="22"/>
              </w:rPr>
            </w:pPr>
            <w:r w:rsidRPr="004410BC">
              <w:rPr>
                <w:sz w:val="22"/>
                <w:szCs w:val="22"/>
              </w:rPr>
              <w:t>A qualitative study of minority ethnic women’s experiences of access to and engagement with perinatal mental health care</w:t>
            </w:r>
          </w:p>
        </w:tc>
        <w:tc>
          <w:tcPr>
            <w:tcW w:w="873" w:type="dxa"/>
            <w:noWrap/>
            <w:hideMark/>
          </w:tcPr>
          <w:p w14:paraId="66682729" w14:textId="77777777" w:rsidR="00430F22" w:rsidRPr="004410BC" w:rsidRDefault="00430F22" w:rsidP="00236C76">
            <w:pPr>
              <w:rPr>
                <w:sz w:val="22"/>
                <w:szCs w:val="22"/>
              </w:rPr>
            </w:pPr>
            <w:r w:rsidRPr="004410BC">
              <w:rPr>
                <w:sz w:val="22"/>
                <w:szCs w:val="22"/>
              </w:rPr>
              <w:t>BMC Pregnancy and Childbirth</w:t>
            </w:r>
          </w:p>
        </w:tc>
        <w:tc>
          <w:tcPr>
            <w:tcW w:w="564" w:type="dxa"/>
            <w:noWrap/>
            <w:hideMark/>
          </w:tcPr>
          <w:p w14:paraId="44B330DA" w14:textId="77777777" w:rsidR="00430F22" w:rsidRPr="004410BC" w:rsidRDefault="00430F22" w:rsidP="00236C76">
            <w:pPr>
              <w:rPr>
                <w:sz w:val="22"/>
                <w:szCs w:val="22"/>
              </w:rPr>
            </w:pPr>
            <w:r w:rsidRPr="004410BC">
              <w:rPr>
                <w:sz w:val="22"/>
                <w:szCs w:val="22"/>
              </w:rPr>
              <w:t>75</w:t>
            </w:r>
          </w:p>
        </w:tc>
        <w:tc>
          <w:tcPr>
            <w:tcW w:w="639" w:type="dxa"/>
            <w:noWrap/>
            <w:hideMark/>
          </w:tcPr>
          <w:p w14:paraId="29660226" w14:textId="77777777" w:rsidR="00430F22" w:rsidRPr="004410BC" w:rsidRDefault="00430F22" w:rsidP="00236C76">
            <w:pPr>
              <w:rPr>
                <w:sz w:val="22"/>
                <w:szCs w:val="22"/>
              </w:rPr>
            </w:pPr>
            <w:r w:rsidRPr="004410BC">
              <w:rPr>
                <w:sz w:val="22"/>
                <w:szCs w:val="22"/>
              </w:rPr>
              <w:t>Not Specified</w:t>
            </w:r>
          </w:p>
        </w:tc>
        <w:tc>
          <w:tcPr>
            <w:tcW w:w="639" w:type="dxa"/>
            <w:noWrap/>
            <w:hideMark/>
          </w:tcPr>
          <w:p w14:paraId="496D354F" w14:textId="77777777" w:rsidR="00430F22" w:rsidRPr="004410BC" w:rsidRDefault="00430F22" w:rsidP="00236C76">
            <w:pPr>
              <w:rPr>
                <w:sz w:val="22"/>
                <w:szCs w:val="22"/>
              </w:rPr>
            </w:pPr>
            <w:r w:rsidRPr="004410BC">
              <w:rPr>
                <w:sz w:val="22"/>
                <w:szCs w:val="22"/>
              </w:rPr>
              <w:t>423</w:t>
            </w:r>
          </w:p>
        </w:tc>
        <w:tc>
          <w:tcPr>
            <w:tcW w:w="8104" w:type="dxa"/>
            <w:hideMark/>
          </w:tcPr>
          <w:p w14:paraId="7DA2F8CE" w14:textId="4BAFBB02" w:rsidR="00430F22" w:rsidRPr="004410BC" w:rsidRDefault="00430F22" w:rsidP="00236C76">
            <w:pPr>
              <w:rPr>
                <w:sz w:val="22"/>
                <w:szCs w:val="22"/>
              </w:rPr>
            </w:pPr>
            <w:r w:rsidRPr="004410BC">
              <w:rPr>
                <w:sz w:val="22"/>
                <w:szCs w:val="22"/>
              </w:rPr>
              <w:t>Background: Approximately one in five women will experience mental health difficulties in the perinatal period.</w:t>
            </w:r>
            <w:r w:rsidRPr="004410BC">
              <w:rPr>
                <w:sz w:val="22"/>
                <w:szCs w:val="22"/>
              </w:rPr>
              <w:br/>
              <w:t>However, for a large group of women, symptoms of adverse perinatal mental health remain undetected and</w:t>
            </w:r>
            <w:r w:rsidRPr="004410BC">
              <w:rPr>
                <w:sz w:val="22"/>
                <w:szCs w:val="22"/>
              </w:rPr>
              <w:br/>
              <w:t>untreated. This is even more so for women of ethnic minority background, who face a variety of barriers which prevent</w:t>
            </w:r>
            <w:r w:rsidRPr="004410BC">
              <w:rPr>
                <w:sz w:val="22"/>
                <w:szCs w:val="22"/>
              </w:rPr>
              <w:br/>
              <w:t>them from accessing appropriate perinatal mental health care.</w:t>
            </w:r>
            <w:r w:rsidRPr="004410BC">
              <w:rPr>
                <w:sz w:val="22"/>
                <w:szCs w:val="22"/>
              </w:rPr>
              <w:br/>
              <w:t>Aims: To explore minority ethnic women’s experiences of access to and engagement with perinatal mental health</w:t>
            </w:r>
            <w:r w:rsidRPr="004410BC">
              <w:rPr>
                <w:sz w:val="22"/>
                <w:szCs w:val="22"/>
              </w:rPr>
              <w:br/>
              <w:t>care.</w:t>
            </w:r>
            <w:r w:rsidRPr="004410BC">
              <w:rPr>
                <w:sz w:val="22"/>
                <w:szCs w:val="22"/>
              </w:rPr>
              <w:br/>
              <w:t>Methods: Semi-structured interviews were conducted with 18 women who had been diagnosed with perinatal</w:t>
            </w:r>
            <w:r w:rsidRPr="004410BC">
              <w:rPr>
                <w:sz w:val="22"/>
                <w:szCs w:val="22"/>
              </w:rPr>
              <w:br/>
              <w:t>mental health difficulties and who were supported in the community by a specialist perinatal mental health service in</w:t>
            </w:r>
            <w:r w:rsidRPr="004410BC">
              <w:rPr>
                <w:sz w:val="22"/>
                <w:szCs w:val="22"/>
              </w:rPr>
              <w:br/>
              <w:t>South London, United Kingdom. Women who self-identified as being from a minority ethnic group were purposefully</w:t>
            </w:r>
            <w:r w:rsidR="00225BC8" w:rsidRPr="004410BC">
              <w:rPr>
                <w:sz w:val="22"/>
                <w:szCs w:val="22"/>
              </w:rPr>
              <w:t>.</w:t>
            </w:r>
            <w:r w:rsidRPr="004410BC">
              <w:rPr>
                <w:sz w:val="22"/>
                <w:szCs w:val="22"/>
              </w:rPr>
              <w:br/>
              <w:t>selected. Data were transcribed verbatim, uploaded into NVivo for management and analysis, which was conducted</w:t>
            </w:r>
            <w:r w:rsidRPr="004410BC">
              <w:rPr>
                <w:sz w:val="22"/>
                <w:szCs w:val="22"/>
              </w:rPr>
              <w:br/>
              <w:t>using reflective thematic analysis.</w:t>
            </w:r>
            <w:r w:rsidRPr="004410BC">
              <w:rPr>
                <w:sz w:val="22"/>
                <w:szCs w:val="22"/>
              </w:rPr>
              <w:br/>
              <w:t>Results: Three distinct overarching themes were identified, each with two or three subthemes: ‘Expectations and</w:t>
            </w:r>
            <w:r w:rsidRPr="004410BC">
              <w:rPr>
                <w:sz w:val="22"/>
                <w:szCs w:val="22"/>
              </w:rPr>
              <w:br/>
              <w:t>Experiences of Womanhood as an Ethnic Minority’ (Shame and Guilt in Motherhood; Women as Caregivers; Perceived</w:t>
            </w:r>
            <w:r w:rsidRPr="004410BC">
              <w:rPr>
                <w:sz w:val="22"/>
                <w:szCs w:val="22"/>
              </w:rPr>
              <w:br/>
              <w:t>to Be Strong and Often Dismissed), ‘Family and Community Influences’ (Blind Faith in the Medical Profession; Family</w:t>
            </w:r>
            <w:r w:rsidRPr="004410BC">
              <w:rPr>
                <w:sz w:val="22"/>
                <w:szCs w:val="22"/>
              </w:rPr>
              <w:br/>
              <w:t>and Community Beliefs about Mental Health and Care; Intergenerational Trauma and Family Dynamics) and ‘Cultural</w:t>
            </w:r>
            <w:r w:rsidRPr="004410BC">
              <w:rPr>
                <w:sz w:val="22"/>
                <w:szCs w:val="22"/>
              </w:rPr>
              <w:br/>
              <w:t>Understanding, Empowerment, and Validation’ (The Importance of Understanding Cultural Differences; The Power of</w:t>
            </w:r>
            <w:r w:rsidRPr="004410BC">
              <w:rPr>
                <w:sz w:val="22"/>
                <w:szCs w:val="22"/>
              </w:rPr>
              <w:br/>
              <w:t>Validation, Reassurance, and Support).</w:t>
            </w:r>
            <w:r w:rsidRPr="004410BC">
              <w:rPr>
                <w:sz w:val="22"/>
                <w:szCs w:val="22"/>
              </w:rPr>
              <w:br/>
              <w:t>Conclusion: Women of ethnic minority background identified barriers to accessing and engaging with perinatal</w:t>
            </w:r>
            <w:r w:rsidRPr="004410BC">
              <w:rPr>
                <w:sz w:val="22"/>
                <w:szCs w:val="22"/>
              </w:rPr>
              <w:br/>
              <w:t xml:space="preserve">mental health support on an individual, familial, community and societal level. Perinatal mental health services should be aware </w:t>
            </w:r>
            <w:r w:rsidR="00091CE6" w:rsidRPr="004410BC">
              <w:rPr>
                <w:sz w:val="22"/>
                <w:szCs w:val="22"/>
              </w:rPr>
              <w:t xml:space="preserve">that </w:t>
            </w:r>
            <w:r w:rsidRPr="004410BC">
              <w:rPr>
                <w:sz w:val="22"/>
                <w:szCs w:val="22"/>
              </w:rPr>
              <w:t>ethnic minority women might present with mental health difficulties in different ways and embrace principles</w:t>
            </w:r>
            <w:r w:rsidRPr="004410BC">
              <w:rPr>
                <w:sz w:val="22"/>
                <w:szCs w:val="22"/>
              </w:rPr>
              <w:br/>
              <w:t>of cultural humility and co-production to fully meet these women’s perinatal mental health needs.</w:t>
            </w:r>
          </w:p>
        </w:tc>
        <w:tc>
          <w:tcPr>
            <w:tcW w:w="567" w:type="dxa"/>
            <w:noWrap/>
            <w:hideMark/>
          </w:tcPr>
          <w:p w14:paraId="702FE042" w14:textId="77777777" w:rsidR="00430F22" w:rsidRPr="004410BC" w:rsidRDefault="00430F22" w:rsidP="00236C76">
            <w:pPr>
              <w:rPr>
                <w:sz w:val="22"/>
                <w:szCs w:val="22"/>
              </w:rPr>
            </w:pPr>
            <w:r w:rsidRPr="004410BC">
              <w:rPr>
                <w:sz w:val="22"/>
                <w:szCs w:val="22"/>
              </w:rPr>
              <w:t>10.1186/s12884-022-04698-9</w:t>
            </w:r>
          </w:p>
        </w:tc>
        <w:tc>
          <w:tcPr>
            <w:tcW w:w="567" w:type="dxa"/>
            <w:noWrap/>
            <w:hideMark/>
          </w:tcPr>
          <w:p w14:paraId="77BB33B1" w14:textId="77777777" w:rsidR="00430F22" w:rsidRPr="004410BC" w:rsidRDefault="00430F22" w:rsidP="00236C76">
            <w:pPr>
              <w:rPr>
                <w:sz w:val="22"/>
                <w:szCs w:val="22"/>
              </w:rPr>
            </w:pPr>
            <w:r w:rsidRPr="004410BC">
              <w:rPr>
                <w:sz w:val="22"/>
                <w:szCs w:val="22"/>
              </w:rPr>
              <w:t>1</w:t>
            </w:r>
          </w:p>
        </w:tc>
        <w:tc>
          <w:tcPr>
            <w:tcW w:w="850" w:type="dxa"/>
            <w:noWrap/>
            <w:hideMark/>
          </w:tcPr>
          <w:p w14:paraId="63BB06E8" w14:textId="77777777" w:rsidR="00430F22" w:rsidRPr="004410BC" w:rsidRDefault="00430F22" w:rsidP="00236C76">
            <w:pPr>
              <w:rPr>
                <w:sz w:val="22"/>
                <w:szCs w:val="22"/>
              </w:rPr>
            </w:pPr>
          </w:p>
        </w:tc>
      </w:tr>
      <w:tr w:rsidR="00430F22" w:rsidRPr="004410BC" w14:paraId="2715F2AD" w14:textId="77777777" w:rsidTr="00006094">
        <w:trPr>
          <w:trHeight w:val="315"/>
        </w:trPr>
        <w:tc>
          <w:tcPr>
            <w:tcW w:w="331" w:type="dxa"/>
            <w:noWrap/>
            <w:hideMark/>
          </w:tcPr>
          <w:p w14:paraId="6CB7DDA6" w14:textId="77777777" w:rsidR="00430F22" w:rsidRPr="004410BC" w:rsidRDefault="00430F22" w:rsidP="00236C76">
            <w:pPr>
              <w:rPr>
                <w:sz w:val="22"/>
                <w:szCs w:val="22"/>
              </w:rPr>
            </w:pPr>
            <w:r w:rsidRPr="004410BC">
              <w:rPr>
                <w:sz w:val="22"/>
                <w:szCs w:val="22"/>
              </w:rPr>
              <w:t>11</w:t>
            </w:r>
          </w:p>
        </w:tc>
        <w:tc>
          <w:tcPr>
            <w:tcW w:w="673" w:type="dxa"/>
            <w:noWrap/>
            <w:hideMark/>
          </w:tcPr>
          <w:p w14:paraId="64BF1F2A" w14:textId="77777777" w:rsidR="00430F22" w:rsidRPr="004410BC" w:rsidRDefault="00430F22" w:rsidP="00236C76">
            <w:pPr>
              <w:rPr>
                <w:sz w:val="22"/>
                <w:szCs w:val="22"/>
              </w:rPr>
            </w:pPr>
            <w:r w:rsidRPr="004410BC">
              <w:rPr>
                <w:sz w:val="22"/>
                <w:szCs w:val="22"/>
              </w:rPr>
              <w:t>Ridge et al. (2025)</w:t>
            </w:r>
          </w:p>
        </w:tc>
        <w:tc>
          <w:tcPr>
            <w:tcW w:w="1072" w:type="dxa"/>
            <w:noWrap/>
            <w:hideMark/>
          </w:tcPr>
          <w:p w14:paraId="131B83D3" w14:textId="77777777" w:rsidR="00430F22" w:rsidRPr="004410BC" w:rsidRDefault="00430F22" w:rsidP="00236C76">
            <w:pPr>
              <w:rPr>
                <w:sz w:val="22"/>
                <w:szCs w:val="22"/>
              </w:rPr>
            </w:pPr>
            <w:r w:rsidRPr="004410BC">
              <w:rPr>
                <w:sz w:val="22"/>
                <w:szCs w:val="22"/>
              </w:rPr>
              <w:t>Medical ambivalence and Long Covid: The disconnects, entanglements, and productivities shaping ethnic minority experiences in the UK</w:t>
            </w:r>
          </w:p>
        </w:tc>
        <w:tc>
          <w:tcPr>
            <w:tcW w:w="873" w:type="dxa"/>
            <w:noWrap/>
            <w:hideMark/>
          </w:tcPr>
          <w:p w14:paraId="219CE8E8" w14:textId="77777777" w:rsidR="00430F22" w:rsidRPr="004410BC" w:rsidRDefault="00430F22" w:rsidP="00236C76">
            <w:pPr>
              <w:rPr>
                <w:sz w:val="22"/>
                <w:szCs w:val="22"/>
              </w:rPr>
            </w:pPr>
            <w:r w:rsidRPr="004410BC">
              <w:rPr>
                <w:sz w:val="22"/>
                <w:szCs w:val="22"/>
              </w:rPr>
              <w:t>Social Science &amp; Medicine</w:t>
            </w:r>
          </w:p>
        </w:tc>
        <w:tc>
          <w:tcPr>
            <w:tcW w:w="564" w:type="dxa"/>
            <w:noWrap/>
            <w:hideMark/>
          </w:tcPr>
          <w:p w14:paraId="1B9FC90D" w14:textId="77777777" w:rsidR="00430F22" w:rsidRPr="004410BC" w:rsidRDefault="00430F22" w:rsidP="00236C76">
            <w:pPr>
              <w:rPr>
                <w:sz w:val="22"/>
                <w:szCs w:val="22"/>
              </w:rPr>
            </w:pPr>
            <w:r w:rsidRPr="004410BC">
              <w:rPr>
                <w:sz w:val="22"/>
                <w:szCs w:val="22"/>
              </w:rPr>
              <w:t>19</w:t>
            </w:r>
          </w:p>
        </w:tc>
        <w:tc>
          <w:tcPr>
            <w:tcW w:w="639" w:type="dxa"/>
            <w:noWrap/>
            <w:hideMark/>
          </w:tcPr>
          <w:p w14:paraId="5BF0B71C" w14:textId="77777777" w:rsidR="00430F22" w:rsidRPr="004410BC" w:rsidRDefault="00430F22" w:rsidP="00236C76">
            <w:pPr>
              <w:rPr>
                <w:sz w:val="22"/>
                <w:szCs w:val="22"/>
              </w:rPr>
            </w:pPr>
            <w:r w:rsidRPr="004410BC">
              <w:rPr>
                <w:sz w:val="22"/>
                <w:szCs w:val="22"/>
              </w:rPr>
              <w:t>22</w:t>
            </w:r>
          </w:p>
        </w:tc>
        <w:tc>
          <w:tcPr>
            <w:tcW w:w="639" w:type="dxa"/>
            <w:noWrap/>
            <w:hideMark/>
          </w:tcPr>
          <w:p w14:paraId="3CADA0A3" w14:textId="77777777" w:rsidR="00430F22" w:rsidRPr="004410BC" w:rsidRDefault="00430F22" w:rsidP="00236C76">
            <w:pPr>
              <w:rPr>
                <w:sz w:val="22"/>
                <w:szCs w:val="22"/>
              </w:rPr>
            </w:pPr>
            <w:r w:rsidRPr="004410BC">
              <w:rPr>
                <w:sz w:val="22"/>
                <w:szCs w:val="22"/>
              </w:rPr>
              <w:t>117603</w:t>
            </w:r>
          </w:p>
        </w:tc>
        <w:tc>
          <w:tcPr>
            <w:tcW w:w="8104" w:type="dxa"/>
            <w:hideMark/>
          </w:tcPr>
          <w:p w14:paraId="6BF86388" w14:textId="6A3BC480" w:rsidR="00430F22" w:rsidRPr="004410BC" w:rsidRDefault="00225BC8" w:rsidP="00236C76">
            <w:pPr>
              <w:rPr>
                <w:sz w:val="22"/>
                <w:szCs w:val="22"/>
              </w:rPr>
            </w:pPr>
            <w:r w:rsidRPr="004410BC">
              <w:rPr>
                <w:sz w:val="22"/>
                <w:szCs w:val="22"/>
              </w:rPr>
              <w:t>I</w:t>
            </w:r>
            <w:r w:rsidR="00430F22" w:rsidRPr="004410BC">
              <w:rPr>
                <w:sz w:val="22"/>
                <w:szCs w:val="22"/>
              </w:rPr>
              <w:t>nstitutions harm certain groups. Such violence is critical to institutional indifference to the plight of ethnic</w:t>
            </w:r>
            <w:r w:rsidR="00430F22" w:rsidRPr="004410BC">
              <w:rPr>
                <w:sz w:val="22"/>
                <w:szCs w:val="22"/>
              </w:rPr>
              <w:br/>
              <w:t>minority people living with long-term health conditions. With only emerg</w:t>
            </w:r>
            <w:r w:rsidRPr="004410BC">
              <w:rPr>
                <w:sz w:val="22"/>
                <w:szCs w:val="22"/>
              </w:rPr>
              <w:t>ing</w:t>
            </w:r>
            <w:r w:rsidR="00430F22" w:rsidRPr="004410BC">
              <w:rPr>
                <w:sz w:val="22"/>
                <w:szCs w:val="22"/>
              </w:rPr>
              <w:t xml:space="preserve"> literature on the lived experiences</w:t>
            </w:r>
            <w:r w:rsidR="00430F22" w:rsidRPr="004410BC">
              <w:rPr>
                <w:sz w:val="22"/>
                <w:szCs w:val="22"/>
              </w:rPr>
              <w:br/>
              <w:t>of ethnic minorities with Long Covid, we sought to investigate experiences around the interplay of illness and</w:t>
            </w:r>
            <w:r w:rsidR="00430F22" w:rsidRPr="004410BC">
              <w:rPr>
                <w:sz w:val="22"/>
                <w:szCs w:val="22"/>
              </w:rPr>
              <w:br/>
              <w:t>structural vulnerabilities. Thirty-one semi-structured interviews with a range of UK-based participants of varying</w:t>
            </w:r>
            <w:r w:rsidR="00430F22" w:rsidRPr="004410BC">
              <w:rPr>
                <w:sz w:val="22"/>
                <w:szCs w:val="22"/>
              </w:rPr>
              <w:br/>
              <w:t>ethnic minorities, ages and socio-economic situations were undertaken online between June 2022 and June</w:t>
            </w:r>
            <w:r w:rsidR="00430F22" w:rsidRPr="004410BC">
              <w:rPr>
                <w:sz w:val="22"/>
                <w:szCs w:val="22"/>
              </w:rPr>
              <w:br/>
              <w:t>2023. A constant comparison analysis was used to develop three overarching themes: (1) Long Covid and social</w:t>
            </w:r>
            <w:r w:rsidR="00430F22" w:rsidRPr="004410BC">
              <w:rPr>
                <w:sz w:val="22"/>
                <w:szCs w:val="22"/>
              </w:rPr>
              <w:br/>
              <w:t>recognition; (2) The violence of medical ambivalence; and (3) Pathways to recognition and support. Findings</w:t>
            </w:r>
            <w:r w:rsidR="00430F22" w:rsidRPr="004410BC">
              <w:rPr>
                <w:sz w:val="22"/>
                <w:szCs w:val="22"/>
              </w:rPr>
              <w:br/>
              <w:t>showed that while professional recognition and support were possible, participants generally faced the spectre</w:t>
            </w:r>
            <w:r w:rsidR="00430F22" w:rsidRPr="004410BC">
              <w:rPr>
                <w:sz w:val="22"/>
                <w:szCs w:val="22"/>
              </w:rPr>
              <w:br/>
              <w:t>and deployment of a particular mode of structural violence, namely ‘medical ambivalence’. The contours of</w:t>
            </w:r>
            <w:r w:rsidR="00430F22" w:rsidRPr="004410BC">
              <w:rPr>
                <w:sz w:val="22"/>
                <w:szCs w:val="22"/>
              </w:rPr>
              <w:br/>
              <w:t>medical ambivalence in the National Health Service (NHS) as an institution had consequences, including</w:t>
            </w:r>
            <w:r w:rsidR="00430F22" w:rsidRPr="004410BC">
              <w:rPr>
                <w:sz w:val="22"/>
                <w:szCs w:val="22"/>
              </w:rPr>
              <w:br/>
              <w:t>inducing or accentuating suffering via practices of care denial. Despite multiple structurally shaped ordeals (like</w:t>
            </w:r>
            <w:r w:rsidR="00430F22" w:rsidRPr="004410BC">
              <w:rPr>
                <w:sz w:val="22"/>
                <w:szCs w:val="22"/>
              </w:rPr>
              <w:br/>
              <w:t>healthcare, community stigma, and sexism), many participants were nevertheless able to gain recognition for</w:t>
            </w:r>
            <w:r w:rsidR="00430F22" w:rsidRPr="004410BC">
              <w:rPr>
                <w:sz w:val="22"/>
                <w:szCs w:val="22"/>
              </w:rPr>
              <w:br/>
              <w:t>their condition (e.g. online, religious communities). Participants with more resources were in the best position to</w:t>
            </w:r>
            <w:r w:rsidR="00430F22" w:rsidRPr="004410BC">
              <w:rPr>
                <w:sz w:val="22"/>
                <w:szCs w:val="22"/>
              </w:rPr>
              <w:br/>
              <w:t>‘cobble together’ their own approaches to care and support, despite structural headwinds.</w:t>
            </w:r>
          </w:p>
        </w:tc>
        <w:tc>
          <w:tcPr>
            <w:tcW w:w="567" w:type="dxa"/>
            <w:noWrap/>
            <w:hideMark/>
          </w:tcPr>
          <w:p w14:paraId="330F3BD6" w14:textId="77777777" w:rsidR="00430F22" w:rsidRPr="004410BC" w:rsidRDefault="00430F22" w:rsidP="00236C76">
            <w:pPr>
              <w:rPr>
                <w:sz w:val="22"/>
                <w:szCs w:val="22"/>
              </w:rPr>
            </w:pPr>
            <w:r w:rsidRPr="004410BC">
              <w:rPr>
                <w:sz w:val="22"/>
                <w:szCs w:val="22"/>
              </w:rPr>
              <w:t>10.1016/j.socscimed.2024.117603</w:t>
            </w:r>
          </w:p>
        </w:tc>
        <w:tc>
          <w:tcPr>
            <w:tcW w:w="567" w:type="dxa"/>
            <w:noWrap/>
            <w:hideMark/>
          </w:tcPr>
          <w:p w14:paraId="6A775C14" w14:textId="77777777" w:rsidR="00430F22" w:rsidRPr="004410BC" w:rsidRDefault="00430F22" w:rsidP="00236C76">
            <w:pPr>
              <w:rPr>
                <w:sz w:val="22"/>
                <w:szCs w:val="22"/>
              </w:rPr>
            </w:pPr>
            <w:r w:rsidRPr="004410BC">
              <w:rPr>
                <w:sz w:val="22"/>
                <w:szCs w:val="22"/>
              </w:rPr>
              <w:t>1</w:t>
            </w:r>
          </w:p>
        </w:tc>
        <w:tc>
          <w:tcPr>
            <w:tcW w:w="850" w:type="dxa"/>
            <w:noWrap/>
            <w:hideMark/>
          </w:tcPr>
          <w:p w14:paraId="00145538" w14:textId="77777777" w:rsidR="00430F22" w:rsidRPr="004410BC" w:rsidRDefault="00430F22" w:rsidP="00236C76">
            <w:pPr>
              <w:rPr>
                <w:sz w:val="22"/>
                <w:szCs w:val="22"/>
              </w:rPr>
            </w:pPr>
          </w:p>
        </w:tc>
      </w:tr>
      <w:tr w:rsidR="00430F22" w:rsidRPr="004410BC" w14:paraId="59847B74" w14:textId="77777777" w:rsidTr="00006094">
        <w:trPr>
          <w:trHeight w:val="315"/>
        </w:trPr>
        <w:tc>
          <w:tcPr>
            <w:tcW w:w="331" w:type="dxa"/>
            <w:noWrap/>
            <w:hideMark/>
          </w:tcPr>
          <w:p w14:paraId="100BAC92" w14:textId="77777777" w:rsidR="00430F22" w:rsidRPr="004410BC" w:rsidRDefault="00430F22" w:rsidP="00236C76">
            <w:pPr>
              <w:rPr>
                <w:sz w:val="22"/>
                <w:szCs w:val="22"/>
              </w:rPr>
            </w:pPr>
            <w:r w:rsidRPr="004410BC">
              <w:rPr>
                <w:sz w:val="22"/>
                <w:szCs w:val="22"/>
              </w:rPr>
              <w:t>12</w:t>
            </w:r>
          </w:p>
        </w:tc>
        <w:tc>
          <w:tcPr>
            <w:tcW w:w="673" w:type="dxa"/>
            <w:noWrap/>
            <w:hideMark/>
          </w:tcPr>
          <w:p w14:paraId="2AE8165C" w14:textId="77777777" w:rsidR="00430F22" w:rsidRPr="004410BC" w:rsidRDefault="00430F22" w:rsidP="00236C76">
            <w:pPr>
              <w:rPr>
                <w:sz w:val="22"/>
                <w:szCs w:val="22"/>
              </w:rPr>
            </w:pPr>
            <w:r w:rsidRPr="004410BC">
              <w:rPr>
                <w:sz w:val="22"/>
                <w:szCs w:val="22"/>
              </w:rPr>
              <w:t>Robinson et al. (2021)</w:t>
            </w:r>
          </w:p>
        </w:tc>
        <w:tc>
          <w:tcPr>
            <w:tcW w:w="1072" w:type="dxa"/>
            <w:noWrap/>
            <w:hideMark/>
          </w:tcPr>
          <w:p w14:paraId="24AE9F8A" w14:textId="77777777" w:rsidR="00430F22" w:rsidRPr="004410BC" w:rsidRDefault="00430F22" w:rsidP="00236C76">
            <w:pPr>
              <w:rPr>
                <w:sz w:val="22"/>
                <w:szCs w:val="22"/>
              </w:rPr>
            </w:pPr>
            <w:r w:rsidRPr="004410BC">
              <w:rPr>
                <w:sz w:val="22"/>
                <w:szCs w:val="22"/>
              </w:rPr>
              <w:t>A qualitative exploration of the barriers and facilitators affecting ethnic minority patient groups when accessing medicine review services: Perspectives of healthcare professionals</w:t>
            </w:r>
          </w:p>
        </w:tc>
        <w:tc>
          <w:tcPr>
            <w:tcW w:w="873" w:type="dxa"/>
            <w:noWrap/>
            <w:hideMark/>
          </w:tcPr>
          <w:p w14:paraId="5A2B3BFC" w14:textId="77777777" w:rsidR="00430F22" w:rsidRPr="004410BC" w:rsidRDefault="00430F22" w:rsidP="00236C76">
            <w:pPr>
              <w:rPr>
                <w:sz w:val="22"/>
                <w:szCs w:val="22"/>
              </w:rPr>
            </w:pPr>
            <w:r w:rsidRPr="004410BC">
              <w:rPr>
                <w:sz w:val="22"/>
                <w:szCs w:val="22"/>
              </w:rPr>
              <w:t>Health Expectations</w:t>
            </w:r>
          </w:p>
        </w:tc>
        <w:tc>
          <w:tcPr>
            <w:tcW w:w="564" w:type="dxa"/>
            <w:noWrap/>
            <w:hideMark/>
          </w:tcPr>
          <w:p w14:paraId="47A91DFE" w14:textId="77777777" w:rsidR="00430F22" w:rsidRPr="004410BC" w:rsidRDefault="00430F22" w:rsidP="00236C76">
            <w:pPr>
              <w:rPr>
                <w:sz w:val="22"/>
                <w:szCs w:val="22"/>
              </w:rPr>
            </w:pPr>
            <w:r w:rsidRPr="004410BC">
              <w:rPr>
                <w:sz w:val="22"/>
                <w:szCs w:val="22"/>
              </w:rPr>
              <w:t>27</w:t>
            </w:r>
          </w:p>
        </w:tc>
        <w:tc>
          <w:tcPr>
            <w:tcW w:w="639" w:type="dxa"/>
            <w:noWrap/>
            <w:hideMark/>
          </w:tcPr>
          <w:p w14:paraId="3DF0853F" w14:textId="77777777" w:rsidR="00430F22" w:rsidRPr="004410BC" w:rsidRDefault="00430F22" w:rsidP="00236C76">
            <w:pPr>
              <w:rPr>
                <w:sz w:val="22"/>
                <w:szCs w:val="22"/>
              </w:rPr>
            </w:pPr>
            <w:r w:rsidRPr="004410BC">
              <w:rPr>
                <w:sz w:val="22"/>
                <w:szCs w:val="22"/>
              </w:rPr>
              <w:t>Not Specified</w:t>
            </w:r>
          </w:p>
        </w:tc>
        <w:tc>
          <w:tcPr>
            <w:tcW w:w="639" w:type="dxa"/>
            <w:noWrap/>
            <w:hideMark/>
          </w:tcPr>
          <w:p w14:paraId="4F3491E9" w14:textId="77777777" w:rsidR="00430F22" w:rsidRPr="004410BC" w:rsidRDefault="00430F22" w:rsidP="00236C76">
            <w:pPr>
              <w:rPr>
                <w:sz w:val="22"/>
                <w:szCs w:val="22"/>
              </w:rPr>
            </w:pPr>
            <w:r w:rsidRPr="004410BC">
              <w:rPr>
                <w:sz w:val="22"/>
                <w:szCs w:val="22"/>
              </w:rPr>
              <w:t>707–717</w:t>
            </w:r>
          </w:p>
        </w:tc>
        <w:tc>
          <w:tcPr>
            <w:tcW w:w="8104" w:type="dxa"/>
            <w:hideMark/>
          </w:tcPr>
          <w:p w14:paraId="2ECE712F" w14:textId="09ECB745" w:rsidR="00430F22" w:rsidRPr="004410BC" w:rsidRDefault="00430F22" w:rsidP="00236C76">
            <w:pPr>
              <w:rPr>
                <w:sz w:val="22"/>
                <w:szCs w:val="22"/>
              </w:rPr>
            </w:pPr>
            <w:r w:rsidRPr="004410BC">
              <w:rPr>
                <w:sz w:val="22"/>
                <w:szCs w:val="22"/>
              </w:rPr>
              <w:t>Introduction: Healthcare inequalities and ethnicity are closely related. Evidence has</w:t>
            </w:r>
            <w:r w:rsidRPr="004410BC">
              <w:rPr>
                <w:sz w:val="22"/>
                <w:szCs w:val="22"/>
              </w:rPr>
              <w:br/>
              <w:t>demonstrated that patients from ethnic minority groups are more likely to report a</w:t>
            </w:r>
            <w:r w:rsidRPr="004410BC">
              <w:rPr>
                <w:sz w:val="22"/>
                <w:szCs w:val="22"/>
              </w:rPr>
              <w:br/>
              <w:t>long</w:t>
            </w:r>
            <w:r w:rsidRPr="004410BC">
              <w:rPr>
                <w:rFonts w:ascii="Cambria Math" w:hAnsi="Cambria Math" w:cs="Cambria Math"/>
                <w:sz w:val="22"/>
                <w:szCs w:val="22"/>
              </w:rPr>
              <w:t>‐</w:t>
            </w:r>
            <w:r w:rsidRPr="004410BC">
              <w:rPr>
                <w:sz w:val="22"/>
                <w:szCs w:val="22"/>
              </w:rPr>
              <w:t>term illness than their white counterparts; yet, in some cases, minority groups</w:t>
            </w:r>
            <w:r w:rsidRPr="004410BC">
              <w:rPr>
                <w:sz w:val="22"/>
                <w:szCs w:val="22"/>
              </w:rPr>
              <w:br/>
              <w:t>have reported poorer adherence to prescribed medicines and may be less likely to</w:t>
            </w:r>
            <w:r w:rsidRPr="004410BC">
              <w:rPr>
                <w:sz w:val="22"/>
                <w:szCs w:val="22"/>
              </w:rPr>
              <w:br/>
              <w:t>access medicine services. Knowledge of the barriers and facilitators that impact</w:t>
            </w:r>
            <w:r w:rsidRPr="004410BC">
              <w:rPr>
                <w:sz w:val="22"/>
                <w:szCs w:val="22"/>
              </w:rPr>
              <w:br/>
              <w:t>ethnic minority access to medicine services is required to ensure that services are fit</w:t>
            </w:r>
            <w:r w:rsidRPr="004410BC">
              <w:rPr>
                <w:sz w:val="22"/>
                <w:szCs w:val="22"/>
              </w:rPr>
              <w:br/>
              <w:t>for purpose to meet and support the needs of all.</w:t>
            </w:r>
            <w:r w:rsidRPr="004410BC">
              <w:rPr>
                <w:sz w:val="22"/>
                <w:szCs w:val="22"/>
              </w:rPr>
              <w:br/>
              <w:t>Methods: Semi</w:t>
            </w:r>
            <w:r w:rsidR="00225BC8" w:rsidRPr="004410BC">
              <w:rPr>
                <w:sz w:val="22"/>
                <w:szCs w:val="22"/>
              </w:rPr>
              <w:t>-</w:t>
            </w:r>
            <w:r w:rsidRPr="004410BC">
              <w:rPr>
                <w:sz w:val="22"/>
                <w:szCs w:val="22"/>
              </w:rPr>
              <w:t>structured interviews with healthcare professionals were conducted</w:t>
            </w:r>
            <w:r w:rsidRPr="004410BC">
              <w:rPr>
                <w:sz w:val="22"/>
                <w:szCs w:val="22"/>
              </w:rPr>
              <w:br/>
              <w:t>between October and December 2020, using telephone and video call</w:t>
            </w:r>
            <w:r w:rsidRPr="004410BC">
              <w:rPr>
                <w:rFonts w:ascii="Cambria Math" w:hAnsi="Cambria Math" w:cs="Cambria Math"/>
                <w:sz w:val="22"/>
                <w:szCs w:val="22"/>
              </w:rPr>
              <w:t>‐</w:t>
            </w:r>
            <w:r w:rsidRPr="004410BC">
              <w:rPr>
                <w:sz w:val="22"/>
                <w:szCs w:val="22"/>
              </w:rPr>
              <w:t>based software.</w:t>
            </w:r>
            <w:r w:rsidRPr="004410BC">
              <w:rPr>
                <w:sz w:val="22"/>
                <w:szCs w:val="22"/>
              </w:rPr>
              <w:br/>
              <w:t>Perspectives on barriers and facilitators were discussed. Interviews were</w:t>
            </w:r>
            <w:r w:rsidRPr="004410BC">
              <w:rPr>
                <w:sz w:val="22"/>
                <w:szCs w:val="22"/>
              </w:rPr>
              <w:br/>
              <w:t>audio</w:t>
            </w:r>
            <w:r w:rsidRPr="004410BC">
              <w:rPr>
                <w:rFonts w:ascii="Cambria Math" w:hAnsi="Cambria Math" w:cs="Cambria Math"/>
                <w:sz w:val="22"/>
                <w:szCs w:val="22"/>
              </w:rPr>
              <w:t>‐</w:t>
            </w:r>
            <w:r w:rsidRPr="004410BC">
              <w:rPr>
                <w:sz w:val="22"/>
                <w:szCs w:val="22"/>
              </w:rPr>
              <w:t>recorded and transcribed verbatim. Reflexive thematic analysis enabled the</w:t>
            </w:r>
            <w:r w:rsidRPr="004410BC">
              <w:rPr>
                <w:sz w:val="22"/>
                <w:szCs w:val="22"/>
              </w:rPr>
              <w:br/>
              <w:t>development of themes. QSR NVivo (Version 12) facilitated data management.</w:t>
            </w:r>
            <w:r w:rsidRPr="004410BC">
              <w:rPr>
                <w:sz w:val="22"/>
                <w:szCs w:val="22"/>
              </w:rPr>
              <w:br/>
              <w:t>Ethical approval was obtained from the Newcastle University Faculty of Medical</w:t>
            </w:r>
            <w:r w:rsidRPr="004410BC">
              <w:rPr>
                <w:sz w:val="22"/>
                <w:szCs w:val="22"/>
              </w:rPr>
              <w:br/>
              <w:t>Sciences Ethics Committee.</w:t>
            </w:r>
            <w:r w:rsidRPr="004410BC">
              <w:rPr>
                <w:sz w:val="22"/>
                <w:szCs w:val="22"/>
              </w:rPr>
              <w:br/>
              <w:t>Results: Eighteen healthcare professionals were interviewed across primary, secondary</w:t>
            </w:r>
            <w:r w:rsidRPr="004410BC">
              <w:rPr>
                <w:sz w:val="22"/>
                <w:szCs w:val="22"/>
              </w:rPr>
              <w:br/>
              <w:t>and tertiary care settings; their roles spanned medicine, pharmacy and</w:t>
            </w:r>
            <w:r w:rsidRPr="004410BC">
              <w:rPr>
                <w:sz w:val="22"/>
                <w:szCs w:val="22"/>
              </w:rPr>
              <w:br/>
              <w:t>dentistry. Three themes were developed from the data regarding the perceived</w:t>
            </w:r>
            <w:r w:rsidR="00225BC8" w:rsidRPr="004410BC">
              <w:rPr>
                <w:sz w:val="22"/>
                <w:szCs w:val="22"/>
              </w:rPr>
              <w:t>.</w:t>
            </w:r>
            <w:r w:rsidRPr="004410BC">
              <w:rPr>
                <w:sz w:val="22"/>
                <w:szCs w:val="22"/>
              </w:rPr>
              <w:br/>
              <w:t>barriers and facilitators affecting access to medicine services for ethnic minority</w:t>
            </w:r>
            <w:r w:rsidRPr="004410BC">
              <w:rPr>
                <w:sz w:val="22"/>
                <w:szCs w:val="22"/>
              </w:rPr>
              <w:br/>
              <w:t>patients. These centred around patient expectations of health services; appreciating</w:t>
            </w:r>
            <w:r w:rsidR="00225BC8" w:rsidRPr="004410BC">
              <w:rPr>
                <w:sz w:val="22"/>
                <w:szCs w:val="22"/>
              </w:rPr>
              <w:t>.</w:t>
            </w:r>
            <w:r w:rsidRPr="004410BC">
              <w:rPr>
                <w:sz w:val="22"/>
                <w:szCs w:val="22"/>
              </w:rPr>
              <w:br/>
              <w:t>cultural stigma and acceptance of certain health conditions; and individually</w:t>
            </w:r>
            <w:r w:rsidRPr="004410BC">
              <w:rPr>
                <w:sz w:val="22"/>
                <w:szCs w:val="22"/>
              </w:rPr>
              <w:br/>
              <w:t>addressing communication and language needs.</w:t>
            </w:r>
            <w:r w:rsidRPr="004410BC">
              <w:rPr>
                <w:sz w:val="22"/>
                <w:szCs w:val="22"/>
              </w:rPr>
              <w:br/>
              <w:t>Conclusion: This study provides much</w:t>
            </w:r>
            <w:r w:rsidRPr="004410BC">
              <w:rPr>
                <w:rFonts w:ascii="Cambria Math" w:hAnsi="Cambria Math" w:cs="Cambria Math"/>
                <w:sz w:val="22"/>
                <w:szCs w:val="22"/>
              </w:rPr>
              <w:t>‐</w:t>
            </w:r>
            <w:r w:rsidRPr="004410BC">
              <w:rPr>
                <w:sz w:val="22"/>
                <w:szCs w:val="22"/>
              </w:rPr>
              <w:t>needed evidence relating to the barriers and</w:t>
            </w:r>
            <w:r w:rsidRPr="004410BC">
              <w:rPr>
                <w:sz w:val="22"/>
                <w:szCs w:val="22"/>
              </w:rPr>
              <w:br/>
              <w:t>facilitators impacting minority ethnic communities when seeking medicine support. The results of this study have important implications for the delivery of person</w:t>
            </w:r>
            <w:r w:rsidR="00225BC8" w:rsidRPr="004410BC">
              <w:rPr>
                <w:sz w:val="22"/>
                <w:szCs w:val="22"/>
              </w:rPr>
              <w:t>-</w:t>
            </w:r>
            <w:r w:rsidRPr="004410BC">
              <w:rPr>
                <w:sz w:val="22"/>
                <w:szCs w:val="22"/>
              </w:rPr>
              <w:t>centred</w:t>
            </w:r>
            <w:r w:rsidRPr="004410BC">
              <w:rPr>
                <w:sz w:val="22"/>
                <w:szCs w:val="22"/>
              </w:rPr>
              <w:br/>
              <w:t>care. Involving patients and practitioners in coproduction approaches could</w:t>
            </w:r>
            <w:r w:rsidRPr="004410BC">
              <w:rPr>
                <w:sz w:val="22"/>
                <w:szCs w:val="22"/>
              </w:rPr>
              <w:br/>
              <w:t>enable the design and delivery of culturally sensitive and accessible medicine</w:t>
            </w:r>
            <w:r w:rsidRPr="004410BC">
              <w:rPr>
                <w:sz w:val="22"/>
                <w:szCs w:val="22"/>
              </w:rPr>
              <w:br/>
              <w:t>services.</w:t>
            </w:r>
            <w:r w:rsidRPr="004410BC">
              <w:rPr>
                <w:sz w:val="22"/>
                <w:szCs w:val="22"/>
              </w:rPr>
              <w:br/>
              <w:t>Patient or Public Contribution: The Patient and Public Involvement and Engagement</w:t>
            </w:r>
            <w:r w:rsidRPr="004410BC">
              <w:rPr>
                <w:sz w:val="22"/>
                <w:szCs w:val="22"/>
              </w:rPr>
              <w:br/>
              <w:t>(PPIE) group at Newcastle University had extensive input in the design and concept</w:t>
            </w:r>
            <w:r w:rsidRPr="004410BC">
              <w:rPr>
                <w:sz w:val="22"/>
                <w:szCs w:val="22"/>
              </w:rPr>
              <w:br/>
              <w:t>of this study before the research was undertaken. Throughout the work, a patient</w:t>
            </w:r>
            <w:r w:rsidRPr="004410BC">
              <w:rPr>
                <w:sz w:val="22"/>
                <w:szCs w:val="22"/>
              </w:rPr>
              <w:br/>
              <w:t>champion (Harpreet Guraya) had input in the project by ensuring that the study was</w:t>
            </w:r>
            <w:r w:rsidRPr="004410BC">
              <w:rPr>
                <w:sz w:val="22"/>
                <w:szCs w:val="22"/>
              </w:rPr>
              <w:br/>
              <w:t>conducted, and the findings were reported, with cultural sensitivity.</w:t>
            </w:r>
          </w:p>
        </w:tc>
        <w:tc>
          <w:tcPr>
            <w:tcW w:w="567" w:type="dxa"/>
            <w:noWrap/>
            <w:hideMark/>
          </w:tcPr>
          <w:p w14:paraId="40D8F43C" w14:textId="77777777" w:rsidR="00430F22" w:rsidRPr="004410BC" w:rsidRDefault="00430F22" w:rsidP="00236C76">
            <w:pPr>
              <w:rPr>
                <w:sz w:val="22"/>
                <w:szCs w:val="22"/>
              </w:rPr>
            </w:pPr>
            <w:r w:rsidRPr="004410BC">
              <w:rPr>
                <w:sz w:val="22"/>
                <w:szCs w:val="22"/>
              </w:rPr>
              <w:t>10.1111/hex.13410</w:t>
            </w:r>
          </w:p>
        </w:tc>
        <w:tc>
          <w:tcPr>
            <w:tcW w:w="567" w:type="dxa"/>
            <w:noWrap/>
            <w:hideMark/>
          </w:tcPr>
          <w:p w14:paraId="5E1E8BAB" w14:textId="77777777" w:rsidR="00430F22" w:rsidRPr="004410BC" w:rsidRDefault="00430F22" w:rsidP="00236C76">
            <w:pPr>
              <w:rPr>
                <w:sz w:val="22"/>
                <w:szCs w:val="22"/>
              </w:rPr>
            </w:pPr>
            <w:r w:rsidRPr="004410BC">
              <w:rPr>
                <w:sz w:val="22"/>
                <w:szCs w:val="22"/>
              </w:rPr>
              <w:t>1</w:t>
            </w:r>
          </w:p>
        </w:tc>
        <w:tc>
          <w:tcPr>
            <w:tcW w:w="850" w:type="dxa"/>
            <w:noWrap/>
            <w:hideMark/>
          </w:tcPr>
          <w:p w14:paraId="54E11236" w14:textId="77777777" w:rsidR="00430F22" w:rsidRPr="004410BC" w:rsidRDefault="00430F22" w:rsidP="00236C76">
            <w:pPr>
              <w:rPr>
                <w:sz w:val="22"/>
                <w:szCs w:val="22"/>
              </w:rPr>
            </w:pPr>
          </w:p>
        </w:tc>
      </w:tr>
      <w:tr w:rsidR="00430F22" w:rsidRPr="004410BC" w14:paraId="5C325D5B" w14:textId="77777777" w:rsidTr="00006094">
        <w:trPr>
          <w:trHeight w:val="315"/>
        </w:trPr>
        <w:tc>
          <w:tcPr>
            <w:tcW w:w="331" w:type="dxa"/>
            <w:noWrap/>
            <w:hideMark/>
          </w:tcPr>
          <w:p w14:paraId="4A81092D" w14:textId="77777777" w:rsidR="00430F22" w:rsidRPr="004410BC" w:rsidRDefault="00430F22" w:rsidP="00236C76">
            <w:pPr>
              <w:rPr>
                <w:sz w:val="22"/>
                <w:szCs w:val="22"/>
              </w:rPr>
            </w:pPr>
            <w:r w:rsidRPr="004410BC">
              <w:rPr>
                <w:sz w:val="22"/>
                <w:szCs w:val="22"/>
              </w:rPr>
              <w:t>13</w:t>
            </w:r>
          </w:p>
        </w:tc>
        <w:tc>
          <w:tcPr>
            <w:tcW w:w="673" w:type="dxa"/>
            <w:noWrap/>
            <w:hideMark/>
          </w:tcPr>
          <w:p w14:paraId="5349DCBC" w14:textId="77777777" w:rsidR="00430F22" w:rsidRPr="004410BC" w:rsidRDefault="00430F22" w:rsidP="00236C76">
            <w:pPr>
              <w:rPr>
                <w:sz w:val="22"/>
                <w:szCs w:val="22"/>
              </w:rPr>
            </w:pPr>
            <w:r w:rsidRPr="004410BC">
              <w:rPr>
                <w:sz w:val="22"/>
                <w:szCs w:val="22"/>
              </w:rPr>
              <w:t>Robinson et al. (2022)</w:t>
            </w:r>
          </w:p>
        </w:tc>
        <w:tc>
          <w:tcPr>
            <w:tcW w:w="1072" w:type="dxa"/>
            <w:noWrap/>
            <w:hideMark/>
          </w:tcPr>
          <w:p w14:paraId="53A60CE2" w14:textId="387663D9" w:rsidR="00430F22" w:rsidRPr="004410BC" w:rsidRDefault="00430F22" w:rsidP="00236C76">
            <w:pPr>
              <w:rPr>
                <w:sz w:val="22"/>
                <w:szCs w:val="22"/>
              </w:rPr>
            </w:pPr>
            <w:r w:rsidRPr="004410BC">
              <w:rPr>
                <w:sz w:val="22"/>
                <w:szCs w:val="22"/>
              </w:rPr>
              <w:t>‘He or she maybe doesn’t know there is such a thing as a review’: A qualitative investigation exploring barriers and facilitators to accessing medication reviews from the perspective of people from ethnic minority communities</w:t>
            </w:r>
            <w:r w:rsidR="00225BC8" w:rsidRPr="004410BC">
              <w:rPr>
                <w:sz w:val="22"/>
                <w:szCs w:val="22"/>
              </w:rPr>
              <w:t>.</w:t>
            </w:r>
          </w:p>
        </w:tc>
        <w:tc>
          <w:tcPr>
            <w:tcW w:w="873" w:type="dxa"/>
            <w:noWrap/>
            <w:hideMark/>
          </w:tcPr>
          <w:p w14:paraId="24492C38" w14:textId="77777777" w:rsidR="00430F22" w:rsidRPr="004410BC" w:rsidRDefault="00430F22" w:rsidP="00236C76">
            <w:pPr>
              <w:rPr>
                <w:sz w:val="22"/>
                <w:szCs w:val="22"/>
              </w:rPr>
            </w:pPr>
            <w:r w:rsidRPr="004410BC">
              <w:rPr>
                <w:sz w:val="22"/>
                <w:szCs w:val="22"/>
              </w:rPr>
              <w:t>Health Expectations</w:t>
            </w:r>
          </w:p>
        </w:tc>
        <w:tc>
          <w:tcPr>
            <w:tcW w:w="564" w:type="dxa"/>
            <w:noWrap/>
            <w:hideMark/>
          </w:tcPr>
          <w:p w14:paraId="26322C53" w14:textId="77777777" w:rsidR="00430F22" w:rsidRPr="004410BC" w:rsidRDefault="00430F22" w:rsidP="00236C76">
            <w:pPr>
              <w:rPr>
                <w:sz w:val="22"/>
                <w:szCs w:val="22"/>
              </w:rPr>
            </w:pPr>
            <w:r w:rsidRPr="004410BC">
              <w:rPr>
                <w:sz w:val="22"/>
                <w:szCs w:val="22"/>
              </w:rPr>
              <w:t>74</w:t>
            </w:r>
          </w:p>
        </w:tc>
        <w:tc>
          <w:tcPr>
            <w:tcW w:w="639" w:type="dxa"/>
            <w:noWrap/>
            <w:hideMark/>
          </w:tcPr>
          <w:p w14:paraId="6DDB26AB" w14:textId="77777777" w:rsidR="00430F22" w:rsidRPr="004410BC" w:rsidRDefault="00430F22" w:rsidP="00236C76">
            <w:pPr>
              <w:rPr>
                <w:sz w:val="22"/>
                <w:szCs w:val="22"/>
              </w:rPr>
            </w:pPr>
            <w:r w:rsidRPr="004410BC">
              <w:rPr>
                <w:sz w:val="22"/>
                <w:szCs w:val="22"/>
              </w:rPr>
              <w:t>Not Specified</w:t>
            </w:r>
          </w:p>
        </w:tc>
        <w:tc>
          <w:tcPr>
            <w:tcW w:w="639" w:type="dxa"/>
            <w:noWrap/>
            <w:hideMark/>
          </w:tcPr>
          <w:p w14:paraId="0B676902" w14:textId="77777777" w:rsidR="00430F22" w:rsidRPr="004410BC" w:rsidRDefault="00430F22" w:rsidP="00236C76">
            <w:pPr>
              <w:rPr>
                <w:sz w:val="22"/>
                <w:szCs w:val="22"/>
              </w:rPr>
            </w:pPr>
            <w:r w:rsidRPr="004410BC">
              <w:rPr>
                <w:sz w:val="22"/>
                <w:szCs w:val="22"/>
              </w:rPr>
              <w:t>1432–1443</w:t>
            </w:r>
          </w:p>
        </w:tc>
        <w:tc>
          <w:tcPr>
            <w:tcW w:w="8104" w:type="dxa"/>
            <w:hideMark/>
          </w:tcPr>
          <w:p w14:paraId="19342102" w14:textId="30E159DE" w:rsidR="00430F22" w:rsidRPr="004410BC" w:rsidRDefault="00430F22" w:rsidP="00236C76">
            <w:pPr>
              <w:rPr>
                <w:sz w:val="22"/>
                <w:szCs w:val="22"/>
              </w:rPr>
            </w:pPr>
            <w:r w:rsidRPr="004410BC">
              <w:rPr>
                <w:sz w:val="22"/>
                <w:szCs w:val="22"/>
              </w:rPr>
              <w:t>Introduction: Regular reviews of medications, including prescription reviews and</w:t>
            </w:r>
            <w:r w:rsidRPr="004410BC">
              <w:rPr>
                <w:sz w:val="22"/>
                <w:szCs w:val="22"/>
              </w:rPr>
              <w:br/>
              <w:t>adherence reviews, are vital to support pharmacological effectiveness and optimize</w:t>
            </w:r>
            <w:r w:rsidRPr="004410BC">
              <w:rPr>
                <w:sz w:val="22"/>
                <w:szCs w:val="22"/>
              </w:rPr>
              <w:br/>
              <w:t>health outcomes for patients. Despite being more likely to report a long</w:t>
            </w:r>
            <w:r w:rsidRPr="004410BC">
              <w:rPr>
                <w:rFonts w:ascii="Cambria Math" w:hAnsi="Cambria Math" w:cs="Cambria Math"/>
                <w:sz w:val="22"/>
                <w:szCs w:val="22"/>
              </w:rPr>
              <w:t>‐</w:t>
            </w:r>
            <w:r w:rsidRPr="004410BC">
              <w:rPr>
                <w:sz w:val="22"/>
                <w:szCs w:val="22"/>
              </w:rPr>
              <w:t>term illness</w:t>
            </w:r>
            <w:r w:rsidRPr="004410BC">
              <w:rPr>
                <w:sz w:val="22"/>
                <w:szCs w:val="22"/>
              </w:rPr>
              <w:br/>
              <w:t>that requires medication when compared to their white counterparts, individuals</w:t>
            </w:r>
            <w:r w:rsidRPr="004410BC">
              <w:rPr>
                <w:sz w:val="22"/>
                <w:szCs w:val="22"/>
              </w:rPr>
              <w:br/>
              <w:t>from ethnic minority communities are less likely to engage with regular medication</w:t>
            </w:r>
            <w:r w:rsidRPr="004410BC">
              <w:rPr>
                <w:sz w:val="22"/>
                <w:szCs w:val="22"/>
              </w:rPr>
              <w:br/>
              <w:t>reviews, with inequalities negatively affecting their access. It is important to</w:t>
            </w:r>
            <w:r w:rsidRPr="004410BC">
              <w:rPr>
                <w:sz w:val="22"/>
                <w:szCs w:val="22"/>
              </w:rPr>
              <w:br/>
              <w:t>understand what barriers may exist that impact the access of those from ethnic</w:t>
            </w:r>
            <w:r w:rsidRPr="004410BC">
              <w:rPr>
                <w:sz w:val="22"/>
                <w:szCs w:val="22"/>
              </w:rPr>
              <w:br/>
              <w:t>minority communities and to identify measures that may act to facilitate improved</w:t>
            </w:r>
            <w:r w:rsidRPr="004410BC">
              <w:rPr>
                <w:sz w:val="22"/>
                <w:szCs w:val="22"/>
              </w:rPr>
              <w:br/>
              <w:t>service accessibility for these groups.</w:t>
            </w:r>
            <w:r w:rsidRPr="004410BC">
              <w:rPr>
                <w:sz w:val="22"/>
                <w:szCs w:val="22"/>
              </w:rPr>
              <w:br/>
              <w:t>Methods: Semi</w:t>
            </w:r>
            <w:r w:rsidRPr="004410BC">
              <w:rPr>
                <w:rFonts w:ascii="Cambria Math" w:hAnsi="Cambria Math" w:cs="Cambria Math"/>
                <w:sz w:val="22"/>
                <w:szCs w:val="22"/>
              </w:rPr>
              <w:t>‐</w:t>
            </w:r>
            <w:r w:rsidRPr="004410BC">
              <w:rPr>
                <w:sz w:val="22"/>
                <w:szCs w:val="22"/>
              </w:rPr>
              <w:t>structured interviews were conducted between June and August 2021</w:t>
            </w:r>
            <w:r w:rsidRPr="004410BC">
              <w:rPr>
                <w:sz w:val="22"/>
                <w:szCs w:val="22"/>
              </w:rPr>
              <w:br/>
              <w:t>using the following formats as permitted by governmental COVID</w:t>
            </w:r>
            <w:r w:rsidRPr="004410BC">
              <w:rPr>
                <w:rFonts w:ascii="Cambria Math" w:hAnsi="Cambria Math" w:cs="Cambria Math"/>
                <w:sz w:val="22"/>
                <w:szCs w:val="22"/>
              </w:rPr>
              <w:t>‐</w:t>
            </w:r>
            <w:r w:rsidRPr="004410BC">
              <w:rPr>
                <w:sz w:val="22"/>
                <w:szCs w:val="22"/>
              </w:rPr>
              <w:t>19 restrictions: in</w:t>
            </w:r>
            <w:r w:rsidRPr="004410BC">
              <w:rPr>
                <w:sz w:val="22"/>
                <w:szCs w:val="22"/>
              </w:rPr>
              <w:br/>
              <w:t>person, over the telephone or via video call. Perspectives on service accessibility and any</w:t>
            </w:r>
            <w:r w:rsidRPr="004410BC">
              <w:rPr>
                <w:sz w:val="22"/>
                <w:szCs w:val="22"/>
              </w:rPr>
              <w:br/>
              <w:t>associated barriers and facilitators were discussed. Interviews were audio</w:t>
            </w:r>
            <w:r w:rsidRPr="004410BC">
              <w:rPr>
                <w:rFonts w:ascii="Cambria Math" w:hAnsi="Cambria Math" w:cs="Cambria Math"/>
                <w:sz w:val="22"/>
                <w:szCs w:val="22"/>
              </w:rPr>
              <w:t>‐</w:t>
            </w:r>
            <w:r w:rsidRPr="004410BC">
              <w:rPr>
                <w:sz w:val="22"/>
                <w:szCs w:val="22"/>
              </w:rPr>
              <w:t>recorded and</w:t>
            </w:r>
            <w:r w:rsidRPr="004410BC">
              <w:rPr>
                <w:sz w:val="22"/>
                <w:szCs w:val="22"/>
              </w:rPr>
              <w:br/>
              <w:t>transcribed verbatim. Reflexive thematic analysis enabled the development of themes.</w:t>
            </w:r>
            <w:r w:rsidRPr="004410BC">
              <w:rPr>
                <w:sz w:val="22"/>
                <w:szCs w:val="22"/>
              </w:rPr>
              <w:br/>
              <w:t>QSR NVivo (Version 12) facilitated data management. Ethical approval was obtained from</w:t>
            </w:r>
            <w:r w:rsidRPr="004410BC">
              <w:rPr>
                <w:sz w:val="22"/>
                <w:szCs w:val="22"/>
              </w:rPr>
              <w:br/>
              <w:t>the Health Research Authority (ref: 21/HRA/1426).</w:t>
            </w:r>
            <w:r w:rsidRPr="004410BC">
              <w:rPr>
                <w:sz w:val="22"/>
                <w:szCs w:val="22"/>
              </w:rPr>
              <w:br/>
              <w:t>Results: In total</w:t>
            </w:r>
            <w:r w:rsidR="00225BC8" w:rsidRPr="004410BC">
              <w:rPr>
                <w:sz w:val="22"/>
                <w:szCs w:val="22"/>
              </w:rPr>
              <w:t>,</w:t>
            </w:r>
            <w:r w:rsidRPr="004410BC">
              <w:rPr>
                <w:sz w:val="22"/>
                <w:szCs w:val="22"/>
              </w:rPr>
              <w:t xml:space="preserve"> 20 participants from ethnic minority communities were interviewed;</w:t>
            </w:r>
            <w:r w:rsidRPr="004410BC">
              <w:rPr>
                <w:sz w:val="22"/>
                <w:szCs w:val="22"/>
              </w:rPr>
              <w:br/>
              <w:t>these participants included 16 UK citizens, 2 refugees and 2 asylum seekers, and</w:t>
            </w:r>
            <w:r w:rsidRPr="004410BC">
              <w:rPr>
                <w:sz w:val="22"/>
                <w:szCs w:val="22"/>
              </w:rPr>
              <w:br/>
              <w:t>represented a total of 5 different ethnic groups. Three themes were developed from</w:t>
            </w:r>
            <w:r w:rsidRPr="004410BC">
              <w:rPr>
                <w:sz w:val="22"/>
                <w:szCs w:val="22"/>
              </w:rPr>
              <w:br/>
              <w:t>the data regarding the perceived barriers and facilitators affecting access to medication reviews and identified approaches to improve the accessibility of such</w:t>
            </w:r>
            <w:r w:rsidRPr="004410BC">
              <w:rPr>
                <w:sz w:val="22"/>
                <w:szCs w:val="22"/>
              </w:rPr>
              <w:br/>
              <w:t>services for ethnic minority patients. These centred on (1) building knowledge and</w:t>
            </w:r>
            <w:r w:rsidRPr="004410BC">
              <w:rPr>
                <w:sz w:val="22"/>
                <w:szCs w:val="22"/>
              </w:rPr>
              <w:br/>
              <w:t>understanding about medication reviews; (2) delivering medication review services;</w:t>
            </w:r>
            <w:r w:rsidRPr="004410BC">
              <w:rPr>
                <w:sz w:val="22"/>
                <w:szCs w:val="22"/>
              </w:rPr>
              <w:br/>
              <w:t>and (3) appreciating the lived experience of patients.</w:t>
            </w:r>
            <w:r w:rsidRPr="004410BC">
              <w:rPr>
                <w:sz w:val="22"/>
                <w:szCs w:val="22"/>
              </w:rPr>
              <w:br/>
              <w:t>Conclusion: The results of this study have important implications for addressing</w:t>
            </w:r>
            <w:r w:rsidRPr="004410BC">
              <w:rPr>
                <w:sz w:val="22"/>
                <w:szCs w:val="22"/>
              </w:rPr>
              <w:br/>
              <w:t>inequalities that affect ethnic minority communities. Involving patients and</w:t>
            </w:r>
            <w:r w:rsidRPr="004410BC">
              <w:rPr>
                <w:sz w:val="22"/>
                <w:szCs w:val="22"/>
              </w:rPr>
              <w:br/>
              <w:t>practitioners to work collaboratively in coproduction approaches could enable</w:t>
            </w:r>
            <w:r w:rsidRPr="004410BC">
              <w:rPr>
                <w:sz w:val="22"/>
                <w:szCs w:val="22"/>
              </w:rPr>
              <w:br/>
              <w:t>better design, implementation and delivery of accessible medication review services</w:t>
            </w:r>
            <w:r w:rsidRPr="004410BC">
              <w:rPr>
                <w:sz w:val="22"/>
                <w:szCs w:val="22"/>
              </w:rPr>
              <w:br/>
              <w:t>that are culturally competent.</w:t>
            </w:r>
            <w:r w:rsidRPr="004410BC">
              <w:rPr>
                <w:sz w:val="22"/>
                <w:szCs w:val="22"/>
              </w:rPr>
              <w:br/>
              <w:t>Patient or Public Contribution: The National Institute for Health Research Applied</w:t>
            </w:r>
            <w:r w:rsidRPr="004410BC">
              <w:rPr>
                <w:sz w:val="22"/>
                <w:szCs w:val="22"/>
              </w:rPr>
              <w:br/>
              <w:t>Research Collaboration and Patient and Public Involvement and Engagement group</w:t>
            </w:r>
            <w:r w:rsidRPr="004410BC">
              <w:rPr>
                <w:sz w:val="22"/>
                <w:szCs w:val="22"/>
              </w:rPr>
              <w:br/>
              <w:t>at Newcastle University supported the study design and conceptuali</w:t>
            </w:r>
            <w:r w:rsidR="00D648BC" w:rsidRPr="004410BC">
              <w:rPr>
                <w:sz w:val="22"/>
                <w:szCs w:val="22"/>
              </w:rPr>
              <w:t>s</w:t>
            </w:r>
            <w:r w:rsidRPr="004410BC">
              <w:rPr>
                <w:sz w:val="22"/>
                <w:szCs w:val="22"/>
              </w:rPr>
              <w:t>ation. Seven</w:t>
            </w:r>
            <w:r w:rsidRPr="004410BC">
              <w:rPr>
                <w:sz w:val="22"/>
                <w:szCs w:val="22"/>
              </w:rPr>
              <w:br/>
              <w:t xml:space="preserve">patient champions </w:t>
            </w:r>
            <w:r w:rsidR="00225BC8" w:rsidRPr="004410BC">
              <w:rPr>
                <w:sz w:val="22"/>
                <w:szCs w:val="22"/>
              </w:rPr>
              <w:t>contribu</w:t>
            </w:r>
            <w:r w:rsidRPr="004410BC">
              <w:rPr>
                <w:sz w:val="22"/>
                <w:szCs w:val="22"/>
              </w:rPr>
              <w:t>ted to ensure that the research was conducted, and the</w:t>
            </w:r>
            <w:r w:rsidRPr="004410BC">
              <w:rPr>
                <w:sz w:val="22"/>
                <w:szCs w:val="22"/>
              </w:rPr>
              <w:br/>
              <w:t>findings were reported with cultural sensitivity.</w:t>
            </w:r>
          </w:p>
        </w:tc>
        <w:tc>
          <w:tcPr>
            <w:tcW w:w="567" w:type="dxa"/>
            <w:noWrap/>
            <w:hideMark/>
          </w:tcPr>
          <w:p w14:paraId="7FE314CD" w14:textId="77777777" w:rsidR="00430F22" w:rsidRPr="004410BC" w:rsidRDefault="00430F22" w:rsidP="00236C76">
            <w:pPr>
              <w:rPr>
                <w:sz w:val="22"/>
                <w:szCs w:val="22"/>
              </w:rPr>
            </w:pPr>
            <w:r w:rsidRPr="004410BC">
              <w:rPr>
                <w:sz w:val="22"/>
                <w:szCs w:val="22"/>
              </w:rPr>
              <w:t>10.1111/hex.13482</w:t>
            </w:r>
          </w:p>
        </w:tc>
        <w:tc>
          <w:tcPr>
            <w:tcW w:w="567" w:type="dxa"/>
            <w:noWrap/>
            <w:hideMark/>
          </w:tcPr>
          <w:p w14:paraId="45A1FCD3" w14:textId="77777777" w:rsidR="00430F22" w:rsidRPr="004410BC" w:rsidRDefault="00430F22" w:rsidP="00236C76">
            <w:pPr>
              <w:rPr>
                <w:sz w:val="22"/>
                <w:szCs w:val="22"/>
              </w:rPr>
            </w:pPr>
            <w:r w:rsidRPr="004410BC">
              <w:rPr>
                <w:sz w:val="22"/>
                <w:szCs w:val="22"/>
              </w:rPr>
              <w:t>1</w:t>
            </w:r>
          </w:p>
        </w:tc>
        <w:tc>
          <w:tcPr>
            <w:tcW w:w="850" w:type="dxa"/>
            <w:noWrap/>
            <w:hideMark/>
          </w:tcPr>
          <w:p w14:paraId="726D0A55" w14:textId="77777777" w:rsidR="00430F22" w:rsidRPr="004410BC" w:rsidRDefault="00430F22" w:rsidP="00236C76">
            <w:pPr>
              <w:rPr>
                <w:sz w:val="22"/>
                <w:szCs w:val="22"/>
              </w:rPr>
            </w:pPr>
          </w:p>
        </w:tc>
      </w:tr>
      <w:tr w:rsidR="00430F22" w:rsidRPr="004410BC" w14:paraId="49E75AAE" w14:textId="77777777" w:rsidTr="00006094">
        <w:trPr>
          <w:trHeight w:val="315"/>
        </w:trPr>
        <w:tc>
          <w:tcPr>
            <w:tcW w:w="331" w:type="dxa"/>
            <w:noWrap/>
            <w:hideMark/>
          </w:tcPr>
          <w:p w14:paraId="13345D47" w14:textId="77777777" w:rsidR="00430F22" w:rsidRPr="004410BC" w:rsidRDefault="00430F22" w:rsidP="00236C76">
            <w:pPr>
              <w:rPr>
                <w:sz w:val="22"/>
                <w:szCs w:val="22"/>
              </w:rPr>
            </w:pPr>
            <w:r w:rsidRPr="004410BC">
              <w:rPr>
                <w:sz w:val="22"/>
                <w:szCs w:val="22"/>
              </w:rPr>
              <w:t>14</w:t>
            </w:r>
          </w:p>
        </w:tc>
        <w:tc>
          <w:tcPr>
            <w:tcW w:w="673" w:type="dxa"/>
            <w:noWrap/>
            <w:hideMark/>
          </w:tcPr>
          <w:p w14:paraId="5AEB31E0" w14:textId="77777777" w:rsidR="00430F22" w:rsidRPr="004410BC" w:rsidRDefault="00430F22" w:rsidP="00236C76">
            <w:pPr>
              <w:rPr>
                <w:sz w:val="22"/>
                <w:szCs w:val="22"/>
              </w:rPr>
            </w:pPr>
            <w:r w:rsidRPr="004410BC">
              <w:rPr>
                <w:sz w:val="22"/>
                <w:szCs w:val="22"/>
              </w:rPr>
              <w:t>Small et al. (2024)</w:t>
            </w:r>
          </w:p>
        </w:tc>
        <w:tc>
          <w:tcPr>
            <w:tcW w:w="1072" w:type="dxa"/>
            <w:noWrap/>
            <w:hideMark/>
          </w:tcPr>
          <w:p w14:paraId="0BE54A5A" w14:textId="5DEF17F1" w:rsidR="00430F22" w:rsidRPr="004410BC" w:rsidRDefault="00430F22" w:rsidP="00236C76">
            <w:pPr>
              <w:rPr>
                <w:sz w:val="22"/>
                <w:szCs w:val="22"/>
              </w:rPr>
            </w:pPr>
            <w:r w:rsidRPr="004410BC">
              <w:rPr>
                <w:sz w:val="22"/>
                <w:szCs w:val="22"/>
              </w:rPr>
              <w:t>Exploring the experiences and preferences of South Asian patients of primary care in England since COVID-19</w:t>
            </w:r>
          </w:p>
        </w:tc>
        <w:tc>
          <w:tcPr>
            <w:tcW w:w="873" w:type="dxa"/>
            <w:noWrap/>
            <w:hideMark/>
          </w:tcPr>
          <w:p w14:paraId="7662085A" w14:textId="77777777" w:rsidR="00430F22" w:rsidRPr="004410BC" w:rsidRDefault="00430F22" w:rsidP="00236C76">
            <w:pPr>
              <w:rPr>
                <w:sz w:val="22"/>
                <w:szCs w:val="22"/>
              </w:rPr>
            </w:pPr>
            <w:r w:rsidRPr="004410BC">
              <w:rPr>
                <w:sz w:val="22"/>
                <w:szCs w:val="22"/>
              </w:rPr>
              <w:t>Health Expectations</w:t>
            </w:r>
          </w:p>
        </w:tc>
        <w:tc>
          <w:tcPr>
            <w:tcW w:w="564" w:type="dxa"/>
            <w:noWrap/>
            <w:hideMark/>
          </w:tcPr>
          <w:p w14:paraId="29E76499" w14:textId="77777777" w:rsidR="00430F22" w:rsidRPr="004410BC" w:rsidRDefault="00430F22" w:rsidP="00236C76">
            <w:pPr>
              <w:rPr>
                <w:sz w:val="22"/>
                <w:szCs w:val="22"/>
              </w:rPr>
            </w:pPr>
            <w:r w:rsidRPr="004410BC">
              <w:rPr>
                <w:sz w:val="22"/>
                <w:szCs w:val="22"/>
              </w:rPr>
              <w:t>49</w:t>
            </w:r>
          </w:p>
        </w:tc>
        <w:tc>
          <w:tcPr>
            <w:tcW w:w="639" w:type="dxa"/>
            <w:noWrap/>
            <w:hideMark/>
          </w:tcPr>
          <w:p w14:paraId="2D0B1DD2" w14:textId="77777777" w:rsidR="00430F22" w:rsidRPr="004410BC" w:rsidRDefault="00430F22" w:rsidP="00236C76">
            <w:pPr>
              <w:rPr>
                <w:sz w:val="22"/>
                <w:szCs w:val="22"/>
              </w:rPr>
            </w:pPr>
            <w:r w:rsidRPr="004410BC">
              <w:rPr>
                <w:sz w:val="22"/>
                <w:szCs w:val="22"/>
              </w:rPr>
              <w:t>Not Specified</w:t>
            </w:r>
          </w:p>
        </w:tc>
        <w:tc>
          <w:tcPr>
            <w:tcW w:w="639" w:type="dxa"/>
            <w:noWrap/>
            <w:hideMark/>
          </w:tcPr>
          <w:p w14:paraId="1E83CBC5" w14:textId="77777777" w:rsidR="00430F22" w:rsidRPr="004410BC" w:rsidRDefault="00430F22" w:rsidP="00236C76">
            <w:pPr>
              <w:rPr>
                <w:sz w:val="22"/>
                <w:szCs w:val="22"/>
              </w:rPr>
            </w:pPr>
            <w:r w:rsidRPr="004410BC">
              <w:rPr>
                <w:sz w:val="22"/>
                <w:szCs w:val="22"/>
              </w:rPr>
              <w:t>e13982</w:t>
            </w:r>
          </w:p>
        </w:tc>
        <w:tc>
          <w:tcPr>
            <w:tcW w:w="8104" w:type="dxa"/>
            <w:hideMark/>
          </w:tcPr>
          <w:p w14:paraId="412D0D2C" w14:textId="507290C8" w:rsidR="00430F22" w:rsidRPr="004410BC" w:rsidRDefault="00430F22" w:rsidP="00236C76">
            <w:pPr>
              <w:rPr>
                <w:sz w:val="22"/>
                <w:szCs w:val="22"/>
              </w:rPr>
            </w:pPr>
            <w:r w:rsidRPr="004410BC">
              <w:rPr>
                <w:sz w:val="22"/>
                <w:szCs w:val="22"/>
              </w:rPr>
              <w:t>Introduction: Remote (digital and/or telephone) access and consultation models are</w:t>
            </w:r>
            <w:r w:rsidRPr="004410BC">
              <w:rPr>
                <w:sz w:val="22"/>
                <w:szCs w:val="22"/>
              </w:rPr>
              <w:br/>
              <w:t>being driven by national policy with the goal being that the National Health Service removal of non</w:t>
            </w:r>
            <w:r w:rsidRPr="004410BC">
              <w:rPr>
                <w:rFonts w:ascii="Cambria Math" w:hAnsi="Cambria Math" w:cs="Cambria Math"/>
                <w:sz w:val="22"/>
                <w:szCs w:val="22"/>
              </w:rPr>
              <w:t>‐</w:t>
            </w:r>
            <w:r w:rsidRPr="004410BC">
              <w:rPr>
                <w:sz w:val="22"/>
                <w:szCs w:val="22"/>
              </w:rPr>
              <w:t>verbal aspects of communication and ‘hands</w:t>
            </w:r>
            <w:r w:rsidRPr="004410BC">
              <w:rPr>
                <w:rFonts w:ascii="Cambria Math" w:hAnsi="Cambria Math" w:cs="Cambria Math"/>
                <w:sz w:val="22"/>
                <w:szCs w:val="22"/>
              </w:rPr>
              <w:t>‐</w:t>
            </w:r>
            <w:r w:rsidRPr="004410BC">
              <w:rPr>
                <w:sz w:val="22"/>
                <w:szCs w:val="22"/>
              </w:rPr>
              <w:t>on’ care lead</w:t>
            </w:r>
            <w:r w:rsidR="00225BC8" w:rsidRPr="004410BC">
              <w:rPr>
                <w:sz w:val="22"/>
                <w:szCs w:val="22"/>
              </w:rPr>
              <w:t>s</w:t>
            </w:r>
            <w:r w:rsidRPr="004410BC">
              <w:rPr>
                <w:sz w:val="22"/>
                <w:szCs w:val="22"/>
              </w:rPr>
              <w:t xml:space="preserve"> to</w:t>
            </w:r>
            <w:r w:rsidRPr="004410BC">
              <w:rPr>
                <w:sz w:val="22"/>
                <w:szCs w:val="22"/>
              </w:rPr>
              <w:br/>
              <w:t>perceptions of reduced psycho</w:t>
            </w:r>
            <w:r w:rsidRPr="004410BC">
              <w:rPr>
                <w:rFonts w:ascii="Cambria Math" w:hAnsi="Cambria Math" w:cs="Cambria Math"/>
                <w:sz w:val="22"/>
                <w:szCs w:val="22"/>
              </w:rPr>
              <w:t>‐</w:t>
            </w:r>
            <w:r w:rsidRPr="004410BC">
              <w:rPr>
                <w:sz w:val="22"/>
                <w:szCs w:val="22"/>
              </w:rPr>
              <w:t>social safety.</w:t>
            </w:r>
            <w:r w:rsidRPr="004410BC">
              <w:rPr>
                <w:sz w:val="22"/>
                <w:szCs w:val="22"/>
              </w:rPr>
              <w:br/>
              <w:t>Conclusion: SA patients' experiences of remote</w:t>
            </w:r>
            <w:r w:rsidRPr="004410BC">
              <w:rPr>
                <w:rFonts w:ascii="Cambria Math" w:hAnsi="Cambria Math" w:cs="Cambria Math"/>
                <w:sz w:val="22"/>
                <w:szCs w:val="22"/>
              </w:rPr>
              <w:t>‐</w:t>
            </w:r>
            <w:r w:rsidRPr="004410BC">
              <w:rPr>
                <w:sz w:val="22"/>
                <w:szCs w:val="22"/>
              </w:rPr>
              <w:t>led primary care access and care</w:t>
            </w:r>
            <w:r w:rsidRPr="004410BC">
              <w:rPr>
                <w:sz w:val="22"/>
                <w:szCs w:val="22"/>
              </w:rPr>
              <w:br/>
              <w:t>delivery were negative with only a minority viewing it positively and for certain</w:t>
            </w:r>
            <w:r w:rsidRPr="004410BC">
              <w:rPr>
                <w:sz w:val="22"/>
                <w:szCs w:val="22"/>
              </w:rPr>
              <w:br/>
              <w:t>limited scenarios. Face</w:t>
            </w:r>
            <w:r w:rsidRPr="004410BC">
              <w:rPr>
                <w:rFonts w:ascii="Cambria Math" w:hAnsi="Cambria Math" w:cs="Cambria Math"/>
                <w:sz w:val="22"/>
                <w:szCs w:val="22"/>
              </w:rPr>
              <w:t>‐</w:t>
            </w:r>
            <w:r w:rsidRPr="004410BC">
              <w:rPr>
                <w:sz w:val="22"/>
                <w:szCs w:val="22"/>
              </w:rPr>
              <w:t>to</w:t>
            </w:r>
            <w:r w:rsidRPr="004410BC">
              <w:rPr>
                <w:rFonts w:ascii="Cambria Math" w:hAnsi="Cambria Math" w:cs="Cambria Math"/>
                <w:sz w:val="22"/>
                <w:szCs w:val="22"/>
              </w:rPr>
              <w:t>‐</w:t>
            </w:r>
            <w:r w:rsidRPr="004410BC">
              <w:rPr>
                <w:sz w:val="22"/>
                <w:szCs w:val="22"/>
              </w:rPr>
              <w:t>face models of care remain the preferred mode of</w:t>
            </w:r>
            <w:r w:rsidRPr="004410BC">
              <w:rPr>
                <w:sz w:val="22"/>
                <w:szCs w:val="22"/>
              </w:rPr>
              <w:br/>
              <w:t>consultation, particularly for those with LEP. Hybrid models of access offer patients</w:t>
            </w:r>
            <w:r w:rsidRPr="004410BC">
              <w:rPr>
                <w:sz w:val="22"/>
                <w:szCs w:val="22"/>
              </w:rPr>
              <w:br/>
              <w:t>the greatest choice, and are likely to meet the varying needs of the South</w:t>
            </w:r>
            <w:r w:rsidRPr="004410BC">
              <w:rPr>
                <w:rFonts w:ascii="Cambria Math" w:hAnsi="Cambria Math" w:cs="Cambria Math"/>
                <w:sz w:val="22"/>
                <w:szCs w:val="22"/>
              </w:rPr>
              <w:t>‐</w:t>
            </w:r>
            <w:r w:rsidRPr="004410BC">
              <w:rPr>
                <w:sz w:val="22"/>
                <w:szCs w:val="22"/>
              </w:rPr>
              <w:t>Asian</w:t>
            </w:r>
            <w:r w:rsidRPr="004410BC">
              <w:rPr>
                <w:sz w:val="22"/>
                <w:szCs w:val="22"/>
              </w:rPr>
              <w:br/>
              <w:t>patient population going forwards. The remote first approach to primary care may be</w:t>
            </w:r>
            <w:r w:rsidRPr="004410BC">
              <w:rPr>
                <w:sz w:val="22"/>
                <w:szCs w:val="22"/>
              </w:rPr>
              <w:br/>
              <w:t>achievable as a service ideal, but its limitations need to be recognised and accounted</w:t>
            </w:r>
            <w:r w:rsidRPr="004410BC">
              <w:rPr>
                <w:sz w:val="22"/>
                <w:szCs w:val="22"/>
              </w:rPr>
              <w:br/>
              <w:t>for to ensure that primary care can be an equitable service, both now and in the</w:t>
            </w:r>
            <w:r w:rsidRPr="004410BC">
              <w:rPr>
                <w:sz w:val="22"/>
                <w:szCs w:val="22"/>
              </w:rPr>
              <w:br/>
              <w:t>future.</w:t>
            </w:r>
            <w:r w:rsidRPr="004410BC">
              <w:rPr>
                <w:sz w:val="22"/>
                <w:szCs w:val="22"/>
              </w:rPr>
              <w:br/>
              <w:t>Public Contribution: Members of the public were involved in all phases of research</w:t>
            </w:r>
            <w:r w:rsidRPr="004410BC">
              <w:rPr>
                <w:sz w:val="22"/>
                <w:szCs w:val="22"/>
              </w:rPr>
              <w:br/>
              <w:t>in the study. This included co</w:t>
            </w:r>
            <w:r w:rsidRPr="004410BC">
              <w:rPr>
                <w:rFonts w:ascii="Cambria Math" w:hAnsi="Cambria Math" w:cs="Cambria Math"/>
                <w:sz w:val="22"/>
                <w:szCs w:val="22"/>
              </w:rPr>
              <w:t>‐</w:t>
            </w:r>
            <w:r w:rsidRPr="004410BC">
              <w:rPr>
                <w:sz w:val="22"/>
                <w:szCs w:val="22"/>
              </w:rPr>
              <w:t>working in partnership throughout the study including</w:t>
            </w:r>
            <w:r w:rsidRPr="004410BC">
              <w:rPr>
                <w:sz w:val="22"/>
                <w:szCs w:val="22"/>
              </w:rPr>
              <w:br/>
              <w:t>reviewing patient</w:t>
            </w:r>
            <w:r w:rsidRPr="004410BC">
              <w:rPr>
                <w:rFonts w:ascii="Cambria Math" w:hAnsi="Cambria Math" w:cs="Cambria Math"/>
                <w:sz w:val="22"/>
                <w:szCs w:val="22"/>
              </w:rPr>
              <w:t>‐</w:t>
            </w:r>
            <w:r w:rsidRPr="004410BC">
              <w:rPr>
                <w:sz w:val="22"/>
                <w:szCs w:val="22"/>
              </w:rPr>
              <w:t>facing documents, recruiting participants, data facilitation,</w:t>
            </w:r>
            <w:r w:rsidRPr="004410BC">
              <w:rPr>
                <w:sz w:val="22"/>
                <w:szCs w:val="22"/>
              </w:rPr>
              <w:br/>
              <w:t>translation work, interpretation of the data</w:t>
            </w:r>
            <w:r w:rsidR="00225BC8" w:rsidRPr="004410BC">
              <w:rPr>
                <w:sz w:val="22"/>
                <w:szCs w:val="22"/>
              </w:rPr>
              <w:t>,</w:t>
            </w:r>
            <w:r w:rsidRPr="004410BC">
              <w:rPr>
                <w:sz w:val="22"/>
                <w:szCs w:val="22"/>
              </w:rPr>
              <w:t xml:space="preserve"> and co</w:t>
            </w:r>
            <w:r w:rsidRPr="004410BC">
              <w:rPr>
                <w:rFonts w:ascii="Cambria Math" w:hAnsi="Cambria Math" w:cs="Cambria Math"/>
                <w:sz w:val="22"/>
                <w:szCs w:val="22"/>
              </w:rPr>
              <w:t>‐</w:t>
            </w:r>
            <w:r w:rsidRPr="004410BC">
              <w:rPr>
                <w:sz w:val="22"/>
                <w:szCs w:val="22"/>
              </w:rPr>
              <w:t>authors on this manuscript.</w:t>
            </w:r>
            <w:r w:rsidRPr="004410BC">
              <w:rPr>
                <w:sz w:val="22"/>
                <w:szCs w:val="22"/>
              </w:rPr>
              <w:br/>
              <w:t>The key to the success of our study was collaborative teamwork, which involved</w:t>
            </w:r>
            <w:r w:rsidRPr="004410BC">
              <w:rPr>
                <w:sz w:val="22"/>
                <w:szCs w:val="22"/>
              </w:rPr>
              <w:br/>
              <w:t>experienced members of the public with SA cultural knowledge working together</w:t>
            </w:r>
            <w:r w:rsidRPr="004410BC">
              <w:rPr>
                <w:sz w:val="22"/>
                <w:szCs w:val="22"/>
              </w:rPr>
              <w:br/>
              <w:t>with and integral to the research team for all components.</w:t>
            </w:r>
            <w:r w:rsidRPr="004410BC">
              <w:rPr>
                <w:sz w:val="22"/>
                <w:szCs w:val="22"/>
              </w:rPr>
              <w:br/>
              <w:t>operate on a remote</w:t>
            </w:r>
            <w:r w:rsidRPr="004410BC">
              <w:rPr>
                <w:rFonts w:ascii="Cambria Math" w:hAnsi="Cambria Math" w:cs="Cambria Math"/>
                <w:sz w:val="22"/>
                <w:szCs w:val="22"/>
              </w:rPr>
              <w:t>‐</w:t>
            </w:r>
            <w:r w:rsidRPr="004410BC">
              <w:rPr>
                <w:sz w:val="22"/>
                <w:szCs w:val="22"/>
              </w:rPr>
              <w:t>first (digital</w:t>
            </w:r>
            <w:r w:rsidRPr="004410BC">
              <w:rPr>
                <w:rFonts w:ascii="Cambria Math" w:hAnsi="Cambria Math" w:cs="Cambria Math"/>
                <w:sz w:val="22"/>
                <w:szCs w:val="22"/>
              </w:rPr>
              <w:t>‐</w:t>
            </w:r>
            <w:r w:rsidRPr="004410BC">
              <w:rPr>
                <w:sz w:val="22"/>
                <w:szCs w:val="22"/>
              </w:rPr>
              <w:t>first) basis by 2029. Previous research has</w:t>
            </w:r>
            <w:r w:rsidRPr="004410BC">
              <w:rPr>
                <w:sz w:val="22"/>
                <w:szCs w:val="22"/>
              </w:rPr>
              <w:br/>
              <w:t>suggested that remote methods of access to care and consulting may act to widen</w:t>
            </w:r>
            <w:r w:rsidRPr="004410BC">
              <w:rPr>
                <w:sz w:val="22"/>
                <w:szCs w:val="22"/>
              </w:rPr>
              <w:br/>
              <w:t>health inequalities for certain patients and/or groups such as those from ethnic</w:t>
            </w:r>
            <w:r w:rsidRPr="004410BC">
              <w:rPr>
                <w:sz w:val="22"/>
                <w:szCs w:val="22"/>
              </w:rPr>
              <w:br/>
              <w:t>minorities. South Asian (SA) patients comprise the largest ethnic minority group in</w:t>
            </w:r>
            <w:r w:rsidRPr="004410BC">
              <w:rPr>
                <w:sz w:val="22"/>
                <w:szCs w:val="22"/>
              </w:rPr>
              <w:br/>
              <w:t>England. Understanding the experiences and needs of this group is critical to</w:t>
            </w:r>
            <w:r w:rsidRPr="004410BC">
              <w:rPr>
                <w:sz w:val="22"/>
                <w:szCs w:val="22"/>
              </w:rPr>
              <w:br/>
              <w:t>ensuring that general practice can deliver equitable, quality health care.</w:t>
            </w:r>
            <w:r w:rsidRPr="004410BC">
              <w:rPr>
                <w:sz w:val="22"/>
                <w:szCs w:val="22"/>
              </w:rPr>
              <w:br/>
              <w:t>Methods: Qualitative study. 37 participants (from Indian, Pakistani and/or</w:t>
            </w:r>
            <w:r w:rsidRPr="004410BC">
              <w:rPr>
                <w:sz w:val="22"/>
                <w:szCs w:val="22"/>
              </w:rPr>
              <w:br/>
              <w:t>Bangladeshi background) were recruited to take part in either in</w:t>
            </w:r>
            <w:r w:rsidRPr="004410BC">
              <w:rPr>
                <w:rFonts w:ascii="Cambria Math" w:hAnsi="Cambria Math" w:cs="Cambria Math"/>
                <w:sz w:val="22"/>
                <w:szCs w:val="22"/>
              </w:rPr>
              <w:t>‐</w:t>
            </w:r>
            <w:r w:rsidRPr="004410BC">
              <w:rPr>
                <w:sz w:val="22"/>
                <w:szCs w:val="22"/>
              </w:rPr>
              <w:t>person preferred</w:t>
            </w:r>
            <w:r w:rsidRPr="004410BC">
              <w:rPr>
                <w:sz w:val="22"/>
                <w:szCs w:val="22"/>
              </w:rPr>
              <w:br/>
              <w:t>language focus groups or remote semistructured interviews in the English language.</w:t>
            </w:r>
            <w:r w:rsidRPr="004410BC">
              <w:rPr>
                <w:sz w:val="22"/>
                <w:szCs w:val="22"/>
              </w:rPr>
              <w:br/>
              <w:t>Thematic analysis was conducted to identify themes in the qualitative data.</w:t>
            </w:r>
            <w:r w:rsidRPr="004410BC">
              <w:rPr>
                <w:sz w:val="22"/>
                <w:szCs w:val="22"/>
              </w:rPr>
              <w:br/>
              <w:t>Findings: Three major interlinked themes were identified: (1) reduced access, (2)</w:t>
            </w:r>
            <w:r w:rsidRPr="004410BC">
              <w:rPr>
                <w:sz w:val="22"/>
                <w:szCs w:val="22"/>
              </w:rPr>
              <w:br/>
              <w:t>reduced patient choice and (3) quality and safety concerns. The findings highlight</w:t>
            </w:r>
            <w:r w:rsidRPr="004410BC">
              <w:rPr>
                <w:sz w:val="22"/>
                <w:szCs w:val="22"/>
              </w:rPr>
              <w:br/>
              <w:t>access issues split by (i) general issues with appointment access via any remote</w:t>
            </w:r>
            <w:r w:rsidRPr="004410BC">
              <w:rPr>
                <w:sz w:val="22"/>
                <w:szCs w:val="22"/>
              </w:rPr>
              <w:br/>
              <w:t>means and (ii) specific issues related to language barriers creating additional barriers</w:t>
            </w:r>
            <w:r w:rsidRPr="004410BC">
              <w:rPr>
                <w:sz w:val="22"/>
                <w:szCs w:val="22"/>
              </w:rPr>
              <w:br/>
              <w:t>to access and care. Some patients valued the convenience of remote access but also</w:t>
            </w:r>
            <w:r w:rsidRPr="004410BC">
              <w:rPr>
                <w:sz w:val="22"/>
                <w:szCs w:val="22"/>
              </w:rPr>
              <w:br/>
              <w:t>raised concerns regarding appointment availability and reduced patient choice. Faceto</w:t>
            </w:r>
            <w:r w:rsidRPr="004410BC">
              <w:rPr>
                <w:rFonts w:ascii="Cambria Math" w:hAnsi="Cambria Math" w:cs="Cambria Math"/>
                <w:sz w:val="22"/>
                <w:szCs w:val="22"/>
              </w:rPr>
              <w:t>‐</w:t>
            </w:r>
            <w:r w:rsidRPr="004410BC">
              <w:rPr>
                <w:sz w:val="22"/>
                <w:szCs w:val="22"/>
              </w:rPr>
              <w:br/>
              <w:t>face consultations were preferable but less available. The findings underscore</w:t>
            </w:r>
            <w:r w:rsidRPr="004410BC">
              <w:rPr>
                <w:sz w:val="22"/>
                <w:szCs w:val="22"/>
              </w:rPr>
              <w:br/>
              <w:t>how participants perceived remote care to be of lesser quality and less safe.</w:t>
            </w:r>
            <w:r w:rsidRPr="004410BC">
              <w:rPr>
                <w:sz w:val="22"/>
                <w:szCs w:val="22"/>
              </w:rPr>
              <w:br/>
              <w:t>Concerns were greatest for those with limited English proficiency (LEP), with the</w:t>
            </w:r>
          </w:p>
        </w:tc>
        <w:tc>
          <w:tcPr>
            <w:tcW w:w="567" w:type="dxa"/>
            <w:noWrap/>
            <w:hideMark/>
          </w:tcPr>
          <w:p w14:paraId="785F2B32" w14:textId="77777777" w:rsidR="00430F22" w:rsidRPr="004410BC" w:rsidRDefault="00430F22" w:rsidP="00236C76">
            <w:pPr>
              <w:rPr>
                <w:sz w:val="22"/>
                <w:szCs w:val="22"/>
              </w:rPr>
            </w:pPr>
            <w:r w:rsidRPr="004410BC">
              <w:rPr>
                <w:sz w:val="22"/>
                <w:szCs w:val="22"/>
              </w:rPr>
              <w:t>10.1111/hex.13982</w:t>
            </w:r>
          </w:p>
        </w:tc>
        <w:tc>
          <w:tcPr>
            <w:tcW w:w="567" w:type="dxa"/>
            <w:noWrap/>
            <w:hideMark/>
          </w:tcPr>
          <w:p w14:paraId="760911AD" w14:textId="77777777" w:rsidR="00430F22" w:rsidRPr="004410BC" w:rsidRDefault="00430F22" w:rsidP="00236C76">
            <w:pPr>
              <w:rPr>
                <w:sz w:val="22"/>
                <w:szCs w:val="22"/>
              </w:rPr>
            </w:pPr>
            <w:r w:rsidRPr="004410BC">
              <w:rPr>
                <w:sz w:val="22"/>
                <w:szCs w:val="22"/>
              </w:rPr>
              <w:t>1</w:t>
            </w:r>
          </w:p>
        </w:tc>
        <w:tc>
          <w:tcPr>
            <w:tcW w:w="850" w:type="dxa"/>
            <w:noWrap/>
            <w:hideMark/>
          </w:tcPr>
          <w:p w14:paraId="54F80512" w14:textId="77777777" w:rsidR="00430F22" w:rsidRPr="004410BC" w:rsidRDefault="00430F22" w:rsidP="00236C76">
            <w:pPr>
              <w:rPr>
                <w:sz w:val="22"/>
                <w:szCs w:val="22"/>
              </w:rPr>
            </w:pPr>
          </w:p>
        </w:tc>
      </w:tr>
    </w:tbl>
    <w:p w14:paraId="1414E45F" w14:textId="77777777" w:rsidR="00FC7B33" w:rsidRPr="004410BC" w:rsidRDefault="00FC7B33" w:rsidP="00236C76">
      <w:pPr>
        <w:rPr>
          <w:rFonts w:cs="Arial"/>
        </w:rPr>
      </w:pPr>
    </w:p>
    <w:p w14:paraId="371576C1" w14:textId="77777777" w:rsidR="00FC7B33" w:rsidRPr="004410BC" w:rsidRDefault="00FC7B33" w:rsidP="00236C76">
      <w:pPr>
        <w:rPr>
          <w:rFonts w:cs="Arial"/>
        </w:rPr>
      </w:pPr>
    </w:p>
    <w:p w14:paraId="56845CEC" w14:textId="77777777" w:rsidR="00FC7B33" w:rsidRPr="004410BC" w:rsidRDefault="00FC7B33" w:rsidP="00236C76">
      <w:pPr>
        <w:pStyle w:val="Heading1"/>
        <w:rPr>
          <w:rFonts w:cs="Arial"/>
        </w:rPr>
        <w:sectPr w:rsidR="00FC7B33" w:rsidRPr="004410BC" w:rsidSect="00430F22">
          <w:pgSz w:w="16838" w:h="11906" w:orient="landscape"/>
          <w:pgMar w:top="1440" w:right="1440" w:bottom="1440" w:left="1440" w:header="708" w:footer="708" w:gutter="0"/>
          <w:cols w:space="708"/>
          <w:docGrid w:linePitch="360"/>
        </w:sectPr>
      </w:pPr>
    </w:p>
    <w:p w14:paraId="295E235A" w14:textId="15484693" w:rsidR="00FC7B33" w:rsidRPr="004410BC" w:rsidRDefault="00FC7B33" w:rsidP="00236C76">
      <w:pPr>
        <w:pStyle w:val="Heading1"/>
        <w:rPr>
          <w:rFonts w:cs="Arial"/>
        </w:rPr>
      </w:pPr>
      <w:bookmarkStart w:id="368" w:name="_Toc238290280"/>
      <w:bookmarkStart w:id="369" w:name="_Toc240724923"/>
      <w:r w:rsidRPr="004410BC">
        <w:rPr>
          <w:rFonts w:cs="Arial"/>
        </w:rPr>
        <w:t xml:space="preserve">Appendix 4: </w:t>
      </w:r>
      <w:r w:rsidR="00CC554D" w:rsidRPr="004410BC">
        <w:rPr>
          <w:rFonts w:cs="Arial"/>
        </w:rPr>
        <w:t>Screening full text</w:t>
      </w:r>
      <w:bookmarkEnd w:id="368"/>
      <w:bookmarkEnd w:id="369"/>
    </w:p>
    <w:tbl>
      <w:tblPr>
        <w:tblStyle w:val="TableGrid"/>
        <w:tblW w:w="0" w:type="auto"/>
        <w:tblLook w:val="04A0" w:firstRow="1" w:lastRow="0" w:firstColumn="1" w:lastColumn="0" w:noHBand="0" w:noVBand="1"/>
      </w:tblPr>
      <w:tblGrid>
        <w:gridCol w:w="295"/>
        <w:gridCol w:w="530"/>
        <w:gridCol w:w="805"/>
        <w:gridCol w:w="668"/>
        <w:gridCol w:w="456"/>
        <w:gridCol w:w="507"/>
        <w:gridCol w:w="507"/>
        <w:gridCol w:w="2928"/>
        <w:gridCol w:w="1292"/>
        <w:gridCol w:w="510"/>
        <w:gridCol w:w="518"/>
      </w:tblGrid>
      <w:tr w:rsidR="00844C9F" w:rsidRPr="004410BC" w14:paraId="7676E9B8" w14:textId="77777777" w:rsidTr="00012A79">
        <w:trPr>
          <w:trHeight w:val="250"/>
        </w:trPr>
        <w:tc>
          <w:tcPr>
            <w:tcW w:w="287" w:type="dxa"/>
            <w:noWrap/>
            <w:hideMark/>
          </w:tcPr>
          <w:p w14:paraId="1816BD1C" w14:textId="77777777" w:rsidR="00844C9F" w:rsidRPr="004410BC" w:rsidRDefault="00844C9F" w:rsidP="00236C76">
            <w:pPr>
              <w:rPr>
                <w:sz w:val="22"/>
                <w:szCs w:val="22"/>
              </w:rPr>
            </w:pPr>
            <w:r w:rsidRPr="004410BC">
              <w:rPr>
                <w:sz w:val="22"/>
                <w:szCs w:val="22"/>
              </w:rPr>
              <w:t>ID</w:t>
            </w:r>
          </w:p>
        </w:tc>
        <w:tc>
          <w:tcPr>
            <w:tcW w:w="499" w:type="dxa"/>
            <w:noWrap/>
            <w:hideMark/>
          </w:tcPr>
          <w:p w14:paraId="3B619B16" w14:textId="77777777" w:rsidR="00844C9F" w:rsidRPr="004410BC" w:rsidRDefault="00844C9F" w:rsidP="00236C76">
            <w:pPr>
              <w:rPr>
                <w:sz w:val="22"/>
                <w:szCs w:val="22"/>
              </w:rPr>
            </w:pPr>
            <w:r w:rsidRPr="004410BC">
              <w:rPr>
                <w:sz w:val="22"/>
                <w:szCs w:val="22"/>
              </w:rPr>
              <w:t>Author</w:t>
            </w:r>
          </w:p>
        </w:tc>
        <w:tc>
          <w:tcPr>
            <w:tcW w:w="746" w:type="dxa"/>
            <w:noWrap/>
            <w:hideMark/>
          </w:tcPr>
          <w:p w14:paraId="2A877283" w14:textId="77777777" w:rsidR="00844C9F" w:rsidRPr="004410BC" w:rsidRDefault="00844C9F" w:rsidP="00236C76">
            <w:pPr>
              <w:rPr>
                <w:sz w:val="22"/>
                <w:szCs w:val="22"/>
              </w:rPr>
            </w:pPr>
            <w:r w:rsidRPr="004410BC">
              <w:rPr>
                <w:sz w:val="22"/>
                <w:szCs w:val="22"/>
              </w:rPr>
              <w:t>Title</w:t>
            </w:r>
          </w:p>
        </w:tc>
        <w:tc>
          <w:tcPr>
            <w:tcW w:w="622" w:type="dxa"/>
            <w:noWrap/>
            <w:hideMark/>
          </w:tcPr>
          <w:p w14:paraId="2940C510" w14:textId="77777777" w:rsidR="00844C9F" w:rsidRPr="004410BC" w:rsidRDefault="00844C9F" w:rsidP="00236C76">
            <w:pPr>
              <w:rPr>
                <w:sz w:val="22"/>
                <w:szCs w:val="22"/>
              </w:rPr>
            </w:pPr>
            <w:r w:rsidRPr="004410BC">
              <w:rPr>
                <w:sz w:val="22"/>
                <w:szCs w:val="22"/>
              </w:rPr>
              <w:t>Journal</w:t>
            </w:r>
          </w:p>
        </w:tc>
        <w:tc>
          <w:tcPr>
            <w:tcW w:w="431" w:type="dxa"/>
            <w:noWrap/>
            <w:hideMark/>
          </w:tcPr>
          <w:p w14:paraId="34D4B681" w14:textId="77777777" w:rsidR="00844C9F" w:rsidRPr="004410BC" w:rsidRDefault="00844C9F" w:rsidP="00236C76">
            <w:pPr>
              <w:rPr>
                <w:sz w:val="22"/>
                <w:szCs w:val="22"/>
              </w:rPr>
            </w:pPr>
            <w:r w:rsidRPr="004410BC">
              <w:rPr>
                <w:sz w:val="22"/>
                <w:szCs w:val="22"/>
              </w:rPr>
              <w:t>Volume</w:t>
            </w:r>
          </w:p>
        </w:tc>
        <w:tc>
          <w:tcPr>
            <w:tcW w:w="812" w:type="dxa"/>
            <w:noWrap/>
            <w:hideMark/>
          </w:tcPr>
          <w:p w14:paraId="5F6A3579" w14:textId="77777777" w:rsidR="00844C9F" w:rsidRPr="004410BC" w:rsidRDefault="00844C9F" w:rsidP="00236C76">
            <w:pPr>
              <w:rPr>
                <w:sz w:val="22"/>
                <w:szCs w:val="22"/>
              </w:rPr>
            </w:pPr>
            <w:r w:rsidRPr="004410BC">
              <w:rPr>
                <w:sz w:val="22"/>
                <w:szCs w:val="22"/>
              </w:rPr>
              <w:t>Issue</w:t>
            </w:r>
          </w:p>
        </w:tc>
        <w:tc>
          <w:tcPr>
            <w:tcW w:w="810" w:type="dxa"/>
            <w:noWrap/>
            <w:hideMark/>
          </w:tcPr>
          <w:p w14:paraId="08924F28" w14:textId="77777777" w:rsidR="00844C9F" w:rsidRPr="004410BC" w:rsidRDefault="00844C9F" w:rsidP="00236C76">
            <w:pPr>
              <w:rPr>
                <w:sz w:val="22"/>
                <w:szCs w:val="22"/>
              </w:rPr>
            </w:pPr>
            <w:r w:rsidRPr="004410BC">
              <w:rPr>
                <w:sz w:val="22"/>
                <w:szCs w:val="22"/>
              </w:rPr>
              <w:t>Pages</w:t>
            </w:r>
          </w:p>
        </w:tc>
        <w:tc>
          <w:tcPr>
            <w:tcW w:w="2656" w:type="dxa"/>
            <w:noWrap/>
            <w:hideMark/>
          </w:tcPr>
          <w:p w14:paraId="6FF37018" w14:textId="77777777" w:rsidR="00844C9F" w:rsidRPr="004410BC" w:rsidRDefault="00844C9F" w:rsidP="00236C76">
            <w:pPr>
              <w:rPr>
                <w:sz w:val="22"/>
                <w:szCs w:val="22"/>
              </w:rPr>
            </w:pPr>
            <w:r w:rsidRPr="004410BC">
              <w:rPr>
                <w:sz w:val="22"/>
                <w:szCs w:val="22"/>
              </w:rPr>
              <w:t>Full text link</w:t>
            </w:r>
          </w:p>
        </w:tc>
        <w:tc>
          <w:tcPr>
            <w:tcW w:w="1184" w:type="dxa"/>
            <w:noWrap/>
            <w:hideMark/>
          </w:tcPr>
          <w:p w14:paraId="69203C42" w14:textId="77777777" w:rsidR="00844C9F" w:rsidRPr="004410BC" w:rsidRDefault="00844C9F" w:rsidP="00236C76">
            <w:pPr>
              <w:rPr>
                <w:sz w:val="22"/>
                <w:szCs w:val="22"/>
              </w:rPr>
            </w:pPr>
            <w:r w:rsidRPr="004410BC">
              <w:rPr>
                <w:sz w:val="22"/>
                <w:szCs w:val="22"/>
              </w:rPr>
              <w:t>DOI</w:t>
            </w:r>
          </w:p>
        </w:tc>
        <w:tc>
          <w:tcPr>
            <w:tcW w:w="481" w:type="dxa"/>
            <w:noWrap/>
            <w:hideMark/>
          </w:tcPr>
          <w:p w14:paraId="14B48D6A" w14:textId="77777777" w:rsidR="00844C9F" w:rsidRPr="004410BC" w:rsidRDefault="00844C9F" w:rsidP="00236C76">
            <w:pPr>
              <w:rPr>
                <w:sz w:val="22"/>
                <w:szCs w:val="22"/>
              </w:rPr>
            </w:pPr>
            <w:r w:rsidRPr="004410BC">
              <w:rPr>
                <w:sz w:val="22"/>
                <w:szCs w:val="22"/>
              </w:rPr>
              <w:t>Reviewer Decision (0/1) Y/N</w:t>
            </w:r>
          </w:p>
        </w:tc>
        <w:tc>
          <w:tcPr>
            <w:tcW w:w="488" w:type="dxa"/>
            <w:noWrap/>
            <w:hideMark/>
          </w:tcPr>
          <w:p w14:paraId="6DA1E263" w14:textId="77777777" w:rsidR="00844C9F" w:rsidRPr="004410BC" w:rsidRDefault="00844C9F" w:rsidP="00236C76">
            <w:pPr>
              <w:rPr>
                <w:sz w:val="22"/>
                <w:szCs w:val="22"/>
              </w:rPr>
            </w:pPr>
            <w:r w:rsidRPr="004410BC">
              <w:rPr>
                <w:sz w:val="22"/>
                <w:szCs w:val="22"/>
              </w:rPr>
              <w:t>Reason for Exclusion</w:t>
            </w:r>
          </w:p>
        </w:tc>
      </w:tr>
      <w:tr w:rsidR="00844C9F" w:rsidRPr="004410BC" w14:paraId="41FA46D7" w14:textId="77777777" w:rsidTr="00012A79">
        <w:trPr>
          <w:trHeight w:val="250"/>
        </w:trPr>
        <w:tc>
          <w:tcPr>
            <w:tcW w:w="287" w:type="dxa"/>
            <w:noWrap/>
            <w:hideMark/>
          </w:tcPr>
          <w:p w14:paraId="4AF13E7D" w14:textId="77777777" w:rsidR="00844C9F" w:rsidRPr="004410BC" w:rsidRDefault="00844C9F" w:rsidP="00236C76">
            <w:pPr>
              <w:rPr>
                <w:sz w:val="22"/>
                <w:szCs w:val="22"/>
              </w:rPr>
            </w:pPr>
            <w:r w:rsidRPr="004410BC">
              <w:rPr>
                <w:sz w:val="22"/>
                <w:szCs w:val="22"/>
              </w:rPr>
              <w:t>1</w:t>
            </w:r>
          </w:p>
        </w:tc>
        <w:tc>
          <w:tcPr>
            <w:tcW w:w="499" w:type="dxa"/>
            <w:noWrap/>
            <w:hideMark/>
          </w:tcPr>
          <w:p w14:paraId="23F72AFC" w14:textId="77777777" w:rsidR="00844C9F" w:rsidRPr="004410BC" w:rsidRDefault="00844C9F" w:rsidP="00236C76">
            <w:pPr>
              <w:rPr>
                <w:sz w:val="22"/>
                <w:szCs w:val="22"/>
              </w:rPr>
            </w:pPr>
            <w:r w:rsidRPr="004410BC">
              <w:rPr>
                <w:sz w:val="22"/>
                <w:szCs w:val="22"/>
              </w:rPr>
              <w:t>Atherton et al. (2024)</w:t>
            </w:r>
          </w:p>
        </w:tc>
        <w:tc>
          <w:tcPr>
            <w:tcW w:w="746" w:type="dxa"/>
            <w:noWrap/>
            <w:hideMark/>
          </w:tcPr>
          <w:p w14:paraId="5C38DCC3" w14:textId="77777777" w:rsidR="00844C9F" w:rsidRPr="004410BC" w:rsidRDefault="00844C9F" w:rsidP="00236C76">
            <w:pPr>
              <w:rPr>
                <w:sz w:val="22"/>
                <w:szCs w:val="22"/>
              </w:rPr>
            </w:pPr>
            <w:r w:rsidRPr="004410BC">
              <w:rPr>
                <w:sz w:val="22"/>
                <w:szCs w:val="22"/>
              </w:rPr>
              <w:t>Investigating Patient Use and Experience of Online Appointment Booking in Primary Care: Mixed Methods Study</w:t>
            </w:r>
          </w:p>
        </w:tc>
        <w:tc>
          <w:tcPr>
            <w:tcW w:w="622" w:type="dxa"/>
            <w:noWrap/>
            <w:hideMark/>
          </w:tcPr>
          <w:p w14:paraId="0C7A0F2B" w14:textId="77777777" w:rsidR="00844C9F" w:rsidRPr="004410BC" w:rsidRDefault="00844C9F" w:rsidP="00236C76">
            <w:pPr>
              <w:rPr>
                <w:sz w:val="22"/>
                <w:szCs w:val="22"/>
              </w:rPr>
            </w:pPr>
            <w:r w:rsidRPr="004410BC">
              <w:rPr>
                <w:sz w:val="22"/>
                <w:szCs w:val="22"/>
              </w:rPr>
              <w:t>Journal of Medical Internet Research</w:t>
            </w:r>
          </w:p>
        </w:tc>
        <w:tc>
          <w:tcPr>
            <w:tcW w:w="431" w:type="dxa"/>
            <w:noWrap/>
            <w:hideMark/>
          </w:tcPr>
          <w:p w14:paraId="41A48E6E" w14:textId="77777777" w:rsidR="00844C9F" w:rsidRPr="004410BC" w:rsidRDefault="00844C9F" w:rsidP="00236C76">
            <w:pPr>
              <w:rPr>
                <w:sz w:val="22"/>
                <w:szCs w:val="22"/>
              </w:rPr>
            </w:pPr>
            <w:r w:rsidRPr="004410BC">
              <w:rPr>
                <w:sz w:val="22"/>
                <w:szCs w:val="22"/>
              </w:rPr>
              <w:t>26</w:t>
            </w:r>
          </w:p>
        </w:tc>
        <w:tc>
          <w:tcPr>
            <w:tcW w:w="812" w:type="dxa"/>
            <w:noWrap/>
            <w:hideMark/>
          </w:tcPr>
          <w:p w14:paraId="60F8F96F" w14:textId="77777777" w:rsidR="00844C9F" w:rsidRPr="004410BC" w:rsidRDefault="00844C9F" w:rsidP="00236C76">
            <w:pPr>
              <w:rPr>
                <w:sz w:val="22"/>
                <w:szCs w:val="22"/>
              </w:rPr>
            </w:pPr>
            <w:r w:rsidRPr="004410BC">
              <w:rPr>
                <w:sz w:val="22"/>
                <w:szCs w:val="22"/>
              </w:rPr>
              <w:t>e51931</w:t>
            </w:r>
          </w:p>
        </w:tc>
        <w:tc>
          <w:tcPr>
            <w:tcW w:w="810" w:type="dxa"/>
            <w:noWrap/>
            <w:hideMark/>
          </w:tcPr>
          <w:p w14:paraId="4A86119B" w14:textId="77777777" w:rsidR="00844C9F" w:rsidRPr="004410BC" w:rsidRDefault="00844C9F" w:rsidP="00236C76">
            <w:pPr>
              <w:rPr>
                <w:sz w:val="22"/>
                <w:szCs w:val="22"/>
              </w:rPr>
            </w:pPr>
            <w:r w:rsidRPr="004410BC">
              <w:rPr>
                <w:sz w:val="22"/>
                <w:szCs w:val="22"/>
              </w:rPr>
              <w:t>Not Specified</w:t>
            </w:r>
          </w:p>
        </w:tc>
        <w:tc>
          <w:tcPr>
            <w:tcW w:w="2656" w:type="dxa"/>
            <w:noWrap/>
            <w:hideMark/>
          </w:tcPr>
          <w:p w14:paraId="145E51EF" w14:textId="77777777" w:rsidR="00844C9F" w:rsidRPr="004410BC" w:rsidRDefault="00844C9F" w:rsidP="00236C76">
            <w:pPr>
              <w:rPr>
                <w:sz w:val="22"/>
                <w:szCs w:val="22"/>
              </w:rPr>
            </w:pPr>
            <w:r w:rsidRPr="004410BC">
              <w:rPr>
                <w:sz w:val="22"/>
                <w:szCs w:val="22"/>
              </w:rPr>
              <w:t>https://www.jmir.org/2024/1/e51931/</w:t>
            </w:r>
          </w:p>
        </w:tc>
        <w:tc>
          <w:tcPr>
            <w:tcW w:w="1184" w:type="dxa"/>
            <w:noWrap/>
            <w:hideMark/>
          </w:tcPr>
          <w:p w14:paraId="017A0383" w14:textId="77777777" w:rsidR="00844C9F" w:rsidRPr="004410BC" w:rsidRDefault="00844C9F" w:rsidP="00236C76">
            <w:pPr>
              <w:rPr>
                <w:sz w:val="22"/>
                <w:szCs w:val="22"/>
              </w:rPr>
            </w:pPr>
            <w:r w:rsidRPr="004410BC">
              <w:rPr>
                <w:sz w:val="22"/>
                <w:szCs w:val="22"/>
              </w:rPr>
              <w:t>10.2196/51931</w:t>
            </w:r>
          </w:p>
        </w:tc>
        <w:tc>
          <w:tcPr>
            <w:tcW w:w="481" w:type="dxa"/>
            <w:noWrap/>
            <w:hideMark/>
          </w:tcPr>
          <w:p w14:paraId="40E56938" w14:textId="77777777" w:rsidR="00844C9F" w:rsidRPr="004410BC" w:rsidRDefault="00844C9F" w:rsidP="00236C76">
            <w:pPr>
              <w:rPr>
                <w:sz w:val="22"/>
                <w:szCs w:val="22"/>
              </w:rPr>
            </w:pPr>
            <w:r w:rsidRPr="004410BC">
              <w:rPr>
                <w:sz w:val="22"/>
                <w:szCs w:val="22"/>
              </w:rPr>
              <w:t>1</w:t>
            </w:r>
          </w:p>
        </w:tc>
        <w:tc>
          <w:tcPr>
            <w:tcW w:w="488" w:type="dxa"/>
            <w:noWrap/>
            <w:hideMark/>
          </w:tcPr>
          <w:p w14:paraId="3C025EC4" w14:textId="77777777" w:rsidR="00844C9F" w:rsidRPr="004410BC" w:rsidRDefault="00844C9F" w:rsidP="00236C76">
            <w:pPr>
              <w:rPr>
                <w:sz w:val="22"/>
                <w:szCs w:val="22"/>
              </w:rPr>
            </w:pPr>
          </w:p>
        </w:tc>
      </w:tr>
      <w:tr w:rsidR="00844C9F" w:rsidRPr="004410BC" w14:paraId="4D97C915" w14:textId="77777777" w:rsidTr="00012A79">
        <w:trPr>
          <w:trHeight w:val="250"/>
        </w:trPr>
        <w:tc>
          <w:tcPr>
            <w:tcW w:w="287" w:type="dxa"/>
            <w:noWrap/>
            <w:hideMark/>
          </w:tcPr>
          <w:p w14:paraId="397C8471" w14:textId="77777777" w:rsidR="00844C9F" w:rsidRPr="004410BC" w:rsidRDefault="00844C9F" w:rsidP="00236C76">
            <w:pPr>
              <w:rPr>
                <w:sz w:val="22"/>
                <w:szCs w:val="22"/>
              </w:rPr>
            </w:pPr>
            <w:r w:rsidRPr="004410BC">
              <w:rPr>
                <w:sz w:val="22"/>
                <w:szCs w:val="22"/>
              </w:rPr>
              <w:t>2</w:t>
            </w:r>
          </w:p>
        </w:tc>
        <w:tc>
          <w:tcPr>
            <w:tcW w:w="499" w:type="dxa"/>
            <w:noWrap/>
            <w:hideMark/>
          </w:tcPr>
          <w:p w14:paraId="78F1B0D3" w14:textId="77777777" w:rsidR="00844C9F" w:rsidRPr="004410BC" w:rsidRDefault="00844C9F" w:rsidP="00236C76">
            <w:pPr>
              <w:rPr>
                <w:sz w:val="22"/>
                <w:szCs w:val="22"/>
              </w:rPr>
            </w:pPr>
            <w:r w:rsidRPr="004410BC">
              <w:rPr>
                <w:sz w:val="22"/>
                <w:szCs w:val="22"/>
              </w:rPr>
              <w:t>Coughlan et al. (2021)</w:t>
            </w:r>
          </w:p>
        </w:tc>
        <w:tc>
          <w:tcPr>
            <w:tcW w:w="746" w:type="dxa"/>
            <w:noWrap/>
            <w:hideMark/>
          </w:tcPr>
          <w:p w14:paraId="6B197D52" w14:textId="77777777" w:rsidR="00844C9F" w:rsidRPr="004410BC" w:rsidRDefault="00844C9F" w:rsidP="00236C76">
            <w:pPr>
              <w:rPr>
                <w:sz w:val="22"/>
                <w:szCs w:val="22"/>
              </w:rPr>
            </w:pPr>
            <w:r w:rsidRPr="004410BC">
              <w:rPr>
                <w:sz w:val="22"/>
                <w:szCs w:val="22"/>
              </w:rPr>
              <w:t>Social and ethnic group differences in healthcare use by children aged 0–14 years: a population-based cohort study in England from 2007 to 2017</w:t>
            </w:r>
          </w:p>
        </w:tc>
        <w:tc>
          <w:tcPr>
            <w:tcW w:w="622" w:type="dxa"/>
            <w:noWrap/>
            <w:hideMark/>
          </w:tcPr>
          <w:p w14:paraId="4BE99791" w14:textId="77777777" w:rsidR="00844C9F" w:rsidRPr="004410BC" w:rsidRDefault="00844C9F" w:rsidP="00236C76">
            <w:pPr>
              <w:rPr>
                <w:sz w:val="22"/>
                <w:szCs w:val="22"/>
              </w:rPr>
            </w:pPr>
            <w:r w:rsidRPr="004410BC">
              <w:rPr>
                <w:sz w:val="22"/>
                <w:szCs w:val="22"/>
              </w:rPr>
              <w:t>Archives of Disease in Childhood</w:t>
            </w:r>
          </w:p>
        </w:tc>
        <w:tc>
          <w:tcPr>
            <w:tcW w:w="431" w:type="dxa"/>
            <w:noWrap/>
            <w:hideMark/>
          </w:tcPr>
          <w:p w14:paraId="5B687B5A" w14:textId="77777777" w:rsidR="00844C9F" w:rsidRPr="004410BC" w:rsidRDefault="00844C9F" w:rsidP="00236C76">
            <w:pPr>
              <w:rPr>
                <w:sz w:val="22"/>
                <w:szCs w:val="22"/>
              </w:rPr>
            </w:pPr>
            <w:r w:rsidRPr="004410BC">
              <w:rPr>
                <w:sz w:val="22"/>
                <w:szCs w:val="22"/>
              </w:rPr>
              <w:t>107</w:t>
            </w:r>
          </w:p>
        </w:tc>
        <w:tc>
          <w:tcPr>
            <w:tcW w:w="812" w:type="dxa"/>
            <w:noWrap/>
            <w:hideMark/>
          </w:tcPr>
          <w:p w14:paraId="52511831" w14:textId="77777777" w:rsidR="00844C9F" w:rsidRPr="004410BC" w:rsidRDefault="00844C9F" w:rsidP="00236C76">
            <w:pPr>
              <w:rPr>
                <w:sz w:val="22"/>
                <w:szCs w:val="22"/>
              </w:rPr>
            </w:pPr>
            <w:r w:rsidRPr="004410BC">
              <w:rPr>
                <w:sz w:val="22"/>
                <w:szCs w:val="22"/>
              </w:rPr>
              <w:t>Not Specified</w:t>
            </w:r>
          </w:p>
        </w:tc>
        <w:tc>
          <w:tcPr>
            <w:tcW w:w="810" w:type="dxa"/>
            <w:noWrap/>
            <w:hideMark/>
          </w:tcPr>
          <w:p w14:paraId="0C19EA3E" w14:textId="77777777" w:rsidR="00844C9F" w:rsidRPr="004410BC" w:rsidRDefault="00844C9F" w:rsidP="00236C76">
            <w:pPr>
              <w:rPr>
                <w:sz w:val="22"/>
                <w:szCs w:val="22"/>
              </w:rPr>
            </w:pPr>
            <w:r w:rsidRPr="004410BC">
              <w:rPr>
                <w:sz w:val="22"/>
                <w:szCs w:val="22"/>
              </w:rPr>
              <w:t>32–39</w:t>
            </w:r>
          </w:p>
        </w:tc>
        <w:tc>
          <w:tcPr>
            <w:tcW w:w="2656" w:type="dxa"/>
            <w:noWrap/>
            <w:hideMark/>
          </w:tcPr>
          <w:p w14:paraId="593C0937" w14:textId="77777777" w:rsidR="00844C9F" w:rsidRPr="004410BC" w:rsidRDefault="00844C9F" w:rsidP="00236C76">
            <w:pPr>
              <w:rPr>
                <w:sz w:val="22"/>
                <w:szCs w:val="22"/>
              </w:rPr>
            </w:pPr>
            <w:r w:rsidRPr="004410BC">
              <w:rPr>
                <w:sz w:val="22"/>
                <w:szCs w:val="22"/>
              </w:rPr>
              <w:t>https://adc.bmj.com/content/107/1/32.abstract</w:t>
            </w:r>
          </w:p>
        </w:tc>
        <w:tc>
          <w:tcPr>
            <w:tcW w:w="1184" w:type="dxa"/>
            <w:noWrap/>
            <w:hideMark/>
          </w:tcPr>
          <w:p w14:paraId="6F3A61C3" w14:textId="77777777" w:rsidR="00844C9F" w:rsidRPr="004410BC" w:rsidRDefault="00844C9F" w:rsidP="00236C76">
            <w:pPr>
              <w:rPr>
                <w:sz w:val="22"/>
                <w:szCs w:val="22"/>
              </w:rPr>
            </w:pPr>
            <w:r w:rsidRPr="004410BC">
              <w:rPr>
                <w:sz w:val="22"/>
                <w:szCs w:val="22"/>
              </w:rPr>
              <w:t>10.1136/archdischild-2020-321045</w:t>
            </w:r>
          </w:p>
        </w:tc>
        <w:tc>
          <w:tcPr>
            <w:tcW w:w="481" w:type="dxa"/>
            <w:noWrap/>
            <w:hideMark/>
          </w:tcPr>
          <w:p w14:paraId="2DC56D6D" w14:textId="77777777" w:rsidR="00844C9F" w:rsidRPr="004410BC" w:rsidRDefault="00844C9F" w:rsidP="00236C76">
            <w:pPr>
              <w:rPr>
                <w:sz w:val="22"/>
                <w:szCs w:val="22"/>
              </w:rPr>
            </w:pPr>
            <w:r w:rsidRPr="004410BC">
              <w:rPr>
                <w:sz w:val="22"/>
                <w:szCs w:val="22"/>
              </w:rPr>
              <w:t>1</w:t>
            </w:r>
          </w:p>
        </w:tc>
        <w:tc>
          <w:tcPr>
            <w:tcW w:w="488" w:type="dxa"/>
            <w:noWrap/>
            <w:hideMark/>
          </w:tcPr>
          <w:p w14:paraId="0A03C48B" w14:textId="77777777" w:rsidR="00844C9F" w:rsidRPr="004410BC" w:rsidRDefault="00844C9F" w:rsidP="00236C76">
            <w:pPr>
              <w:rPr>
                <w:sz w:val="22"/>
                <w:szCs w:val="22"/>
              </w:rPr>
            </w:pPr>
          </w:p>
        </w:tc>
      </w:tr>
      <w:tr w:rsidR="00844C9F" w:rsidRPr="004410BC" w14:paraId="2FDFC3F9" w14:textId="77777777" w:rsidTr="00012A79">
        <w:trPr>
          <w:trHeight w:val="250"/>
        </w:trPr>
        <w:tc>
          <w:tcPr>
            <w:tcW w:w="287" w:type="dxa"/>
            <w:noWrap/>
            <w:hideMark/>
          </w:tcPr>
          <w:p w14:paraId="530A1A7F" w14:textId="77777777" w:rsidR="00844C9F" w:rsidRPr="004410BC" w:rsidRDefault="00844C9F" w:rsidP="00236C76">
            <w:pPr>
              <w:rPr>
                <w:sz w:val="22"/>
                <w:szCs w:val="22"/>
              </w:rPr>
            </w:pPr>
            <w:r w:rsidRPr="004410BC">
              <w:rPr>
                <w:sz w:val="22"/>
                <w:szCs w:val="22"/>
              </w:rPr>
              <w:t>3</w:t>
            </w:r>
          </w:p>
        </w:tc>
        <w:tc>
          <w:tcPr>
            <w:tcW w:w="499" w:type="dxa"/>
            <w:noWrap/>
            <w:hideMark/>
          </w:tcPr>
          <w:p w14:paraId="45A75B3E" w14:textId="77777777" w:rsidR="00844C9F" w:rsidRPr="004410BC" w:rsidRDefault="00844C9F" w:rsidP="00236C76">
            <w:pPr>
              <w:rPr>
                <w:sz w:val="22"/>
                <w:szCs w:val="22"/>
              </w:rPr>
            </w:pPr>
            <w:r w:rsidRPr="004410BC">
              <w:rPr>
                <w:sz w:val="22"/>
                <w:szCs w:val="22"/>
              </w:rPr>
              <w:t>Eccles et al. (2025)</w:t>
            </w:r>
          </w:p>
        </w:tc>
        <w:tc>
          <w:tcPr>
            <w:tcW w:w="746" w:type="dxa"/>
            <w:noWrap/>
            <w:hideMark/>
          </w:tcPr>
          <w:p w14:paraId="406442F3" w14:textId="77777777" w:rsidR="00844C9F" w:rsidRPr="004410BC" w:rsidRDefault="00844C9F" w:rsidP="00236C76">
            <w:pPr>
              <w:rPr>
                <w:sz w:val="22"/>
                <w:szCs w:val="22"/>
              </w:rPr>
            </w:pPr>
            <w:r w:rsidRPr="004410BC">
              <w:rPr>
                <w:sz w:val="22"/>
                <w:szCs w:val="22"/>
              </w:rPr>
              <w:t>Accessing equitable menopause care in the contemporary NHS: a qualitative study of women's experiences</w:t>
            </w:r>
          </w:p>
        </w:tc>
        <w:tc>
          <w:tcPr>
            <w:tcW w:w="622" w:type="dxa"/>
            <w:noWrap/>
            <w:hideMark/>
          </w:tcPr>
          <w:p w14:paraId="61692D8E" w14:textId="77777777" w:rsidR="00844C9F" w:rsidRPr="004410BC" w:rsidRDefault="00844C9F" w:rsidP="00236C76">
            <w:pPr>
              <w:rPr>
                <w:sz w:val="22"/>
                <w:szCs w:val="22"/>
              </w:rPr>
            </w:pPr>
            <w:r w:rsidRPr="004410BC">
              <w:rPr>
                <w:sz w:val="22"/>
                <w:szCs w:val="22"/>
              </w:rPr>
              <w:t>British Journal of General Practice</w:t>
            </w:r>
          </w:p>
        </w:tc>
        <w:tc>
          <w:tcPr>
            <w:tcW w:w="431" w:type="dxa"/>
            <w:noWrap/>
            <w:hideMark/>
          </w:tcPr>
          <w:p w14:paraId="1B059327" w14:textId="77777777" w:rsidR="00844C9F" w:rsidRPr="004410BC" w:rsidRDefault="00844C9F" w:rsidP="00236C76">
            <w:pPr>
              <w:rPr>
                <w:sz w:val="22"/>
                <w:szCs w:val="22"/>
              </w:rPr>
            </w:pPr>
            <w:r w:rsidRPr="004410BC">
              <w:rPr>
                <w:sz w:val="22"/>
                <w:szCs w:val="22"/>
              </w:rPr>
              <w:t>75</w:t>
            </w:r>
          </w:p>
        </w:tc>
        <w:tc>
          <w:tcPr>
            <w:tcW w:w="812" w:type="dxa"/>
            <w:noWrap/>
            <w:hideMark/>
          </w:tcPr>
          <w:p w14:paraId="3FEB0E98" w14:textId="77777777" w:rsidR="00844C9F" w:rsidRPr="004410BC" w:rsidRDefault="00844C9F" w:rsidP="00236C76">
            <w:pPr>
              <w:rPr>
                <w:sz w:val="22"/>
                <w:szCs w:val="22"/>
              </w:rPr>
            </w:pPr>
            <w:r w:rsidRPr="004410BC">
              <w:rPr>
                <w:sz w:val="22"/>
                <w:szCs w:val="22"/>
              </w:rPr>
              <w:t>761</w:t>
            </w:r>
          </w:p>
        </w:tc>
        <w:tc>
          <w:tcPr>
            <w:tcW w:w="810" w:type="dxa"/>
            <w:noWrap/>
            <w:hideMark/>
          </w:tcPr>
          <w:p w14:paraId="379BA560" w14:textId="77777777" w:rsidR="00844C9F" w:rsidRPr="004410BC" w:rsidRDefault="00844C9F" w:rsidP="00236C76">
            <w:pPr>
              <w:rPr>
                <w:sz w:val="22"/>
                <w:szCs w:val="22"/>
              </w:rPr>
            </w:pPr>
            <w:r w:rsidRPr="004410BC">
              <w:rPr>
                <w:sz w:val="22"/>
                <w:szCs w:val="22"/>
              </w:rPr>
              <w:t>Not Specified</w:t>
            </w:r>
          </w:p>
        </w:tc>
        <w:tc>
          <w:tcPr>
            <w:tcW w:w="2656" w:type="dxa"/>
            <w:noWrap/>
            <w:hideMark/>
          </w:tcPr>
          <w:p w14:paraId="69242AA4" w14:textId="77777777" w:rsidR="00844C9F" w:rsidRPr="004410BC" w:rsidRDefault="00844C9F" w:rsidP="00236C76">
            <w:pPr>
              <w:rPr>
                <w:sz w:val="22"/>
                <w:szCs w:val="22"/>
              </w:rPr>
            </w:pPr>
            <w:r w:rsidRPr="004410BC">
              <w:rPr>
                <w:sz w:val="22"/>
                <w:szCs w:val="22"/>
              </w:rPr>
              <w:t>https://bjgp.org/content/bjgp/early/2025/07/08/BJGP.2024.0781.full.pdf?versioned=true</w:t>
            </w:r>
          </w:p>
        </w:tc>
        <w:tc>
          <w:tcPr>
            <w:tcW w:w="1184" w:type="dxa"/>
            <w:noWrap/>
            <w:hideMark/>
          </w:tcPr>
          <w:p w14:paraId="2B84BC75" w14:textId="77777777" w:rsidR="00844C9F" w:rsidRPr="004410BC" w:rsidRDefault="00844C9F" w:rsidP="00236C76">
            <w:pPr>
              <w:rPr>
                <w:sz w:val="22"/>
                <w:szCs w:val="22"/>
              </w:rPr>
            </w:pPr>
            <w:r w:rsidRPr="004410BC">
              <w:rPr>
                <w:sz w:val="22"/>
                <w:szCs w:val="22"/>
              </w:rPr>
              <w:t>10.3399/BJGP.2024.0781</w:t>
            </w:r>
          </w:p>
        </w:tc>
        <w:tc>
          <w:tcPr>
            <w:tcW w:w="481" w:type="dxa"/>
            <w:noWrap/>
            <w:hideMark/>
          </w:tcPr>
          <w:p w14:paraId="1E3E970B" w14:textId="77777777" w:rsidR="00844C9F" w:rsidRPr="004410BC" w:rsidRDefault="00844C9F" w:rsidP="00236C76">
            <w:pPr>
              <w:rPr>
                <w:sz w:val="22"/>
                <w:szCs w:val="22"/>
              </w:rPr>
            </w:pPr>
            <w:r w:rsidRPr="004410BC">
              <w:rPr>
                <w:sz w:val="22"/>
                <w:szCs w:val="22"/>
              </w:rPr>
              <w:t>1</w:t>
            </w:r>
          </w:p>
        </w:tc>
        <w:tc>
          <w:tcPr>
            <w:tcW w:w="488" w:type="dxa"/>
            <w:noWrap/>
            <w:hideMark/>
          </w:tcPr>
          <w:p w14:paraId="62353FDC" w14:textId="77777777" w:rsidR="00844C9F" w:rsidRPr="004410BC" w:rsidRDefault="00844C9F" w:rsidP="00236C76">
            <w:pPr>
              <w:rPr>
                <w:sz w:val="22"/>
                <w:szCs w:val="22"/>
              </w:rPr>
            </w:pPr>
          </w:p>
        </w:tc>
      </w:tr>
      <w:tr w:rsidR="00844C9F" w:rsidRPr="004410BC" w14:paraId="2F74A095" w14:textId="77777777" w:rsidTr="00012A79">
        <w:trPr>
          <w:trHeight w:val="250"/>
        </w:trPr>
        <w:tc>
          <w:tcPr>
            <w:tcW w:w="287" w:type="dxa"/>
            <w:noWrap/>
            <w:hideMark/>
          </w:tcPr>
          <w:p w14:paraId="366DF442" w14:textId="77777777" w:rsidR="00844C9F" w:rsidRPr="004410BC" w:rsidRDefault="00844C9F" w:rsidP="00236C76">
            <w:pPr>
              <w:rPr>
                <w:sz w:val="22"/>
                <w:szCs w:val="22"/>
              </w:rPr>
            </w:pPr>
            <w:r w:rsidRPr="004410BC">
              <w:rPr>
                <w:sz w:val="22"/>
                <w:szCs w:val="22"/>
              </w:rPr>
              <w:t>4</w:t>
            </w:r>
          </w:p>
        </w:tc>
        <w:tc>
          <w:tcPr>
            <w:tcW w:w="499" w:type="dxa"/>
            <w:noWrap/>
            <w:hideMark/>
          </w:tcPr>
          <w:p w14:paraId="334068C9" w14:textId="77777777" w:rsidR="00844C9F" w:rsidRPr="004410BC" w:rsidRDefault="00844C9F" w:rsidP="00236C76">
            <w:pPr>
              <w:rPr>
                <w:sz w:val="22"/>
                <w:szCs w:val="22"/>
              </w:rPr>
            </w:pPr>
            <w:r w:rsidRPr="004410BC">
              <w:rPr>
                <w:sz w:val="22"/>
                <w:szCs w:val="22"/>
              </w:rPr>
              <w:t>Ekezie et al. (2022)</w:t>
            </w:r>
          </w:p>
        </w:tc>
        <w:tc>
          <w:tcPr>
            <w:tcW w:w="746" w:type="dxa"/>
            <w:noWrap/>
            <w:hideMark/>
          </w:tcPr>
          <w:p w14:paraId="4900B492" w14:textId="77777777" w:rsidR="00844C9F" w:rsidRPr="004410BC" w:rsidRDefault="00844C9F" w:rsidP="00236C76">
            <w:pPr>
              <w:rPr>
                <w:sz w:val="22"/>
                <w:szCs w:val="22"/>
              </w:rPr>
            </w:pPr>
            <w:r w:rsidRPr="004410BC">
              <w:rPr>
                <w:sz w:val="22"/>
                <w:szCs w:val="22"/>
              </w:rPr>
              <w:t>Health Communication and Inequalities in Primary Care Access during the COVID-19 Pandemic among Ethnic Minorities in the United Kingdom: Lived Experiences and Recommendations</w:t>
            </w:r>
          </w:p>
        </w:tc>
        <w:tc>
          <w:tcPr>
            <w:tcW w:w="622" w:type="dxa"/>
            <w:noWrap/>
            <w:hideMark/>
          </w:tcPr>
          <w:p w14:paraId="3B1C1ECE" w14:textId="77777777" w:rsidR="00844C9F" w:rsidRPr="004410BC" w:rsidRDefault="00844C9F" w:rsidP="00236C76">
            <w:pPr>
              <w:rPr>
                <w:sz w:val="22"/>
                <w:szCs w:val="22"/>
              </w:rPr>
            </w:pPr>
            <w:r w:rsidRPr="004410BC">
              <w:rPr>
                <w:sz w:val="22"/>
                <w:szCs w:val="22"/>
              </w:rPr>
              <w:t>International Journal of Environmental Research and Public Health</w:t>
            </w:r>
          </w:p>
        </w:tc>
        <w:tc>
          <w:tcPr>
            <w:tcW w:w="431" w:type="dxa"/>
            <w:noWrap/>
            <w:hideMark/>
          </w:tcPr>
          <w:p w14:paraId="40D68F8A" w14:textId="77777777" w:rsidR="00844C9F" w:rsidRPr="004410BC" w:rsidRDefault="00844C9F" w:rsidP="00236C76">
            <w:pPr>
              <w:rPr>
                <w:sz w:val="22"/>
                <w:szCs w:val="22"/>
              </w:rPr>
            </w:pPr>
            <w:r w:rsidRPr="004410BC">
              <w:rPr>
                <w:sz w:val="22"/>
                <w:szCs w:val="22"/>
              </w:rPr>
              <w:t>19</w:t>
            </w:r>
          </w:p>
        </w:tc>
        <w:tc>
          <w:tcPr>
            <w:tcW w:w="812" w:type="dxa"/>
            <w:noWrap/>
            <w:hideMark/>
          </w:tcPr>
          <w:p w14:paraId="024D7EA6" w14:textId="77777777" w:rsidR="00844C9F" w:rsidRPr="004410BC" w:rsidRDefault="00844C9F" w:rsidP="00236C76">
            <w:pPr>
              <w:rPr>
                <w:sz w:val="22"/>
                <w:szCs w:val="22"/>
              </w:rPr>
            </w:pPr>
            <w:r w:rsidRPr="004410BC">
              <w:rPr>
                <w:sz w:val="22"/>
                <w:szCs w:val="22"/>
              </w:rPr>
              <w:t>22</w:t>
            </w:r>
          </w:p>
        </w:tc>
        <w:tc>
          <w:tcPr>
            <w:tcW w:w="810" w:type="dxa"/>
            <w:noWrap/>
            <w:hideMark/>
          </w:tcPr>
          <w:p w14:paraId="72004DCA" w14:textId="77777777" w:rsidR="00844C9F" w:rsidRPr="004410BC" w:rsidRDefault="00844C9F" w:rsidP="00236C76">
            <w:pPr>
              <w:rPr>
                <w:sz w:val="22"/>
                <w:szCs w:val="22"/>
              </w:rPr>
            </w:pPr>
            <w:r w:rsidRPr="004410BC">
              <w:rPr>
                <w:sz w:val="22"/>
                <w:szCs w:val="22"/>
              </w:rPr>
              <w:t>15166</w:t>
            </w:r>
          </w:p>
        </w:tc>
        <w:tc>
          <w:tcPr>
            <w:tcW w:w="2656" w:type="dxa"/>
            <w:noWrap/>
            <w:hideMark/>
          </w:tcPr>
          <w:p w14:paraId="10B53407" w14:textId="77777777" w:rsidR="00844C9F" w:rsidRPr="004410BC" w:rsidRDefault="00844C9F" w:rsidP="00236C76">
            <w:pPr>
              <w:rPr>
                <w:sz w:val="22"/>
                <w:szCs w:val="22"/>
              </w:rPr>
            </w:pPr>
            <w:r w:rsidRPr="004410BC">
              <w:rPr>
                <w:sz w:val="22"/>
                <w:szCs w:val="22"/>
              </w:rPr>
              <w:t>https://www.mdpi.com/1660-4601/19/22/15166</w:t>
            </w:r>
          </w:p>
        </w:tc>
        <w:tc>
          <w:tcPr>
            <w:tcW w:w="1184" w:type="dxa"/>
            <w:noWrap/>
            <w:hideMark/>
          </w:tcPr>
          <w:p w14:paraId="12999B7B" w14:textId="77777777" w:rsidR="00844C9F" w:rsidRPr="004410BC" w:rsidRDefault="00844C9F" w:rsidP="00236C76">
            <w:pPr>
              <w:rPr>
                <w:sz w:val="22"/>
                <w:szCs w:val="22"/>
              </w:rPr>
            </w:pPr>
            <w:r w:rsidRPr="004410BC">
              <w:rPr>
                <w:sz w:val="22"/>
                <w:szCs w:val="22"/>
              </w:rPr>
              <w:t>10.3390/ijerph192215166</w:t>
            </w:r>
          </w:p>
        </w:tc>
        <w:tc>
          <w:tcPr>
            <w:tcW w:w="481" w:type="dxa"/>
            <w:noWrap/>
            <w:hideMark/>
          </w:tcPr>
          <w:p w14:paraId="29EE743C" w14:textId="77777777" w:rsidR="00844C9F" w:rsidRPr="004410BC" w:rsidRDefault="00844C9F" w:rsidP="00236C76">
            <w:pPr>
              <w:rPr>
                <w:sz w:val="22"/>
                <w:szCs w:val="22"/>
              </w:rPr>
            </w:pPr>
            <w:r w:rsidRPr="004410BC">
              <w:rPr>
                <w:sz w:val="22"/>
                <w:szCs w:val="22"/>
              </w:rPr>
              <w:t>1</w:t>
            </w:r>
          </w:p>
        </w:tc>
        <w:tc>
          <w:tcPr>
            <w:tcW w:w="488" w:type="dxa"/>
            <w:noWrap/>
            <w:hideMark/>
          </w:tcPr>
          <w:p w14:paraId="3BEDDE44" w14:textId="77777777" w:rsidR="00844C9F" w:rsidRPr="004410BC" w:rsidRDefault="00844C9F" w:rsidP="00236C76">
            <w:pPr>
              <w:rPr>
                <w:sz w:val="22"/>
                <w:szCs w:val="22"/>
              </w:rPr>
            </w:pPr>
          </w:p>
        </w:tc>
      </w:tr>
      <w:tr w:rsidR="00844C9F" w:rsidRPr="004410BC" w14:paraId="56E847DB" w14:textId="77777777" w:rsidTr="00012A79">
        <w:trPr>
          <w:trHeight w:val="250"/>
        </w:trPr>
        <w:tc>
          <w:tcPr>
            <w:tcW w:w="287" w:type="dxa"/>
            <w:noWrap/>
            <w:hideMark/>
          </w:tcPr>
          <w:p w14:paraId="284151B7" w14:textId="77777777" w:rsidR="00844C9F" w:rsidRPr="004410BC" w:rsidRDefault="00844C9F" w:rsidP="00236C76">
            <w:pPr>
              <w:rPr>
                <w:sz w:val="22"/>
                <w:szCs w:val="22"/>
              </w:rPr>
            </w:pPr>
            <w:r w:rsidRPr="004410BC">
              <w:rPr>
                <w:sz w:val="22"/>
                <w:szCs w:val="22"/>
              </w:rPr>
              <w:t>5</w:t>
            </w:r>
          </w:p>
        </w:tc>
        <w:tc>
          <w:tcPr>
            <w:tcW w:w="499" w:type="dxa"/>
            <w:noWrap/>
            <w:hideMark/>
          </w:tcPr>
          <w:p w14:paraId="6CE8AE4C" w14:textId="77777777" w:rsidR="00844C9F" w:rsidRPr="004410BC" w:rsidRDefault="00844C9F" w:rsidP="00236C76">
            <w:pPr>
              <w:rPr>
                <w:sz w:val="22"/>
                <w:szCs w:val="22"/>
              </w:rPr>
            </w:pPr>
            <w:r w:rsidRPr="004410BC">
              <w:rPr>
                <w:sz w:val="22"/>
                <w:szCs w:val="22"/>
              </w:rPr>
              <w:t>Gardner, Oduola and Teague (2024)</w:t>
            </w:r>
          </w:p>
        </w:tc>
        <w:tc>
          <w:tcPr>
            <w:tcW w:w="746" w:type="dxa"/>
            <w:noWrap/>
            <w:hideMark/>
          </w:tcPr>
          <w:p w14:paraId="35738B20" w14:textId="77777777" w:rsidR="00844C9F" w:rsidRPr="004410BC" w:rsidRDefault="00844C9F" w:rsidP="00236C76">
            <w:pPr>
              <w:rPr>
                <w:sz w:val="22"/>
                <w:szCs w:val="22"/>
              </w:rPr>
            </w:pPr>
            <w:r w:rsidRPr="004410BC">
              <w:rPr>
                <w:sz w:val="22"/>
                <w:szCs w:val="22"/>
              </w:rPr>
              <w:t>Culturally Sensitive Perinatal Mental Health Care: Experiences of Women From Minority Ethnic Groups</w:t>
            </w:r>
          </w:p>
        </w:tc>
        <w:tc>
          <w:tcPr>
            <w:tcW w:w="622" w:type="dxa"/>
            <w:noWrap/>
            <w:hideMark/>
          </w:tcPr>
          <w:p w14:paraId="2CAD2BA9" w14:textId="77777777" w:rsidR="00844C9F" w:rsidRPr="004410BC" w:rsidRDefault="00844C9F" w:rsidP="00236C76">
            <w:pPr>
              <w:rPr>
                <w:sz w:val="22"/>
                <w:szCs w:val="22"/>
              </w:rPr>
            </w:pPr>
            <w:r w:rsidRPr="004410BC">
              <w:rPr>
                <w:sz w:val="22"/>
                <w:szCs w:val="22"/>
              </w:rPr>
              <w:t>Health Expectations</w:t>
            </w:r>
          </w:p>
        </w:tc>
        <w:tc>
          <w:tcPr>
            <w:tcW w:w="431" w:type="dxa"/>
            <w:noWrap/>
            <w:hideMark/>
          </w:tcPr>
          <w:p w14:paraId="0A70AE7E" w14:textId="77777777" w:rsidR="00844C9F" w:rsidRPr="004410BC" w:rsidRDefault="00844C9F" w:rsidP="00236C76">
            <w:pPr>
              <w:rPr>
                <w:sz w:val="22"/>
                <w:szCs w:val="22"/>
              </w:rPr>
            </w:pPr>
            <w:r w:rsidRPr="004410BC">
              <w:rPr>
                <w:sz w:val="22"/>
                <w:szCs w:val="22"/>
              </w:rPr>
              <w:t>27</w:t>
            </w:r>
          </w:p>
        </w:tc>
        <w:tc>
          <w:tcPr>
            <w:tcW w:w="812" w:type="dxa"/>
            <w:noWrap/>
            <w:hideMark/>
          </w:tcPr>
          <w:p w14:paraId="1FE2BED0" w14:textId="77777777" w:rsidR="00844C9F" w:rsidRPr="004410BC" w:rsidRDefault="00844C9F" w:rsidP="00236C76">
            <w:pPr>
              <w:rPr>
                <w:sz w:val="22"/>
                <w:szCs w:val="22"/>
              </w:rPr>
            </w:pPr>
            <w:r w:rsidRPr="004410BC">
              <w:rPr>
                <w:sz w:val="22"/>
                <w:szCs w:val="22"/>
              </w:rPr>
              <w:t>Not Specified</w:t>
            </w:r>
          </w:p>
        </w:tc>
        <w:tc>
          <w:tcPr>
            <w:tcW w:w="810" w:type="dxa"/>
            <w:noWrap/>
            <w:hideMark/>
          </w:tcPr>
          <w:p w14:paraId="58BEFD64" w14:textId="77777777" w:rsidR="00844C9F" w:rsidRPr="004410BC" w:rsidRDefault="00844C9F" w:rsidP="00236C76">
            <w:pPr>
              <w:rPr>
                <w:sz w:val="22"/>
                <w:szCs w:val="22"/>
              </w:rPr>
            </w:pPr>
            <w:r w:rsidRPr="004410BC">
              <w:rPr>
                <w:sz w:val="22"/>
                <w:szCs w:val="22"/>
              </w:rPr>
              <w:t>e14160</w:t>
            </w:r>
          </w:p>
        </w:tc>
        <w:tc>
          <w:tcPr>
            <w:tcW w:w="2656" w:type="dxa"/>
            <w:noWrap/>
            <w:hideMark/>
          </w:tcPr>
          <w:p w14:paraId="320BB846" w14:textId="77777777" w:rsidR="00844C9F" w:rsidRPr="004410BC" w:rsidRDefault="00844C9F" w:rsidP="00236C76">
            <w:pPr>
              <w:rPr>
                <w:sz w:val="22"/>
                <w:szCs w:val="22"/>
              </w:rPr>
            </w:pPr>
            <w:r w:rsidRPr="004410BC">
              <w:rPr>
                <w:sz w:val="22"/>
                <w:szCs w:val="22"/>
              </w:rPr>
              <w:t>https://onlinelibrary.wiley.com/doi/full/10.1111/hex.14160</w:t>
            </w:r>
          </w:p>
        </w:tc>
        <w:tc>
          <w:tcPr>
            <w:tcW w:w="1184" w:type="dxa"/>
            <w:noWrap/>
            <w:hideMark/>
          </w:tcPr>
          <w:p w14:paraId="06A93232" w14:textId="77777777" w:rsidR="00844C9F" w:rsidRPr="004410BC" w:rsidRDefault="00844C9F" w:rsidP="00236C76">
            <w:pPr>
              <w:rPr>
                <w:sz w:val="22"/>
                <w:szCs w:val="22"/>
              </w:rPr>
            </w:pPr>
            <w:r w:rsidRPr="004410BC">
              <w:rPr>
                <w:sz w:val="22"/>
                <w:szCs w:val="22"/>
              </w:rPr>
              <w:t>10.1111/hex.14160</w:t>
            </w:r>
          </w:p>
        </w:tc>
        <w:tc>
          <w:tcPr>
            <w:tcW w:w="481" w:type="dxa"/>
            <w:noWrap/>
            <w:hideMark/>
          </w:tcPr>
          <w:p w14:paraId="23F756B2" w14:textId="77777777" w:rsidR="00844C9F" w:rsidRPr="004410BC" w:rsidRDefault="00844C9F" w:rsidP="00236C76">
            <w:pPr>
              <w:rPr>
                <w:sz w:val="22"/>
                <w:szCs w:val="22"/>
              </w:rPr>
            </w:pPr>
            <w:r w:rsidRPr="004410BC">
              <w:rPr>
                <w:sz w:val="22"/>
                <w:szCs w:val="22"/>
              </w:rPr>
              <w:t>1</w:t>
            </w:r>
          </w:p>
        </w:tc>
        <w:tc>
          <w:tcPr>
            <w:tcW w:w="488" w:type="dxa"/>
            <w:noWrap/>
            <w:hideMark/>
          </w:tcPr>
          <w:p w14:paraId="62C5BCC9" w14:textId="77777777" w:rsidR="00844C9F" w:rsidRPr="004410BC" w:rsidRDefault="00844C9F" w:rsidP="00236C76">
            <w:pPr>
              <w:rPr>
                <w:sz w:val="22"/>
                <w:szCs w:val="22"/>
              </w:rPr>
            </w:pPr>
          </w:p>
        </w:tc>
      </w:tr>
      <w:tr w:rsidR="00844C9F" w:rsidRPr="004410BC" w14:paraId="36634971" w14:textId="77777777" w:rsidTr="00012A79">
        <w:trPr>
          <w:trHeight w:val="250"/>
        </w:trPr>
        <w:tc>
          <w:tcPr>
            <w:tcW w:w="287" w:type="dxa"/>
            <w:noWrap/>
            <w:hideMark/>
          </w:tcPr>
          <w:p w14:paraId="2819786C" w14:textId="77777777" w:rsidR="00844C9F" w:rsidRPr="004410BC" w:rsidRDefault="00844C9F" w:rsidP="00236C76">
            <w:pPr>
              <w:rPr>
                <w:sz w:val="22"/>
                <w:szCs w:val="22"/>
              </w:rPr>
            </w:pPr>
            <w:r w:rsidRPr="004410BC">
              <w:rPr>
                <w:sz w:val="22"/>
                <w:szCs w:val="22"/>
              </w:rPr>
              <w:t>6</w:t>
            </w:r>
          </w:p>
        </w:tc>
        <w:tc>
          <w:tcPr>
            <w:tcW w:w="499" w:type="dxa"/>
            <w:noWrap/>
            <w:hideMark/>
          </w:tcPr>
          <w:p w14:paraId="742D953B" w14:textId="77777777" w:rsidR="00844C9F" w:rsidRPr="004410BC" w:rsidRDefault="00844C9F" w:rsidP="00236C76">
            <w:pPr>
              <w:rPr>
                <w:sz w:val="22"/>
                <w:szCs w:val="22"/>
              </w:rPr>
            </w:pPr>
            <w:r w:rsidRPr="004410BC">
              <w:rPr>
                <w:sz w:val="22"/>
                <w:szCs w:val="22"/>
              </w:rPr>
              <w:t>Islam, Bailey and Netto (2024)</w:t>
            </w:r>
          </w:p>
        </w:tc>
        <w:tc>
          <w:tcPr>
            <w:tcW w:w="746" w:type="dxa"/>
            <w:noWrap/>
            <w:hideMark/>
          </w:tcPr>
          <w:p w14:paraId="13C2FC03" w14:textId="77777777" w:rsidR="00844C9F" w:rsidRPr="004410BC" w:rsidRDefault="00844C9F" w:rsidP="00236C76">
            <w:pPr>
              <w:rPr>
                <w:sz w:val="22"/>
                <w:szCs w:val="22"/>
              </w:rPr>
            </w:pPr>
            <w:r w:rsidRPr="004410BC">
              <w:rPr>
                <w:sz w:val="22"/>
                <w:szCs w:val="22"/>
              </w:rPr>
              <w:t>Digitalised primary care in the UK: a qualitative study of the experiences of minoritised ethnic communities</w:t>
            </w:r>
          </w:p>
        </w:tc>
        <w:tc>
          <w:tcPr>
            <w:tcW w:w="622" w:type="dxa"/>
            <w:noWrap/>
            <w:hideMark/>
          </w:tcPr>
          <w:p w14:paraId="3A4AB111" w14:textId="77777777" w:rsidR="00844C9F" w:rsidRPr="004410BC" w:rsidRDefault="00844C9F" w:rsidP="00236C76">
            <w:pPr>
              <w:rPr>
                <w:sz w:val="22"/>
                <w:szCs w:val="22"/>
              </w:rPr>
            </w:pPr>
            <w:r w:rsidRPr="004410BC">
              <w:rPr>
                <w:sz w:val="22"/>
                <w:szCs w:val="22"/>
              </w:rPr>
              <w:t>British Journal of General Practice</w:t>
            </w:r>
          </w:p>
        </w:tc>
        <w:tc>
          <w:tcPr>
            <w:tcW w:w="431" w:type="dxa"/>
            <w:noWrap/>
            <w:hideMark/>
          </w:tcPr>
          <w:p w14:paraId="5E77B8EF" w14:textId="77777777" w:rsidR="00844C9F" w:rsidRPr="004410BC" w:rsidRDefault="00844C9F" w:rsidP="00236C76">
            <w:pPr>
              <w:rPr>
                <w:sz w:val="22"/>
                <w:szCs w:val="22"/>
              </w:rPr>
            </w:pPr>
            <w:r w:rsidRPr="004410BC">
              <w:rPr>
                <w:sz w:val="22"/>
                <w:szCs w:val="22"/>
              </w:rPr>
              <w:t>74</w:t>
            </w:r>
          </w:p>
        </w:tc>
        <w:tc>
          <w:tcPr>
            <w:tcW w:w="812" w:type="dxa"/>
            <w:noWrap/>
            <w:hideMark/>
          </w:tcPr>
          <w:p w14:paraId="31FE87E9" w14:textId="77777777" w:rsidR="00844C9F" w:rsidRPr="004410BC" w:rsidRDefault="00844C9F" w:rsidP="00236C76">
            <w:pPr>
              <w:rPr>
                <w:sz w:val="22"/>
                <w:szCs w:val="22"/>
              </w:rPr>
            </w:pPr>
            <w:r w:rsidRPr="004410BC">
              <w:rPr>
                <w:sz w:val="22"/>
                <w:szCs w:val="22"/>
              </w:rPr>
              <w:t>749</w:t>
            </w:r>
          </w:p>
        </w:tc>
        <w:tc>
          <w:tcPr>
            <w:tcW w:w="810" w:type="dxa"/>
            <w:noWrap/>
            <w:hideMark/>
          </w:tcPr>
          <w:p w14:paraId="0CB0BC61" w14:textId="77777777" w:rsidR="00844C9F" w:rsidRPr="004410BC" w:rsidRDefault="00844C9F" w:rsidP="00236C76">
            <w:pPr>
              <w:rPr>
                <w:sz w:val="22"/>
                <w:szCs w:val="22"/>
              </w:rPr>
            </w:pPr>
            <w:r w:rsidRPr="004410BC">
              <w:rPr>
                <w:sz w:val="22"/>
                <w:szCs w:val="22"/>
              </w:rPr>
              <w:t>e823</w:t>
            </w:r>
          </w:p>
        </w:tc>
        <w:tc>
          <w:tcPr>
            <w:tcW w:w="2656" w:type="dxa"/>
            <w:noWrap/>
            <w:hideMark/>
          </w:tcPr>
          <w:p w14:paraId="73379AB2" w14:textId="77777777" w:rsidR="00844C9F" w:rsidRPr="004410BC" w:rsidRDefault="00844C9F" w:rsidP="00236C76">
            <w:pPr>
              <w:rPr>
                <w:sz w:val="22"/>
                <w:szCs w:val="22"/>
              </w:rPr>
            </w:pPr>
            <w:r w:rsidRPr="004410BC">
              <w:rPr>
                <w:sz w:val="22"/>
                <w:szCs w:val="22"/>
              </w:rPr>
              <w:t>https://bjgp.org/content/bjgp/early/2024/10/28/BJGP.2024.0308.full.pdf</w:t>
            </w:r>
          </w:p>
        </w:tc>
        <w:tc>
          <w:tcPr>
            <w:tcW w:w="1184" w:type="dxa"/>
            <w:noWrap/>
            <w:hideMark/>
          </w:tcPr>
          <w:p w14:paraId="3736871D" w14:textId="77777777" w:rsidR="00844C9F" w:rsidRPr="004410BC" w:rsidRDefault="00844C9F" w:rsidP="00236C76">
            <w:pPr>
              <w:rPr>
                <w:sz w:val="22"/>
                <w:szCs w:val="22"/>
              </w:rPr>
            </w:pPr>
            <w:r w:rsidRPr="004410BC">
              <w:rPr>
                <w:sz w:val="22"/>
                <w:szCs w:val="22"/>
              </w:rPr>
              <w:t>10.3399/BJGP.2024.0308</w:t>
            </w:r>
          </w:p>
        </w:tc>
        <w:tc>
          <w:tcPr>
            <w:tcW w:w="481" w:type="dxa"/>
            <w:noWrap/>
            <w:hideMark/>
          </w:tcPr>
          <w:p w14:paraId="41EA4577" w14:textId="77777777" w:rsidR="00844C9F" w:rsidRPr="004410BC" w:rsidRDefault="00844C9F" w:rsidP="00236C76">
            <w:pPr>
              <w:rPr>
                <w:sz w:val="22"/>
                <w:szCs w:val="22"/>
              </w:rPr>
            </w:pPr>
            <w:r w:rsidRPr="004410BC">
              <w:rPr>
                <w:sz w:val="22"/>
                <w:szCs w:val="22"/>
              </w:rPr>
              <w:t>1</w:t>
            </w:r>
          </w:p>
        </w:tc>
        <w:tc>
          <w:tcPr>
            <w:tcW w:w="488" w:type="dxa"/>
            <w:noWrap/>
            <w:hideMark/>
          </w:tcPr>
          <w:p w14:paraId="5377CF94" w14:textId="77777777" w:rsidR="00844C9F" w:rsidRPr="004410BC" w:rsidRDefault="00844C9F" w:rsidP="00236C76">
            <w:pPr>
              <w:rPr>
                <w:sz w:val="22"/>
                <w:szCs w:val="22"/>
              </w:rPr>
            </w:pPr>
          </w:p>
        </w:tc>
      </w:tr>
      <w:tr w:rsidR="00844C9F" w:rsidRPr="004410BC" w14:paraId="40C5AA03" w14:textId="77777777" w:rsidTr="00012A79">
        <w:trPr>
          <w:trHeight w:val="250"/>
        </w:trPr>
        <w:tc>
          <w:tcPr>
            <w:tcW w:w="287" w:type="dxa"/>
            <w:noWrap/>
            <w:hideMark/>
          </w:tcPr>
          <w:p w14:paraId="1A054460" w14:textId="77777777" w:rsidR="00844C9F" w:rsidRPr="004410BC" w:rsidRDefault="00844C9F" w:rsidP="00236C76">
            <w:pPr>
              <w:rPr>
                <w:sz w:val="22"/>
                <w:szCs w:val="22"/>
              </w:rPr>
            </w:pPr>
            <w:r w:rsidRPr="004410BC">
              <w:rPr>
                <w:sz w:val="22"/>
                <w:szCs w:val="22"/>
              </w:rPr>
              <w:t>7</w:t>
            </w:r>
          </w:p>
        </w:tc>
        <w:tc>
          <w:tcPr>
            <w:tcW w:w="499" w:type="dxa"/>
            <w:noWrap/>
            <w:hideMark/>
          </w:tcPr>
          <w:p w14:paraId="571CE5EC" w14:textId="77777777" w:rsidR="00844C9F" w:rsidRPr="004410BC" w:rsidRDefault="00844C9F" w:rsidP="00236C76">
            <w:pPr>
              <w:rPr>
                <w:sz w:val="22"/>
                <w:szCs w:val="22"/>
              </w:rPr>
            </w:pPr>
            <w:r w:rsidRPr="004410BC">
              <w:rPr>
                <w:sz w:val="22"/>
                <w:szCs w:val="22"/>
              </w:rPr>
              <w:t>Jovanović et al. (2025)</w:t>
            </w:r>
          </w:p>
        </w:tc>
        <w:tc>
          <w:tcPr>
            <w:tcW w:w="746" w:type="dxa"/>
            <w:noWrap/>
            <w:hideMark/>
          </w:tcPr>
          <w:p w14:paraId="0AAD80C7" w14:textId="77777777" w:rsidR="00844C9F" w:rsidRPr="004410BC" w:rsidRDefault="00844C9F" w:rsidP="00236C76">
            <w:pPr>
              <w:rPr>
                <w:sz w:val="22"/>
                <w:szCs w:val="22"/>
              </w:rPr>
            </w:pPr>
            <w:r w:rsidRPr="004410BC">
              <w:rPr>
                <w:sz w:val="22"/>
                <w:szCs w:val="22"/>
              </w:rPr>
              <w:t>Barriers to accessing perinatal mental health services and suggestions for improvement: qualitative study of women of Black and south Asian backgrounds</w:t>
            </w:r>
          </w:p>
        </w:tc>
        <w:tc>
          <w:tcPr>
            <w:tcW w:w="622" w:type="dxa"/>
            <w:noWrap/>
            <w:hideMark/>
          </w:tcPr>
          <w:p w14:paraId="3D32174D" w14:textId="77777777" w:rsidR="00844C9F" w:rsidRPr="004410BC" w:rsidRDefault="00844C9F" w:rsidP="00236C76">
            <w:pPr>
              <w:rPr>
                <w:sz w:val="22"/>
                <w:szCs w:val="22"/>
              </w:rPr>
            </w:pPr>
            <w:r w:rsidRPr="004410BC">
              <w:rPr>
                <w:sz w:val="22"/>
                <w:szCs w:val="22"/>
              </w:rPr>
              <w:t>BJPsych Bulletin</w:t>
            </w:r>
          </w:p>
        </w:tc>
        <w:tc>
          <w:tcPr>
            <w:tcW w:w="431" w:type="dxa"/>
            <w:noWrap/>
            <w:hideMark/>
          </w:tcPr>
          <w:p w14:paraId="45B4C9FA" w14:textId="77777777" w:rsidR="00844C9F" w:rsidRPr="004410BC" w:rsidRDefault="00844C9F" w:rsidP="00236C76">
            <w:pPr>
              <w:rPr>
                <w:sz w:val="22"/>
                <w:szCs w:val="22"/>
              </w:rPr>
            </w:pPr>
            <w:r w:rsidRPr="004410BC">
              <w:rPr>
                <w:sz w:val="22"/>
                <w:szCs w:val="22"/>
              </w:rPr>
              <w:t>49</w:t>
            </w:r>
          </w:p>
        </w:tc>
        <w:tc>
          <w:tcPr>
            <w:tcW w:w="812" w:type="dxa"/>
            <w:noWrap/>
            <w:hideMark/>
          </w:tcPr>
          <w:p w14:paraId="43B54FF7" w14:textId="77777777" w:rsidR="00844C9F" w:rsidRPr="004410BC" w:rsidRDefault="00844C9F" w:rsidP="00236C76">
            <w:pPr>
              <w:rPr>
                <w:sz w:val="22"/>
                <w:szCs w:val="22"/>
              </w:rPr>
            </w:pPr>
            <w:r w:rsidRPr="004410BC">
              <w:rPr>
                <w:sz w:val="22"/>
                <w:szCs w:val="22"/>
              </w:rPr>
              <w:t>Not Specified</w:t>
            </w:r>
          </w:p>
        </w:tc>
        <w:tc>
          <w:tcPr>
            <w:tcW w:w="810" w:type="dxa"/>
            <w:noWrap/>
            <w:hideMark/>
          </w:tcPr>
          <w:p w14:paraId="1DC98FE6" w14:textId="77777777" w:rsidR="00844C9F" w:rsidRPr="004410BC" w:rsidRDefault="00844C9F" w:rsidP="00236C76">
            <w:pPr>
              <w:rPr>
                <w:sz w:val="22"/>
                <w:szCs w:val="22"/>
              </w:rPr>
            </w:pPr>
            <w:r w:rsidRPr="004410BC">
              <w:rPr>
                <w:sz w:val="22"/>
                <w:szCs w:val="22"/>
              </w:rPr>
              <w:t>299–306</w:t>
            </w:r>
          </w:p>
        </w:tc>
        <w:tc>
          <w:tcPr>
            <w:tcW w:w="2656" w:type="dxa"/>
            <w:noWrap/>
            <w:hideMark/>
          </w:tcPr>
          <w:p w14:paraId="58A223E0" w14:textId="77777777" w:rsidR="00844C9F" w:rsidRPr="004410BC" w:rsidRDefault="00844C9F" w:rsidP="00236C76">
            <w:pPr>
              <w:rPr>
                <w:sz w:val="22"/>
                <w:szCs w:val="22"/>
              </w:rPr>
            </w:pPr>
            <w:r w:rsidRPr="004410BC">
              <w:rPr>
                <w:sz w:val="22"/>
                <w:szCs w:val="22"/>
              </w:rPr>
              <w:t>https://www.cambridge.org/core/journals/bjpsych-bulletin/article/barriers-to-accessing-perinatal-mental-health-services-and-suggestions-for-improvement-qualitative-study-of-women-of-black-and-south-asian-backgrounds/9177A0CFA7BC24FF973F2EAE201A4D63</w:t>
            </w:r>
          </w:p>
        </w:tc>
        <w:tc>
          <w:tcPr>
            <w:tcW w:w="1184" w:type="dxa"/>
            <w:noWrap/>
            <w:hideMark/>
          </w:tcPr>
          <w:p w14:paraId="5F47207D" w14:textId="77777777" w:rsidR="00844C9F" w:rsidRPr="004410BC" w:rsidRDefault="00844C9F" w:rsidP="00236C76">
            <w:pPr>
              <w:rPr>
                <w:sz w:val="22"/>
                <w:szCs w:val="22"/>
              </w:rPr>
            </w:pPr>
            <w:r w:rsidRPr="004410BC">
              <w:rPr>
                <w:sz w:val="22"/>
                <w:szCs w:val="22"/>
              </w:rPr>
              <w:t>10.1192/bjb.2024.82</w:t>
            </w:r>
          </w:p>
        </w:tc>
        <w:tc>
          <w:tcPr>
            <w:tcW w:w="481" w:type="dxa"/>
            <w:noWrap/>
            <w:hideMark/>
          </w:tcPr>
          <w:p w14:paraId="46B64CA0" w14:textId="77777777" w:rsidR="00844C9F" w:rsidRPr="004410BC" w:rsidRDefault="00844C9F" w:rsidP="00236C76">
            <w:pPr>
              <w:rPr>
                <w:sz w:val="22"/>
                <w:szCs w:val="22"/>
              </w:rPr>
            </w:pPr>
            <w:r w:rsidRPr="004410BC">
              <w:rPr>
                <w:sz w:val="22"/>
                <w:szCs w:val="22"/>
              </w:rPr>
              <w:t>1</w:t>
            </w:r>
          </w:p>
        </w:tc>
        <w:tc>
          <w:tcPr>
            <w:tcW w:w="488" w:type="dxa"/>
            <w:noWrap/>
            <w:hideMark/>
          </w:tcPr>
          <w:p w14:paraId="5AA68192" w14:textId="77777777" w:rsidR="00844C9F" w:rsidRPr="004410BC" w:rsidRDefault="00844C9F" w:rsidP="00236C76">
            <w:pPr>
              <w:rPr>
                <w:sz w:val="22"/>
                <w:szCs w:val="22"/>
              </w:rPr>
            </w:pPr>
          </w:p>
        </w:tc>
      </w:tr>
      <w:tr w:rsidR="00844C9F" w:rsidRPr="004410BC" w14:paraId="411835AA" w14:textId="77777777" w:rsidTr="00012A79">
        <w:trPr>
          <w:trHeight w:val="250"/>
        </w:trPr>
        <w:tc>
          <w:tcPr>
            <w:tcW w:w="287" w:type="dxa"/>
            <w:noWrap/>
            <w:hideMark/>
          </w:tcPr>
          <w:p w14:paraId="7A18051C" w14:textId="77777777" w:rsidR="00844C9F" w:rsidRPr="004410BC" w:rsidRDefault="00844C9F" w:rsidP="00236C76">
            <w:pPr>
              <w:rPr>
                <w:sz w:val="22"/>
                <w:szCs w:val="22"/>
              </w:rPr>
            </w:pPr>
            <w:r w:rsidRPr="004410BC">
              <w:rPr>
                <w:sz w:val="22"/>
                <w:szCs w:val="22"/>
              </w:rPr>
              <w:t>8</w:t>
            </w:r>
          </w:p>
        </w:tc>
        <w:tc>
          <w:tcPr>
            <w:tcW w:w="499" w:type="dxa"/>
            <w:noWrap/>
            <w:hideMark/>
          </w:tcPr>
          <w:p w14:paraId="06890314" w14:textId="77777777" w:rsidR="00844C9F" w:rsidRPr="004410BC" w:rsidRDefault="00844C9F" w:rsidP="00236C76">
            <w:pPr>
              <w:rPr>
                <w:sz w:val="22"/>
                <w:szCs w:val="22"/>
              </w:rPr>
            </w:pPr>
            <w:r w:rsidRPr="004410BC">
              <w:rPr>
                <w:sz w:val="22"/>
                <w:szCs w:val="22"/>
              </w:rPr>
              <w:t>Linton et al. (2025)</w:t>
            </w:r>
          </w:p>
        </w:tc>
        <w:tc>
          <w:tcPr>
            <w:tcW w:w="746" w:type="dxa"/>
            <w:noWrap/>
            <w:hideMark/>
          </w:tcPr>
          <w:p w14:paraId="5147CC23" w14:textId="77777777" w:rsidR="00844C9F" w:rsidRPr="004410BC" w:rsidRDefault="00844C9F" w:rsidP="00236C76">
            <w:pPr>
              <w:rPr>
                <w:sz w:val="22"/>
                <w:szCs w:val="22"/>
              </w:rPr>
            </w:pPr>
            <w:r w:rsidRPr="004410BC">
              <w:rPr>
                <w:sz w:val="22"/>
                <w:szCs w:val="22"/>
              </w:rPr>
              <w:t>Understanding women from ethnic minorities’ perspectives about contraception in the UK: a qualitative study using a participatory action research approach with community research link workers</w:t>
            </w:r>
          </w:p>
        </w:tc>
        <w:tc>
          <w:tcPr>
            <w:tcW w:w="622" w:type="dxa"/>
            <w:noWrap/>
            <w:hideMark/>
          </w:tcPr>
          <w:p w14:paraId="4A6F4B8E" w14:textId="77777777" w:rsidR="00844C9F" w:rsidRPr="004410BC" w:rsidRDefault="00844C9F" w:rsidP="00236C76">
            <w:pPr>
              <w:rPr>
                <w:sz w:val="22"/>
                <w:szCs w:val="22"/>
              </w:rPr>
            </w:pPr>
            <w:r w:rsidRPr="004410BC">
              <w:rPr>
                <w:sz w:val="22"/>
                <w:szCs w:val="22"/>
              </w:rPr>
              <w:t>BMJ Sexual &amp; Reproductive Health</w:t>
            </w:r>
          </w:p>
        </w:tc>
        <w:tc>
          <w:tcPr>
            <w:tcW w:w="431" w:type="dxa"/>
            <w:noWrap/>
            <w:hideMark/>
          </w:tcPr>
          <w:p w14:paraId="2AB2758E" w14:textId="77777777" w:rsidR="00844C9F" w:rsidRPr="004410BC" w:rsidRDefault="00844C9F" w:rsidP="00236C76">
            <w:pPr>
              <w:rPr>
                <w:sz w:val="22"/>
                <w:szCs w:val="22"/>
              </w:rPr>
            </w:pPr>
            <w:r w:rsidRPr="004410BC">
              <w:rPr>
                <w:sz w:val="22"/>
                <w:szCs w:val="22"/>
              </w:rPr>
              <w:t>26</w:t>
            </w:r>
          </w:p>
        </w:tc>
        <w:tc>
          <w:tcPr>
            <w:tcW w:w="812" w:type="dxa"/>
            <w:noWrap/>
            <w:hideMark/>
          </w:tcPr>
          <w:p w14:paraId="1B54A2CD" w14:textId="77777777" w:rsidR="00844C9F" w:rsidRPr="004410BC" w:rsidRDefault="00844C9F" w:rsidP="00236C76">
            <w:pPr>
              <w:rPr>
                <w:sz w:val="22"/>
                <w:szCs w:val="22"/>
              </w:rPr>
            </w:pPr>
            <w:r w:rsidRPr="004410BC">
              <w:rPr>
                <w:sz w:val="22"/>
                <w:szCs w:val="22"/>
              </w:rPr>
              <w:t>Not Specified</w:t>
            </w:r>
          </w:p>
        </w:tc>
        <w:tc>
          <w:tcPr>
            <w:tcW w:w="810" w:type="dxa"/>
            <w:noWrap/>
            <w:hideMark/>
          </w:tcPr>
          <w:p w14:paraId="18F660A0" w14:textId="77777777" w:rsidR="00844C9F" w:rsidRPr="004410BC" w:rsidRDefault="00844C9F" w:rsidP="00236C76">
            <w:pPr>
              <w:rPr>
                <w:sz w:val="22"/>
                <w:szCs w:val="22"/>
              </w:rPr>
            </w:pPr>
            <w:r w:rsidRPr="004410BC">
              <w:rPr>
                <w:sz w:val="22"/>
                <w:szCs w:val="22"/>
              </w:rPr>
              <w:t>191–198</w:t>
            </w:r>
          </w:p>
        </w:tc>
        <w:tc>
          <w:tcPr>
            <w:tcW w:w="2656" w:type="dxa"/>
            <w:noWrap/>
            <w:hideMark/>
          </w:tcPr>
          <w:p w14:paraId="3EE59EE9" w14:textId="77777777" w:rsidR="00844C9F" w:rsidRPr="004410BC" w:rsidRDefault="00844C9F" w:rsidP="00236C76">
            <w:pPr>
              <w:rPr>
                <w:sz w:val="22"/>
                <w:szCs w:val="22"/>
              </w:rPr>
            </w:pPr>
            <w:r w:rsidRPr="004410BC">
              <w:rPr>
                <w:sz w:val="22"/>
                <w:szCs w:val="22"/>
              </w:rPr>
              <w:t>https://srh.bmj.com/content/51/3/191.abstract</w:t>
            </w:r>
          </w:p>
        </w:tc>
        <w:tc>
          <w:tcPr>
            <w:tcW w:w="1184" w:type="dxa"/>
            <w:noWrap/>
            <w:hideMark/>
          </w:tcPr>
          <w:p w14:paraId="0A0E20BF" w14:textId="77777777" w:rsidR="00844C9F" w:rsidRPr="004410BC" w:rsidRDefault="00844C9F" w:rsidP="00236C76">
            <w:pPr>
              <w:rPr>
                <w:sz w:val="22"/>
                <w:szCs w:val="22"/>
              </w:rPr>
            </w:pPr>
            <w:r w:rsidRPr="004410BC">
              <w:rPr>
                <w:sz w:val="22"/>
                <w:szCs w:val="22"/>
              </w:rPr>
              <w:t>10.1136/bmjsrh-2024-202522</w:t>
            </w:r>
          </w:p>
        </w:tc>
        <w:tc>
          <w:tcPr>
            <w:tcW w:w="481" w:type="dxa"/>
            <w:noWrap/>
            <w:hideMark/>
          </w:tcPr>
          <w:p w14:paraId="5B0AF988" w14:textId="77777777" w:rsidR="00844C9F" w:rsidRPr="004410BC" w:rsidRDefault="00844C9F" w:rsidP="00236C76">
            <w:pPr>
              <w:rPr>
                <w:sz w:val="22"/>
                <w:szCs w:val="22"/>
              </w:rPr>
            </w:pPr>
            <w:r w:rsidRPr="004410BC">
              <w:rPr>
                <w:sz w:val="22"/>
                <w:szCs w:val="22"/>
              </w:rPr>
              <w:t>1</w:t>
            </w:r>
          </w:p>
        </w:tc>
        <w:tc>
          <w:tcPr>
            <w:tcW w:w="488" w:type="dxa"/>
            <w:noWrap/>
            <w:hideMark/>
          </w:tcPr>
          <w:p w14:paraId="4F13AE72" w14:textId="77777777" w:rsidR="00844C9F" w:rsidRPr="004410BC" w:rsidRDefault="00844C9F" w:rsidP="00236C76">
            <w:pPr>
              <w:rPr>
                <w:sz w:val="22"/>
                <w:szCs w:val="22"/>
              </w:rPr>
            </w:pPr>
          </w:p>
        </w:tc>
      </w:tr>
      <w:tr w:rsidR="00844C9F" w:rsidRPr="004410BC" w14:paraId="04771409" w14:textId="77777777" w:rsidTr="00012A79">
        <w:trPr>
          <w:trHeight w:val="250"/>
        </w:trPr>
        <w:tc>
          <w:tcPr>
            <w:tcW w:w="287" w:type="dxa"/>
            <w:noWrap/>
            <w:hideMark/>
          </w:tcPr>
          <w:p w14:paraId="58CF83F6" w14:textId="77777777" w:rsidR="00844C9F" w:rsidRPr="004410BC" w:rsidRDefault="00844C9F" w:rsidP="00236C76">
            <w:pPr>
              <w:rPr>
                <w:sz w:val="22"/>
                <w:szCs w:val="22"/>
              </w:rPr>
            </w:pPr>
            <w:r w:rsidRPr="004410BC">
              <w:rPr>
                <w:sz w:val="22"/>
                <w:szCs w:val="22"/>
              </w:rPr>
              <w:t>9</w:t>
            </w:r>
          </w:p>
        </w:tc>
        <w:tc>
          <w:tcPr>
            <w:tcW w:w="499" w:type="dxa"/>
            <w:noWrap/>
            <w:hideMark/>
          </w:tcPr>
          <w:p w14:paraId="2C065FF7" w14:textId="77777777" w:rsidR="00844C9F" w:rsidRPr="004410BC" w:rsidRDefault="00844C9F" w:rsidP="00236C76">
            <w:pPr>
              <w:rPr>
                <w:sz w:val="22"/>
                <w:szCs w:val="22"/>
              </w:rPr>
            </w:pPr>
            <w:r w:rsidRPr="004410BC">
              <w:rPr>
                <w:sz w:val="22"/>
                <w:szCs w:val="22"/>
              </w:rPr>
              <w:t>Nelson et al. (2021)</w:t>
            </w:r>
          </w:p>
        </w:tc>
        <w:tc>
          <w:tcPr>
            <w:tcW w:w="746" w:type="dxa"/>
            <w:noWrap/>
            <w:hideMark/>
          </w:tcPr>
          <w:p w14:paraId="0B9C5A47" w14:textId="77777777" w:rsidR="00844C9F" w:rsidRPr="004410BC" w:rsidRDefault="00844C9F" w:rsidP="00236C76">
            <w:pPr>
              <w:rPr>
                <w:sz w:val="22"/>
                <w:szCs w:val="22"/>
              </w:rPr>
            </w:pPr>
            <w:r w:rsidRPr="004410BC">
              <w:rPr>
                <w:sz w:val="22"/>
                <w:szCs w:val="22"/>
              </w:rPr>
              <w:t>Experiences of cervical screening participation and non-participation in women from minority ethnic populations in Scotland</w:t>
            </w:r>
          </w:p>
        </w:tc>
        <w:tc>
          <w:tcPr>
            <w:tcW w:w="622" w:type="dxa"/>
            <w:noWrap/>
            <w:hideMark/>
          </w:tcPr>
          <w:p w14:paraId="08401D94" w14:textId="77777777" w:rsidR="00844C9F" w:rsidRPr="004410BC" w:rsidRDefault="00844C9F" w:rsidP="00236C76">
            <w:pPr>
              <w:rPr>
                <w:sz w:val="22"/>
                <w:szCs w:val="22"/>
              </w:rPr>
            </w:pPr>
            <w:r w:rsidRPr="004410BC">
              <w:rPr>
                <w:sz w:val="22"/>
                <w:szCs w:val="22"/>
              </w:rPr>
              <w:t>Health Expectations</w:t>
            </w:r>
          </w:p>
        </w:tc>
        <w:tc>
          <w:tcPr>
            <w:tcW w:w="431" w:type="dxa"/>
            <w:noWrap/>
            <w:hideMark/>
          </w:tcPr>
          <w:p w14:paraId="1EBB6AB1" w14:textId="77777777" w:rsidR="00844C9F" w:rsidRPr="004410BC" w:rsidRDefault="00844C9F" w:rsidP="00236C76">
            <w:pPr>
              <w:rPr>
                <w:sz w:val="22"/>
                <w:szCs w:val="22"/>
              </w:rPr>
            </w:pPr>
            <w:r w:rsidRPr="004410BC">
              <w:rPr>
                <w:sz w:val="22"/>
                <w:szCs w:val="22"/>
              </w:rPr>
              <w:t>107</w:t>
            </w:r>
          </w:p>
        </w:tc>
        <w:tc>
          <w:tcPr>
            <w:tcW w:w="812" w:type="dxa"/>
            <w:noWrap/>
            <w:hideMark/>
          </w:tcPr>
          <w:p w14:paraId="16F8DD6C" w14:textId="77777777" w:rsidR="00844C9F" w:rsidRPr="004410BC" w:rsidRDefault="00844C9F" w:rsidP="00236C76">
            <w:pPr>
              <w:rPr>
                <w:sz w:val="22"/>
                <w:szCs w:val="22"/>
              </w:rPr>
            </w:pPr>
            <w:r w:rsidRPr="004410BC">
              <w:rPr>
                <w:sz w:val="22"/>
                <w:szCs w:val="22"/>
              </w:rPr>
              <w:t>1</w:t>
            </w:r>
          </w:p>
        </w:tc>
        <w:tc>
          <w:tcPr>
            <w:tcW w:w="810" w:type="dxa"/>
            <w:noWrap/>
            <w:hideMark/>
          </w:tcPr>
          <w:p w14:paraId="645338E5" w14:textId="77777777" w:rsidR="00844C9F" w:rsidRPr="004410BC" w:rsidRDefault="00844C9F" w:rsidP="00236C76">
            <w:pPr>
              <w:rPr>
                <w:sz w:val="22"/>
                <w:szCs w:val="22"/>
              </w:rPr>
            </w:pPr>
            <w:r w:rsidRPr="004410BC">
              <w:rPr>
                <w:sz w:val="22"/>
                <w:szCs w:val="22"/>
              </w:rPr>
              <w:t>1459–1470</w:t>
            </w:r>
          </w:p>
        </w:tc>
        <w:tc>
          <w:tcPr>
            <w:tcW w:w="2656" w:type="dxa"/>
            <w:noWrap/>
            <w:hideMark/>
          </w:tcPr>
          <w:p w14:paraId="67BAA007" w14:textId="77777777" w:rsidR="00844C9F" w:rsidRPr="004410BC" w:rsidRDefault="00844C9F" w:rsidP="00236C76">
            <w:pPr>
              <w:rPr>
                <w:sz w:val="22"/>
                <w:szCs w:val="22"/>
              </w:rPr>
            </w:pPr>
            <w:r w:rsidRPr="004410BC">
              <w:rPr>
                <w:sz w:val="22"/>
                <w:szCs w:val="22"/>
              </w:rPr>
              <w:t>https://onlinelibrary.wiley.com/doi/full/10.1111/hex.13287</w:t>
            </w:r>
          </w:p>
        </w:tc>
        <w:tc>
          <w:tcPr>
            <w:tcW w:w="1184" w:type="dxa"/>
            <w:noWrap/>
            <w:hideMark/>
          </w:tcPr>
          <w:p w14:paraId="7D9A0987" w14:textId="77777777" w:rsidR="00844C9F" w:rsidRPr="004410BC" w:rsidRDefault="00844C9F" w:rsidP="00236C76">
            <w:pPr>
              <w:rPr>
                <w:sz w:val="22"/>
                <w:szCs w:val="22"/>
              </w:rPr>
            </w:pPr>
            <w:r w:rsidRPr="004410BC">
              <w:rPr>
                <w:sz w:val="22"/>
                <w:szCs w:val="22"/>
              </w:rPr>
              <w:t>10.1111/hex.13287</w:t>
            </w:r>
          </w:p>
        </w:tc>
        <w:tc>
          <w:tcPr>
            <w:tcW w:w="481" w:type="dxa"/>
            <w:noWrap/>
            <w:hideMark/>
          </w:tcPr>
          <w:p w14:paraId="196C69D8" w14:textId="77777777" w:rsidR="00844C9F" w:rsidRPr="004410BC" w:rsidRDefault="00844C9F" w:rsidP="00236C76">
            <w:pPr>
              <w:rPr>
                <w:sz w:val="22"/>
                <w:szCs w:val="22"/>
              </w:rPr>
            </w:pPr>
            <w:r w:rsidRPr="004410BC">
              <w:rPr>
                <w:sz w:val="22"/>
                <w:szCs w:val="22"/>
              </w:rPr>
              <w:t>1</w:t>
            </w:r>
          </w:p>
        </w:tc>
        <w:tc>
          <w:tcPr>
            <w:tcW w:w="488" w:type="dxa"/>
            <w:noWrap/>
            <w:hideMark/>
          </w:tcPr>
          <w:p w14:paraId="6F254939" w14:textId="77777777" w:rsidR="00844C9F" w:rsidRPr="004410BC" w:rsidRDefault="00844C9F" w:rsidP="00236C76">
            <w:pPr>
              <w:rPr>
                <w:sz w:val="22"/>
                <w:szCs w:val="22"/>
              </w:rPr>
            </w:pPr>
          </w:p>
        </w:tc>
      </w:tr>
      <w:tr w:rsidR="00844C9F" w:rsidRPr="004410BC" w14:paraId="63C4E829" w14:textId="77777777" w:rsidTr="00012A79">
        <w:trPr>
          <w:trHeight w:val="250"/>
        </w:trPr>
        <w:tc>
          <w:tcPr>
            <w:tcW w:w="287" w:type="dxa"/>
            <w:noWrap/>
            <w:hideMark/>
          </w:tcPr>
          <w:p w14:paraId="6748485A" w14:textId="77777777" w:rsidR="00844C9F" w:rsidRPr="004410BC" w:rsidRDefault="00844C9F" w:rsidP="00236C76">
            <w:pPr>
              <w:rPr>
                <w:sz w:val="22"/>
                <w:szCs w:val="22"/>
              </w:rPr>
            </w:pPr>
            <w:r w:rsidRPr="004410BC">
              <w:rPr>
                <w:sz w:val="22"/>
                <w:szCs w:val="22"/>
              </w:rPr>
              <w:t>10</w:t>
            </w:r>
          </w:p>
        </w:tc>
        <w:tc>
          <w:tcPr>
            <w:tcW w:w="499" w:type="dxa"/>
            <w:noWrap/>
            <w:hideMark/>
          </w:tcPr>
          <w:p w14:paraId="5B0C8F8B" w14:textId="77777777" w:rsidR="00844C9F" w:rsidRPr="004410BC" w:rsidRDefault="00844C9F" w:rsidP="00236C76">
            <w:pPr>
              <w:rPr>
                <w:sz w:val="22"/>
                <w:szCs w:val="22"/>
              </w:rPr>
            </w:pPr>
            <w:r w:rsidRPr="004410BC">
              <w:rPr>
                <w:sz w:val="22"/>
                <w:szCs w:val="22"/>
              </w:rPr>
              <w:t>Pilav et al. (2022)</w:t>
            </w:r>
          </w:p>
        </w:tc>
        <w:tc>
          <w:tcPr>
            <w:tcW w:w="746" w:type="dxa"/>
            <w:noWrap/>
            <w:hideMark/>
          </w:tcPr>
          <w:p w14:paraId="0BEBA217" w14:textId="77777777" w:rsidR="00844C9F" w:rsidRPr="004410BC" w:rsidRDefault="00844C9F" w:rsidP="00236C76">
            <w:pPr>
              <w:rPr>
                <w:sz w:val="22"/>
                <w:szCs w:val="22"/>
              </w:rPr>
            </w:pPr>
            <w:r w:rsidRPr="004410BC">
              <w:rPr>
                <w:sz w:val="22"/>
                <w:szCs w:val="22"/>
              </w:rPr>
              <w:t>A qualitative study of minority ethnic women’s experiences of access to and engagement with perinatal mental health care</w:t>
            </w:r>
          </w:p>
        </w:tc>
        <w:tc>
          <w:tcPr>
            <w:tcW w:w="622" w:type="dxa"/>
            <w:noWrap/>
            <w:hideMark/>
          </w:tcPr>
          <w:p w14:paraId="69B5F09E" w14:textId="77777777" w:rsidR="00844C9F" w:rsidRPr="004410BC" w:rsidRDefault="00844C9F" w:rsidP="00236C76">
            <w:pPr>
              <w:rPr>
                <w:sz w:val="22"/>
                <w:szCs w:val="22"/>
              </w:rPr>
            </w:pPr>
            <w:r w:rsidRPr="004410BC">
              <w:rPr>
                <w:sz w:val="22"/>
                <w:szCs w:val="22"/>
              </w:rPr>
              <w:t>BMC Pregnancy and Childbirth</w:t>
            </w:r>
          </w:p>
        </w:tc>
        <w:tc>
          <w:tcPr>
            <w:tcW w:w="431" w:type="dxa"/>
            <w:noWrap/>
            <w:hideMark/>
          </w:tcPr>
          <w:p w14:paraId="03DCDA4F" w14:textId="77777777" w:rsidR="00844C9F" w:rsidRPr="004410BC" w:rsidRDefault="00844C9F" w:rsidP="00236C76">
            <w:pPr>
              <w:rPr>
                <w:sz w:val="22"/>
                <w:szCs w:val="22"/>
              </w:rPr>
            </w:pPr>
            <w:r w:rsidRPr="004410BC">
              <w:rPr>
                <w:sz w:val="22"/>
                <w:szCs w:val="22"/>
              </w:rPr>
              <w:t>75</w:t>
            </w:r>
          </w:p>
        </w:tc>
        <w:tc>
          <w:tcPr>
            <w:tcW w:w="812" w:type="dxa"/>
            <w:noWrap/>
            <w:hideMark/>
          </w:tcPr>
          <w:p w14:paraId="4AAFB44F" w14:textId="77777777" w:rsidR="00844C9F" w:rsidRPr="004410BC" w:rsidRDefault="00844C9F" w:rsidP="00236C76">
            <w:pPr>
              <w:rPr>
                <w:sz w:val="22"/>
                <w:szCs w:val="22"/>
              </w:rPr>
            </w:pPr>
            <w:r w:rsidRPr="004410BC">
              <w:rPr>
                <w:sz w:val="22"/>
                <w:szCs w:val="22"/>
              </w:rPr>
              <w:t>Not Specified</w:t>
            </w:r>
          </w:p>
        </w:tc>
        <w:tc>
          <w:tcPr>
            <w:tcW w:w="810" w:type="dxa"/>
            <w:noWrap/>
            <w:hideMark/>
          </w:tcPr>
          <w:p w14:paraId="51A50999" w14:textId="77777777" w:rsidR="00844C9F" w:rsidRPr="004410BC" w:rsidRDefault="00844C9F" w:rsidP="00236C76">
            <w:pPr>
              <w:rPr>
                <w:sz w:val="22"/>
                <w:szCs w:val="22"/>
              </w:rPr>
            </w:pPr>
            <w:r w:rsidRPr="004410BC">
              <w:rPr>
                <w:sz w:val="22"/>
                <w:szCs w:val="22"/>
              </w:rPr>
              <w:t>423</w:t>
            </w:r>
          </w:p>
        </w:tc>
        <w:tc>
          <w:tcPr>
            <w:tcW w:w="2656" w:type="dxa"/>
            <w:noWrap/>
            <w:hideMark/>
          </w:tcPr>
          <w:p w14:paraId="436E16B0" w14:textId="77777777" w:rsidR="00844C9F" w:rsidRPr="004410BC" w:rsidRDefault="00844C9F" w:rsidP="00236C76">
            <w:pPr>
              <w:rPr>
                <w:sz w:val="22"/>
                <w:szCs w:val="22"/>
              </w:rPr>
            </w:pPr>
            <w:r w:rsidRPr="004410BC">
              <w:rPr>
                <w:sz w:val="22"/>
                <w:szCs w:val="22"/>
              </w:rPr>
              <w:t>https://link.springer.com/article/10.1186/s12884-022-04698-9</w:t>
            </w:r>
          </w:p>
        </w:tc>
        <w:tc>
          <w:tcPr>
            <w:tcW w:w="1184" w:type="dxa"/>
            <w:noWrap/>
            <w:hideMark/>
          </w:tcPr>
          <w:p w14:paraId="71692B30" w14:textId="77777777" w:rsidR="00844C9F" w:rsidRPr="004410BC" w:rsidRDefault="00844C9F" w:rsidP="00236C76">
            <w:pPr>
              <w:rPr>
                <w:sz w:val="22"/>
                <w:szCs w:val="22"/>
              </w:rPr>
            </w:pPr>
            <w:r w:rsidRPr="004410BC">
              <w:rPr>
                <w:sz w:val="22"/>
                <w:szCs w:val="22"/>
              </w:rPr>
              <w:t>10.1186/s12884-022-04698-9</w:t>
            </w:r>
          </w:p>
        </w:tc>
        <w:tc>
          <w:tcPr>
            <w:tcW w:w="481" w:type="dxa"/>
            <w:noWrap/>
            <w:hideMark/>
          </w:tcPr>
          <w:p w14:paraId="6AAAB4B0" w14:textId="77777777" w:rsidR="00844C9F" w:rsidRPr="004410BC" w:rsidRDefault="00844C9F" w:rsidP="00236C76">
            <w:pPr>
              <w:rPr>
                <w:sz w:val="22"/>
                <w:szCs w:val="22"/>
              </w:rPr>
            </w:pPr>
            <w:r w:rsidRPr="004410BC">
              <w:rPr>
                <w:sz w:val="22"/>
                <w:szCs w:val="22"/>
              </w:rPr>
              <w:t>1</w:t>
            </w:r>
          </w:p>
        </w:tc>
        <w:tc>
          <w:tcPr>
            <w:tcW w:w="488" w:type="dxa"/>
            <w:noWrap/>
            <w:hideMark/>
          </w:tcPr>
          <w:p w14:paraId="31E2C5A4" w14:textId="77777777" w:rsidR="00844C9F" w:rsidRPr="004410BC" w:rsidRDefault="00844C9F" w:rsidP="00236C76">
            <w:pPr>
              <w:rPr>
                <w:sz w:val="22"/>
                <w:szCs w:val="22"/>
              </w:rPr>
            </w:pPr>
          </w:p>
        </w:tc>
      </w:tr>
      <w:tr w:rsidR="00844C9F" w:rsidRPr="004410BC" w14:paraId="19D256F3" w14:textId="77777777" w:rsidTr="00012A79">
        <w:trPr>
          <w:trHeight w:val="250"/>
        </w:trPr>
        <w:tc>
          <w:tcPr>
            <w:tcW w:w="287" w:type="dxa"/>
            <w:noWrap/>
            <w:hideMark/>
          </w:tcPr>
          <w:p w14:paraId="140B66F5" w14:textId="77777777" w:rsidR="00844C9F" w:rsidRPr="004410BC" w:rsidRDefault="00844C9F" w:rsidP="00236C76">
            <w:pPr>
              <w:rPr>
                <w:sz w:val="22"/>
                <w:szCs w:val="22"/>
              </w:rPr>
            </w:pPr>
            <w:r w:rsidRPr="004410BC">
              <w:rPr>
                <w:sz w:val="22"/>
                <w:szCs w:val="22"/>
              </w:rPr>
              <w:t>11</w:t>
            </w:r>
          </w:p>
        </w:tc>
        <w:tc>
          <w:tcPr>
            <w:tcW w:w="499" w:type="dxa"/>
            <w:noWrap/>
            <w:hideMark/>
          </w:tcPr>
          <w:p w14:paraId="1479745D" w14:textId="77777777" w:rsidR="00844C9F" w:rsidRPr="004410BC" w:rsidRDefault="00844C9F" w:rsidP="00236C76">
            <w:pPr>
              <w:rPr>
                <w:sz w:val="22"/>
                <w:szCs w:val="22"/>
              </w:rPr>
            </w:pPr>
            <w:r w:rsidRPr="004410BC">
              <w:rPr>
                <w:sz w:val="22"/>
                <w:szCs w:val="22"/>
              </w:rPr>
              <w:t>Ridge et al. (2025)</w:t>
            </w:r>
          </w:p>
        </w:tc>
        <w:tc>
          <w:tcPr>
            <w:tcW w:w="746" w:type="dxa"/>
            <w:noWrap/>
            <w:hideMark/>
          </w:tcPr>
          <w:p w14:paraId="1271BF79" w14:textId="77777777" w:rsidR="00844C9F" w:rsidRPr="004410BC" w:rsidRDefault="00844C9F" w:rsidP="00236C76">
            <w:pPr>
              <w:rPr>
                <w:sz w:val="22"/>
                <w:szCs w:val="22"/>
              </w:rPr>
            </w:pPr>
            <w:r w:rsidRPr="004410BC">
              <w:rPr>
                <w:sz w:val="22"/>
                <w:szCs w:val="22"/>
              </w:rPr>
              <w:t>Medical ambivalence and Long Covid: The disconnects, entanglements, and productivities shaping ethnic minority experiences in the UK</w:t>
            </w:r>
          </w:p>
        </w:tc>
        <w:tc>
          <w:tcPr>
            <w:tcW w:w="622" w:type="dxa"/>
            <w:noWrap/>
            <w:hideMark/>
          </w:tcPr>
          <w:p w14:paraId="30CB3476" w14:textId="77777777" w:rsidR="00844C9F" w:rsidRPr="004410BC" w:rsidRDefault="00844C9F" w:rsidP="00236C76">
            <w:pPr>
              <w:rPr>
                <w:sz w:val="22"/>
                <w:szCs w:val="22"/>
              </w:rPr>
            </w:pPr>
            <w:r w:rsidRPr="004410BC">
              <w:rPr>
                <w:sz w:val="22"/>
                <w:szCs w:val="22"/>
              </w:rPr>
              <w:t>Social Science &amp; Medicine</w:t>
            </w:r>
          </w:p>
        </w:tc>
        <w:tc>
          <w:tcPr>
            <w:tcW w:w="431" w:type="dxa"/>
            <w:noWrap/>
            <w:hideMark/>
          </w:tcPr>
          <w:p w14:paraId="7EA872D9" w14:textId="77777777" w:rsidR="00844C9F" w:rsidRPr="004410BC" w:rsidRDefault="00844C9F" w:rsidP="00236C76">
            <w:pPr>
              <w:rPr>
                <w:sz w:val="22"/>
                <w:szCs w:val="22"/>
              </w:rPr>
            </w:pPr>
            <w:r w:rsidRPr="004410BC">
              <w:rPr>
                <w:sz w:val="22"/>
                <w:szCs w:val="22"/>
              </w:rPr>
              <w:t>19</w:t>
            </w:r>
          </w:p>
        </w:tc>
        <w:tc>
          <w:tcPr>
            <w:tcW w:w="812" w:type="dxa"/>
            <w:noWrap/>
            <w:hideMark/>
          </w:tcPr>
          <w:p w14:paraId="1F4AE2D3" w14:textId="77777777" w:rsidR="00844C9F" w:rsidRPr="004410BC" w:rsidRDefault="00844C9F" w:rsidP="00236C76">
            <w:pPr>
              <w:rPr>
                <w:sz w:val="22"/>
                <w:szCs w:val="22"/>
              </w:rPr>
            </w:pPr>
            <w:r w:rsidRPr="004410BC">
              <w:rPr>
                <w:sz w:val="22"/>
                <w:szCs w:val="22"/>
              </w:rPr>
              <w:t>22</w:t>
            </w:r>
          </w:p>
        </w:tc>
        <w:tc>
          <w:tcPr>
            <w:tcW w:w="810" w:type="dxa"/>
            <w:noWrap/>
            <w:hideMark/>
          </w:tcPr>
          <w:p w14:paraId="16EC7306" w14:textId="77777777" w:rsidR="00844C9F" w:rsidRPr="004410BC" w:rsidRDefault="00844C9F" w:rsidP="00236C76">
            <w:pPr>
              <w:rPr>
                <w:sz w:val="22"/>
                <w:szCs w:val="22"/>
              </w:rPr>
            </w:pPr>
            <w:r w:rsidRPr="004410BC">
              <w:rPr>
                <w:sz w:val="22"/>
                <w:szCs w:val="22"/>
              </w:rPr>
              <w:t>117603</w:t>
            </w:r>
          </w:p>
        </w:tc>
        <w:tc>
          <w:tcPr>
            <w:tcW w:w="2656" w:type="dxa"/>
            <w:noWrap/>
            <w:hideMark/>
          </w:tcPr>
          <w:p w14:paraId="080573C4" w14:textId="77777777" w:rsidR="00844C9F" w:rsidRPr="004410BC" w:rsidRDefault="00844C9F" w:rsidP="00236C76">
            <w:pPr>
              <w:rPr>
                <w:sz w:val="22"/>
                <w:szCs w:val="22"/>
              </w:rPr>
            </w:pPr>
            <w:r w:rsidRPr="004410BC">
              <w:rPr>
                <w:sz w:val="22"/>
                <w:szCs w:val="22"/>
              </w:rPr>
              <w:t>https://www.sciencedirect.com/science/article/pii/S0277953624010578</w:t>
            </w:r>
          </w:p>
        </w:tc>
        <w:tc>
          <w:tcPr>
            <w:tcW w:w="1184" w:type="dxa"/>
            <w:noWrap/>
            <w:hideMark/>
          </w:tcPr>
          <w:p w14:paraId="5436DDB9" w14:textId="77777777" w:rsidR="00844C9F" w:rsidRPr="004410BC" w:rsidRDefault="00844C9F" w:rsidP="00236C76">
            <w:pPr>
              <w:rPr>
                <w:sz w:val="22"/>
                <w:szCs w:val="22"/>
              </w:rPr>
            </w:pPr>
            <w:r w:rsidRPr="004410BC">
              <w:rPr>
                <w:sz w:val="22"/>
                <w:szCs w:val="22"/>
              </w:rPr>
              <w:t>10.1016/j.socscimed.2024.117603</w:t>
            </w:r>
          </w:p>
        </w:tc>
        <w:tc>
          <w:tcPr>
            <w:tcW w:w="481" w:type="dxa"/>
            <w:noWrap/>
            <w:hideMark/>
          </w:tcPr>
          <w:p w14:paraId="57E4F2E6" w14:textId="77777777" w:rsidR="00844C9F" w:rsidRPr="004410BC" w:rsidRDefault="00844C9F" w:rsidP="00236C76">
            <w:pPr>
              <w:rPr>
                <w:sz w:val="22"/>
                <w:szCs w:val="22"/>
              </w:rPr>
            </w:pPr>
            <w:r w:rsidRPr="004410BC">
              <w:rPr>
                <w:sz w:val="22"/>
                <w:szCs w:val="22"/>
              </w:rPr>
              <w:t>1</w:t>
            </w:r>
          </w:p>
        </w:tc>
        <w:tc>
          <w:tcPr>
            <w:tcW w:w="488" w:type="dxa"/>
            <w:noWrap/>
            <w:hideMark/>
          </w:tcPr>
          <w:p w14:paraId="05474297" w14:textId="77777777" w:rsidR="00844C9F" w:rsidRPr="004410BC" w:rsidRDefault="00844C9F" w:rsidP="00236C76">
            <w:pPr>
              <w:rPr>
                <w:sz w:val="22"/>
                <w:szCs w:val="22"/>
              </w:rPr>
            </w:pPr>
          </w:p>
        </w:tc>
      </w:tr>
      <w:tr w:rsidR="00844C9F" w:rsidRPr="004410BC" w14:paraId="06D9C119" w14:textId="77777777" w:rsidTr="00012A79">
        <w:trPr>
          <w:trHeight w:val="250"/>
        </w:trPr>
        <w:tc>
          <w:tcPr>
            <w:tcW w:w="287" w:type="dxa"/>
            <w:noWrap/>
            <w:hideMark/>
          </w:tcPr>
          <w:p w14:paraId="355E75AE" w14:textId="77777777" w:rsidR="00844C9F" w:rsidRPr="004410BC" w:rsidRDefault="00844C9F" w:rsidP="00236C76">
            <w:pPr>
              <w:rPr>
                <w:sz w:val="22"/>
                <w:szCs w:val="22"/>
              </w:rPr>
            </w:pPr>
            <w:r w:rsidRPr="004410BC">
              <w:rPr>
                <w:sz w:val="22"/>
                <w:szCs w:val="22"/>
              </w:rPr>
              <w:t>12</w:t>
            </w:r>
          </w:p>
        </w:tc>
        <w:tc>
          <w:tcPr>
            <w:tcW w:w="499" w:type="dxa"/>
            <w:noWrap/>
            <w:hideMark/>
          </w:tcPr>
          <w:p w14:paraId="03D5600B" w14:textId="77777777" w:rsidR="00844C9F" w:rsidRPr="004410BC" w:rsidRDefault="00844C9F" w:rsidP="00236C76">
            <w:pPr>
              <w:rPr>
                <w:sz w:val="22"/>
                <w:szCs w:val="22"/>
              </w:rPr>
            </w:pPr>
            <w:r w:rsidRPr="004410BC">
              <w:rPr>
                <w:sz w:val="22"/>
                <w:szCs w:val="22"/>
              </w:rPr>
              <w:t>Robinson et al. (2021)</w:t>
            </w:r>
          </w:p>
        </w:tc>
        <w:tc>
          <w:tcPr>
            <w:tcW w:w="746" w:type="dxa"/>
            <w:noWrap/>
            <w:hideMark/>
          </w:tcPr>
          <w:p w14:paraId="2BD23294" w14:textId="77777777" w:rsidR="00844C9F" w:rsidRPr="004410BC" w:rsidRDefault="00844C9F" w:rsidP="00236C76">
            <w:pPr>
              <w:rPr>
                <w:sz w:val="22"/>
                <w:szCs w:val="22"/>
              </w:rPr>
            </w:pPr>
            <w:r w:rsidRPr="004410BC">
              <w:rPr>
                <w:sz w:val="22"/>
                <w:szCs w:val="22"/>
              </w:rPr>
              <w:t>A qualitative exploration of the barriers and facilitators affecting ethnic minority patient groups when accessing medicine review services: Perspectives of healthcare professionals</w:t>
            </w:r>
          </w:p>
        </w:tc>
        <w:tc>
          <w:tcPr>
            <w:tcW w:w="622" w:type="dxa"/>
            <w:noWrap/>
            <w:hideMark/>
          </w:tcPr>
          <w:p w14:paraId="39EB3487" w14:textId="77777777" w:rsidR="00844C9F" w:rsidRPr="004410BC" w:rsidRDefault="00844C9F" w:rsidP="00236C76">
            <w:pPr>
              <w:rPr>
                <w:sz w:val="22"/>
                <w:szCs w:val="22"/>
              </w:rPr>
            </w:pPr>
            <w:r w:rsidRPr="004410BC">
              <w:rPr>
                <w:sz w:val="22"/>
                <w:szCs w:val="22"/>
              </w:rPr>
              <w:t>Health Expectations</w:t>
            </w:r>
          </w:p>
        </w:tc>
        <w:tc>
          <w:tcPr>
            <w:tcW w:w="431" w:type="dxa"/>
            <w:noWrap/>
            <w:hideMark/>
          </w:tcPr>
          <w:p w14:paraId="0F4AF3F1" w14:textId="77777777" w:rsidR="00844C9F" w:rsidRPr="004410BC" w:rsidRDefault="00844C9F" w:rsidP="00236C76">
            <w:pPr>
              <w:rPr>
                <w:sz w:val="22"/>
                <w:szCs w:val="22"/>
              </w:rPr>
            </w:pPr>
            <w:r w:rsidRPr="004410BC">
              <w:rPr>
                <w:sz w:val="22"/>
                <w:szCs w:val="22"/>
              </w:rPr>
              <w:t>27</w:t>
            </w:r>
          </w:p>
        </w:tc>
        <w:tc>
          <w:tcPr>
            <w:tcW w:w="812" w:type="dxa"/>
            <w:noWrap/>
            <w:hideMark/>
          </w:tcPr>
          <w:p w14:paraId="497D104F" w14:textId="77777777" w:rsidR="00844C9F" w:rsidRPr="004410BC" w:rsidRDefault="00844C9F" w:rsidP="00236C76">
            <w:pPr>
              <w:rPr>
                <w:sz w:val="22"/>
                <w:szCs w:val="22"/>
              </w:rPr>
            </w:pPr>
            <w:r w:rsidRPr="004410BC">
              <w:rPr>
                <w:sz w:val="22"/>
                <w:szCs w:val="22"/>
              </w:rPr>
              <w:t>Not Specified</w:t>
            </w:r>
          </w:p>
        </w:tc>
        <w:tc>
          <w:tcPr>
            <w:tcW w:w="810" w:type="dxa"/>
            <w:noWrap/>
            <w:hideMark/>
          </w:tcPr>
          <w:p w14:paraId="5DE78389" w14:textId="77777777" w:rsidR="00844C9F" w:rsidRPr="004410BC" w:rsidRDefault="00844C9F" w:rsidP="00236C76">
            <w:pPr>
              <w:rPr>
                <w:sz w:val="22"/>
                <w:szCs w:val="22"/>
              </w:rPr>
            </w:pPr>
            <w:r w:rsidRPr="004410BC">
              <w:rPr>
                <w:sz w:val="22"/>
                <w:szCs w:val="22"/>
              </w:rPr>
              <w:t>707–717</w:t>
            </w:r>
          </w:p>
        </w:tc>
        <w:tc>
          <w:tcPr>
            <w:tcW w:w="2656" w:type="dxa"/>
            <w:noWrap/>
            <w:hideMark/>
          </w:tcPr>
          <w:p w14:paraId="15ADFAA2" w14:textId="77777777" w:rsidR="00844C9F" w:rsidRPr="004410BC" w:rsidRDefault="00844C9F" w:rsidP="00236C76">
            <w:pPr>
              <w:rPr>
                <w:sz w:val="22"/>
                <w:szCs w:val="22"/>
              </w:rPr>
            </w:pPr>
            <w:r w:rsidRPr="004410BC">
              <w:rPr>
                <w:sz w:val="22"/>
                <w:szCs w:val="22"/>
              </w:rPr>
              <w:t>https://onlinelibrary.wiley.com/doi/full/10.1111/hex.13410</w:t>
            </w:r>
          </w:p>
        </w:tc>
        <w:tc>
          <w:tcPr>
            <w:tcW w:w="1184" w:type="dxa"/>
            <w:noWrap/>
            <w:hideMark/>
          </w:tcPr>
          <w:p w14:paraId="4E74E6DA" w14:textId="77777777" w:rsidR="00844C9F" w:rsidRPr="004410BC" w:rsidRDefault="00844C9F" w:rsidP="00236C76">
            <w:pPr>
              <w:rPr>
                <w:sz w:val="22"/>
                <w:szCs w:val="22"/>
              </w:rPr>
            </w:pPr>
            <w:r w:rsidRPr="004410BC">
              <w:rPr>
                <w:sz w:val="22"/>
                <w:szCs w:val="22"/>
              </w:rPr>
              <w:t>10.1111/hex.13410</w:t>
            </w:r>
          </w:p>
        </w:tc>
        <w:tc>
          <w:tcPr>
            <w:tcW w:w="481" w:type="dxa"/>
            <w:noWrap/>
            <w:hideMark/>
          </w:tcPr>
          <w:p w14:paraId="75C91667" w14:textId="77777777" w:rsidR="00844C9F" w:rsidRPr="004410BC" w:rsidRDefault="00844C9F" w:rsidP="00236C76">
            <w:pPr>
              <w:rPr>
                <w:sz w:val="22"/>
                <w:szCs w:val="22"/>
              </w:rPr>
            </w:pPr>
            <w:r w:rsidRPr="004410BC">
              <w:rPr>
                <w:sz w:val="22"/>
                <w:szCs w:val="22"/>
              </w:rPr>
              <w:t>1</w:t>
            </w:r>
          </w:p>
        </w:tc>
        <w:tc>
          <w:tcPr>
            <w:tcW w:w="488" w:type="dxa"/>
            <w:noWrap/>
            <w:hideMark/>
          </w:tcPr>
          <w:p w14:paraId="3E6D6C1F" w14:textId="77777777" w:rsidR="00844C9F" w:rsidRPr="004410BC" w:rsidRDefault="00844C9F" w:rsidP="00236C76">
            <w:pPr>
              <w:rPr>
                <w:sz w:val="22"/>
                <w:szCs w:val="22"/>
              </w:rPr>
            </w:pPr>
          </w:p>
        </w:tc>
      </w:tr>
      <w:tr w:rsidR="00844C9F" w:rsidRPr="004410BC" w14:paraId="059D2487" w14:textId="77777777" w:rsidTr="00012A79">
        <w:trPr>
          <w:trHeight w:val="250"/>
        </w:trPr>
        <w:tc>
          <w:tcPr>
            <w:tcW w:w="287" w:type="dxa"/>
            <w:noWrap/>
            <w:hideMark/>
          </w:tcPr>
          <w:p w14:paraId="6AD19BC5" w14:textId="77777777" w:rsidR="00844C9F" w:rsidRPr="004410BC" w:rsidRDefault="00844C9F" w:rsidP="00236C76">
            <w:pPr>
              <w:rPr>
                <w:sz w:val="22"/>
                <w:szCs w:val="22"/>
              </w:rPr>
            </w:pPr>
            <w:r w:rsidRPr="004410BC">
              <w:rPr>
                <w:sz w:val="22"/>
                <w:szCs w:val="22"/>
              </w:rPr>
              <w:t>13</w:t>
            </w:r>
          </w:p>
        </w:tc>
        <w:tc>
          <w:tcPr>
            <w:tcW w:w="499" w:type="dxa"/>
            <w:noWrap/>
            <w:hideMark/>
          </w:tcPr>
          <w:p w14:paraId="0651BD8B" w14:textId="77777777" w:rsidR="00844C9F" w:rsidRPr="004410BC" w:rsidRDefault="00844C9F" w:rsidP="00236C76">
            <w:pPr>
              <w:rPr>
                <w:sz w:val="22"/>
                <w:szCs w:val="22"/>
              </w:rPr>
            </w:pPr>
            <w:r w:rsidRPr="004410BC">
              <w:rPr>
                <w:sz w:val="22"/>
                <w:szCs w:val="22"/>
              </w:rPr>
              <w:t>Robinson et al. (2022)</w:t>
            </w:r>
          </w:p>
        </w:tc>
        <w:tc>
          <w:tcPr>
            <w:tcW w:w="746" w:type="dxa"/>
            <w:noWrap/>
            <w:hideMark/>
          </w:tcPr>
          <w:p w14:paraId="08E14368" w14:textId="77777777" w:rsidR="00844C9F" w:rsidRPr="004410BC" w:rsidRDefault="00844C9F" w:rsidP="00236C76">
            <w:pPr>
              <w:rPr>
                <w:sz w:val="22"/>
                <w:szCs w:val="22"/>
              </w:rPr>
            </w:pPr>
            <w:r w:rsidRPr="004410BC">
              <w:rPr>
                <w:sz w:val="22"/>
                <w:szCs w:val="22"/>
              </w:rPr>
              <w:t>‘He or she maybe doesn’t know there is such a thing as a review’: A qualitative investigation exploring barriers and facilitators to accessing medication reviews from the perspective of people from ethnic minority communities</w:t>
            </w:r>
          </w:p>
        </w:tc>
        <w:tc>
          <w:tcPr>
            <w:tcW w:w="622" w:type="dxa"/>
            <w:noWrap/>
            <w:hideMark/>
          </w:tcPr>
          <w:p w14:paraId="44E3B251" w14:textId="77777777" w:rsidR="00844C9F" w:rsidRPr="004410BC" w:rsidRDefault="00844C9F" w:rsidP="00236C76">
            <w:pPr>
              <w:rPr>
                <w:sz w:val="22"/>
                <w:szCs w:val="22"/>
              </w:rPr>
            </w:pPr>
            <w:r w:rsidRPr="004410BC">
              <w:rPr>
                <w:sz w:val="22"/>
                <w:szCs w:val="22"/>
              </w:rPr>
              <w:t>Health Expectations</w:t>
            </w:r>
          </w:p>
        </w:tc>
        <w:tc>
          <w:tcPr>
            <w:tcW w:w="431" w:type="dxa"/>
            <w:noWrap/>
            <w:hideMark/>
          </w:tcPr>
          <w:p w14:paraId="6E3C967A" w14:textId="77777777" w:rsidR="00844C9F" w:rsidRPr="004410BC" w:rsidRDefault="00844C9F" w:rsidP="00236C76">
            <w:pPr>
              <w:rPr>
                <w:sz w:val="22"/>
                <w:szCs w:val="22"/>
              </w:rPr>
            </w:pPr>
            <w:r w:rsidRPr="004410BC">
              <w:rPr>
                <w:sz w:val="22"/>
                <w:szCs w:val="22"/>
              </w:rPr>
              <w:t>74</w:t>
            </w:r>
          </w:p>
        </w:tc>
        <w:tc>
          <w:tcPr>
            <w:tcW w:w="812" w:type="dxa"/>
            <w:noWrap/>
            <w:hideMark/>
          </w:tcPr>
          <w:p w14:paraId="2565CA59" w14:textId="77777777" w:rsidR="00844C9F" w:rsidRPr="004410BC" w:rsidRDefault="00844C9F" w:rsidP="00236C76">
            <w:pPr>
              <w:rPr>
                <w:sz w:val="22"/>
                <w:szCs w:val="22"/>
              </w:rPr>
            </w:pPr>
            <w:r w:rsidRPr="004410BC">
              <w:rPr>
                <w:sz w:val="22"/>
                <w:szCs w:val="22"/>
              </w:rPr>
              <w:t>Not Specified</w:t>
            </w:r>
          </w:p>
        </w:tc>
        <w:tc>
          <w:tcPr>
            <w:tcW w:w="810" w:type="dxa"/>
            <w:noWrap/>
            <w:hideMark/>
          </w:tcPr>
          <w:p w14:paraId="4D106DE8" w14:textId="77777777" w:rsidR="00844C9F" w:rsidRPr="004410BC" w:rsidRDefault="00844C9F" w:rsidP="00236C76">
            <w:pPr>
              <w:rPr>
                <w:sz w:val="22"/>
                <w:szCs w:val="22"/>
              </w:rPr>
            </w:pPr>
            <w:r w:rsidRPr="004410BC">
              <w:rPr>
                <w:sz w:val="22"/>
                <w:szCs w:val="22"/>
              </w:rPr>
              <w:t>1432–1443</w:t>
            </w:r>
          </w:p>
        </w:tc>
        <w:tc>
          <w:tcPr>
            <w:tcW w:w="2656" w:type="dxa"/>
            <w:noWrap/>
            <w:hideMark/>
          </w:tcPr>
          <w:p w14:paraId="0A553241" w14:textId="77777777" w:rsidR="00844C9F" w:rsidRPr="004410BC" w:rsidRDefault="00844C9F" w:rsidP="00236C76">
            <w:pPr>
              <w:rPr>
                <w:sz w:val="22"/>
                <w:szCs w:val="22"/>
              </w:rPr>
            </w:pPr>
            <w:r w:rsidRPr="004410BC">
              <w:rPr>
                <w:sz w:val="22"/>
                <w:szCs w:val="22"/>
              </w:rPr>
              <w:t>https://onlinelibrary.wiley.com/doi/full/10.1111/hex.13482</w:t>
            </w:r>
          </w:p>
        </w:tc>
        <w:tc>
          <w:tcPr>
            <w:tcW w:w="1184" w:type="dxa"/>
            <w:noWrap/>
            <w:hideMark/>
          </w:tcPr>
          <w:p w14:paraId="01759A58" w14:textId="77777777" w:rsidR="00844C9F" w:rsidRPr="004410BC" w:rsidRDefault="00844C9F" w:rsidP="00236C76">
            <w:pPr>
              <w:rPr>
                <w:sz w:val="22"/>
                <w:szCs w:val="22"/>
              </w:rPr>
            </w:pPr>
            <w:r w:rsidRPr="004410BC">
              <w:rPr>
                <w:sz w:val="22"/>
                <w:szCs w:val="22"/>
              </w:rPr>
              <w:t>10.1111/hex.13482</w:t>
            </w:r>
          </w:p>
        </w:tc>
        <w:tc>
          <w:tcPr>
            <w:tcW w:w="481" w:type="dxa"/>
            <w:noWrap/>
            <w:hideMark/>
          </w:tcPr>
          <w:p w14:paraId="17AED453" w14:textId="77777777" w:rsidR="00844C9F" w:rsidRPr="004410BC" w:rsidRDefault="00844C9F" w:rsidP="00236C76">
            <w:pPr>
              <w:rPr>
                <w:sz w:val="22"/>
                <w:szCs w:val="22"/>
              </w:rPr>
            </w:pPr>
            <w:r w:rsidRPr="004410BC">
              <w:rPr>
                <w:sz w:val="22"/>
                <w:szCs w:val="22"/>
              </w:rPr>
              <w:t>1</w:t>
            </w:r>
          </w:p>
        </w:tc>
        <w:tc>
          <w:tcPr>
            <w:tcW w:w="488" w:type="dxa"/>
            <w:noWrap/>
            <w:hideMark/>
          </w:tcPr>
          <w:p w14:paraId="29142A07" w14:textId="77777777" w:rsidR="00844C9F" w:rsidRPr="004410BC" w:rsidRDefault="00844C9F" w:rsidP="00236C76">
            <w:pPr>
              <w:rPr>
                <w:sz w:val="22"/>
                <w:szCs w:val="22"/>
              </w:rPr>
            </w:pPr>
          </w:p>
        </w:tc>
      </w:tr>
      <w:tr w:rsidR="00844C9F" w:rsidRPr="004410BC" w14:paraId="6C5A67BB" w14:textId="77777777" w:rsidTr="00012A79">
        <w:trPr>
          <w:trHeight w:val="250"/>
        </w:trPr>
        <w:tc>
          <w:tcPr>
            <w:tcW w:w="287" w:type="dxa"/>
            <w:noWrap/>
            <w:hideMark/>
          </w:tcPr>
          <w:p w14:paraId="788EFFEE" w14:textId="77777777" w:rsidR="00844C9F" w:rsidRPr="004410BC" w:rsidRDefault="00844C9F" w:rsidP="00236C76">
            <w:pPr>
              <w:rPr>
                <w:sz w:val="22"/>
                <w:szCs w:val="22"/>
              </w:rPr>
            </w:pPr>
            <w:r w:rsidRPr="004410BC">
              <w:rPr>
                <w:sz w:val="22"/>
                <w:szCs w:val="22"/>
              </w:rPr>
              <w:t>14</w:t>
            </w:r>
          </w:p>
        </w:tc>
        <w:tc>
          <w:tcPr>
            <w:tcW w:w="499" w:type="dxa"/>
            <w:noWrap/>
            <w:hideMark/>
          </w:tcPr>
          <w:p w14:paraId="20FD4E74" w14:textId="77777777" w:rsidR="00844C9F" w:rsidRPr="004410BC" w:rsidRDefault="00844C9F" w:rsidP="00236C76">
            <w:pPr>
              <w:rPr>
                <w:sz w:val="22"/>
                <w:szCs w:val="22"/>
              </w:rPr>
            </w:pPr>
            <w:r w:rsidRPr="004410BC">
              <w:rPr>
                <w:sz w:val="22"/>
                <w:szCs w:val="22"/>
              </w:rPr>
              <w:t>Small et al. (2024)</w:t>
            </w:r>
          </w:p>
        </w:tc>
        <w:tc>
          <w:tcPr>
            <w:tcW w:w="746" w:type="dxa"/>
            <w:noWrap/>
            <w:hideMark/>
          </w:tcPr>
          <w:p w14:paraId="30B7731C" w14:textId="77777777" w:rsidR="00844C9F" w:rsidRPr="004410BC" w:rsidRDefault="00844C9F" w:rsidP="00236C76">
            <w:pPr>
              <w:rPr>
                <w:sz w:val="22"/>
                <w:szCs w:val="22"/>
              </w:rPr>
            </w:pPr>
            <w:r w:rsidRPr="004410BC">
              <w:rPr>
                <w:sz w:val="22"/>
                <w:szCs w:val="22"/>
              </w:rPr>
              <w:t>Exploring the experiences and preferences of South Asian patients’ of primary care in England since COVID-19</w:t>
            </w:r>
          </w:p>
        </w:tc>
        <w:tc>
          <w:tcPr>
            <w:tcW w:w="622" w:type="dxa"/>
            <w:noWrap/>
            <w:hideMark/>
          </w:tcPr>
          <w:p w14:paraId="08C7D124" w14:textId="77777777" w:rsidR="00844C9F" w:rsidRPr="004410BC" w:rsidRDefault="00844C9F" w:rsidP="00236C76">
            <w:pPr>
              <w:rPr>
                <w:sz w:val="22"/>
                <w:szCs w:val="22"/>
              </w:rPr>
            </w:pPr>
            <w:r w:rsidRPr="004410BC">
              <w:rPr>
                <w:sz w:val="22"/>
                <w:szCs w:val="22"/>
              </w:rPr>
              <w:t>Health Expectations</w:t>
            </w:r>
          </w:p>
        </w:tc>
        <w:tc>
          <w:tcPr>
            <w:tcW w:w="431" w:type="dxa"/>
            <w:noWrap/>
            <w:hideMark/>
          </w:tcPr>
          <w:p w14:paraId="74AF0EFE" w14:textId="77777777" w:rsidR="00844C9F" w:rsidRPr="004410BC" w:rsidRDefault="00844C9F" w:rsidP="00236C76">
            <w:pPr>
              <w:rPr>
                <w:sz w:val="22"/>
                <w:szCs w:val="22"/>
              </w:rPr>
            </w:pPr>
            <w:r w:rsidRPr="004410BC">
              <w:rPr>
                <w:sz w:val="22"/>
                <w:szCs w:val="22"/>
              </w:rPr>
              <w:t>49</w:t>
            </w:r>
          </w:p>
        </w:tc>
        <w:tc>
          <w:tcPr>
            <w:tcW w:w="812" w:type="dxa"/>
            <w:noWrap/>
            <w:hideMark/>
          </w:tcPr>
          <w:p w14:paraId="7ADF19F6" w14:textId="77777777" w:rsidR="00844C9F" w:rsidRPr="004410BC" w:rsidRDefault="00844C9F" w:rsidP="00236C76">
            <w:pPr>
              <w:rPr>
                <w:sz w:val="22"/>
                <w:szCs w:val="22"/>
              </w:rPr>
            </w:pPr>
            <w:r w:rsidRPr="004410BC">
              <w:rPr>
                <w:sz w:val="22"/>
                <w:szCs w:val="22"/>
              </w:rPr>
              <w:t>Not Specified</w:t>
            </w:r>
          </w:p>
        </w:tc>
        <w:tc>
          <w:tcPr>
            <w:tcW w:w="810" w:type="dxa"/>
            <w:noWrap/>
            <w:hideMark/>
          </w:tcPr>
          <w:p w14:paraId="5BF3DD97" w14:textId="77777777" w:rsidR="00844C9F" w:rsidRPr="004410BC" w:rsidRDefault="00844C9F" w:rsidP="00236C76">
            <w:pPr>
              <w:rPr>
                <w:sz w:val="22"/>
                <w:szCs w:val="22"/>
              </w:rPr>
            </w:pPr>
            <w:r w:rsidRPr="004410BC">
              <w:rPr>
                <w:sz w:val="22"/>
                <w:szCs w:val="22"/>
              </w:rPr>
              <w:t>e13982</w:t>
            </w:r>
          </w:p>
        </w:tc>
        <w:tc>
          <w:tcPr>
            <w:tcW w:w="2656" w:type="dxa"/>
            <w:noWrap/>
            <w:hideMark/>
          </w:tcPr>
          <w:p w14:paraId="3588C0FF" w14:textId="77777777" w:rsidR="00844C9F" w:rsidRPr="004410BC" w:rsidRDefault="00844C9F" w:rsidP="00236C76">
            <w:pPr>
              <w:rPr>
                <w:sz w:val="22"/>
                <w:szCs w:val="22"/>
              </w:rPr>
            </w:pPr>
            <w:r w:rsidRPr="004410BC">
              <w:rPr>
                <w:sz w:val="22"/>
                <w:szCs w:val="22"/>
              </w:rPr>
              <w:t>https://onlinelibrary.wiley.com/doi/full/10.1111/hex.13982</w:t>
            </w:r>
          </w:p>
        </w:tc>
        <w:tc>
          <w:tcPr>
            <w:tcW w:w="1184" w:type="dxa"/>
            <w:noWrap/>
            <w:hideMark/>
          </w:tcPr>
          <w:p w14:paraId="5A60D9FE" w14:textId="77777777" w:rsidR="00844C9F" w:rsidRPr="004410BC" w:rsidRDefault="00844C9F" w:rsidP="00236C76">
            <w:pPr>
              <w:rPr>
                <w:sz w:val="22"/>
                <w:szCs w:val="22"/>
              </w:rPr>
            </w:pPr>
            <w:r w:rsidRPr="004410BC">
              <w:rPr>
                <w:sz w:val="22"/>
                <w:szCs w:val="22"/>
              </w:rPr>
              <w:t>10.1111/hex.13982</w:t>
            </w:r>
          </w:p>
        </w:tc>
        <w:tc>
          <w:tcPr>
            <w:tcW w:w="481" w:type="dxa"/>
            <w:noWrap/>
            <w:hideMark/>
          </w:tcPr>
          <w:p w14:paraId="5097B991" w14:textId="77777777" w:rsidR="00844C9F" w:rsidRPr="004410BC" w:rsidRDefault="00844C9F" w:rsidP="00236C76">
            <w:pPr>
              <w:rPr>
                <w:sz w:val="22"/>
                <w:szCs w:val="22"/>
              </w:rPr>
            </w:pPr>
            <w:r w:rsidRPr="004410BC">
              <w:rPr>
                <w:sz w:val="22"/>
                <w:szCs w:val="22"/>
              </w:rPr>
              <w:t>1</w:t>
            </w:r>
          </w:p>
        </w:tc>
        <w:tc>
          <w:tcPr>
            <w:tcW w:w="488" w:type="dxa"/>
            <w:noWrap/>
            <w:hideMark/>
          </w:tcPr>
          <w:p w14:paraId="67B6D6C6" w14:textId="77777777" w:rsidR="00844C9F" w:rsidRPr="004410BC" w:rsidRDefault="00844C9F" w:rsidP="00236C76">
            <w:pPr>
              <w:rPr>
                <w:sz w:val="22"/>
                <w:szCs w:val="22"/>
              </w:rPr>
            </w:pPr>
          </w:p>
        </w:tc>
      </w:tr>
    </w:tbl>
    <w:p w14:paraId="4C8870D9" w14:textId="77777777" w:rsidR="00FC7B33" w:rsidRPr="004410BC" w:rsidRDefault="00FC7B33" w:rsidP="00236C76">
      <w:pPr>
        <w:rPr>
          <w:rFonts w:cs="Arial"/>
        </w:rPr>
      </w:pPr>
    </w:p>
    <w:p w14:paraId="6EC5107E" w14:textId="1BFE26CF" w:rsidR="009F64C5" w:rsidRPr="004410BC" w:rsidRDefault="009F64C5" w:rsidP="00236C76">
      <w:pPr>
        <w:rPr>
          <w:rFonts w:cs="Arial"/>
        </w:rPr>
      </w:pPr>
    </w:p>
    <w:p w14:paraId="1916A577" w14:textId="77777777" w:rsidR="009F64C5" w:rsidRPr="004410BC" w:rsidRDefault="009F64C5" w:rsidP="00236C76">
      <w:pPr>
        <w:spacing w:after="158"/>
        <w:rPr>
          <w:rFonts w:cs="Arial"/>
        </w:rPr>
      </w:pPr>
      <w:r w:rsidRPr="004410BC">
        <w:rPr>
          <w:rFonts w:eastAsia="Calibri" w:cs="Arial"/>
        </w:rPr>
        <w:t xml:space="preserve"> </w:t>
      </w:r>
    </w:p>
    <w:p w14:paraId="14D68B18" w14:textId="77777777" w:rsidR="009F64C5" w:rsidRPr="004410BC" w:rsidRDefault="009F64C5" w:rsidP="00236C76">
      <w:pPr>
        <w:rPr>
          <w:rFonts w:cs="Arial"/>
        </w:rPr>
      </w:pPr>
      <w:r w:rsidRPr="004410BC">
        <w:rPr>
          <w:rFonts w:eastAsia="Calibri" w:cs="Arial"/>
        </w:rPr>
        <w:t xml:space="preserve"> </w:t>
      </w:r>
    </w:p>
    <w:p w14:paraId="05A2C86D" w14:textId="77777777" w:rsidR="009F64C5" w:rsidRPr="004410BC" w:rsidRDefault="009F64C5" w:rsidP="00236C76">
      <w:pPr>
        <w:spacing w:after="158"/>
        <w:rPr>
          <w:rFonts w:cs="Arial"/>
        </w:rPr>
      </w:pPr>
      <w:r w:rsidRPr="004410BC">
        <w:rPr>
          <w:rFonts w:eastAsia="Calibri" w:cs="Arial"/>
        </w:rPr>
        <w:t xml:space="preserve"> </w:t>
      </w:r>
    </w:p>
    <w:p w14:paraId="535EDA41" w14:textId="77777777" w:rsidR="00F94E9A" w:rsidRPr="004410BC" w:rsidRDefault="009F64C5" w:rsidP="00236C76">
      <w:pPr>
        <w:pStyle w:val="Heading1"/>
        <w:rPr>
          <w:rFonts w:eastAsia="Calibri" w:cs="Arial"/>
        </w:rPr>
      </w:pPr>
      <w:r w:rsidRPr="004410BC">
        <w:rPr>
          <w:rFonts w:eastAsia="Calibri" w:cs="Arial"/>
        </w:rPr>
        <w:t xml:space="preserve"> </w:t>
      </w:r>
      <w:bookmarkStart w:id="370" w:name="_Toc238290281"/>
    </w:p>
    <w:p w14:paraId="72D9EE43" w14:textId="77777777" w:rsidR="00F94E9A" w:rsidRPr="004410BC" w:rsidRDefault="00F94E9A" w:rsidP="00236C76">
      <w:pPr>
        <w:jc w:val="left"/>
        <w:rPr>
          <w:rFonts w:eastAsia="Calibri" w:cs="Arial"/>
          <w:b/>
          <w:color w:val="44546A" w:themeColor="text2"/>
          <w:sz w:val="32"/>
        </w:rPr>
      </w:pPr>
      <w:r w:rsidRPr="004410BC">
        <w:rPr>
          <w:rFonts w:eastAsia="Calibri" w:cs="Arial"/>
        </w:rPr>
        <w:br w:type="page"/>
      </w:r>
    </w:p>
    <w:p w14:paraId="7DC284E9" w14:textId="78E7E21A" w:rsidR="004C08B4" w:rsidRPr="004410BC" w:rsidRDefault="004C08B4" w:rsidP="00236C76">
      <w:pPr>
        <w:pStyle w:val="Heading1"/>
        <w:rPr>
          <w:rFonts w:cs="Arial"/>
        </w:rPr>
      </w:pPr>
      <w:bookmarkStart w:id="371" w:name="_Toc240724924"/>
      <w:r w:rsidRPr="004410BC">
        <w:rPr>
          <w:rFonts w:cs="Arial"/>
        </w:rPr>
        <w:t xml:space="preserve">Appendix 5: </w:t>
      </w:r>
      <w:r w:rsidR="00AE3240" w:rsidRPr="004410BC">
        <w:rPr>
          <w:rFonts w:cs="Arial"/>
        </w:rPr>
        <w:t>Characteristics Select Article</w:t>
      </w:r>
      <w:bookmarkEnd w:id="370"/>
      <w:bookmarkEnd w:id="371"/>
    </w:p>
    <w:tbl>
      <w:tblPr>
        <w:tblStyle w:val="TableGrid"/>
        <w:tblW w:w="0" w:type="auto"/>
        <w:tblLook w:val="04A0" w:firstRow="1" w:lastRow="0" w:firstColumn="1" w:lastColumn="0" w:noHBand="0" w:noVBand="1"/>
      </w:tblPr>
      <w:tblGrid>
        <w:gridCol w:w="1422"/>
        <w:gridCol w:w="317"/>
        <w:gridCol w:w="621"/>
        <w:gridCol w:w="380"/>
        <w:gridCol w:w="403"/>
        <w:gridCol w:w="426"/>
        <w:gridCol w:w="522"/>
        <w:gridCol w:w="1103"/>
        <w:gridCol w:w="1297"/>
        <w:gridCol w:w="418"/>
        <w:gridCol w:w="2107"/>
      </w:tblGrid>
      <w:tr w:rsidR="00093FEE" w:rsidRPr="004410BC" w14:paraId="5FB0F3A2" w14:textId="77777777" w:rsidTr="00006094">
        <w:trPr>
          <w:trHeight w:val="260"/>
        </w:trPr>
        <w:tc>
          <w:tcPr>
            <w:tcW w:w="6049" w:type="dxa"/>
            <w:noWrap/>
            <w:hideMark/>
          </w:tcPr>
          <w:p w14:paraId="2D4B90D7" w14:textId="77777777" w:rsidR="00093FEE" w:rsidRPr="004410BC" w:rsidRDefault="00093FEE" w:rsidP="00236C76">
            <w:pPr>
              <w:rPr>
                <w:b/>
                <w:bCs/>
                <w:sz w:val="22"/>
                <w:szCs w:val="22"/>
              </w:rPr>
            </w:pPr>
            <w:r w:rsidRPr="004410BC">
              <w:rPr>
                <w:b/>
                <w:bCs/>
                <w:sz w:val="22"/>
                <w:szCs w:val="22"/>
              </w:rPr>
              <w:t>Title</w:t>
            </w:r>
          </w:p>
        </w:tc>
        <w:tc>
          <w:tcPr>
            <w:tcW w:w="368" w:type="dxa"/>
            <w:noWrap/>
            <w:hideMark/>
          </w:tcPr>
          <w:p w14:paraId="470044DF" w14:textId="77777777" w:rsidR="00093FEE" w:rsidRPr="004410BC" w:rsidRDefault="00093FEE" w:rsidP="00236C76">
            <w:pPr>
              <w:rPr>
                <w:b/>
                <w:bCs/>
                <w:sz w:val="22"/>
                <w:szCs w:val="22"/>
              </w:rPr>
            </w:pPr>
            <w:r w:rsidRPr="004410BC">
              <w:rPr>
                <w:b/>
                <w:bCs/>
                <w:sz w:val="22"/>
                <w:szCs w:val="22"/>
              </w:rPr>
              <w:t>Year</w:t>
            </w:r>
          </w:p>
        </w:tc>
        <w:tc>
          <w:tcPr>
            <w:tcW w:w="2175" w:type="dxa"/>
            <w:noWrap/>
            <w:hideMark/>
          </w:tcPr>
          <w:p w14:paraId="705F04C3" w14:textId="77777777" w:rsidR="00093FEE" w:rsidRPr="004410BC" w:rsidRDefault="00093FEE" w:rsidP="00236C76">
            <w:pPr>
              <w:rPr>
                <w:b/>
                <w:bCs/>
                <w:sz w:val="22"/>
                <w:szCs w:val="22"/>
              </w:rPr>
            </w:pPr>
            <w:r w:rsidRPr="004410BC">
              <w:rPr>
                <w:b/>
                <w:bCs/>
                <w:sz w:val="22"/>
                <w:szCs w:val="22"/>
              </w:rPr>
              <w:t>Published Journal</w:t>
            </w:r>
          </w:p>
        </w:tc>
        <w:tc>
          <w:tcPr>
            <w:tcW w:w="368" w:type="dxa"/>
            <w:noWrap/>
            <w:hideMark/>
          </w:tcPr>
          <w:p w14:paraId="0846A04F" w14:textId="77777777" w:rsidR="00093FEE" w:rsidRPr="004410BC" w:rsidRDefault="00093FEE" w:rsidP="00236C76">
            <w:pPr>
              <w:rPr>
                <w:b/>
                <w:bCs/>
                <w:sz w:val="22"/>
                <w:szCs w:val="22"/>
              </w:rPr>
            </w:pPr>
            <w:r w:rsidRPr="004410BC">
              <w:rPr>
                <w:b/>
                <w:bCs/>
                <w:sz w:val="22"/>
                <w:szCs w:val="22"/>
              </w:rPr>
              <w:t>Volume</w:t>
            </w:r>
          </w:p>
        </w:tc>
        <w:tc>
          <w:tcPr>
            <w:tcW w:w="462" w:type="dxa"/>
            <w:noWrap/>
            <w:hideMark/>
          </w:tcPr>
          <w:p w14:paraId="1880A6BB" w14:textId="77777777" w:rsidR="00093FEE" w:rsidRPr="004410BC" w:rsidRDefault="00093FEE" w:rsidP="00236C76">
            <w:pPr>
              <w:rPr>
                <w:b/>
                <w:bCs/>
                <w:sz w:val="22"/>
                <w:szCs w:val="22"/>
              </w:rPr>
            </w:pPr>
            <w:r w:rsidRPr="004410BC">
              <w:rPr>
                <w:b/>
                <w:bCs/>
                <w:sz w:val="22"/>
                <w:szCs w:val="22"/>
              </w:rPr>
              <w:t>Issue</w:t>
            </w:r>
          </w:p>
        </w:tc>
        <w:tc>
          <w:tcPr>
            <w:tcW w:w="882" w:type="dxa"/>
            <w:noWrap/>
            <w:hideMark/>
          </w:tcPr>
          <w:p w14:paraId="1A8917F9" w14:textId="77777777" w:rsidR="00093FEE" w:rsidRPr="004410BC" w:rsidRDefault="00093FEE" w:rsidP="00236C76">
            <w:pPr>
              <w:rPr>
                <w:b/>
                <w:bCs/>
                <w:sz w:val="22"/>
                <w:szCs w:val="22"/>
              </w:rPr>
            </w:pPr>
            <w:r w:rsidRPr="004410BC">
              <w:rPr>
                <w:b/>
                <w:bCs/>
                <w:sz w:val="22"/>
                <w:szCs w:val="22"/>
              </w:rPr>
              <w:t>Location</w:t>
            </w:r>
          </w:p>
        </w:tc>
        <w:tc>
          <w:tcPr>
            <w:tcW w:w="1694" w:type="dxa"/>
            <w:noWrap/>
            <w:hideMark/>
          </w:tcPr>
          <w:p w14:paraId="18695C3D" w14:textId="77777777" w:rsidR="00093FEE" w:rsidRPr="004410BC" w:rsidRDefault="00093FEE" w:rsidP="00236C76">
            <w:pPr>
              <w:rPr>
                <w:b/>
                <w:bCs/>
                <w:sz w:val="22"/>
                <w:szCs w:val="22"/>
              </w:rPr>
            </w:pPr>
            <w:r w:rsidRPr="004410BC">
              <w:rPr>
                <w:b/>
                <w:bCs/>
                <w:sz w:val="22"/>
                <w:szCs w:val="22"/>
              </w:rPr>
              <w:t>Type of Study</w:t>
            </w:r>
          </w:p>
        </w:tc>
        <w:tc>
          <w:tcPr>
            <w:tcW w:w="4506" w:type="dxa"/>
            <w:noWrap/>
            <w:hideMark/>
          </w:tcPr>
          <w:p w14:paraId="1D044D27" w14:textId="77777777" w:rsidR="00093FEE" w:rsidRPr="004410BC" w:rsidRDefault="00093FEE" w:rsidP="00236C76">
            <w:pPr>
              <w:rPr>
                <w:b/>
                <w:bCs/>
                <w:sz w:val="22"/>
                <w:szCs w:val="22"/>
              </w:rPr>
            </w:pPr>
            <w:r w:rsidRPr="004410BC">
              <w:rPr>
                <w:b/>
                <w:bCs/>
                <w:sz w:val="22"/>
                <w:szCs w:val="22"/>
              </w:rPr>
              <w:t>Aim of Study</w:t>
            </w:r>
          </w:p>
        </w:tc>
        <w:tc>
          <w:tcPr>
            <w:tcW w:w="5443" w:type="dxa"/>
            <w:noWrap/>
            <w:hideMark/>
          </w:tcPr>
          <w:p w14:paraId="4910A576" w14:textId="77777777" w:rsidR="00093FEE" w:rsidRPr="004410BC" w:rsidRDefault="00093FEE" w:rsidP="00236C76">
            <w:pPr>
              <w:rPr>
                <w:b/>
                <w:bCs/>
                <w:sz w:val="22"/>
                <w:szCs w:val="22"/>
              </w:rPr>
            </w:pPr>
            <w:r w:rsidRPr="004410BC">
              <w:rPr>
                <w:b/>
                <w:bCs/>
                <w:sz w:val="22"/>
                <w:szCs w:val="22"/>
              </w:rPr>
              <w:t>Methods</w:t>
            </w:r>
          </w:p>
        </w:tc>
        <w:tc>
          <w:tcPr>
            <w:tcW w:w="368" w:type="dxa"/>
            <w:noWrap/>
            <w:hideMark/>
          </w:tcPr>
          <w:p w14:paraId="1EA886F9" w14:textId="77777777" w:rsidR="00093FEE" w:rsidRPr="004410BC" w:rsidRDefault="00093FEE" w:rsidP="00236C76">
            <w:pPr>
              <w:rPr>
                <w:b/>
                <w:bCs/>
                <w:sz w:val="22"/>
                <w:szCs w:val="22"/>
              </w:rPr>
            </w:pPr>
            <w:r w:rsidRPr="004410BC">
              <w:rPr>
                <w:b/>
                <w:bCs/>
                <w:sz w:val="22"/>
                <w:szCs w:val="22"/>
              </w:rPr>
              <w:t>Sample Size</w:t>
            </w:r>
          </w:p>
        </w:tc>
        <w:tc>
          <w:tcPr>
            <w:tcW w:w="9365" w:type="dxa"/>
            <w:noWrap/>
            <w:hideMark/>
          </w:tcPr>
          <w:p w14:paraId="424EAF89" w14:textId="77777777" w:rsidR="00093FEE" w:rsidRPr="004410BC" w:rsidRDefault="00093FEE" w:rsidP="00236C76">
            <w:pPr>
              <w:rPr>
                <w:b/>
                <w:bCs/>
                <w:sz w:val="22"/>
                <w:szCs w:val="22"/>
              </w:rPr>
            </w:pPr>
            <w:r w:rsidRPr="004410BC">
              <w:rPr>
                <w:b/>
                <w:bCs/>
                <w:sz w:val="22"/>
                <w:szCs w:val="22"/>
              </w:rPr>
              <w:t>Results/Outcomes</w:t>
            </w:r>
          </w:p>
        </w:tc>
      </w:tr>
      <w:tr w:rsidR="00093FEE" w:rsidRPr="004410BC" w14:paraId="347C7978" w14:textId="77777777" w:rsidTr="00006094">
        <w:trPr>
          <w:trHeight w:val="250"/>
        </w:trPr>
        <w:tc>
          <w:tcPr>
            <w:tcW w:w="6049" w:type="dxa"/>
            <w:noWrap/>
            <w:hideMark/>
          </w:tcPr>
          <w:p w14:paraId="227F7807" w14:textId="77777777" w:rsidR="00093FEE" w:rsidRPr="004410BC" w:rsidRDefault="00093FEE" w:rsidP="00236C76">
            <w:pPr>
              <w:rPr>
                <w:sz w:val="22"/>
                <w:szCs w:val="22"/>
              </w:rPr>
            </w:pPr>
            <w:r w:rsidRPr="004410BC">
              <w:rPr>
                <w:sz w:val="22"/>
                <w:szCs w:val="22"/>
              </w:rPr>
              <w:t>Investigating Patient Use and Experience of Online Appointment Booking in Primary Care: Mixed Methods Study</w:t>
            </w:r>
          </w:p>
        </w:tc>
        <w:tc>
          <w:tcPr>
            <w:tcW w:w="368" w:type="dxa"/>
            <w:noWrap/>
            <w:hideMark/>
          </w:tcPr>
          <w:p w14:paraId="0F2C66C8" w14:textId="77777777" w:rsidR="00093FEE" w:rsidRPr="004410BC" w:rsidRDefault="00093FEE" w:rsidP="00236C76">
            <w:pPr>
              <w:rPr>
                <w:sz w:val="22"/>
                <w:szCs w:val="22"/>
              </w:rPr>
            </w:pPr>
            <w:r w:rsidRPr="004410BC">
              <w:rPr>
                <w:sz w:val="22"/>
                <w:szCs w:val="22"/>
              </w:rPr>
              <w:t>2024</w:t>
            </w:r>
          </w:p>
        </w:tc>
        <w:tc>
          <w:tcPr>
            <w:tcW w:w="2175" w:type="dxa"/>
            <w:noWrap/>
            <w:hideMark/>
          </w:tcPr>
          <w:p w14:paraId="356FD003" w14:textId="77777777" w:rsidR="00093FEE" w:rsidRPr="004410BC" w:rsidRDefault="00093FEE" w:rsidP="00236C76">
            <w:pPr>
              <w:rPr>
                <w:sz w:val="22"/>
                <w:szCs w:val="22"/>
              </w:rPr>
            </w:pPr>
            <w:r w:rsidRPr="004410BC">
              <w:rPr>
                <w:sz w:val="22"/>
                <w:szCs w:val="22"/>
              </w:rPr>
              <w:t>Journal of Medical Internet Research</w:t>
            </w:r>
          </w:p>
        </w:tc>
        <w:tc>
          <w:tcPr>
            <w:tcW w:w="368" w:type="dxa"/>
            <w:noWrap/>
            <w:hideMark/>
          </w:tcPr>
          <w:p w14:paraId="1D8BD643" w14:textId="77777777" w:rsidR="00093FEE" w:rsidRPr="004410BC" w:rsidRDefault="00093FEE" w:rsidP="00236C76">
            <w:pPr>
              <w:rPr>
                <w:sz w:val="22"/>
                <w:szCs w:val="22"/>
              </w:rPr>
            </w:pPr>
            <w:r w:rsidRPr="004410BC">
              <w:rPr>
                <w:sz w:val="22"/>
                <w:szCs w:val="22"/>
              </w:rPr>
              <w:t>26</w:t>
            </w:r>
          </w:p>
        </w:tc>
        <w:tc>
          <w:tcPr>
            <w:tcW w:w="462" w:type="dxa"/>
            <w:noWrap/>
            <w:hideMark/>
          </w:tcPr>
          <w:p w14:paraId="18A793A5" w14:textId="77777777" w:rsidR="00093FEE" w:rsidRPr="004410BC" w:rsidRDefault="00093FEE" w:rsidP="00236C76">
            <w:pPr>
              <w:rPr>
                <w:sz w:val="22"/>
                <w:szCs w:val="22"/>
              </w:rPr>
            </w:pPr>
            <w:r w:rsidRPr="004410BC">
              <w:rPr>
                <w:sz w:val="22"/>
                <w:szCs w:val="22"/>
              </w:rPr>
              <w:t>e51931</w:t>
            </w:r>
          </w:p>
        </w:tc>
        <w:tc>
          <w:tcPr>
            <w:tcW w:w="882" w:type="dxa"/>
            <w:noWrap/>
            <w:hideMark/>
          </w:tcPr>
          <w:p w14:paraId="6FD7E978" w14:textId="77777777" w:rsidR="00093FEE" w:rsidRPr="004410BC" w:rsidRDefault="00093FEE" w:rsidP="00236C76">
            <w:pPr>
              <w:rPr>
                <w:sz w:val="22"/>
                <w:szCs w:val="22"/>
              </w:rPr>
            </w:pPr>
            <w:r w:rsidRPr="004410BC">
              <w:rPr>
                <w:sz w:val="22"/>
                <w:szCs w:val="22"/>
              </w:rPr>
              <w:t>England</w:t>
            </w:r>
          </w:p>
        </w:tc>
        <w:tc>
          <w:tcPr>
            <w:tcW w:w="1694" w:type="dxa"/>
            <w:noWrap/>
            <w:hideMark/>
          </w:tcPr>
          <w:p w14:paraId="49249A34" w14:textId="77777777" w:rsidR="00093FEE" w:rsidRPr="004410BC" w:rsidRDefault="00093FEE" w:rsidP="00236C76">
            <w:pPr>
              <w:rPr>
                <w:sz w:val="22"/>
                <w:szCs w:val="22"/>
              </w:rPr>
            </w:pPr>
            <w:r w:rsidRPr="004410BC">
              <w:rPr>
                <w:sz w:val="22"/>
                <w:szCs w:val="22"/>
              </w:rPr>
              <w:t>Mixed Methods Study</w:t>
            </w:r>
          </w:p>
        </w:tc>
        <w:tc>
          <w:tcPr>
            <w:tcW w:w="4506" w:type="dxa"/>
            <w:noWrap/>
            <w:hideMark/>
          </w:tcPr>
          <w:p w14:paraId="1C3C8F3D" w14:textId="77777777" w:rsidR="00093FEE" w:rsidRPr="004410BC" w:rsidRDefault="00093FEE" w:rsidP="00236C76">
            <w:pPr>
              <w:rPr>
                <w:sz w:val="22"/>
                <w:szCs w:val="22"/>
              </w:rPr>
            </w:pPr>
            <w:r w:rsidRPr="004410BC">
              <w:rPr>
                <w:sz w:val="22"/>
                <w:szCs w:val="22"/>
              </w:rPr>
              <w:t>Describe and compare patient characteristics using online bookings; investigate patient views on booking arrangements.</w:t>
            </w:r>
          </w:p>
        </w:tc>
        <w:tc>
          <w:tcPr>
            <w:tcW w:w="5443" w:type="dxa"/>
            <w:noWrap/>
            <w:hideMark/>
          </w:tcPr>
          <w:p w14:paraId="5A4FE289" w14:textId="7D30C878" w:rsidR="00093FEE" w:rsidRPr="004410BC" w:rsidRDefault="00093FEE" w:rsidP="00236C76">
            <w:pPr>
              <w:rPr>
                <w:sz w:val="22"/>
                <w:szCs w:val="22"/>
              </w:rPr>
            </w:pPr>
            <w:r w:rsidRPr="004410BC">
              <w:rPr>
                <w:sz w:val="22"/>
                <w:szCs w:val="22"/>
              </w:rPr>
              <w:t>Retrospective mixed-effects logistic regression of 2018–2019 GPPS survey data; semi-structured patient interviews analy</w:t>
            </w:r>
            <w:r w:rsidR="009667B1" w:rsidRPr="004410BC">
              <w:rPr>
                <w:sz w:val="22"/>
                <w:szCs w:val="22"/>
              </w:rPr>
              <w:t>s</w:t>
            </w:r>
            <w:r w:rsidRPr="004410BC">
              <w:rPr>
                <w:sz w:val="22"/>
                <w:szCs w:val="22"/>
              </w:rPr>
              <w:t>ed via framework analysis.</w:t>
            </w:r>
          </w:p>
        </w:tc>
        <w:tc>
          <w:tcPr>
            <w:tcW w:w="368" w:type="dxa"/>
            <w:noWrap/>
            <w:hideMark/>
          </w:tcPr>
          <w:p w14:paraId="45B297A2" w14:textId="77777777" w:rsidR="00093FEE" w:rsidRPr="004410BC" w:rsidRDefault="00093FEE" w:rsidP="00236C76">
            <w:pPr>
              <w:rPr>
                <w:sz w:val="22"/>
                <w:szCs w:val="22"/>
              </w:rPr>
            </w:pPr>
            <w:r w:rsidRPr="004410BC">
              <w:rPr>
                <w:sz w:val="22"/>
                <w:szCs w:val="22"/>
              </w:rPr>
              <w:t>11</w:t>
            </w:r>
          </w:p>
        </w:tc>
        <w:tc>
          <w:tcPr>
            <w:tcW w:w="9365" w:type="dxa"/>
            <w:noWrap/>
            <w:hideMark/>
          </w:tcPr>
          <w:p w14:paraId="6F6FF0F9" w14:textId="77777777" w:rsidR="00093FEE" w:rsidRPr="004410BC" w:rsidRDefault="00093FEE" w:rsidP="00236C76">
            <w:pPr>
              <w:rPr>
                <w:sz w:val="22"/>
                <w:szCs w:val="22"/>
              </w:rPr>
            </w:pPr>
            <w:r w:rsidRPr="004410BC">
              <w:rPr>
                <w:sz w:val="22"/>
                <w:szCs w:val="22"/>
              </w:rPr>
              <w:t>Booking awareness (45.11%) exceeded actual use (15.61%). Deprivation gradients and sharp age-related declines (&gt;75 years) exist for both awareness and use. Working patients valued digital convenience; older patients preferred telephone booking.</w:t>
            </w:r>
          </w:p>
        </w:tc>
      </w:tr>
      <w:tr w:rsidR="00093FEE" w:rsidRPr="004410BC" w14:paraId="7AC8ED0F" w14:textId="77777777" w:rsidTr="00006094">
        <w:trPr>
          <w:trHeight w:val="250"/>
        </w:trPr>
        <w:tc>
          <w:tcPr>
            <w:tcW w:w="6049" w:type="dxa"/>
            <w:noWrap/>
            <w:hideMark/>
          </w:tcPr>
          <w:p w14:paraId="264CB18F" w14:textId="77777777" w:rsidR="00093FEE" w:rsidRPr="004410BC" w:rsidRDefault="00093FEE" w:rsidP="00236C76">
            <w:pPr>
              <w:rPr>
                <w:sz w:val="22"/>
                <w:szCs w:val="22"/>
              </w:rPr>
            </w:pPr>
            <w:r w:rsidRPr="004410BC">
              <w:rPr>
                <w:sz w:val="22"/>
                <w:szCs w:val="22"/>
              </w:rPr>
              <w:t>Social and ethnic group differences in healthcare use by children aged 0–14 years: a population-based cohort study in England from 2007 to 2017</w:t>
            </w:r>
          </w:p>
        </w:tc>
        <w:tc>
          <w:tcPr>
            <w:tcW w:w="368" w:type="dxa"/>
            <w:noWrap/>
            <w:hideMark/>
          </w:tcPr>
          <w:p w14:paraId="674480EE" w14:textId="77777777" w:rsidR="00093FEE" w:rsidRPr="004410BC" w:rsidRDefault="00093FEE" w:rsidP="00236C76">
            <w:pPr>
              <w:rPr>
                <w:sz w:val="22"/>
                <w:szCs w:val="22"/>
              </w:rPr>
            </w:pPr>
            <w:r w:rsidRPr="004410BC">
              <w:rPr>
                <w:sz w:val="22"/>
                <w:szCs w:val="22"/>
              </w:rPr>
              <w:t>2022</w:t>
            </w:r>
          </w:p>
        </w:tc>
        <w:tc>
          <w:tcPr>
            <w:tcW w:w="2175" w:type="dxa"/>
            <w:noWrap/>
            <w:hideMark/>
          </w:tcPr>
          <w:p w14:paraId="4A131D53" w14:textId="77777777" w:rsidR="00093FEE" w:rsidRPr="004410BC" w:rsidRDefault="00093FEE" w:rsidP="00236C76">
            <w:pPr>
              <w:rPr>
                <w:sz w:val="22"/>
                <w:szCs w:val="22"/>
              </w:rPr>
            </w:pPr>
            <w:r w:rsidRPr="004410BC">
              <w:rPr>
                <w:sz w:val="22"/>
                <w:szCs w:val="22"/>
              </w:rPr>
              <w:t>Archives of Disease in Childhood</w:t>
            </w:r>
          </w:p>
        </w:tc>
        <w:tc>
          <w:tcPr>
            <w:tcW w:w="368" w:type="dxa"/>
            <w:noWrap/>
            <w:hideMark/>
          </w:tcPr>
          <w:p w14:paraId="5A58E473" w14:textId="77777777" w:rsidR="00093FEE" w:rsidRPr="004410BC" w:rsidRDefault="00093FEE" w:rsidP="00236C76">
            <w:pPr>
              <w:rPr>
                <w:sz w:val="22"/>
                <w:szCs w:val="22"/>
              </w:rPr>
            </w:pPr>
            <w:r w:rsidRPr="004410BC">
              <w:rPr>
                <w:sz w:val="22"/>
                <w:szCs w:val="22"/>
              </w:rPr>
              <w:t>107</w:t>
            </w:r>
          </w:p>
        </w:tc>
        <w:tc>
          <w:tcPr>
            <w:tcW w:w="462" w:type="dxa"/>
            <w:noWrap/>
            <w:hideMark/>
          </w:tcPr>
          <w:p w14:paraId="1F40EDD1" w14:textId="77777777" w:rsidR="00093FEE" w:rsidRPr="004410BC" w:rsidRDefault="00093FEE" w:rsidP="00236C76">
            <w:pPr>
              <w:rPr>
                <w:sz w:val="22"/>
                <w:szCs w:val="22"/>
              </w:rPr>
            </w:pPr>
            <w:r w:rsidRPr="004410BC">
              <w:rPr>
                <w:sz w:val="22"/>
                <w:szCs w:val="22"/>
              </w:rPr>
              <w:t>1</w:t>
            </w:r>
          </w:p>
        </w:tc>
        <w:tc>
          <w:tcPr>
            <w:tcW w:w="882" w:type="dxa"/>
            <w:noWrap/>
            <w:hideMark/>
          </w:tcPr>
          <w:p w14:paraId="18F01CD5" w14:textId="77777777" w:rsidR="00093FEE" w:rsidRPr="004410BC" w:rsidRDefault="00093FEE" w:rsidP="00236C76">
            <w:pPr>
              <w:rPr>
                <w:sz w:val="22"/>
                <w:szCs w:val="22"/>
              </w:rPr>
            </w:pPr>
            <w:r w:rsidRPr="004410BC">
              <w:rPr>
                <w:sz w:val="22"/>
                <w:szCs w:val="22"/>
              </w:rPr>
              <w:t>England</w:t>
            </w:r>
          </w:p>
        </w:tc>
        <w:tc>
          <w:tcPr>
            <w:tcW w:w="1694" w:type="dxa"/>
            <w:noWrap/>
            <w:hideMark/>
          </w:tcPr>
          <w:p w14:paraId="4E8EC9CE" w14:textId="77777777" w:rsidR="00093FEE" w:rsidRPr="004410BC" w:rsidRDefault="00093FEE" w:rsidP="00236C76">
            <w:pPr>
              <w:rPr>
                <w:sz w:val="22"/>
                <w:szCs w:val="22"/>
              </w:rPr>
            </w:pPr>
            <w:r w:rsidRPr="004410BC">
              <w:rPr>
                <w:sz w:val="22"/>
                <w:szCs w:val="22"/>
              </w:rPr>
              <w:t>Population-based Retrospective Cohort Study</w:t>
            </w:r>
          </w:p>
        </w:tc>
        <w:tc>
          <w:tcPr>
            <w:tcW w:w="4506" w:type="dxa"/>
            <w:noWrap/>
            <w:hideMark/>
          </w:tcPr>
          <w:p w14:paraId="56E0C70A" w14:textId="77777777" w:rsidR="00093FEE" w:rsidRPr="004410BC" w:rsidRDefault="00093FEE" w:rsidP="00236C76">
            <w:pPr>
              <w:rPr>
                <w:sz w:val="22"/>
                <w:szCs w:val="22"/>
              </w:rPr>
            </w:pPr>
            <w:r w:rsidRPr="004410BC">
              <w:rPr>
                <w:sz w:val="22"/>
                <w:szCs w:val="22"/>
              </w:rPr>
              <w:t>Describe social and ethnic group differences in healthcare service use by children in England from 2007 to 2017.</w:t>
            </w:r>
          </w:p>
        </w:tc>
        <w:tc>
          <w:tcPr>
            <w:tcW w:w="5443" w:type="dxa"/>
            <w:noWrap/>
            <w:hideMark/>
          </w:tcPr>
          <w:p w14:paraId="0840B75C" w14:textId="77777777" w:rsidR="00093FEE" w:rsidRPr="004410BC" w:rsidRDefault="00093FEE" w:rsidP="00236C76">
            <w:pPr>
              <w:rPr>
                <w:sz w:val="22"/>
                <w:szCs w:val="22"/>
              </w:rPr>
            </w:pPr>
            <w:r w:rsidRPr="004410BC">
              <w:rPr>
                <w:sz w:val="22"/>
                <w:szCs w:val="22"/>
              </w:rPr>
              <w:t>Individual-level linkage of electronic health records from general practices (CPRD) and hospital episodes (HES) creating an open cohort; age-standardised rate analysis.</w:t>
            </w:r>
          </w:p>
        </w:tc>
        <w:tc>
          <w:tcPr>
            <w:tcW w:w="368" w:type="dxa"/>
            <w:noWrap/>
            <w:hideMark/>
          </w:tcPr>
          <w:p w14:paraId="35C6E70A" w14:textId="77777777" w:rsidR="00093FEE" w:rsidRPr="004410BC" w:rsidRDefault="00093FEE" w:rsidP="00236C76">
            <w:pPr>
              <w:rPr>
                <w:sz w:val="22"/>
                <w:szCs w:val="22"/>
              </w:rPr>
            </w:pPr>
            <w:r w:rsidRPr="004410BC">
              <w:rPr>
                <w:sz w:val="22"/>
                <w:szCs w:val="22"/>
              </w:rPr>
              <w:t>1,484,455</w:t>
            </w:r>
          </w:p>
        </w:tc>
        <w:tc>
          <w:tcPr>
            <w:tcW w:w="9365" w:type="dxa"/>
            <w:noWrap/>
            <w:hideMark/>
          </w:tcPr>
          <w:p w14:paraId="2A9A4154" w14:textId="77777777" w:rsidR="00093FEE" w:rsidRPr="004410BC" w:rsidRDefault="00093FEE" w:rsidP="00236C76">
            <w:pPr>
              <w:rPr>
                <w:sz w:val="22"/>
                <w:szCs w:val="22"/>
              </w:rPr>
            </w:pPr>
            <w:r w:rsidRPr="004410BC">
              <w:rPr>
                <w:sz w:val="22"/>
                <w:szCs w:val="22"/>
              </w:rPr>
              <w:t>Most deprived groups had fewer GP consultations and outpatient visits but significantly more emergency department (ED) visits and emergency admissions. Black and Asian children had higher GP consultation rates than White children, but Black children had fewer outpatient visits.</w:t>
            </w:r>
          </w:p>
        </w:tc>
      </w:tr>
      <w:tr w:rsidR="00093FEE" w:rsidRPr="004410BC" w14:paraId="473EE32E" w14:textId="77777777" w:rsidTr="00006094">
        <w:trPr>
          <w:trHeight w:val="250"/>
        </w:trPr>
        <w:tc>
          <w:tcPr>
            <w:tcW w:w="6049" w:type="dxa"/>
            <w:noWrap/>
            <w:hideMark/>
          </w:tcPr>
          <w:p w14:paraId="093B4579" w14:textId="77777777" w:rsidR="00093FEE" w:rsidRPr="004410BC" w:rsidRDefault="00093FEE" w:rsidP="00236C76">
            <w:pPr>
              <w:rPr>
                <w:sz w:val="22"/>
                <w:szCs w:val="22"/>
              </w:rPr>
            </w:pPr>
            <w:r w:rsidRPr="004410BC">
              <w:rPr>
                <w:sz w:val="22"/>
                <w:szCs w:val="22"/>
              </w:rPr>
              <w:t>Accessing equitable menopause care in the contemporary NHS: a qualitative study of women’s experiences</w:t>
            </w:r>
          </w:p>
        </w:tc>
        <w:tc>
          <w:tcPr>
            <w:tcW w:w="368" w:type="dxa"/>
            <w:noWrap/>
            <w:hideMark/>
          </w:tcPr>
          <w:p w14:paraId="41E4F186" w14:textId="77777777" w:rsidR="00093FEE" w:rsidRPr="004410BC" w:rsidRDefault="00093FEE" w:rsidP="00236C76">
            <w:pPr>
              <w:rPr>
                <w:sz w:val="22"/>
                <w:szCs w:val="22"/>
              </w:rPr>
            </w:pPr>
            <w:r w:rsidRPr="004410BC">
              <w:rPr>
                <w:sz w:val="22"/>
                <w:szCs w:val="22"/>
              </w:rPr>
              <w:t>2025</w:t>
            </w:r>
          </w:p>
        </w:tc>
        <w:tc>
          <w:tcPr>
            <w:tcW w:w="2175" w:type="dxa"/>
            <w:noWrap/>
            <w:hideMark/>
          </w:tcPr>
          <w:p w14:paraId="07126EDC" w14:textId="77777777" w:rsidR="00093FEE" w:rsidRPr="004410BC" w:rsidRDefault="00093FEE" w:rsidP="00236C76">
            <w:pPr>
              <w:rPr>
                <w:sz w:val="22"/>
                <w:szCs w:val="22"/>
              </w:rPr>
            </w:pPr>
            <w:r w:rsidRPr="004410BC">
              <w:rPr>
                <w:sz w:val="22"/>
                <w:szCs w:val="22"/>
              </w:rPr>
              <w:t>British Journal of General Practice</w:t>
            </w:r>
          </w:p>
        </w:tc>
        <w:tc>
          <w:tcPr>
            <w:tcW w:w="368" w:type="dxa"/>
            <w:noWrap/>
            <w:hideMark/>
          </w:tcPr>
          <w:p w14:paraId="6933A4D8" w14:textId="77777777" w:rsidR="00093FEE" w:rsidRPr="004410BC" w:rsidRDefault="00093FEE" w:rsidP="00236C76">
            <w:pPr>
              <w:rPr>
                <w:sz w:val="22"/>
                <w:szCs w:val="22"/>
              </w:rPr>
            </w:pPr>
            <w:r w:rsidRPr="004410BC">
              <w:rPr>
                <w:sz w:val="22"/>
                <w:szCs w:val="22"/>
              </w:rPr>
              <w:t>75</w:t>
            </w:r>
          </w:p>
        </w:tc>
        <w:tc>
          <w:tcPr>
            <w:tcW w:w="462" w:type="dxa"/>
            <w:noWrap/>
            <w:hideMark/>
          </w:tcPr>
          <w:p w14:paraId="7D47D1C6" w14:textId="77777777" w:rsidR="00093FEE" w:rsidRPr="004410BC" w:rsidRDefault="00093FEE" w:rsidP="00236C76">
            <w:pPr>
              <w:rPr>
                <w:sz w:val="22"/>
                <w:szCs w:val="22"/>
              </w:rPr>
            </w:pPr>
            <w:r w:rsidRPr="004410BC">
              <w:rPr>
                <w:sz w:val="22"/>
                <w:szCs w:val="22"/>
              </w:rPr>
              <w:t>Not Specified</w:t>
            </w:r>
          </w:p>
        </w:tc>
        <w:tc>
          <w:tcPr>
            <w:tcW w:w="882" w:type="dxa"/>
            <w:noWrap/>
            <w:hideMark/>
          </w:tcPr>
          <w:p w14:paraId="47479AEE" w14:textId="77777777" w:rsidR="00093FEE" w:rsidRPr="004410BC" w:rsidRDefault="00093FEE" w:rsidP="00236C76">
            <w:pPr>
              <w:rPr>
                <w:sz w:val="22"/>
                <w:szCs w:val="22"/>
              </w:rPr>
            </w:pPr>
            <w:r w:rsidRPr="004410BC">
              <w:rPr>
                <w:sz w:val="22"/>
                <w:szCs w:val="22"/>
              </w:rPr>
              <w:t>England</w:t>
            </w:r>
          </w:p>
        </w:tc>
        <w:tc>
          <w:tcPr>
            <w:tcW w:w="1694" w:type="dxa"/>
            <w:noWrap/>
            <w:hideMark/>
          </w:tcPr>
          <w:p w14:paraId="210F7BFF" w14:textId="77777777" w:rsidR="00093FEE" w:rsidRPr="004410BC" w:rsidRDefault="00093FEE" w:rsidP="00236C76">
            <w:pPr>
              <w:rPr>
                <w:sz w:val="22"/>
                <w:szCs w:val="22"/>
              </w:rPr>
            </w:pPr>
            <w:r w:rsidRPr="004410BC">
              <w:rPr>
                <w:sz w:val="22"/>
                <w:szCs w:val="22"/>
              </w:rPr>
              <w:t>Qualitative Study</w:t>
            </w:r>
          </w:p>
        </w:tc>
        <w:tc>
          <w:tcPr>
            <w:tcW w:w="4506" w:type="dxa"/>
            <w:noWrap/>
            <w:hideMark/>
          </w:tcPr>
          <w:p w14:paraId="6A14AFD0" w14:textId="77777777" w:rsidR="00093FEE" w:rsidRPr="004410BC" w:rsidRDefault="00093FEE" w:rsidP="00236C76">
            <w:pPr>
              <w:rPr>
                <w:sz w:val="22"/>
                <w:szCs w:val="22"/>
              </w:rPr>
            </w:pPr>
            <w:r w:rsidRPr="004410BC">
              <w:rPr>
                <w:sz w:val="22"/>
                <w:szCs w:val="22"/>
              </w:rPr>
              <w:t>Explore women’s experiences of menopause and primary care access; evaluate how cultural norms shape menopause management.</w:t>
            </w:r>
          </w:p>
        </w:tc>
        <w:tc>
          <w:tcPr>
            <w:tcW w:w="5443" w:type="dxa"/>
            <w:noWrap/>
            <w:hideMark/>
          </w:tcPr>
          <w:p w14:paraId="36A9B806" w14:textId="1738E88D" w:rsidR="00093FEE" w:rsidRPr="004410BC" w:rsidRDefault="00093FEE" w:rsidP="00236C76">
            <w:pPr>
              <w:rPr>
                <w:sz w:val="22"/>
                <w:szCs w:val="22"/>
              </w:rPr>
            </w:pPr>
            <w:r w:rsidRPr="004410BC">
              <w:rPr>
                <w:sz w:val="22"/>
                <w:szCs w:val="22"/>
              </w:rPr>
              <w:t>In-depth semi-structured interviews and focus groups with women experiencing menopause, analy</w:t>
            </w:r>
            <w:r w:rsidR="009667B1" w:rsidRPr="004410BC">
              <w:rPr>
                <w:sz w:val="22"/>
                <w:szCs w:val="22"/>
              </w:rPr>
              <w:t>s</w:t>
            </w:r>
            <w:r w:rsidRPr="004410BC">
              <w:rPr>
                <w:sz w:val="22"/>
                <w:szCs w:val="22"/>
              </w:rPr>
              <w:t>ed using thematic analysis.</w:t>
            </w:r>
          </w:p>
        </w:tc>
        <w:tc>
          <w:tcPr>
            <w:tcW w:w="368" w:type="dxa"/>
            <w:noWrap/>
            <w:hideMark/>
          </w:tcPr>
          <w:p w14:paraId="28058284" w14:textId="77777777" w:rsidR="00093FEE" w:rsidRPr="004410BC" w:rsidRDefault="00093FEE" w:rsidP="00236C76">
            <w:pPr>
              <w:rPr>
                <w:sz w:val="22"/>
                <w:szCs w:val="22"/>
              </w:rPr>
            </w:pPr>
            <w:r w:rsidRPr="004410BC">
              <w:rPr>
                <w:sz w:val="22"/>
                <w:szCs w:val="22"/>
              </w:rPr>
              <w:t>40</w:t>
            </w:r>
          </w:p>
        </w:tc>
        <w:tc>
          <w:tcPr>
            <w:tcW w:w="9365" w:type="dxa"/>
            <w:noWrap/>
            <w:hideMark/>
          </w:tcPr>
          <w:p w14:paraId="766CCE9A" w14:textId="77777777" w:rsidR="00093FEE" w:rsidRPr="004410BC" w:rsidRDefault="00093FEE" w:rsidP="00236C76">
            <w:pPr>
              <w:rPr>
                <w:sz w:val="22"/>
                <w:szCs w:val="22"/>
              </w:rPr>
            </w:pPr>
            <w:r w:rsidRPr="004410BC">
              <w:rPr>
                <w:sz w:val="22"/>
                <w:szCs w:val="22"/>
              </w:rPr>
              <w:t>Menopause caused major disruption alongside modern work/caring pressures. Barriers included emotionally charged consultations and a heavy burden to self-advocate for HRT. Black and Asian women experienced community silence, lack of clinical representation, and institutional mistrust.</w:t>
            </w:r>
          </w:p>
        </w:tc>
      </w:tr>
      <w:tr w:rsidR="00093FEE" w:rsidRPr="004410BC" w14:paraId="5801B33B" w14:textId="77777777" w:rsidTr="00006094">
        <w:trPr>
          <w:trHeight w:val="250"/>
        </w:trPr>
        <w:tc>
          <w:tcPr>
            <w:tcW w:w="6049" w:type="dxa"/>
            <w:noWrap/>
            <w:hideMark/>
          </w:tcPr>
          <w:p w14:paraId="529E31A7" w14:textId="77777777" w:rsidR="00093FEE" w:rsidRPr="004410BC" w:rsidRDefault="00093FEE" w:rsidP="00236C76">
            <w:pPr>
              <w:rPr>
                <w:sz w:val="22"/>
                <w:szCs w:val="22"/>
              </w:rPr>
            </w:pPr>
            <w:r w:rsidRPr="004410BC">
              <w:rPr>
                <w:sz w:val="22"/>
                <w:szCs w:val="22"/>
              </w:rPr>
              <w:t>Health Communication and Inequalities in Primary Care Access during the COVID-19 Pandemic among Ethnic Minorities in the United Kingdom: Lived Experiences and Recommendations</w:t>
            </w:r>
          </w:p>
        </w:tc>
        <w:tc>
          <w:tcPr>
            <w:tcW w:w="368" w:type="dxa"/>
            <w:noWrap/>
            <w:hideMark/>
          </w:tcPr>
          <w:p w14:paraId="19E3BA9F" w14:textId="77777777" w:rsidR="00093FEE" w:rsidRPr="004410BC" w:rsidRDefault="00093FEE" w:rsidP="00236C76">
            <w:pPr>
              <w:rPr>
                <w:sz w:val="22"/>
                <w:szCs w:val="22"/>
              </w:rPr>
            </w:pPr>
            <w:r w:rsidRPr="004410BC">
              <w:rPr>
                <w:sz w:val="22"/>
                <w:szCs w:val="22"/>
              </w:rPr>
              <w:t>2022</w:t>
            </w:r>
          </w:p>
        </w:tc>
        <w:tc>
          <w:tcPr>
            <w:tcW w:w="2175" w:type="dxa"/>
            <w:noWrap/>
            <w:hideMark/>
          </w:tcPr>
          <w:p w14:paraId="507B2F44" w14:textId="77777777" w:rsidR="00093FEE" w:rsidRPr="004410BC" w:rsidRDefault="00093FEE" w:rsidP="00236C76">
            <w:pPr>
              <w:rPr>
                <w:sz w:val="22"/>
                <w:szCs w:val="22"/>
              </w:rPr>
            </w:pPr>
            <w:r w:rsidRPr="004410BC">
              <w:rPr>
                <w:sz w:val="22"/>
                <w:szCs w:val="22"/>
              </w:rPr>
              <w:t>International Journal of Environmental Research and Public Health</w:t>
            </w:r>
          </w:p>
        </w:tc>
        <w:tc>
          <w:tcPr>
            <w:tcW w:w="368" w:type="dxa"/>
            <w:noWrap/>
            <w:hideMark/>
          </w:tcPr>
          <w:p w14:paraId="20D124D0" w14:textId="77777777" w:rsidR="00093FEE" w:rsidRPr="004410BC" w:rsidRDefault="00093FEE" w:rsidP="00236C76">
            <w:pPr>
              <w:rPr>
                <w:sz w:val="22"/>
                <w:szCs w:val="22"/>
              </w:rPr>
            </w:pPr>
            <w:r w:rsidRPr="004410BC">
              <w:rPr>
                <w:sz w:val="22"/>
                <w:szCs w:val="22"/>
              </w:rPr>
              <w:t>19</w:t>
            </w:r>
          </w:p>
        </w:tc>
        <w:tc>
          <w:tcPr>
            <w:tcW w:w="462" w:type="dxa"/>
            <w:noWrap/>
            <w:hideMark/>
          </w:tcPr>
          <w:p w14:paraId="127E02A0" w14:textId="77777777" w:rsidR="00093FEE" w:rsidRPr="004410BC" w:rsidRDefault="00093FEE" w:rsidP="00236C76">
            <w:pPr>
              <w:rPr>
                <w:sz w:val="22"/>
                <w:szCs w:val="22"/>
              </w:rPr>
            </w:pPr>
            <w:r w:rsidRPr="004410BC">
              <w:rPr>
                <w:sz w:val="22"/>
                <w:szCs w:val="22"/>
              </w:rPr>
              <w:t>22</w:t>
            </w:r>
          </w:p>
        </w:tc>
        <w:tc>
          <w:tcPr>
            <w:tcW w:w="882" w:type="dxa"/>
            <w:noWrap/>
            <w:hideMark/>
          </w:tcPr>
          <w:p w14:paraId="07377D69" w14:textId="77777777" w:rsidR="00093FEE" w:rsidRPr="004410BC" w:rsidRDefault="00093FEE" w:rsidP="00236C76">
            <w:pPr>
              <w:rPr>
                <w:sz w:val="22"/>
                <w:szCs w:val="22"/>
              </w:rPr>
            </w:pPr>
            <w:r w:rsidRPr="004410BC">
              <w:rPr>
                <w:sz w:val="22"/>
                <w:szCs w:val="22"/>
              </w:rPr>
              <w:t>Leicester, United Kingdom</w:t>
            </w:r>
          </w:p>
        </w:tc>
        <w:tc>
          <w:tcPr>
            <w:tcW w:w="1694" w:type="dxa"/>
            <w:noWrap/>
            <w:hideMark/>
          </w:tcPr>
          <w:p w14:paraId="76D2CAFB" w14:textId="77777777" w:rsidR="00093FEE" w:rsidRPr="004410BC" w:rsidRDefault="00093FEE" w:rsidP="00236C76">
            <w:pPr>
              <w:rPr>
                <w:sz w:val="22"/>
                <w:szCs w:val="22"/>
              </w:rPr>
            </w:pPr>
            <w:r w:rsidRPr="004410BC">
              <w:rPr>
                <w:sz w:val="22"/>
                <w:szCs w:val="22"/>
              </w:rPr>
              <w:t>Qualitative Study</w:t>
            </w:r>
          </w:p>
        </w:tc>
        <w:tc>
          <w:tcPr>
            <w:tcW w:w="4506" w:type="dxa"/>
            <w:noWrap/>
            <w:hideMark/>
          </w:tcPr>
          <w:p w14:paraId="0FC1F4F9" w14:textId="77777777" w:rsidR="00093FEE" w:rsidRPr="004410BC" w:rsidRDefault="00093FEE" w:rsidP="00236C76">
            <w:pPr>
              <w:rPr>
                <w:sz w:val="22"/>
                <w:szCs w:val="22"/>
              </w:rPr>
            </w:pPr>
            <w:r w:rsidRPr="004410BC">
              <w:rPr>
                <w:sz w:val="22"/>
                <w:szCs w:val="22"/>
              </w:rPr>
              <w:t>Explore health communication and primary care access experiences among ethnic minority communities during the COVID-19 pandemic.</w:t>
            </w:r>
          </w:p>
        </w:tc>
        <w:tc>
          <w:tcPr>
            <w:tcW w:w="5443" w:type="dxa"/>
            <w:noWrap/>
            <w:hideMark/>
          </w:tcPr>
          <w:p w14:paraId="1EDFBC9E" w14:textId="51F6FB2C" w:rsidR="00093FEE" w:rsidRPr="004410BC" w:rsidRDefault="00093FEE" w:rsidP="00236C76">
            <w:pPr>
              <w:rPr>
                <w:sz w:val="22"/>
                <w:szCs w:val="22"/>
              </w:rPr>
            </w:pPr>
            <w:r w:rsidRPr="004410BC">
              <w:rPr>
                <w:sz w:val="22"/>
                <w:szCs w:val="22"/>
              </w:rPr>
              <w:t>Focus groups and semi-structured interviews with community members and leaders, analy</w:t>
            </w:r>
            <w:r w:rsidR="009667B1" w:rsidRPr="004410BC">
              <w:rPr>
                <w:sz w:val="22"/>
                <w:szCs w:val="22"/>
              </w:rPr>
              <w:t>s</w:t>
            </w:r>
            <w:r w:rsidRPr="004410BC">
              <w:rPr>
                <w:sz w:val="22"/>
                <w:szCs w:val="22"/>
              </w:rPr>
              <w:t>ed via open coding.</w:t>
            </w:r>
          </w:p>
        </w:tc>
        <w:tc>
          <w:tcPr>
            <w:tcW w:w="368" w:type="dxa"/>
            <w:noWrap/>
            <w:hideMark/>
          </w:tcPr>
          <w:p w14:paraId="0853A9CE" w14:textId="77777777" w:rsidR="00093FEE" w:rsidRPr="004410BC" w:rsidRDefault="00093FEE" w:rsidP="00236C76">
            <w:pPr>
              <w:rPr>
                <w:sz w:val="22"/>
                <w:szCs w:val="22"/>
              </w:rPr>
            </w:pPr>
            <w:r w:rsidRPr="004410BC">
              <w:rPr>
                <w:sz w:val="22"/>
                <w:szCs w:val="22"/>
              </w:rPr>
              <w:t>42</w:t>
            </w:r>
          </w:p>
        </w:tc>
        <w:tc>
          <w:tcPr>
            <w:tcW w:w="9365" w:type="dxa"/>
            <w:noWrap/>
            <w:hideMark/>
          </w:tcPr>
          <w:p w14:paraId="0CA6045A" w14:textId="77777777" w:rsidR="00093FEE" w:rsidRPr="004410BC" w:rsidRDefault="00093FEE" w:rsidP="00236C76">
            <w:pPr>
              <w:rPr>
                <w:sz w:val="22"/>
                <w:szCs w:val="22"/>
              </w:rPr>
            </w:pPr>
            <w:r w:rsidRPr="004410BC">
              <w:rPr>
                <w:sz w:val="22"/>
                <w:szCs w:val="22"/>
              </w:rPr>
              <w:t>Official health communication and information were insufficient. Primary care access was severely hindered by rapid digitalisation, language barriers, and remote-only consultation models, disproportionately impacting minoritised ethnic groups.</w:t>
            </w:r>
          </w:p>
        </w:tc>
      </w:tr>
      <w:tr w:rsidR="00093FEE" w:rsidRPr="004410BC" w14:paraId="26F18FB2" w14:textId="77777777" w:rsidTr="00006094">
        <w:trPr>
          <w:trHeight w:val="250"/>
        </w:trPr>
        <w:tc>
          <w:tcPr>
            <w:tcW w:w="6049" w:type="dxa"/>
            <w:noWrap/>
            <w:hideMark/>
          </w:tcPr>
          <w:p w14:paraId="5445C3A9" w14:textId="77777777" w:rsidR="00093FEE" w:rsidRPr="004410BC" w:rsidRDefault="00093FEE" w:rsidP="00236C76">
            <w:pPr>
              <w:rPr>
                <w:sz w:val="22"/>
                <w:szCs w:val="22"/>
              </w:rPr>
            </w:pPr>
            <w:r w:rsidRPr="004410BC">
              <w:rPr>
                <w:sz w:val="22"/>
                <w:szCs w:val="22"/>
              </w:rPr>
              <w:t>Culturally Sensitive Perinatal Mental Health Care: Experiences of Women From Minority Ethnic Groups</w:t>
            </w:r>
          </w:p>
        </w:tc>
        <w:tc>
          <w:tcPr>
            <w:tcW w:w="368" w:type="dxa"/>
            <w:noWrap/>
            <w:hideMark/>
          </w:tcPr>
          <w:p w14:paraId="13701372" w14:textId="77777777" w:rsidR="00093FEE" w:rsidRPr="004410BC" w:rsidRDefault="00093FEE" w:rsidP="00236C76">
            <w:pPr>
              <w:rPr>
                <w:sz w:val="22"/>
                <w:szCs w:val="22"/>
              </w:rPr>
            </w:pPr>
            <w:r w:rsidRPr="004410BC">
              <w:rPr>
                <w:sz w:val="22"/>
                <w:szCs w:val="22"/>
              </w:rPr>
              <w:t>2024</w:t>
            </w:r>
          </w:p>
        </w:tc>
        <w:tc>
          <w:tcPr>
            <w:tcW w:w="2175" w:type="dxa"/>
            <w:noWrap/>
            <w:hideMark/>
          </w:tcPr>
          <w:p w14:paraId="4DA6C937" w14:textId="77777777" w:rsidR="00093FEE" w:rsidRPr="004410BC" w:rsidRDefault="00093FEE" w:rsidP="00236C76">
            <w:pPr>
              <w:rPr>
                <w:sz w:val="22"/>
                <w:szCs w:val="22"/>
              </w:rPr>
            </w:pPr>
            <w:r w:rsidRPr="004410BC">
              <w:rPr>
                <w:sz w:val="22"/>
                <w:szCs w:val="22"/>
              </w:rPr>
              <w:t>Health Expectations</w:t>
            </w:r>
          </w:p>
        </w:tc>
        <w:tc>
          <w:tcPr>
            <w:tcW w:w="368" w:type="dxa"/>
            <w:noWrap/>
            <w:hideMark/>
          </w:tcPr>
          <w:p w14:paraId="128223CA" w14:textId="77777777" w:rsidR="00093FEE" w:rsidRPr="004410BC" w:rsidRDefault="00093FEE" w:rsidP="00236C76">
            <w:pPr>
              <w:rPr>
                <w:sz w:val="22"/>
                <w:szCs w:val="22"/>
              </w:rPr>
            </w:pPr>
            <w:r w:rsidRPr="004410BC">
              <w:rPr>
                <w:sz w:val="22"/>
                <w:szCs w:val="22"/>
              </w:rPr>
              <w:t>27</w:t>
            </w:r>
          </w:p>
        </w:tc>
        <w:tc>
          <w:tcPr>
            <w:tcW w:w="462" w:type="dxa"/>
            <w:noWrap/>
            <w:hideMark/>
          </w:tcPr>
          <w:p w14:paraId="25A3C9EF" w14:textId="77777777" w:rsidR="00093FEE" w:rsidRPr="004410BC" w:rsidRDefault="00093FEE" w:rsidP="00236C76">
            <w:pPr>
              <w:rPr>
                <w:sz w:val="22"/>
                <w:szCs w:val="22"/>
              </w:rPr>
            </w:pPr>
            <w:r w:rsidRPr="004410BC">
              <w:rPr>
                <w:sz w:val="22"/>
                <w:szCs w:val="22"/>
              </w:rPr>
              <w:t>Not Specified</w:t>
            </w:r>
          </w:p>
        </w:tc>
        <w:tc>
          <w:tcPr>
            <w:tcW w:w="882" w:type="dxa"/>
            <w:noWrap/>
            <w:hideMark/>
          </w:tcPr>
          <w:p w14:paraId="1786AF97" w14:textId="77777777" w:rsidR="00093FEE" w:rsidRPr="004410BC" w:rsidRDefault="00093FEE" w:rsidP="00236C76">
            <w:pPr>
              <w:rPr>
                <w:sz w:val="22"/>
                <w:szCs w:val="22"/>
              </w:rPr>
            </w:pPr>
            <w:r w:rsidRPr="004410BC">
              <w:rPr>
                <w:sz w:val="22"/>
                <w:szCs w:val="22"/>
              </w:rPr>
              <w:t>United Kingdom</w:t>
            </w:r>
          </w:p>
        </w:tc>
        <w:tc>
          <w:tcPr>
            <w:tcW w:w="1694" w:type="dxa"/>
            <w:noWrap/>
            <w:hideMark/>
          </w:tcPr>
          <w:p w14:paraId="250AFE90" w14:textId="77777777" w:rsidR="00093FEE" w:rsidRPr="004410BC" w:rsidRDefault="00093FEE" w:rsidP="00236C76">
            <w:pPr>
              <w:rPr>
                <w:sz w:val="22"/>
                <w:szCs w:val="22"/>
              </w:rPr>
            </w:pPr>
            <w:r w:rsidRPr="004410BC">
              <w:rPr>
                <w:sz w:val="22"/>
                <w:szCs w:val="22"/>
              </w:rPr>
              <w:t>Qualitative Study</w:t>
            </w:r>
          </w:p>
        </w:tc>
        <w:tc>
          <w:tcPr>
            <w:tcW w:w="4506" w:type="dxa"/>
            <w:noWrap/>
            <w:hideMark/>
          </w:tcPr>
          <w:p w14:paraId="31D49176" w14:textId="77777777" w:rsidR="00093FEE" w:rsidRPr="004410BC" w:rsidRDefault="00093FEE" w:rsidP="00236C76">
            <w:pPr>
              <w:rPr>
                <w:sz w:val="22"/>
                <w:szCs w:val="22"/>
              </w:rPr>
            </w:pPr>
            <w:r w:rsidRPr="004410BC">
              <w:rPr>
                <w:sz w:val="22"/>
                <w:szCs w:val="22"/>
              </w:rPr>
              <w:t>Explore ethnic minority women's experiences with specialist perinatal teams and define culturally sensitive perinatal mental health care.</w:t>
            </w:r>
          </w:p>
        </w:tc>
        <w:tc>
          <w:tcPr>
            <w:tcW w:w="5443" w:type="dxa"/>
            <w:noWrap/>
            <w:hideMark/>
          </w:tcPr>
          <w:p w14:paraId="42DD29B8" w14:textId="4F36228B" w:rsidR="00093FEE" w:rsidRPr="004410BC" w:rsidRDefault="00093FEE" w:rsidP="00236C76">
            <w:pPr>
              <w:rPr>
                <w:sz w:val="22"/>
                <w:szCs w:val="22"/>
              </w:rPr>
            </w:pPr>
            <w:r w:rsidRPr="004410BC">
              <w:rPr>
                <w:sz w:val="22"/>
                <w:szCs w:val="22"/>
              </w:rPr>
              <w:t>Individual semi-structured interviews analy</w:t>
            </w:r>
            <w:r w:rsidR="009667B1" w:rsidRPr="004410BC">
              <w:rPr>
                <w:sz w:val="22"/>
                <w:szCs w:val="22"/>
              </w:rPr>
              <w:t>s</w:t>
            </w:r>
            <w:r w:rsidRPr="004410BC">
              <w:rPr>
                <w:sz w:val="22"/>
                <w:szCs w:val="22"/>
              </w:rPr>
              <w:t>ed using an interpretative phenomenological analysis (IPA) framework.</w:t>
            </w:r>
          </w:p>
        </w:tc>
        <w:tc>
          <w:tcPr>
            <w:tcW w:w="368" w:type="dxa"/>
            <w:noWrap/>
            <w:hideMark/>
          </w:tcPr>
          <w:p w14:paraId="3996471E" w14:textId="77777777" w:rsidR="00093FEE" w:rsidRPr="004410BC" w:rsidRDefault="00093FEE" w:rsidP="00236C76">
            <w:pPr>
              <w:rPr>
                <w:sz w:val="22"/>
                <w:szCs w:val="22"/>
              </w:rPr>
            </w:pPr>
            <w:r w:rsidRPr="004410BC">
              <w:rPr>
                <w:sz w:val="22"/>
                <w:szCs w:val="22"/>
              </w:rPr>
              <w:t>6</w:t>
            </w:r>
          </w:p>
        </w:tc>
        <w:tc>
          <w:tcPr>
            <w:tcW w:w="9365" w:type="dxa"/>
            <w:noWrap/>
            <w:hideMark/>
          </w:tcPr>
          <w:p w14:paraId="55332A7B" w14:textId="69CECFFD" w:rsidR="00093FEE" w:rsidRPr="004410BC" w:rsidRDefault="00093FEE" w:rsidP="00236C76">
            <w:pPr>
              <w:rPr>
                <w:sz w:val="22"/>
                <w:szCs w:val="22"/>
              </w:rPr>
            </w:pPr>
            <w:r w:rsidRPr="004410BC">
              <w:rPr>
                <w:sz w:val="22"/>
                <w:szCs w:val="22"/>
              </w:rPr>
              <w:t>Four themes emerged: the critical importance of peer support/community networks; valuing provider cultural curiosity; recogni</w:t>
            </w:r>
            <w:r w:rsidR="00797228" w:rsidRPr="004410BC">
              <w:rPr>
                <w:sz w:val="22"/>
                <w:szCs w:val="22"/>
              </w:rPr>
              <w:t>s</w:t>
            </w:r>
            <w:r w:rsidRPr="004410BC">
              <w:rPr>
                <w:sz w:val="22"/>
                <w:szCs w:val="22"/>
              </w:rPr>
              <w:t>ing the intersectional impact of racism/ethnicity on mental health; and the necessity of culturally adapted clinical interventions.</w:t>
            </w:r>
          </w:p>
        </w:tc>
      </w:tr>
      <w:tr w:rsidR="00093FEE" w:rsidRPr="004410BC" w14:paraId="7D268449" w14:textId="77777777" w:rsidTr="00006094">
        <w:trPr>
          <w:trHeight w:val="250"/>
        </w:trPr>
        <w:tc>
          <w:tcPr>
            <w:tcW w:w="6049" w:type="dxa"/>
            <w:noWrap/>
            <w:hideMark/>
          </w:tcPr>
          <w:p w14:paraId="1C225F6E" w14:textId="77777777" w:rsidR="00093FEE" w:rsidRPr="004410BC" w:rsidRDefault="00093FEE" w:rsidP="00236C76">
            <w:pPr>
              <w:rPr>
                <w:sz w:val="22"/>
                <w:szCs w:val="22"/>
              </w:rPr>
            </w:pPr>
            <w:r w:rsidRPr="004410BC">
              <w:rPr>
                <w:sz w:val="22"/>
                <w:szCs w:val="22"/>
              </w:rPr>
              <w:t>Digitalised primary care in the UK: a qualitative study of the experiences of minoritised ethnic communities</w:t>
            </w:r>
          </w:p>
        </w:tc>
        <w:tc>
          <w:tcPr>
            <w:tcW w:w="368" w:type="dxa"/>
            <w:noWrap/>
            <w:hideMark/>
          </w:tcPr>
          <w:p w14:paraId="6DB3C88A" w14:textId="77777777" w:rsidR="00093FEE" w:rsidRPr="004410BC" w:rsidRDefault="00093FEE" w:rsidP="00236C76">
            <w:pPr>
              <w:rPr>
                <w:sz w:val="22"/>
                <w:szCs w:val="22"/>
              </w:rPr>
            </w:pPr>
            <w:r w:rsidRPr="004410BC">
              <w:rPr>
                <w:sz w:val="22"/>
                <w:szCs w:val="22"/>
              </w:rPr>
              <w:t>2024</w:t>
            </w:r>
          </w:p>
        </w:tc>
        <w:tc>
          <w:tcPr>
            <w:tcW w:w="2175" w:type="dxa"/>
            <w:noWrap/>
            <w:hideMark/>
          </w:tcPr>
          <w:p w14:paraId="25213E36" w14:textId="77777777" w:rsidR="00093FEE" w:rsidRPr="004410BC" w:rsidRDefault="00093FEE" w:rsidP="00236C76">
            <w:pPr>
              <w:rPr>
                <w:sz w:val="22"/>
                <w:szCs w:val="22"/>
              </w:rPr>
            </w:pPr>
            <w:r w:rsidRPr="004410BC">
              <w:rPr>
                <w:sz w:val="22"/>
                <w:szCs w:val="22"/>
              </w:rPr>
              <w:t>British Journal of General Practice</w:t>
            </w:r>
          </w:p>
        </w:tc>
        <w:tc>
          <w:tcPr>
            <w:tcW w:w="368" w:type="dxa"/>
            <w:noWrap/>
            <w:hideMark/>
          </w:tcPr>
          <w:p w14:paraId="075C5CA3" w14:textId="77777777" w:rsidR="00093FEE" w:rsidRPr="004410BC" w:rsidRDefault="00093FEE" w:rsidP="00236C76">
            <w:pPr>
              <w:rPr>
                <w:sz w:val="22"/>
                <w:szCs w:val="22"/>
              </w:rPr>
            </w:pPr>
            <w:r w:rsidRPr="004410BC">
              <w:rPr>
                <w:sz w:val="22"/>
                <w:szCs w:val="22"/>
              </w:rPr>
              <w:t>74</w:t>
            </w:r>
          </w:p>
        </w:tc>
        <w:tc>
          <w:tcPr>
            <w:tcW w:w="462" w:type="dxa"/>
            <w:noWrap/>
            <w:hideMark/>
          </w:tcPr>
          <w:p w14:paraId="7D5A8379" w14:textId="77777777" w:rsidR="00093FEE" w:rsidRPr="004410BC" w:rsidRDefault="00093FEE" w:rsidP="00236C76">
            <w:pPr>
              <w:rPr>
                <w:sz w:val="22"/>
                <w:szCs w:val="22"/>
              </w:rPr>
            </w:pPr>
            <w:r w:rsidRPr="004410BC">
              <w:rPr>
                <w:sz w:val="22"/>
                <w:szCs w:val="22"/>
              </w:rPr>
              <w:t>Not Specified</w:t>
            </w:r>
          </w:p>
        </w:tc>
        <w:tc>
          <w:tcPr>
            <w:tcW w:w="882" w:type="dxa"/>
            <w:noWrap/>
            <w:hideMark/>
          </w:tcPr>
          <w:p w14:paraId="1472A3E2" w14:textId="77777777" w:rsidR="00093FEE" w:rsidRPr="004410BC" w:rsidRDefault="00093FEE" w:rsidP="00236C76">
            <w:pPr>
              <w:rPr>
                <w:sz w:val="22"/>
                <w:szCs w:val="22"/>
              </w:rPr>
            </w:pPr>
            <w:r w:rsidRPr="004410BC">
              <w:rPr>
                <w:sz w:val="22"/>
                <w:szCs w:val="22"/>
              </w:rPr>
              <w:t>United Kingdom</w:t>
            </w:r>
          </w:p>
        </w:tc>
        <w:tc>
          <w:tcPr>
            <w:tcW w:w="1694" w:type="dxa"/>
            <w:noWrap/>
            <w:hideMark/>
          </w:tcPr>
          <w:p w14:paraId="0D05D060" w14:textId="77777777" w:rsidR="00093FEE" w:rsidRPr="004410BC" w:rsidRDefault="00093FEE" w:rsidP="00236C76">
            <w:pPr>
              <w:rPr>
                <w:sz w:val="22"/>
                <w:szCs w:val="22"/>
              </w:rPr>
            </w:pPr>
            <w:r w:rsidRPr="004410BC">
              <w:rPr>
                <w:sz w:val="22"/>
                <w:szCs w:val="22"/>
              </w:rPr>
              <w:t>Qualitative Study</w:t>
            </w:r>
          </w:p>
        </w:tc>
        <w:tc>
          <w:tcPr>
            <w:tcW w:w="4506" w:type="dxa"/>
            <w:noWrap/>
            <w:hideMark/>
          </w:tcPr>
          <w:p w14:paraId="331799FD" w14:textId="77777777" w:rsidR="00093FEE" w:rsidRPr="004410BC" w:rsidRDefault="00093FEE" w:rsidP="00236C76">
            <w:pPr>
              <w:rPr>
                <w:sz w:val="22"/>
                <w:szCs w:val="22"/>
              </w:rPr>
            </w:pPr>
            <w:r w:rsidRPr="004410BC">
              <w:rPr>
                <w:sz w:val="22"/>
                <w:szCs w:val="22"/>
              </w:rPr>
              <w:t>Explore the impact of rapid primary care digitalisation on service access and use among minoritised ethnic communities.</w:t>
            </w:r>
          </w:p>
        </w:tc>
        <w:tc>
          <w:tcPr>
            <w:tcW w:w="5443" w:type="dxa"/>
            <w:noWrap/>
            <w:hideMark/>
          </w:tcPr>
          <w:p w14:paraId="2B7B51B5" w14:textId="7C8B1F7F" w:rsidR="00093FEE" w:rsidRPr="004410BC" w:rsidRDefault="00093FEE" w:rsidP="00236C76">
            <w:pPr>
              <w:rPr>
                <w:sz w:val="22"/>
                <w:szCs w:val="22"/>
              </w:rPr>
            </w:pPr>
            <w:r w:rsidRPr="004410BC">
              <w:rPr>
                <w:sz w:val="22"/>
                <w:szCs w:val="22"/>
              </w:rPr>
              <w:t>Semi-structured interviews using a critical realist intersectional approach, conducted across four UK sites and analy</w:t>
            </w:r>
            <w:r w:rsidR="009667B1" w:rsidRPr="004410BC">
              <w:rPr>
                <w:sz w:val="22"/>
                <w:szCs w:val="22"/>
              </w:rPr>
              <w:t>s</w:t>
            </w:r>
            <w:r w:rsidRPr="004410BC">
              <w:rPr>
                <w:sz w:val="22"/>
                <w:szCs w:val="22"/>
              </w:rPr>
              <w:t>ed thematically.</w:t>
            </w:r>
          </w:p>
        </w:tc>
        <w:tc>
          <w:tcPr>
            <w:tcW w:w="368" w:type="dxa"/>
            <w:noWrap/>
            <w:hideMark/>
          </w:tcPr>
          <w:p w14:paraId="34FA5B94" w14:textId="77777777" w:rsidR="00093FEE" w:rsidRPr="004410BC" w:rsidRDefault="00093FEE" w:rsidP="00236C76">
            <w:pPr>
              <w:rPr>
                <w:sz w:val="22"/>
                <w:szCs w:val="22"/>
              </w:rPr>
            </w:pPr>
            <w:r w:rsidRPr="004410BC">
              <w:rPr>
                <w:sz w:val="22"/>
                <w:szCs w:val="22"/>
              </w:rPr>
              <w:t>100</w:t>
            </w:r>
          </w:p>
        </w:tc>
        <w:tc>
          <w:tcPr>
            <w:tcW w:w="9365" w:type="dxa"/>
            <w:noWrap/>
            <w:hideMark/>
          </w:tcPr>
          <w:p w14:paraId="039819E8" w14:textId="77777777" w:rsidR="00093FEE" w:rsidRPr="004410BC" w:rsidRDefault="00093FEE" w:rsidP="00236C76">
            <w:pPr>
              <w:rPr>
                <w:sz w:val="22"/>
                <w:szCs w:val="22"/>
              </w:rPr>
            </w:pPr>
            <w:r w:rsidRPr="004410BC">
              <w:rPr>
                <w:sz w:val="22"/>
                <w:szCs w:val="22"/>
              </w:rPr>
              <w:t>Rapid digitalisation replicated and exacerbated structural access barriers. Key hurdles include digital precarity (poor devices/connectivity, low digital literacy), total lack of language support, and a lack of staff training regarding ethnic diversity.</w:t>
            </w:r>
          </w:p>
        </w:tc>
      </w:tr>
      <w:tr w:rsidR="00093FEE" w:rsidRPr="004410BC" w14:paraId="2746D6CA" w14:textId="77777777" w:rsidTr="00006094">
        <w:trPr>
          <w:trHeight w:val="250"/>
        </w:trPr>
        <w:tc>
          <w:tcPr>
            <w:tcW w:w="6049" w:type="dxa"/>
            <w:noWrap/>
            <w:hideMark/>
          </w:tcPr>
          <w:p w14:paraId="49ADEEC3" w14:textId="77777777" w:rsidR="00093FEE" w:rsidRPr="004410BC" w:rsidRDefault="00093FEE" w:rsidP="00236C76">
            <w:pPr>
              <w:rPr>
                <w:sz w:val="22"/>
                <w:szCs w:val="22"/>
              </w:rPr>
            </w:pPr>
            <w:r w:rsidRPr="004410BC">
              <w:rPr>
                <w:sz w:val="22"/>
                <w:szCs w:val="22"/>
              </w:rPr>
              <w:t>Barriers to accessing perinatal mental health services and suggestions for improvement: qualitative study of women of Black and south Asian backgrounds</w:t>
            </w:r>
          </w:p>
        </w:tc>
        <w:tc>
          <w:tcPr>
            <w:tcW w:w="368" w:type="dxa"/>
            <w:noWrap/>
            <w:hideMark/>
          </w:tcPr>
          <w:p w14:paraId="30AD8DA0" w14:textId="77777777" w:rsidR="00093FEE" w:rsidRPr="004410BC" w:rsidRDefault="00093FEE" w:rsidP="00236C76">
            <w:pPr>
              <w:rPr>
                <w:sz w:val="22"/>
                <w:szCs w:val="22"/>
              </w:rPr>
            </w:pPr>
            <w:r w:rsidRPr="004410BC">
              <w:rPr>
                <w:sz w:val="22"/>
                <w:szCs w:val="22"/>
              </w:rPr>
              <w:t>2025</w:t>
            </w:r>
          </w:p>
        </w:tc>
        <w:tc>
          <w:tcPr>
            <w:tcW w:w="2175" w:type="dxa"/>
            <w:noWrap/>
            <w:hideMark/>
          </w:tcPr>
          <w:p w14:paraId="0D1F045A" w14:textId="77777777" w:rsidR="00093FEE" w:rsidRPr="004410BC" w:rsidRDefault="00093FEE" w:rsidP="00236C76">
            <w:pPr>
              <w:rPr>
                <w:sz w:val="22"/>
                <w:szCs w:val="22"/>
              </w:rPr>
            </w:pPr>
            <w:r w:rsidRPr="004410BC">
              <w:rPr>
                <w:sz w:val="22"/>
                <w:szCs w:val="22"/>
              </w:rPr>
              <w:t>BJPsych Bulletin</w:t>
            </w:r>
          </w:p>
        </w:tc>
        <w:tc>
          <w:tcPr>
            <w:tcW w:w="368" w:type="dxa"/>
            <w:noWrap/>
            <w:hideMark/>
          </w:tcPr>
          <w:p w14:paraId="79F6A046" w14:textId="77777777" w:rsidR="00093FEE" w:rsidRPr="004410BC" w:rsidRDefault="00093FEE" w:rsidP="00236C76">
            <w:pPr>
              <w:rPr>
                <w:sz w:val="22"/>
                <w:szCs w:val="22"/>
              </w:rPr>
            </w:pPr>
            <w:r w:rsidRPr="004410BC">
              <w:rPr>
                <w:sz w:val="22"/>
                <w:szCs w:val="22"/>
              </w:rPr>
              <w:t>49</w:t>
            </w:r>
          </w:p>
        </w:tc>
        <w:tc>
          <w:tcPr>
            <w:tcW w:w="462" w:type="dxa"/>
            <w:noWrap/>
            <w:hideMark/>
          </w:tcPr>
          <w:p w14:paraId="056F8463" w14:textId="77777777" w:rsidR="00093FEE" w:rsidRPr="004410BC" w:rsidRDefault="00093FEE" w:rsidP="00236C76">
            <w:pPr>
              <w:rPr>
                <w:sz w:val="22"/>
                <w:szCs w:val="22"/>
              </w:rPr>
            </w:pPr>
            <w:r w:rsidRPr="004410BC">
              <w:rPr>
                <w:sz w:val="22"/>
                <w:szCs w:val="22"/>
              </w:rPr>
              <w:t>Not Specified</w:t>
            </w:r>
          </w:p>
        </w:tc>
        <w:tc>
          <w:tcPr>
            <w:tcW w:w="882" w:type="dxa"/>
            <w:noWrap/>
            <w:hideMark/>
          </w:tcPr>
          <w:p w14:paraId="22366D42" w14:textId="77777777" w:rsidR="00093FEE" w:rsidRPr="004410BC" w:rsidRDefault="00093FEE" w:rsidP="00236C76">
            <w:pPr>
              <w:rPr>
                <w:sz w:val="22"/>
                <w:szCs w:val="22"/>
              </w:rPr>
            </w:pPr>
            <w:r w:rsidRPr="004410BC">
              <w:rPr>
                <w:sz w:val="22"/>
                <w:szCs w:val="22"/>
              </w:rPr>
              <w:t>United Kingdom</w:t>
            </w:r>
          </w:p>
        </w:tc>
        <w:tc>
          <w:tcPr>
            <w:tcW w:w="1694" w:type="dxa"/>
            <w:noWrap/>
            <w:hideMark/>
          </w:tcPr>
          <w:p w14:paraId="1D0A45A9" w14:textId="77777777" w:rsidR="00093FEE" w:rsidRPr="004410BC" w:rsidRDefault="00093FEE" w:rsidP="00236C76">
            <w:pPr>
              <w:rPr>
                <w:sz w:val="22"/>
                <w:szCs w:val="22"/>
              </w:rPr>
            </w:pPr>
            <w:r w:rsidRPr="004410BC">
              <w:rPr>
                <w:sz w:val="22"/>
                <w:szCs w:val="22"/>
              </w:rPr>
              <w:t>Qualitative Study</w:t>
            </w:r>
          </w:p>
        </w:tc>
        <w:tc>
          <w:tcPr>
            <w:tcW w:w="4506" w:type="dxa"/>
            <w:noWrap/>
            <w:hideMark/>
          </w:tcPr>
          <w:p w14:paraId="2E1F1F37" w14:textId="77777777" w:rsidR="00093FEE" w:rsidRPr="004410BC" w:rsidRDefault="00093FEE" w:rsidP="00236C76">
            <w:pPr>
              <w:rPr>
                <w:sz w:val="22"/>
                <w:szCs w:val="22"/>
              </w:rPr>
            </w:pPr>
            <w:r w:rsidRPr="004410BC">
              <w:rPr>
                <w:sz w:val="22"/>
                <w:szCs w:val="22"/>
              </w:rPr>
              <w:t>Explore barriers to accessing perinatal mental health services among Black and South Asian women and map findings to the care pathway.</w:t>
            </w:r>
          </w:p>
        </w:tc>
        <w:tc>
          <w:tcPr>
            <w:tcW w:w="5443" w:type="dxa"/>
            <w:noWrap/>
            <w:hideMark/>
          </w:tcPr>
          <w:p w14:paraId="7AFD4B02" w14:textId="57DA110A" w:rsidR="00093FEE" w:rsidRPr="004410BC" w:rsidRDefault="00093FEE" w:rsidP="00236C76">
            <w:pPr>
              <w:rPr>
                <w:sz w:val="22"/>
                <w:szCs w:val="22"/>
              </w:rPr>
            </w:pPr>
            <w:r w:rsidRPr="004410BC">
              <w:rPr>
                <w:sz w:val="22"/>
                <w:szCs w:val="22"/>
              </w:rPr>
              <w:t>Semi-structured interviews with women who experienced perinatal mental health problems but did not access specialist care, analy</w:t>
            </w:r>
            <w:r w:rsidR="009667B1" w:rsidRPr="004410BC">
              <w:rPr>
                <w:sz w:val="22"/>
                <w:szCs w:val="22"/>
              </w:rPr>
              <w:t>s</w:t>
            </w:r>
            <w:r w:rsidRPr="004410BC">
              <w:rPr>
                <w:sz w:val="22"/>
                <w:szCs w:val="22"/>
              </w:rPr>
              <w:t>ed via the framework method.</w:t>
            </w:r>
          </w:p>
        </w:tc>
        <w:tc>
          <w:tcPr>
            <w:tcW w:w="368" w:type="dxa"/>
            <w:noWrap/>
            <w:hideMark/>
          </w:tcPr>
          <w:p w14:paraId="6233773F" w14:textId="77777777" w:rsidR="00093FEE" w:rsidRPr="004410BC" w:rsidRDefault="00093FEE" w:rsidP="00236C76">
            <w:pPr>
              <w:rPr>
                <w:sz w:val="22"/>
                <w:szCs w:val="22"/>
              </w:rPr>
            </w:pPr>
            <w:r w:rsidRPr="004410BC">
              <w:rPr>
                <w:sz w:val="22"/>
                <w:szCs w:val="22"/>
              </w:rPr>
              <w:t>23</w:t>
            </w:r>
          </w:p>
        </w:tc>
        <w:tc>
          <w:tcPr>
            <w:tcW w:w="9365" w:type="dxa"/>
            <w:noWrap/>
            <w:hideMark/>
          </w:tcPr>
          <w:p w14:paraId="6B729EE6" w14:textId="77777777" w:rsidR="00093FEE" w:rsidRPr="004410BC" w:rsidRDefault="00093FEE" w:rsidP="00236C76">
            <w:pPr>
              <w:rPr>
                <w:sz w:val="22"/>
                <w:szCs w:val="22"/>
              </w:rPr>
            </w:pPr>
            <w:r w:rsidRPr="004410BC">
              <w:rPr>
                <w:sz w:val="22"/>
                <w:szCs w:val="22"/>
              </w:rPr>
              <w:t>Key barriers across the entire care pathway include low service awareness, intense fear of child removal by social services, cultural stigma, and service unresponsiveness. Remote appointments during COVID-19 exacerbated these challenges.</w:t>
            </w:r>
          </w:p>
        </w:tc>
      </w:tr>
      <w:tr w:rsidR="00093FEE" w:rsidRPr="004410BC" w14:paraId="58C74DF1" w14:textId="77777777" w:rsidTr="00006094">
        <w:trPr>
          <w:trHeight w:val="250"/>
        </w:trPr>
        <w:tc>
          <w:tcPr>
            <w:tcW w:w="6049" w:type="dxa"/>
            <w:noWrap/>
            <w:hideMark/>
          </w:tcPr>
          <w:p w14:paraId="63AAD953" w14:textId="77777777" w:rsidR="00093FEE" w:rsidRPr="004410BC" w:rsidRDefault="00093FEE" w:rsidP="00236C76">
            <w:pPr>
              <w:rPr>
                <w:sz w:val="22"/>
                <w:szCs w:val="22"/>
              </w:rPr>
            </w:pPr>
            <w:r w:rsidRPr="004410BC">
              <w:rPr>
                <w:sz w:val="22"/>
                <w:szCs w:val="22"/>
              </w:rPr>
              <w:t xml:space="preserve">Understanding women from ethnic minorities' perspectives about contraception in the UK...   </w:t>
            </w:r>
          </w:p>
        </w:tc>
        <w:tc>
          <w:tcPr>
            <w:tcW w:w="368" w:type="dxa"/>
            <w:noWrap/>
            <w:hideMark/>
          </w:tcPr>
          <w:p w14:paraId="2C602C1B" w14:textId="77777777" w:rsidR="00093FEE" w:rsidRPr="004410BC" w:rsidRDefault="00093FEE" w:rsidP="00236C76">
            <w:pPr>
              <w:rPr>
                <w:sz w:val="22"/>
                <w:szCs w:val="22"/>
              </w:rPr>
            </w:pPr>
            <w:r w:rsidRPr="004410BC">
              <w:rPr>
                <w:sz w:val="22"/>
                <w:szCs w:val="22"/>
              </w:rPr>
              <w:t>2025</w:t>
            </w:r>
          </w:p>
        </w:tc>
        <w:tc>
          <w:tcPr>
            <w:tcW w:w="2175" w:type="dxa"/>
            <w:noWrap/>
            <w:hideMark/>
          </w:tcPr>
          <w:p w14:paraId="0088D151" w14:textId="77777777" w:rsidR="00093FEE" w:rsidRPr="004410BC" w:rsidRDefault="00093FEE" w:rsidP="00236C76">
            <w:pPr>
              <w:rPr>
                <w:sz w:val="22"/>
                <w:szCs w:val="22"/>
              </w:rPr>
            </w:pPr>
            <w:r w:rsidRPr="004410BC">
              <w:rPr>
                <w:sz w:val="22"/>
                <w:szCs w:val="22"/>
              </w:rPr>
              <w:t xml:space="preserve">BMJ Sexual &amp; Reproductive Health   </w:t>
            </w:r>
          </w:p>
        </w:tc>
        <w:tc>
          <w:tcPr>
            <w:tcW w:w="368" w:type="dxa"/>
            <w:noWrap/>
            <w:hideMark/>
          </w:tcPr>
          <w:p w14:paraId="1BD2CB2C" w14:textId="77777777" w:rsidR="00093FEE" w:rsidRPr="004410BC" w:rsidRDefault="00093FEE" w:rsidP="00236C76">
            <w:pPr>
              <w:rPr>
                <w:sz w:val="22"/>
                <w:szCs w:val="22"/>
              </w:rPr>
            </w:pPr>
            <w:r w:rsidRPr="004410BC">
              <w:rPr>
                <w:sz w:val="22"/>
                <w:szCs w:val="22"/>
              </w:rPr>
              <w:t>0</w:t>
            </w:r>
          </w:p>
        </w:tc>
        <w:tc>
          <w:tcPr>
            <w:tcW w:w="462" w:type="dxa"/>
            <w:noWrap/>
            <w:hideMark/>
          </w:tcPr>
          <w:p w14:paraId="00C91A0D" w14:textId="77777777" w:rsidR="00093FEE" w:rsidRPr="004410BC" w:rsidRDefault="00093FEE" w:rsidP="00236C76">
            <w:pPr>
              <w:rPr>
                <w:sz w:val="22"/>
                <w:szCs w:val="22"/>
              </w:rPr>
            </w:pPr>
            <w:r w:rsidRPr="004410BC">
              <w:rPr>
                <w:sz w:val="22"/>
                <w:szCs w:val="22"/>
              </w:rPr>
              <w:t>Not Specified</w:t>
            </w:r>
          </w:p>
        </w:tc>
        <w:tc>
          <w:tcPr>
            <w:tcW w:w="882" w:type="dxa"/>
            <w:noWrap/>
            <w:hideMark/>
          </w:tcPr>
          <w:p w14:paraId="3DF91324" w14:textId="77777777" w:rsidR="00093FEE" w:rsidRPr="004410BC" w:rsidRDefault="00093FEE" w:rsidP="00236C76">
            <w:pPr>
              <w:rPr>
                <w:sz w:val="22"/>
                <w:szCs w:val="22"/>
              </w:rPr>
            </w:pPr>
            <w:r w:rsidRPr="004410BC">
              <w:rPr>
                <w:sz w:val="22"/>
                <w:szCs w:val="22"/>
              </w:rPr>
              <w:t xml:space="preserve">Sheffield, UK   </w:t>
            </w:r>
          </w:p>
        </w:tc>
        <w:tc>
          <w:tcPr>
            <w:tcW w:w="1694" w:type="dxa"/>
            <w:noWrap/>
            <w:hideMark/>
          </w:tcPr>
          <w:p w14:paraId="176026EF" w14:textId="77777777" w:rsidR="00093FEE" w:rsidRPr="004410BC" w:rsidRDefault="00093FEE" w:rsidP="00236C76">
            <w:pPr>
              <w:rPr>
                <w:sz w:val="22"/>
                <w:szCs w:val="22"/>
              </w:rPr>
            </w:pPr>
            <w:r w:rsidRPr="004410BC">
              <w:rPr>
                <w:sz w:val="22"/>
                <w:szCs w:val="22"/>
              </w:rPr>
              <w:t xml:space="preserve">Qualitative study using participatory action research   </w:t>
            </w:r>
          </w:p>
        </w:tc>
        <w:tc>
          <w:tcPr>
            <w:tcW w:w="4506" w:type="dxa"/>
            <w:noWrap/>
            <w:hideMark/>
          </w:tcPr>
          <w:p w14:paraId="5EC253CC" w14:textId="77777777" w:rsidR="00093FEE" w:rsidRPr="004410BC" w:rsidRDefault="00093FEE" w:rsidP="00236C76">
            <w:pPr>
              <w:rPr>
                <w:sz w:val="22"/>
                <w:szCs w:val="22"/>
              </w:rPr>
            </w:pPr>
            <w:r w:rsidRPr="004410BC">
              <w:rPr>
                <w:sz w:val="22"/>
                <w:szCs w:val="22"/>
              </w:rPr>
              <w:t xml:space="preserve">To understand women from ethnic minorities' perspectives about contraception   </w:t>
            </w:r>
          </w:p>
        </w:tc>
        <w:tc>
          <w:tcPr>
            <w:tcW w:w="5443" w:type="dxa"/>
            <w:noWrap/>
            <w:hideMark/>
          </w:tcPr>
          <w:p w14:paraId="6015A30E" w14:textId="77777777" w:rsidR="00093FEE" w:rsidRPr="004410BC" w:rsidRDefault="00093FEE" w:rsidP="00236C76">
            <w:pPr>
              <w:rPr>
                <w:sz w:val="22"/>
                <w:szCs w:val="22"/>
              </w:rPr>
            </w:pPr>
            <w:r w:rsidRPr="004410BC">
              <w:rPr>
                <w:sz w:val="22"/>
                <w:szCs w:val="22"/>
              </w:rPr>
              <w:t xml:space="preserve">Focus groups and interviews; thematic analysis   </w:t>
            </w:r>
          </w:p>
        </w:tc>
        <w:tc>
          <w:tcPr>
            <w:tcW w:w="368" w:type="dxa"/>
            <w:noWrap/>
            <w:hideMark/>
          </w:tcPr>
          <w:p w14:paraId="391D4A25" w14:textId="77777777" w:rsidR="00093FEE" w:rsidRPr="004410BC" w:rsidRDefault="00093FEE" w:rsidP="00236C76">
            <w:pPr>
              <w:rPr>
                <w:sz w:val="22"/>
                <w:szCs w:val="22"/>
              </w:rPr>
            </w:pPr>
            <w:r w:rsidRPr="004410BC">
              <w:rPr>
                <w:sz w:val="22"/>
                <w:szCs w:val="22"/>
              </w:rPr>
              <w:t>36</w:t>
            </w:r>
          </w:p>
        </w:tc>
        <w:tc>
          <w:tcPr>
            <w:tcW w:w="9365" w:type="dxa"/>
            <w:noWrap/>
            <w:hideMark/>
          </w:tcPr>
          <w:p w14:paraId="33B24329" w14:textId="77777777" w:rsidR="00093FEE" w:rsidRPr="004410BC" w:rsidRDefault="00093FEE" w:rsidP="00236C76">
            <w:pPr>
              <w:rPr>
                <w:sz w:val="22"/>
                <w:szCs w:val="22"/>
              </w:rPr>
            </w:pPr>
            <w:r w:rsidRPr="004410BC">
              <w:rPr>
                <w:sz w:val="22"/>
                <w:szCs w:val="22"/>
              </w:rPr>
              <w:t xml:space="preserve">Highlighted disparities in contraceptive uptake and unintended pregnancies driven by poor understanding and multi-layered access barriers.  </w:t>
            </w:r>
          </w:p>
        </w:tc>
      </w:tr>
      <w:tr w:rsidR="00093FEE" w:rsidRPr="004410BC" w14:paraId="5F7905C7" w14:textId="77777777" w:rsidTr="00006094">
        <w:trPr>
          <w:trHeight w:val="250"/>
        </w:trPr>
        <w:tc>
          <w:tcPr>
            <w:tcW w:w="6049" w:type="dxa"/>
            <w:noWrap/>
            <w:hideMark/>
          </w:tcPr>
          <w:p w14:paraId="7105EC6A" w14:textId="77777777" w:rsidR="00093FEE" w:rsidRPr="004410BC" w:rsidRDefault="00093FEE" w:rsidP="00236C76">
            <w:pPr>
              <w:rPr>
                <w:sz w:val="22"/>
                <w:szCs w:val="22"/>
              </w:rPr>
            </w:pPr>
            <w:r w:rsidRPr="004410BC">
              <w:rPr>
                <w:sz w:val="22"/>
                <w:szCs w:val="22"/>
              </w:rPr>
              <w:t xml:space="preserve">Experiences of cervical screening participation and non-participation in women from minority ethnic populations in Scotland   </w:t>
            </w:r>
          </w:p>
        </w:tc>
        <w:tc>
          <w:tcPr>
            <w:tcW w:w="368" w:type="dxa"/>
            <w:noWrap/>
            <w:hideMark/>
          </w:tcPr>
          <w:p w14:paraId="0B4BA4DC" w14:textId="77777777" w:rsidR="00093FEE" w:rsidRPr="004410BC" w:rsidRDefault="00093FEE" w:rsidP="00236C76">
            <w:pPr>
              <w:rPr>
                <w:sz w:val="22"/>
                <w:szCs w:val="22"/>
              </w:rPr>
            </w:pPr>
            <w:r w:rsidRPr="004410BC">
              <w:rPr>
                <w:sz w:val="22"/>
                <w:szCs w:val="22"/>
              </w:rPr>
              <w:t>2021</w:t>
            </w:r>
          </w:p>
        </w:tc>
        <w:tc>
          <w:tcPr>
            <w:tcW w:w="2175" w:type="dxa"/>
            <w:noWrap/>
            <w:hideMark/>
          </w:tcPr>
          <w:p w14:paraId="70003342" w14:textId="77777777" w:rsidR="00093FEE" w:rsidRPr="004410BC" w:rsidRDefault="00093FEE" w:rsidP="00236C76">
            <w:pPr>
              <w:rPr>
                <w:sz w:val="22"/>
                <w:szCs w:val="22"/>
              </w:rPr>
            </w:pPr>
            <w:r w:rsidRPr="004410BC">
              <w:rPr>
                <w:sz w:val="22"/>
                <w:szCs w:val="22"/>
              </w:rPr>
              <w:t xml:space="preserve">Health Expectations   </w:t>
            </w:r>
          </w:p>
        </w:tc>
        <w:tc>
          <w:tcPr>
            <w:tcW w:w="368" w:type="dxa"/>
            <w:noWrap/>
            <w:hideMark/>
          </w:tcPr>
          <w:p w14:paraId="52BB52AD" w14:textId="77777777" w:rsidR="00093FEE" w:rsidRPr="004410BC" w:rsidRDefault="00093FEE" w:rsidP="00236C76">
            <w:pPr>
              <w:rPr>
                <w:sz w:val="22"/>
                <w:szCs w:val="22"/>
              </w:rPr>
            </w:pPr>
            <w:r w:rsidRPr="004410BC">
              <w:rPr>
                <w:sz w:val="22"/>
                <w:szCs w:val="22"/>
              </w:rPr>
              <w:t>24</w:t>
            </w:r>
          </w:p>
        </w:tc>
        <w:tc>
          <w:tcPr>
            <w:tcW w:w="462" w:type="dxa"/>
            <w:noWrap/>
            <w:hideMark/>
          </w:tcPr>
          <w:p w14:paraId="775F9FAB" w14:textId="77777777" w:rsidR="00093FEE" w:rsidRPr="004410BC" w:rsidRDefault="00093FEE" w:rsidP="00236C76">
            <w:pPr>
              <w:rPr>
                <w:sz w:val="22"/>
                <w:szCs w:val="22"/>
              </w:rPr>
            </w:pPr>
            <w:r w:rsidRPr="004410BC">
              <w:rPr>
                <w:sz w:val="22"/>
                <w:szCs w:val="22"/>
              </w:rPr>
              <w:t>6</w:t>
            </w:r>
          </w:p>
        </w:tc>
        <w:tc>
          <w:tcPr>
            <w:tcW w:w="882" w:type="dxa"/>
            <w:noWrap/>
            <w:hideMark/>
          </w:tcPr>
          <w:p w14:paraId="2A7D67BF" w14:textId="77777777" w:rsidR="00093FEE" w:rsidRPr="004410BC" w:rsidRDefault="00093FEE" w:rsidP="00236C76">
            <w:pPr>
              <w:rPr>
                <w:sz w:val="22"/>
                <w:szCs w:val="22"/>
              </w:rPr>
            </w:pPr>
            <w:r w:rsidRPr="004410BC">
              <w:rPr>
                <w:sz w:val="22"/>
                <w:szCs w:val="22"/>
              </w:rPr>
              <w:t xml:space="preserve">Scotland   </w:t>
            </w:r>
          </w:p>
        </w:tc>
        <w:tc>
          <w:tcPr>
            <w:tcW w:w="1694" w:type="dxa"/>
            <w:noWrap/>
            <w:hideMark/>
          </w:tcPr>
          <w:p w14:paraId="2801D158" w14:textId="77777777" w:rsidR="00093FEE" w:rsidRPr="004410BC" w:rsidRDefault="00093FEE" w:rsidP="00236C76">
            <w:pPr>
              <w:rPr>
                <w:sz w:val="22"/>
                <w:szCs w:val="22"/>
              </w:rPr>
            </w:pPr>
            <w:r w:rsidRPr="004410BC">
              <w:rPr>
                <w:sz w:val="22"/>
                <w:szCs w:val="22"/>
              </w:rPr>
              <w:t xml:space="preserve">Qualitative comparison group study   </w:t>
            </w:r>
          </w:p>
        </w:tc>
        <w:tc>
          <w:tcPr>
            <w:tcW w:w="4506" w:type="dxa"/>
            <w:noWrap/>
            <w:hideMark/>
          </w:tcPr>
          <w:p w14:paraId="68C8F755" w14:textId="77777777" w:rsidR="00093FEE" w:rsidRPr="004410BC" w:rsidRDefault="00093FEE" w:rsidP="00236C76">
            <w:pPr>
              <w:rPr>
                <w:sz w:val="22"/>
                <w:szCs w:val="22"/>
              </w:rPr>
            </w:pPr>
            <w:r w:rsidRPr="004410BC">
              <w:rPr>
                <w:sz w:val="22"/>
                <w:szCs w:val="22"/>
              </w:rPr>
              <w:t xml:space="preserve">To explore experiences of cervical screening participation/non-participation of minority ethnic women   </w:t>
            </w:r>
          </w:p>
        </w:tc>
        <w:tc>
          <w:tcPr>
            <w:tcW w:w="5443" w:type="dxa"/>
            <w:noWrap/>
            <w:hideMark/>
          </w:tcPr>
          <w:p w14:paraId="00C553F8" w14:textId="77777777" w:rsidR="00093FEE" w:rsidRPr="004410BC" w:rsidRDefault="00093FEE" w:rsidP="00236C76">
            <w:pPr>
              <w:rPr>
                <w:sz w:val="22"/>
                <w:szCs w:val="22"/>
              </w:rPr>
            </w:pPr>
            <w:r w:rsidRPr="004410BC">
              <w:rPr>
                <w:sz w:val="22"/>
                <w:szCs w:val="22"/>
              </w:rPr>
              <w:t xml:space="preserve">In-depth, semi-structured individual interviews; thematic analysis   </w:t>
            </w:r>
          </w:p>
        </w:tc>
        <w:tc>
          <w:tcPr>
            <w:tcW w:w="368" w:type="dxa"/>
            <w:noWrap/>
            <w:hideMark/>
          </w:tcPr>
          <w:p w14:paraId="2D330DA3" w14:textId="77777777" w:rsidR="00093FEE" w:rsidRPr="004410BC" w:rsidRDefault="00093FEE" w:rsidP="00236C76">
            <w:pPr>
              <w:rPr>
                <w:sz w:val="22"/>
                <w:szCs w:val="22"/>
              </w:rPr>
            </w:pPr>
            <w:r w:rsidRPr="004410BC">
              <w:rPr>
                <w:sz w:val="22"/>
                <w:szCs w:val="22"/>
              </w:rPr>
              <w:t>50</w:t>
            </w:r>
          </w:p>
        </w:tc>
        <w:tc>
          <w:tcPr>
            <w:tcW w:w="9365" w:type="dxa"/>
            <w:noWrap/>
            <w:hideMark/>
          </w:tcPr>
          <w:p w14:paraId="1A9EF711" w14:textId="77777777" w:rsidR="00093FEE" w:rsidRPr="004410BC" w:rsidRDefault="00093FEE" w:rsidP="00236C76">
            <w:pPr>
              <w:rPr>
                <w:sz w:val="22"/>
                <w:szCs w:val="22"/>
              </w:rPr>
            </w:pPr>
            <w:r w:rsidRPr="004410BC">
              <w:rPr>
                <w:sz w:val="22"/>
                <w:szCs w:val="22"/>
              </w:rPr>
              <w:t xml:space="preserve">Identified barriers like language difficulties, competing priorities, going abroad for screening, delayed introduction, racism, and feeling shamed.  </w:t>
            </w:r>
          </w:p>
        </w:tc>
      </w:tr>
      <w:tr w:rsidR="00093FEE" w:rsidRPr="004410BC" w14:paraId="53A91AFE" w14:textId="77777777" w:rsidTr="00006094">
        <w:trPr>
          <w:trHeight w:val="250"/>
        </w:trPr>
        <w:tc>
          <w:tcPr>
            <w:tcW w:w="6049" w:type="dxa"/>
            <w:noWrap/>
            <w:hideMark/>
          </w:tcPr>
          <w:p w14:paraId="40DF8723" w14:textId="77777777" w:rsidR="00093FEE" w:rsidRPr="004410BC" w:rsidRDefault="00093FEE" w:rsidP="00236C76">
            <w:pPr>
              <w:rPr>
                <w:sz w:val="22"/>
                <w:szCs w:val="22"/>
              </w:rPr>
            </w:pPr>
            <w:r w:rsidRPr="004410BC">
              <w:rPr>
                <w:sz w:val="22"/>
                <w:szCs w:val="22"/>
              </w:rPr>
              <w:t xml:space="preserve">A qualitative study of minority ethnic women's experiences of access to and engagement with perinatal mental health care   </w:t>
            </w:r>
          </w:p>
        </w:tc>
        <w:tc>
          <w:tcPr>
            <w:tcW w:w="368" w:type="dxa"/>
            <w:noWrap/>
            <w:hideMark/>
          </w:tcPr>
          <w:p w14:paraId="5A5011CB" w14:textId="77777777" w:rsidR="00093FEE" w:rsidRPr="004410BC" w:rsidRDefault="00093FEE" w:rsidP="00236C76">
            <w:pPr>
              <w:rPr>
                <w:sz w:val="22"/>
                <w:szCs w:val="22"/>
              </w:rPr>
            </w:pPr>
            <w:r w:rsidRPr="004410BC">
              <w:rPr>
                <w:sz w:val="22"/>
                <w:szCs w:val="22"/>
              </w:rPr>
              <w:t>2022</w:t>
            </w:r>
          </w:p>
        </w:tc>
        <w:tc>
          <w:tcPr>
            <w:tcW w:w="2175" w:type="dxa"/>
            <w:noWrap/>
            <w:hideMark/>
          </w:tcPr>
          <w:p w14:paraId="4CC78EE8" w14:textId="77777777" w:rsidR="00093FEE" w:rsidRPr="004410BC" w:rsidRDefault="00093FEE" w:rsidP="00236C76">
            <w:pPr>
              <w:rPr>
                <w:sz w:val="22"/>
                <w:szCs w:val="22"/>
              </w:rPr>
            </w:pPr>
            <w:r w:rsidRPr="004410BC">
              <w:rPr>
                <w:sz w:val="22"/>
                <w:szCs w:val="22"/>
              </w:rPr>
              <w:t xml:space="preserve">BMC Pregnancy and Childbirth   </w:t>
            </w:r>
          </w:p>
        </w:tc>
        <w:tc>
          <w:tcPr>
            <w:tcW w:w="368" w:type="dxa"/>
            <w:noWrap/>
            <w:hideMark/>
          </w:tcPr>
          <w:p w14:paraId="1EC24548" w14:textId="77777777" w:rsidR="00093FEE" w:rsidRPr="004410BC" w:rsidRDefault="00093FEE" w:rsidP="00236C76">
            <w:pPr>
              <w:rPr>
                <w:sz w:val="22"/>
                <w:szCs w:val="22"/>
              </w:rPr>
            </w:pPr>
            <w:r w:rsidRPr="004410BC">
              <w:rPr>
                <w:sz w:val="22"/>
                <w:szCs w:val="22"/>
              </w:rPr>
              <w:t>22</w:t>
            </w:r>
          </w:p>
        </w:tc>
        <w:tc>
          <w:tcPr>
            <w:tcW w:w="462" w:type="dxa"/>
            <w:noWrap/>
            <w:hideMark/>
          </w:tcPr>
          <w:p w14:paraId="1DE89D52" w14:textId="77777777" w:rsidR="00093FEE" w:rsidRPr="004410BC" w:rsidRDefault="00093FEE" w:rsidP="00236C76">
            <w:pPr>
              <w:rPr>
                <w:sz w:val="22"/>
                <w:szCs w:val="22"/>
              </w:rPr>
            </w:pPr>
            <w:r w:rsidRPr="004410BC">
              <w:rPr>
                <w:sz w:val="22"/>
                <w:szCs w:val="22"/>
              </w:rPr>
              <w:t>Not Specified</w:t>
            </w:r>
          </w:p>
        </w:tc>
        <w:tc>
          <w:tcPr>
            <w:tcW w:w="882" w:type="dxa"/>
            <w:noWrap/>
            <w:hideMark/>
          </w:tcPr>
          <w:p w14:paraId="7FE8152C" w14:textId="77777777" w:rsidR="00093FEE" w:rsidRPr="004410BC" w:rsidRDefault="00093FEE" w:rsidP="00236C76">
            <w:pPr>
              <w:rPr>
                <w:sz w:val="22"/>
                <w:szCs w:val="22"/>
              </w:rPr>
            </w:pPr>
            <w:r w:rsidRPr="004410BC">
              <w:rPr>
                <w:sz w:val="22"/>
                <w:szCs w:val="22"/>
              </w:rPr>
              <w:t xml:space="preserve">South London, UK   </w:t>
            </w:r>
          </w:p>
        </w:tc>
        <w:tc>
          <w:tcPr>
            <w:tcW w:w="1694" w:type="dxa"/>
            <w:noWrap/>
            <w:hideMark/>
          </w:tcPr>
          <w:p w14:paraId="058136A5" w14:textId="77777777" w:rsidR="00093FEE" w:rsidRPr="004410BC" w:rsidRDefault="00093FEE" w:rsidP="00236C76">
            <w:pPr>
              <w:rPr>
                <w:sz w:val="22"/>
                <w:szCs w:val="22"/>
              </w:rPr>
            </w:pPr>
            <w:r w:rsidRPr="004410BC">
              <w:rPr>
                <w:sz w:val="22"/>
                <w:szCs w:val="22"/>
              </w:rPr>
              <w:t xml:space="preserve">Qualitative study   </w:t>
            </w:r>
          </w:p>
        </w:tc>
        <w:tc>
          <w:tcPr>
            <w:tcW w:w="4506" w:type="dxa"/>
            <w:noWrap/>
            <w:hideMark/>
          </w:tcPr>
          <w:p w14:paraId="4919FC95" w14:textId="77777777" w:rsidR="00093FEE" w:rsidRPr="004410BC" w:rsidRDefault="00093FEE" w:rsidP="00236C76">
            <w:pPr>
              <w:rPr>
                <w:sz w:val="22"/>
                <w:szCs w:val="22"/>
              </w:rPr>
            </w:pPr>
            <w:r w:rsidRPr="004410BC">
              <w:rPr>
                <w:sz w:val="22"/>
                <w:szCs w:val="22"/>
              </w:rPr>
              <w:t xml:space="preserve">To explore minority ethnic women's experiences of access to and engagement with perinatal mental health care   </w:t>
            </w:r>
          </w:p>
        </w:tc>
        <w:tc>
          <w:tcPr>
            <w:tcW w:w="5443" w:type="dxa"/>
            <w:noWrap/>
            <w:hideMark/>
          </w:tcPr>
          <w:p w14:paraId="04FBB327" w14:textId="77777777" w:rsidR="00093FEE" w:rsidRPr="004410BC" w:rsidRDefault="00093FEE" w:rsidP="00236C76">
            <w:pPr>
              <w:rPr>
                <w:sz w:val="22"/>
                <w:szCs w:val="22"/>
              </w:rPr>
            </w:pPr>
            <w:r w:rsidRPr="004410BC">
              <w:rPr>
                <w:sz w:val="22"/>
                <w:szCs w:val="22"/>
              </w:rPr>
              <w:t xml:space="preserve">Semi-structured interviews; reflective thematic analysis    </w:t>
            </w:r>
          </w:p>
        </w:tc>
        <w:tc>
          <w:tcPr>
            <w:tcW w:w="368" w:type="dxa"/>
            <w:noWrap/>
            <w:hideMark/>
          </w:tcPr>
          <w:p w14:paraId="47149C89" w14:textId="77777777" w:rsidR="00093FEE" w:rsidRPr="004410BC" w:rsidRDefault="00093FEE" w:rsidP="00236C76">
            <w:pPr>
              <w:rPr>
                <w:sz w:val="22"/>
                <w:szCs w:val="22"/>
              </w:rPr>
            </w:pPr>
            <w:r w:rsidRPr="004410BC">
              <w:rPr>
                <w:sz w:val="22"/>
                <w:szCs w:val="22"/>
              </w:rPr>
              <w:t>18</w:t>
            </w:r>
          </w:p>
        </w:tc>
        <w:tc>
          <w:tcPr>
            <w:tcW w:w="9365" w:type="dxa"/>
            <w:noWrap/>
            <w:hideMark/>
          </w:tcPr>
          <w:p w14:paraId="7CC6048A" w14:textId="77777777" w:rsidR="00093FEE" w:rsidRPr="004410BC" w:rsidRDefault="00093FEE" w:rsidP="00236C76">
            <w:pPr>
              <w:rPr>
                <w:sz w:val="22"/>
                <w:szCs w:val="22"/>
              </w:rPr>
            </w:pPr>
            <w:r w:rsidRPr="004410BC">
              <w:rPr>
                <w:sz w:val="22"/>
                <w:szCs w:val="22"/>
              </w:rPr>
              <w:t xml:space="preserve">Identified multi-level barriers: shame/guilt in motherhood, family/community stigma, dismissal by professionals, and the vital role of cultural humility.  </w:t>
            </w:r>
          </w:p>
        </w:tc>
      </w:tr>
      <w:tr w:rsidR="00093FEE" w:rsidRPr="004410BC" w14:paraId="03552912" w14:textId="77777777" w:rsidTr="00006094">
        <w:trPr>
          <w:trHeight w:val="250"/>
        </w:trPr>
        <w:tc>
          <w:tcPr>
            <w:tcW w:w="6049" w:type="dxa"/>
            <w:noWrap/>
            <w:hideMark/>
          </w:tcPr>
          <w:p w14:paraId="197D5BAA" w14:textId="77777777" w:rsidR="00093FEE" w:rsidRPr="004410BC" w:rsidRDefault="00093FEE" w:rsidP="00236C76">
            <w:pPr>
              <w:rPr>
                <w:sz w:val="22"/>
                <w:szCs w:val="22"/>
              </w:rPr>
            </w:pPr>
            <w:r w:rsidRPr="004410BC">
              <w:rPr>
                <w:sz w:val="22"/>
                <w:szCs w:val="22"/>
              </w:rPr>
              <w:t xml:space="preserve">Medical ambivalence and Long Covid: The disconnects, entanglements, and productivities shaping ethnic minority experiences in the UK   </w:t>
            </w:r>
          </w:p>
        </w:tc>
        <w:tc>
          <w:tcPr>
            <w:tcW w:w="368" w:type="dxa"/>
            <w:noWrap/>
            <w:hideMark/>
          </w:tcPr>
          <w:p w14:paraId="793256FB" w14:textId="77777777" w:rsidR="00093FEE" w:rsidRPr="004410BC" w:rsidRDefault="00093FEE" w:rsidP="00236C76">
            <w:pPr>
              <w:rPr>
                <w:sz w:val="22"/>
                <w:szCs w:val="22"/>
              </w:rPr>
            </w:pPr>
            <w:r w:rsidRPr="004410BC">
              <w:rPr>
                <w:sz w:val="22"/>
                <w:szCs w:val="22"/>
              </w:rPr>
              <w:t>2025</w:t>
            </w:r>
          </w:p>
        </w:tc>
        <w:tc>
          <w:tcPr>
            <w:tcW w:w="2175" w:type="dxa"/>
            <w:noWrap/>
            <w:hideMark/>
          </w:tcPr>
          <w:p w14:paraId="1B3FCD4D" w14:textId="77777777" w:rsidR="00093FEE" w:rsidRPr="004410BC" w:rsidRDefault="00093FEE" w:rsidP="00236C76">
            <w:pPr>
              <w:rPr>
                <w:sz w:val="22"/>
                <w:szCs w:val="22"/>
              </w:rPr>
            </w:pPr>
            <w:r w:rsidRPr="004410BC">
              <w:rPr>
                <w:sz w:val="22"/>
                <w:szCs w:val="22"/>
              </w:rPr>
              <w:t xml:space="preserve">Social Science &amp; Medicine   </w:t>
            </w:r>
          </w:p>
        </w:tc>
        <w:tc>
          <w:tcPr>
            <w:tcW w:w="368" w:type="dxa"/>
            <w:noWrap/>
            <w:hideMark/>
          </w:tcPr>
          <w:p w14:paraId="79B3CF06" w14:textId="77777777" w:rsidR="00093FEE" w:rsidRPr="004410BC" w:rsidRDefault="00093FEE" w:rsidP="00236C76">
            <w:pPr>
              <w:rPr>
                <w:sz w:val="22"/>
                <w:szCs w:val="22"/>
              </w:rPr>
            </w:pPr>
            <w:r w:rsidRPr="004410BC">
              <w:rPr>
                <w:sz w:val="22"/>
                <w:szCs w:val="22"/>
              </w:rPr>
              <w:t>366</w:t>
            </w:r>
          </w:p>
        </w:tc>
        <w:tc>
          <w:tcPr>
            <w:tcW w:w="462" w:type="dxa"/>
            <w:noWrap/>
            <w:hideMark/>
          </w:tcPr>
          <w:p w14:paraId="021A0109" w14:textId="77777777" w:rsidR="00093FEE" w:rsidRPr="004410BC" w:rsidRDefault="00093FEE" w:rsidP="00236C76">
            <w:pPr>
              <w:rPr>
                <w:sz w:val="22"/>
                <w:szCs w:val="22"/>
              </w:rPr>
            </w:pPr>
            <w:r w:rsidRPr="004410BC">
              <w:rPr>
                <w:sz w:val="22"/>
                <w:szCs w:val="22"/>
              </w:rPr>
              <w:t>Not Specified</w:t>
            </w:r>
          </w:p>
        </w:tc>
        <w:tc>
          <w:tcPr>
            <w:tcW w:w="882" w:type="dxa"/>
            <w:noWrap/>
            <w:hideMark/>
          </w:tcPr>
          <w:p w14:paraId="3AA66074" w14:textId="77777777" w:rsidR="00093FEE" w:rsidRPr="004410BC" w:rsidRDefault="00093FEE" w:rsidP="00236C76">
            <w:pPr>
              <w:rPr>
                <w:sz w:val="22"/>
                <w:szCs w:val="22"/>
              </w:rPr>
            </w:pPr>
            <w:r w:rsidRPr="004410BC">
              <w:rPr>
                <w:sz w:val="22"/>
                <w:szCs w:val="22"/>
              </w:rPr>
              <w:t xml:space="preserve">United Kingdom   </w:t>
            </w:r>
          </w:p>
        </w:tc>
        <w:tc>
          <w:tcPr>
            <w:tcW w:w="1694" w:type="dxa"/>
            <w:noWrap/>
            <w:hideMark/>
          </w:tcPr>
          <w:p w14:paraId="1BCF261A" w14:textId="77777777" w:rsidR="00093FEE" w:rsidRPr="004410BC" w:rsidRDefault="00093FEE" w:rsidP="00236C76">
            <w:pPr>
              <w:rPr>
                <w:sz w:val="22"/>
                <w:szCs w:val="22"/>
              </w:rPr>
            </w:pPr>
            <w:r w:rsidRPr="004410BC">
              <w:rPr>
                <w:sz w:val="22"/>
                <w:szCs w:val="22"/>
              </w:rPr>
              <w:t xml:space="preserve">Qualitative interview study   </w:t>
            </w:r>
          </w:p>
        </w:tc>
        <w:tc>
          <w:tcPr>
            <w:tcW w:w="4506" w:type="dxa"/>
            <w:noWrap/>
            <w:hideMark/>
          </w:tcPr>
          <w:p w14:paraId="74F56366" w14:textId="77777777" w:rsidR="00093FEE" w:rsidRPr="004410BC" w:rsidRDefault="00093FEE" w:rsidP="00236C76">
            <w:pPr>
              <w:rPr>
                <w:sz w:val="22"/>
                <w:szCs w:val="22"/>
              </w:rPr>
            </w:pPr>
            <w:r w:rsidRPr="004410BC">
              <w:rPr>
                <w:sz w:val="22"/>
                <w:szCs w:val="22"/>
              </w:rPr>
              <w:t xml:space="preserve">To investigate experiences around the interplay of Long Covid illness and structural vulnerabilities among ethnic minorities   </w:t>
            </w:r>
          </w:p>
        </w:tc>
        <w:tc>
          <w:tcPr>
            <w:tcW w:w="5443" w:type="dxa"/>
            <w:noWrap/>
            <w:hideMark/>
          </w:tcPr>
          <w:p w14:paraId="04F3237D" w14:textId="77777777" w:rsidR="00093FEE" w:rsidRPr="004410BC" w:rsidRDefault="00093FEE" w:rsidP="00236C76">
            <w:pPr>
              <w:rPr>
                <w:sz w:val="22"/>
                <w:szCs w:val="22"/>
              </w:rPr>
            </w:pPr>
            <w:r w:rsidRPr="004410BC">
              <w:rPr>
                <w:sz w:val="22"/>
                <w:szCs w:val="22"/>
              </w:rPr>
              <w:t xml:space="preserve">Semi-structured online interviews; constant comparison analysis   </w:t>
            </w:r>
          </w:p>
        </w:tc>
        <w:tc>
          <w:tcPr>
            <w:tcW w:w="368" w:type="dxa"/>
            <w:noWrap/>
            <w:hideMark/>
          </w:tcPr>
          <w:p w14:paraId="7EA52762" w14:textId="77777777" w:rsidR="00093FEE" w:rsidRPr="004410BC" w:rsidRDefault="00093FEE" w:rsidP="00236C76">
            <w:pPr>
              <w:rPr>
                <w:sz w:val="22"/>
                <w:szCs w:val="22"/>
              </w:rPr>
            </w:pPr>
            <w:r w:rsidRPr="004410BC">
              <w:rPr>
                <w:sz w:val="22"/>
                <w:szCs w:val="22"/>
              </w:rPr>
              <w:t>31</w:t>
            </w:r>
          </w:p>
        </w:tc>
        <w:tc>
          <w:tcPr>
            <w:tcW w:w="9365" w:type="dxa"/>
            <w:noWrap/>
            <w:hideMark/>
          </w:tcPr>
          <w:p w14:paraId="20E4C48D" w14:textId="77777777" w:rsidR="00093FEE" w:rsidRPr="004410BC" w:rsidRDefault="00093FEE" w:rsidP="00236C76">
            <w:pPr>
              <w:rPr>
                <w:sz w:val="22"/>
                <w:szCs w:val="22"/>
              </w:rPr>
            </w:pPr>
            <w:r w:rsidRPr="004410BC">
              <w:rPr>
                <w:sz w:val="22"/>
                <w:szCs w:val="22"/>
              </w:rPr>
              <w:t xml:space="preserve">Found widespread systemic "medical ambivalence" and care denial in the NHS, resulting in increased suffering and isolation for ethnic minorities.  </w:t>
            </w:r>
          </w:p>
        </w:tc>
      </w:tr>
      <w:tr w:rsidR="00093FEE" w:rsidRPr="004410BC" w14:paraId="03636372" w14:textId="77777777" w:rsidTr="00006094">
        <w:trPr>
          <w:trHeight w:val="250"/>
        </w:trPr>
        <w:tc>
          <w:tcPr>
            <w:tcW w:w="6049" w:type="dxa"/>
            <w:noWrap/>
            <w:hideMark/>
          </w:tcPr>
          <w:p w14:paraId="751554D4" w14:textId="77777777" w:rsidR="00093FEE" w:rsidRPr="004410BC" w:rsidRDefault="00093FEE" w:rsidP="00236C76">
            <w:pPr>
              <w:rPr>
                <w:sz w:val="22"/>
                <w:szCs w:val="22"/>
              </w:rPr>
            </w:pPr>
            <w:r w:rsidRPr="004410BC">
              <w:rPr>
                <w:sz w:val="22"/>
                <w:szCs w:val="22"/>
              </w:rPr>
              <w:t xml:space="preserve">A qualitative exploration of the barriers and facilitators affecting ethnic minority patient groups when accessing medicine review services: Perspectives of healthcare professionals   </w:t>
            </w:r>
          </w:p>
        </w:tc>
        <w:tc>
          <w:tcPr>
            <w:tcW w:w="368" w:type="dxa"/>
            <w:noWrap/>
            <w:hideMark/>
          </w:tcPr>
          <w:p w14:paraId="4E64392F" w14:textId="77777777" w:rsidR="00093FEE" w:rsidRPr="004410BC" w:rsidRDefault="00093FEE" w:rsidP="00236C76">
            <w:pPr>
              <w:rPr>
                <w:sz w:val="22"/>
                <w:szCs w:val="22"/>
              </w:rPr>
            </w:pPr>
            <w:r w:rsidRPr="004410BC">
              <w:rPr>
                <w:sz w:val="22"/>
                <w:szCs w:val="22"/>
              </w:rPr>
              <w:t>2022</w:t>
            </w:r>
          </w:p>
        </w:tc>
        <w:tc>
          <w:tcPr>
            <w:tcW w:w="2175" w:type="dxa"/>
            <w:noWrap/>
            <w:hideMark/>
          </w:tcPr>
          <w:p w14:paraId="75F2ADB1" w14:textId="77777777" w:rsidR="00093FEE" w:rsidRPr="004410BC" w:rsidRDefault="00093FEE" w:rsidP="00236C76">
            <w:pPr>
              <w:rPr>
                <w:sz w:val="22"/>
                <w:szCs w:val="22"/>
              </w:rPr>
            </w:pPr>
            <w:r w:rsidRPr="004410BC">
              <w:rPr>
                <w:sz w:val="22"/>
                <w:szCs w:val="22"/>
              </w:rPr>
              <w:t xml:space="preserve">Health Expectations   </w:t>
            </w:r>
          </w:p>
        </w:tc>
        <w:tc>
          <w:tcPr>
            <w:tcW w:w="368" w:type="dxa"/>
            <w:noWrap/>
            <w:hideMark/>
          </w:tcPr>
          <w:p w14:paraId="79FE5589" w14:textId="77777777" w:rsidR="00093FEE" w:rsidRPr="004410BC" w:rsidRDefault="00093FEE" w:rsidP="00236C76">
            <w:pPr>
              <w:rPr>
                <w:sz w:val="22"/>
                <w:szCs w:val="22"/>
              </w:rPr>
            </w:pPr>
            <w:r w:rsidRPr="004410BC">
              <w:rPr>
                <w:sz w:val="22"/>
                <w:szCs w:val="22"/>
              </w:rPr>
              <w:t>25</w:t>
            </w:r>
          </w:p>
        </w:tc>
        <w:tc>
          <w:tcPr>
            <w:tcW w:w="462" w:type="dxa"/>
            <w:noWrap/>
            <w:hideMark/>
          </w:tcPr>
          <w:p w14:paraId="2D245AE3" w14:textId="77777777" w:rsidR="00093FEE" w:rsidRPr="004410BC" w:rsidRDefault="00093FEE" w:rsidP="00236C76">
            <w:pPr>
              <w:rPr>
                <w:sz w:val="22"/>
                <w:szCs w:val="22"/>
              </w:rPr>
            </w:pPr>
            <w:r w:rsidRPr="004410BC">
              <w:rPr>
                <w:sz w:val="22"/>
                <w:szCs w:val="22"/>
              </w:rPr>
              <w:t>2</w:t>
            </w:r>
          </w:p>
        </w:tc>
        <w:tc>
          <w:tcPr>
            <w:tcW w:w="882" w:type="dxa"/>
            <w:noWrap/>
            <w:hideMark/>
          </w:tcPr>
          <w:p w14:paraId="66BF8284" w14:textId="77777777" w:rsidR="00093FEE" w:rsidRPr="004410BC" w:rsidRDefault="00093FEE" w:rsidP="00236C76">
            <w:pPr>
              <w:rPr>
                <w:sz w:val="22"/>
                <w:szCs w:val="22"/>
              </w:rPr>
            </w:pPr>
            <w:r w:rsidRPr="004410BC">
              <w:rPr>
                <w:sz w:val="22"/>
                <w:szCs w:val="22"/>
              </w:rPr>
              <w:t xml:space="preserve">Newcastle upon Tyne, UK   </w:t>
            </w:r>
          </w:p>
        </w:tc>
        <w:tc>
          <w:tcPr>
            <w:tcW w:w="1694" w:type="dxa"/>
            <w:noWrap/>
            <w:hideMark/>
          </w:tcPr>
          <w:p w14:paraId="5BFEE9CD" w14:textId="77777777" w:rsidR="00093FEE" w:rsidRPr="004410BC" w:rsidRDefault="00093FEE" w:rsidP="00236C76">
            <w:pPr>
              <w:rPr>
                <w:sz w:val="22"/>
                <w:szCs w:val="22"/>
              </w:rPr>
            </w:pPr>
            <w:r w:rsidRPr="004410BC">
              <w:rPr>
                <w:sz w:val="22"/>
                <w:szCs w:val="22"/>
              </w:rPr>
              <w:t xml:space="preserve">Qualitative exploration study   </w:t>
            </w:r>
          </w:p>
        </w:tc>
        <w:tc>
          <w:tcPr>
            <w:tcW w:w="4506" w:type="dxa"/>
            <w:noWrap/>
            <w:hideMark/>
          </w:tcPr>
          <w:p w14:paraId="5D5C543C" w14:textId="77777777" w:rsidR="00093FEE" w:rsidRPr="004410BC" w:rsidRDefault="00093FEE" w:rsidP="00236C76">
            <w:pPr>
              <w:rPr>
                <w:sz w:val="22"/>
                <w:szCs w:val="22"/>
              </w:rPr>
            </w:pPr>
            <w:r w:rsidRPr="004410BC">
              <w:rPr>
                <w:sz w:val="22"/>
                <w:szCs w:val="22"/>
              </w:rPr>
              <w:t xml:space="preserve">To explore HCP perspectives on barriers/facilitators affecting ethnic minority patient access to medicine review services   </w:t>
            </w:r>
          </w:p>
        </w:tc>
        <w:tc>
          <w:tcPr>
            <w:tcW w:w="5443" w:type="dxa"/>
            <w:noWrap/>
            <w:hideMark/>
          </w:tcPr>
          <w:p w14:paraId="3A1857D1" w14:textId="77777777" w:rsidR="00093FEE" w:rsidRPr="004410BC" w:rsidRDefault="00093FEE" w:rsidP="00236C76">
            <w:pPr>
              <w:rPr>
                <w:sz w:val="22"/>
                <w:szCs w:val="22"/>
              </w:rPr>
            </w:pPr>
            <w:r w:rsidRPr="004410BC">
              <w:rPr>
                <w:sz w:val="22"/>
                <w:szCs w:val="22"/>
              </w:rPr>
              <w:t xml:space="preserve">Semi-structured telephone/video interviews; reflexive thematic analysis   </w:t>
            </w:r>
          </w:p>
        </w:tc>
        <w:tc>
          <w:tcPr>
            <w:tcW w:w="368" w:type="dxa"/>
            <w:noWrap/>
            <w:hideMark/>
          </w:tcPr>
          <w:p w14:paraId="52EDB47B" w14:textId="77777777" w:rsidR="00093FEE" w:rsidRPr="004410BC" w:rsidRDefault="00093FEE" w:rsidP="00236C76">
            <w:pPr>
              <w:rPr>
                <w:sz w:val="22"/>
                <w:szCs w:val="22"/>
              </w:rPr>
            </w:pPr>
            <w:r w:rsidRPr="004410BC">
              <w:rPr>
                <w:sz w:val="22"/>
                <w:szCs w:val="22"/>
              </w:rPr>
              <w:t>18</w:t>
            </w:r>
          </w:p>
        </w:tc>
        <w:tc>
          <w:tcPr>
            <w:tcW w:w="9365" w:type="dxa"/>
            <w:noWrap/>
            <w:hideMark/>
          </w:tcPr>
          <w:p w14:paraId="0431BE6F" w14:textId="77777777" w:rsidR="00093FEE" w:rsidRPr="004410BC" w:rsidRDefault="00093FEE" w:rsidP="00236C76">
            <w:pPr>
              <w:rPr>
                <w:sz w:val="22"/>
                <w:szCs w:val="22"/>
              </w:rPr>
            </w:pPr>
            <w:r w:rsidRPr="004410BC">
              <w:rPr>
                <w:sz w:val="22"/>
                <w:szCs w:val="22"/>
              </w:rPr>
              <w:t xml:space="preserve">Found that access is hindered by differing patient expectations, cultural stigma regarding conditions, and a lack of individualized communication strategies.  </w:t>
            </w:r>
          </w:p>
        </w:tc>
      </w:tr>
      <w:tr w:rsidR="00093FEE" w:rsidRPr="004410BC" w14:paraId="3ED4EF96" w14:textId="77777777" w:rsidTr="00006094">
        <w:trPr>
          <w:trHeight w:val="250"/>
        </w:trPr>
        <w:tc>
          <w:tcPr>
            <w:tcW w:w="6049" w:type="dxa"/>
            <w:noWrap/>
            <w:hideMark/>
          </w:tcPr>
          <w:p w14:paraId="16EACBF5" w14:textId="77777777" w:rsidR="00093FEE" w:rsidRPr="004410BC" w:rsidRDefault="00093FEE" w:rsidP="00236C76">
            <w:pPr>
              <w:rPr>
                <w:sz w:val="22"/>
                <w:szCs w:val="22"/>
              </w:rPr>
            </w:pPr>
            <w:r w:rsidRPr="004410BC">
              <w:rPr>
                <w:sz w:val="22"/>
                <w:szCs w:val="22"/>
              </w:rPr>
              <w:t xml:space="preserve">He or she maybe doesn't know there is such a thing as a review': A qualitative investigation exploring barriers and facilitators to accessing medication reviews...   </w:t>
            </w:r>
          </w:p>
        </w:tc>
        <w:tc>
          <w:tcPr>
            <w:tcW w:w="368" w:type="dxa"/>
            <w:noWrap/>
            <w:hideMark/>
          </w:tcPr>
          <w:p w14:paraId="489F2AAE" w14:textId="77777777" w:rsidR="00093FEE" w:rsidRPr="004410BC" w:rsidRDefault="00093FEE" w:rsidP="00236C76">
            <w:pPr>
              <w:rPr>
                <w:sz w:val="22"/>
                <w:szCs w:val="22"/>
              </w:rPr>
            </w:pPr>
            <w:r w:rsidRPr="004410BC">
              <w:rPr>
                <w:sz w:val="22"/>
                <w:szCs w:val="22"/>
              </w:rPr>
              <w:t>2022</w:t>
            </w:r>
          </w:p>
        </w:tc>
        <w:tc>
          <w:tcPr>
            <w:tcW w:w="2175" w:type="dxa"/>
            <w:noWrap/>
            <w:hideMark/>
          </w:tcPr>
          <w:p w14:paraId="1D35234A" w14:textId="77777777" w:rsidR="00093FEE" w:rsidRPr="004410BC" w:rsidRDefault="00093FEE" w:rsidP="00236C76">
            <w:pPr>
              <w:rPr>
                <w:sz w:val="22"/>
                <w:szCs w:val="22"/>
              </w:rPr>
            </w:pPr>
            <w:r w:rsidRPr="004410BC">
              <w:rPr>
                <w:sz w:val="22"/>
                <w:szCs w:val="22"/>
              </w:rPr>
              <w:t xml:space="preserve">Health Expectations   </w:t>
            </w:r>
          </w:p>
        </w:tc>
        <w:tc>
          <w:tcPr>
            <w:tcW w:w="368" w:type="dxa"/>
            <w:noWrap/>
            <w:hideMark/>
          </w:tcPr>
          <w:p w14:paraId="1A978BB4" w14:textId="77777777" w:rsidR="00093FEE" w:rsidRPr="004410BC" w:rsidRDefault="00093FEE" w:rsidP="00236C76">
            <w:pPr>
              <w:rPr>
                <w:sz w:val="22"/>
                <w:szCs w:val="22"/>
              </w:rPr>
            </w:pPr>
            <w:r w:rsidRPr="004410BC">
              <w:rPr>
                <w:sz w:val="22"/>
                <w:szCs w:val="22"/>
              </w:rPr>
              <w:t>25</w:t>
            </w:r>
          </w:p>
        </w:tc>
        <w:tc>
          <w:tcPr>
            <w:tcW w:w="462" w:type="dxa"/>
            <w:noWrap/>
            <w:hideMark/>
          </w:tcPr>
          <w:p w14:paraId="42D7263F" w14:textId="77777777" w:rsidR="00093FEE" w:rsidRPr="004410BC" w:rsidRDefault="00093FEE" w:rsidP="00236C76">
            <w:pPr>
              <w:rPr>
                <w:sz w:val="22"/>
                <w:szCs w:val="22"/>
              </w:rPr>
            </w:pPr>
            <w:r w:rsidRPr="004410BC">
              <w:rPr>
                <w:sz w:val="22"/>
                <w:szCs w:val="22"/>
              </w:rPr>
              <w:t>4</w:t>
            </w:r>
          </w:p>
        </w:tc>
        <w:tc>
          <w:tcPr>
            <w:tcW w:w="882" w:type="dxa"/>
            <w:noWrap/>
            <w:hideMark/>
          </w:tcPr>
          <w:p w14:paraId="52E31F05" w14:textId="77777777" w:rsidR="00093FEE" w:rsidRPr="004410BC" w:rsidRDefault="00093FEE" w:rsidP="00236C76">
            <w:pPr>
              <w:rPr>
                <w:sz w:val="22"/>
                <w:szCs w:val="22"/>
              </w:rPr>
            </w:pPr>
            <w:r w:rsidRPr="004410BC">
              <w:rPr>
                <w:sz w:val="22"/>
                <w:szCs w:val="22"/>
              </w:rPr>
              <w:t xml:space="preserve">United Kingdom   </w:t>
            </w:r>
          </w:p>
        </w:tc>
        <w:tc>
          <w:tcPr>
            <w:tcW w:w="1694" w:type="dxa"/>
            <w:noWrap/>
            <w:hideMark/>
          </w:tcPr>
          <w:p w14:paraId="6E29DE60" w14:textId="77777777" w:rsidR="00093FEE" w:rsidRPr="004410BC" w:rsidRDefault="00093FEE" w:rsidP="00236C76">
            <w:pPr>
              <w:rPr>
                <w:sz w:val="22"/>
                <w:szCs w:val="22"/>
              </w:rPr>
            </w:pPr>
            <w:r w:rsidRPr="004410BC">
              <w:rPr>
                <w:sz w:val="22"/>
                <w:szCs w:val="22"/>
              </w:rPr>
              <w:t xml:space="preserve">Qualitative investigation study   </w:t>
            </w:r>
          </w:p>
        </w:tc>
        <w:tc>
          <w:tcPr>
            <w:tcW w:w="4506" w:type="dxa"/>
            <w:noWrap/>
            <w:hideMark/>
          </w:tcPr>
          <w:p w14:paraId="574507BA" w14:textId="77777777" w:rsidR="00093FEE" w:rsidRPr="004410BC" w:rsidRDefault="00093FEE" w:rsidP="00236C76">
            <w:pPr>
              <w:rPr>
                <w:sz w:val="22"/>
                <w:szCs w:val="22"/>
              </w:rPr>
            </w:pPr>
            <w:r w:rsidRPr="004410BC">
              <w:rPr>
                <w:sz w:val="22"/>
                <w:szCs w:val="22"/>
              </w:rPr>
              <w:t xml:space="preserve">To explore barriers and facilitators to accessing medication reviews from the perspective of ethnic minority patients   </w:t>
            </w:r>
          </w:p>
        </w:tc>
        <w:tc>
          <w:tcPr>
            <w:tcW w:w="5443" w:type="dxa"/>
            <w:noWrap/>
            <w:hideMark/>
          </w:tcPr>
          <w:p w14:paraId="0E465858" w14:textId="77777777" w:rsidR="00093FEE" w:rsidRPr="004410BC" w:rsidRDefault="00093FEE" w:rsidP="00236C76">
            <w:pPr>
              <w:rPr>
                <w:sz w:val="22"/>
                <w:szCs w:val="22"/>
              </w:rPr>
            </w:pPr>
            <w:r w:rsidRPr="004410BC">
              <w:rPr>
                <w:sz w:val="22"/>
                <w:szCs w:val="22"/>
              </w:rPr>
              <w:t xml:space="preserve">Semi-structured interviews (in person, phone, or video); reflexive thematic analysis   </w:t>
            </w:r>
          </w:p>
        </w:tc>
        <w:tc>
          <w:tcPr>
            <w:tcW w:w="368" w:type="dxa"/>
            <w:noWrap/>
            <w:hideMark/>
          </w:tcPr>
          <w:p w14:paraId="3BB7DF6B" w14:textId="77777777" w:rsidR="00093FEE" w:rsidRPr="004410BC" w:rsidRDefault="00093FEE" w:rsidP="00236C76">
            <w:pPr>
              <w:rPr>
                <w:sz w:val="22"/>
                <w:szCs w:val="22"/>
              </w:rPr>
            </w:pPr>
            <w:r w:rsidRPr="004410BC">
              <w:rPr>
                <w:sz w:val="22"/>
                <w:szCs w:val="22"/>
              </w:rPr>
              <w:t>20</w:t>
            </w:r>
          </w:p>
        </w:tc>
        <w:tc>
          <w:tcPr>
            <w:tcW w:w="9365" w:type="dxa"/>
            <w:noWrap/>
            <w:hideMark/>
          </w:tcPr>
          <w:p w14:paraId="1802CF3C" w14:textId="77777777" w:rsidR="00093FEE" w:rsidRPr="004410BC" w:rsidRDefault="00093FEE" w:rsidP="00236C76">
            <w:pPr>
              <w:rPr>
                <w:sz w:val="22"/>
                <w:szCs w:val="22"/>
              </w:rPr>
            </w:pPr>
            <w:r w:rsidRPr="004410BC">
              <w:rPr>
                <w:sz w:val="22"/>
                <w:szCs w:val="22"/>
              </w:rPr>
              <w:t xml:space="preserve">Access was hindered by a severe lack of awareness about the existence of reviews, service delivery issues, and a lack of consideration for patients' lived experiences.  </w:t>
            </w:r>
          </w:p>
        </w:tc>
      </w:tr>
      <w:tr w:rsidR="00093FEE" w:rsidRPr="004410BC" w14:paraId="69FF38D1" w14:textId="77777777" w:rsidTr="00006094">
        <w:trPr>
          <w:trHeight w:val="250"/>
        </w:trPr>
        <w:tc>
          <w:tcPr>
            <w:tcW w:w="6049" w:type="dxa"/>
            <w:noWrap/>
            <w:hideMark/>
          </w:tcPr>
          <w:p w14:paraId="09F82F94" w14:textId="77777777" w:rsidR="00093FEE" w:rsidRPr="004410BC" w:rsidRDefault="00093FEE" w:rsidP="00236C76">
            <w:pPr>
              <w:rPr>
                <w:sz w:val="22"/>
                <w:szCs w:val="22"/>
              </w:rPr>
            </w:pPr>
            <w:r w:rsidRPr="004410BC">
              <w:rPr>
                <w:sz w:val="22"/>
                <w:szCs w:val="22"/>
              </w:rPr>
              <w:t xml:space="preserve">Exploring the experiences and preferences of South Asian patients' of primary care in England since COVID-19   </w:t>
            </w:r>
          </w:p>
        </w:tc>
        <w:tc>
          <w:tcPr>
            <w:tcW w:w="368" w:type="dxa"/>
            <w:noWrap/>
            <w:hideMark/>
          </w:tcPr>
          <w:p w14:paraId="1145EB54" w14:textId="77777777" w:rsidR="00093FEE" w:rsidRPr="004410BC" w:rsidRDefault="00093FEE" w:rsidP="00236C76">
            <w:pPr>
              <w:rPr>
                <w:sz w:val="22"/>
                <w:szCs w:val="22"/>
              </w:rPr>
            </w:pPr>
            <w:r w:rsidRPr="004410BC">
              <w:rPr>
                <w:sz w:val="22"/>
                <w:szCs w:val="22"/>
              </w:rPr>
              <w:t>2024</w:t>
            </w:r>
          </w:p>
        </w:tc>
        <w:tc>
          <w:tcPr>
            <w:tcW w:w="2175" w:type="dxa"/>
            <w:noWrap/>
            <w:hideMark/>
          </w:tcPr>
          <w:p w14:paraId="4261AF96" w14:textId="77777777" w:rsidR="00093FEE" w:rsidRPr="004410BC" w:rsidRDefault="00093FEE" w:rsidP="00236C76">
            <w:pPr>
              <w:rPr>
                <w:sz w:val="22"/>
                <w:szCs w:val="22"/>
              </w:rPr>
            </w:pPr>
            <w:r w:rsidRPr="004410BC">
              <w:rPr>
                <w:sz w:val="22"/>
                <w:szCs w:val="22"/>
              </w:rPr>
              <w:t xml:space="preserve">Health Expectations   </w:t>
            </w:r>
          </w:p>
        </w:tc>
        <w:tc>
          <w:tcPr>
            <w:tcW w:w="368" w:type="dxa"/>
            <w:noWrap/>
            <w:hideMark/>
          </w:tcPr>
          <w:p w14:paraId="3899DE91" w14:textId="77777777" w:rsidR="00093FEE" w:rsidRPr="004410BC" w:rsidRDefault="00093FEE" w:rsidP="00236C76">
            <w:pPr>
              <w:rPr>
                <w:sz w:val="22"/>
                <w:szCs w:val="22"/>
              </w:rPr>
            </w:pPr>
            <w:r w:rsidRPr="004410BC">
              <w:rPr>
                <w:sz w:val="22"/>
                <w:szCs w:val="22"/>
              </w:rPr>
              <w:t>27</w:t>
            </w:r>
          </w:p>
        </w:tc>
        <w:tc>
          <w:tcPr>
            <w:tcW w:w="462" w:type="dxa"/>
            <w:noWrap/>
            <w:hideMark/>
          </w:tcPr>
          <w:p w14:paraId="01FC28B0" w14:textId="77777777" w:rsidR="00093FEE" w:rsidRPr="004410BC" w:rsidRDefault="00093FEE" w:rsidP="00236C76">
            <w:pPr>
              <w:rPr>
                <w:sz w:val="22"/>
                <w:szCs w:val="22"/>
              </w:rPr>
            </w:pPr>
            <w:r w:rsidRPr="004410BC">
              <w:rPr>
                <w:sz w:val="22"/>
                <w:szCs w:val="22"/>
              </w:rPr>
              <w:t>Not Specified</w:t>
            </w:r>
          </w:p>
        </w:tc>
        <w:tc>
          <w:tcPr>
            <w:tcW w:w="882" w:type="dxa"/>
            <w:noWrap/>
            <w:hideMark/>
          </w:tcPr>
          <w:p w14:paraId="41B18A68" w14:textId="77777777" w:rsidR="00093FEE" w:rsidRPr="004410BC" w:rsidRDefault="00093FEE" w:rsidP="00236C76">
            <w:pPr>
              <w:rPr>
                <w:sz w:val="22"/>
                <w:szCs w:val="22"/>
              </w:rPr>
            </w:pPr>
            <w:r w:rsidRPr="004410BC">
              <w:rPr>
                <w:sz w:val="22"/>
                <w:szCs w:val="22"/>
              </w:rPr>
              <w:t xml:space="preserve">England   </w:t>
            </w:r>
          </w:p>
        </w:tc>
        <w:tc>
          <w:tcPr>
            <w:tcW w:w="1694" w:type="dxa"/>
            <w:noWrap/>
            <w:hideMark/>
          </w:tcPr>
          <w:p w14:paraId="5317808A" w14:textId="77777777" w:rsidR="00093FEE" w:rsidRPr="004410BC" w:rsidRDefault="00093FEE" w:rsidP="00236C76">
            <w:pPr>
              <w:rPr>
                <w:sz w:val="22"/>
                <w:szCs w:val="22"/>
              </w:rPr>
            </w:pPr>
            <w:r w:rsidRPr="004410BC">
              <w:rPr>
                <w:sz w:val="22"/>
                <w:szCs w:val="22"/>
              </w:rPr>
              <w:t xml:space="preserve">Qualitative study   </w:t>
            </w:r>
          </w:p>
        </w:tc>
        <w:tc>
          <w:tcPr>
            <w:tcW w:w="4506" w:type="dxa"/>
            <w:noWrap/>
            <w:hideMark/>
          </w:tcPr>
          <w:p w14:paraId="47AB06EC" w14:textId="77777777" w:rsidR="00093FEE" w:rsidRPr="004410BC" w:rsidRDefault="00093FEE" w:rsidP="00236C76">
            <w:pPr>
              <w:rPr>
                <w:sz w:val="22"/>
                <w:szCs w:val="22"/>
              </w:rPr>
            </w:pPr>
            <w:r w:rsidRPr="004410BC">
              <w:rPr>
                <w:sz w:val="22"/>
                <w:szCs w:val="22"/>
              </w:rPr>
              <w:t xml:space="preserve">To understand the primary care remote consultation experiences and needs of South Asian patients   </w:t>
            </w:r>
          </w:p>
        </w:tc>
        <w:tc>
          <w:tcPr>
            <w:tcW w:w="5443" w:type="dxa"/>
            <w:noWrap/>
            <w:hideMark/>
          </w:tcPr>
          <w:p w14:paraId="07356EF1" w14:textId="77777777" w:rsidR="00093FEE" w:rsidRPr="004410BC" w:rsidRDefault="00093FEE" w:rsidP="00236C76">
            <w:pPr>
              <w:rPr>
                <w:sz w:val="22"/>
                <w:szCs w:val="22"/>
              </w:rPr>
            </w:pPr>
            <w:r w:rsidRPr="004410BC">
              <w:rPr>
                <w:sz w:val="22"/>
                <w:szCs w:val="22"/>
              </w:rPr>
              <w:t xml:space="preserve">Preferred-language focus groups or remote semi-structured interviews; thematic analysis   </w:t>
            </w:r>
          </w:p>
        </w:tc>
        <w:tc>
          <w:tcPr>
            <w:tcW w:w="368" w:type="dxa"/>
            <w:noWrap/>
            <w:hideMark/>
          </w:tcPr>
          <w:p w14:paraId="27EDD9E9" w14:textId="77777777" w:rsidR="00093FEE" w:rsidRPr="004410BC" w:rsidRDefault="00093FEE" w:rsidP="00236C76">
            <w:pPr>
              <w:rPr>
                <w:sz w:val="22"/>
                <w:szCs w:val="22"/>
              </w:rPr>
            </w:pPr>
            <w:r w:rsidRPr="004410BC">
              <w:rPr>
                <w:sz w:val="22"/>
                <w:szCs w:val="22"/>
              </w:rPr>
              <w:t>37</w:t>
            </w:r>
          </w:p>
        </w:tc>
        <w:tc>
          <w:tcPr>
            <w:tcW w:w="9365" w:type="dxa"/>
            <w:noWrap/>
            <w:hideMark/>
          </w:tcPr>
          <w:p w14:paraId="6ACD889F" w14:textId="77777777" w:rsidR="00093FEE" w:rsidRPr="004410BC" w:rsidRDefault="00093FEE" w:rsidP="00236C76">
            <w:pPr>
              <w:rPr>
                <w:sz w:val="22"/>
                <w:szCs w:val="22"/>
              </w:rPr>
            </w:pPr>
            <w:r w:rsidRPr="004410BC">
              <w:rPr>
                <w:sz w:val="22"/>
                <w:szCs w:val="22"/>
              </w:rPr>
              <w:t xml:space="preserve">Remote-first policies reduced care access/patient choice, generated safety concerns, and disproportionately harmed patients with limited English proficiency.  </w:t>
            </w:r>
          </w:p>
        </w:tc>
      </w:tr>
    </w:tbl>
    <w:p w14:paraId="20090833" w14:textId="77777777" w:rsidR="00AE3240" w:rsidRPr="004410BC" w:rsidRDefault="00AE3240" w:rsidP="00236C76">
      <w:pPr>
        <w:rPr>
          <w:rFonts w:cs="Arial"/>
        </w:rPr>
      </w:pPr>
    </w:p>
    <w:p w14:paraId="50EFB39F" w14:textId="2A71E91D" w:rsidR="009F64C5" w:rsidRPr="004410BC" w:rsidRDefault="009F64C5" w:rsidP="00236C76">
      <w:pPr>
        <w:spacing w:after="158"/>
        <w:rPr>
          <w:rFonts w:cs="Arial"/>
        </w:rPr>
      </w:pPr>
    </w:p>
    <w:p w14:paraId="16CAB32E" w14:textId="77777777" w:rsidR="009F64C5" w:rsidRPr="004410BC" w:rsidRDefault="009F64C5" w:rsidP="00236C76">
      <w:pPr>
        <w:rPr>
          <w:rFonts w:cs="Arial"/>
        </w:rPr>
      </w:pPr>
      <w:r w:rsidRPr="004410BC">
        <w:rPr>
          <w:rFonts w:eastAsia="Calibri" w:cs="Arial"/>
        </w:rPr>
        <w:t xml:space="preserve"> </w:t>
      </w:r>
    </w:p>
    <w:p w14:paraId="7948AC12" w14:textId="77777777" w:rsidR="009F64C5" w:rsidRPr="004410BC" w:rsidRDefault="009F64C5" w:rsidP="00236C76">
      <w:pPr>
        <w:spacing w:after="158"/>
        <w:rPr>
          <w:rFonts w:cs="Arial"/>
        </w:rPr>
      </w:pPr>
      <w:r w:rsidRPr="004410BC">
        <w:rPr>
          <w:rFonts w:eastAsia="Calibri" w:cs="Arial"/>
        </w:rPr>
        <w:t xml:space="preserve"> </w:t>
      </w:r>
    </w:p>
    <w:p w14:paraId="73FE2FDD" w14:textId="77777777" w:rsidR="009F64C5" w:rsidRPr="004410BC" w:rsidRDefault="009F64C5" w:rsidP="00236C76">
      <w:pPr>
        <w:rPr>
          <w:rFonts w:cs="Arial"/>
        </w:rPr>
      </w:pPr>
      <w:r w:rsidRPr="004410BC">
        <w:rPr>
          <w:rFonts w:eastAsia="Calibri" w:cs="Arial"/>
        </w:rPr>
        <w:t xml:space="preserve"> </w:t>
      </w:r>
    </w:p>
    <w:p w14:paraId="797F1EE7" w14:textId="77777777" w:rsidR="009F64C5" w:rsidRPr="004410BC" w:rsidRDefault="009F64C5" w:rsidP="00236C76">
      <w:pPr>
        <w:spacing w:after="158"/>
        <w:rPr>
          <w:rFonts w:cs="Arial"/>
        </w:rPr>
      </w:pPr>
      <w:r w:rsidRPr="004410BC">
        <w:rPr>
          <w:rFonts w:eastAsia="Calibri" w:cs="Arial"/>
        </w:rPr>
        <w:t xml:space="preserve"> </w:t>
      </w:r>
    </w:p>
    <w:p w14:paraId="1CD17A3B" w14:textId="77777777" w:rsidR="009F64C5" w:rsidRPr="004410BC" w:rsidRDefault="009F64C5" w:rsidP="00236C76">
      <w:pPr>
        <w:rPr>
          <w:rFonts w:cs="Arial"/>
        </w:rPr>
      </w:pPr>
      <w:r w:rsidRPr="004410BC">
        <w:rPr>
          <w:rFonts w:eastAsia="Calibri" w:cs="Arial"/>
        </w:rPr>
        <w:t xml:space="preserve"> </w:t>
      </w:r>
    </w:p>
    <w:p w14:paraId="2B4AFC15" w14:textId="77777777" w:rsidR="009F64C5" w:rsidRPr="004410BC" w:rsidRDefault="009F64C5" w:rsidP="00236C76">
      <w:pPr>
        <w:spacing w:after="158"/>
        <w:rPr>
          <w:rFonts w:cs="Arial"/>
        </w:rPr>
      </w:pPr>
      <w:r w:rsidRPr="004410BC">
        <w:rPr>
          <w:rFonts w:eastAsia="Calibri" w:cs="Arial"/>
        </w:rPr>
        <w:t xml:space="preserve"> </w:t>
      </w:r>
    </w:p>
    <w:p w14:paraId="76B57284" w14:textId="77777777" w:rsidR="009F64C5" w:rsidRPr="004410BC" w:rsidRDefault="009F64C5" w:rsidP="00236C76">
      <w:pPr>
        <w:spacing w:after="158"/>
        <w:rPr>
          <w:rFonts w:cs="Arial"/>
        </w:rPr>
      </w:pPr>
      <w:r w:rsidRPr="004410BC">
        <w:rPr>
          <w:rFonts w:eastAsia="Calibri" w:cs="Arial"/>
        </w:rPr>
        <w:t xml:space="preserve"> </w:t>
      </w:r>
    </w:p>
    <w:p w14:paraId="29F71755" w14:textId="77777777" w:rsidR="009F64C5" w:rsidRPr="004410BC" w:rsidRDefault="009F64C5" w:rsidP="00236C76">
      <w:pPr>
        <w:rPr>
          <w:rFonts w:cs="Arial"/>
        </w:rPr>
      </w:pPr>
      <w:r w:rsidRPr="004410BC">
        <w:rPr>
          <w:rFonts w:eastAsia="Calibri" w:cs="Arial"/>
        </w:rPr>
        <w:t xml:space="preserve"> </w:t>
      </w:r>
    </w:p>
    <w:p w14:paraId="0746E895" w14:textId="77777777" w:rsidR="009F64C5" w:rsidRPr="004410BC" w:rsidRDefault="009F64C5" w:rsidP="00236C76">
      <w:pPr>
        <w:spacing w:after="158"/>
        <w:rPr>
          <w:rFonts w:cs="Arial"/>
        </w:rPr>
      </w:pPr>
      <w:r w:rsidRPr="004410BC">
        <w:rPr>
          <w:rFonts w:eastAsia="Calibri" w:cs="Arial"/>
        </w:rPr>
        <w:t xml:space="preserve"> </w:t>
      </w:r>
    </w:p>
    <w:p w14:paraId="4655414B" w14:textId="77777777" w:rsidR="009F64C5" w:rsidRPr="004410BC" w:rsidRDefault="009F64C5" w:rsidP="00236C76">
      <w:pPr>
        <w:rPr>
          <w:rFonts w:cs="Arial"/>
        </w:rPr>
      </w:pPr>
      <w:r w:rsidRPr="004410BC">
        <w:rPr>
          <w:rFonts w:eastAsia="Calibri" w:cs="Arial"/>
        </w:rPr>
        <w:t xml:space="preserve"> </w:t>
      </w:r>
    </w:p>
    <w:p w14:paraId="4FB6B7AE" w14:textId="77777777" w:rsidR="009F64C5" w:rsidRPr="004410BC" w:rsidRDefault="009F64C5" w:rsidP="00236C76">
      <w:pPr>
        <w:spacing w:after="158"/>
        <w:rPr>
          <w:rFonts w:cs="Arial"/>
        </w:rPr>
      </w:pPr>
      <w:r w:rsidRPr="004410BC">
        <w:rPr>
          <w:rFonts w:eastAsia="Calibri" w:cs="Arial"/>
        </w:rPr>
        <w:t xml:space="preserve"> </w:t>
      </w:r>
    </w:p>
    <w:p w14:paraId="2FB17B75" w14:textId="77777777" w:rsidR="009F64C5" w:rsidRPr="004410BC" w:rsidRDefault="009F64C5" w:rsidP="00236C76">
      <w:pPr>
        <w:spacing w:after="158"/>
        <w:rPr>
          <w:rFonts w:cs="Arial"/>
        </w:rPr>
      </w:pPr>
      <w:r w:rsidRPr="004410BC">
        <w:rPr>
          <w:rFonts w:eastAsia="Calibri" w:cs="Arial"/>
        </w:rPr>
        <w:t xml:space="preserve"> </w:t>
      </w:r>
    </w:p>
    <w:p w14:paraId="46DA0AE6" w14:textId="77777777" w:rsidR="009F64C5" w:rsidRPr="004410BC" w:rsidRDefault="009F64C5" w:rsidP="00236C76">
      <w:pPr>
        <w:rPr>
          <w:rFonts w:cs="Arial"/>
        </w:rPr>
      </w:pPr>
      <w:r w:rsidRPr="004410BC">
        <w:rPr>
          <w:rFonts w:eastAsia="Calibri" w:cs="Arial"/>
        </w:rPr>
        <w:t xml:space="preserve"> </w:t>
      </w:r>
    </w:p>
    <w:p w14:paraId="35E0F9C3" w14:textId="77777777" w:rsidR="009F64C5" w:rsidRPr="004410BC" w:rsidRDefault="009F64C5" w:rsidP="00236C76">
      <w:pPr>
        <w:spacing w:after="158"/>
        <w:rPr>
          <w:rFonts w:cs="Arial"/>
        </w:rPr>
      </w:pPr>
      <w:r w:rsidRPr="004410BC">
        <w:rPr>
          <w:rFonts w:eastAsia="Calibri" w:cs="Arial"/>
        </w:rPr>
        <w:t xml:space="preserve"> </w:t>
      </w:r>
    </w:p>
    <w:p w14:paraId="12DA9060" w14:textId="77777777" w:rsidR="009F64C5" w:rsidRPr="004410BC" w:rsidRDefault="009F64C5" w:rsidP="00236C76">
      <w:pPr>
        <w:rPr>
          <w:rFonts w:cs="Arial"/>
        </w:rPr>
      </w:pPr>
      <w:r w:rsidRPr="004410BC">
        <w:rPr>
          <w:rFonts w:eastAsia="Calibri" w:cs="Arial"/>
        </w:rPr>
        <w:t xml:space="preserve"> </w:t>
      </w:r>
    </w:p>
    <w:p w14:paraId="65E160E1" w14:textId="77777777" w:rsidR="009F64C5" w:rsidRPr="004410BC" w:rsidRDefault="009F64C5" w:rsidP="00236C76">
      <w:pPr>
        <w:spacing w:after="158"/>
        <w:rPr>
          <w:rFonts w:cs="Arial"/>
        </w:rPr>
      </w:pPr>
      <w:r w:rsidRPr="004410BC">
        <w:rPr>
          <w:rFonts w:eastAsia="Calibri" w:cs="Arial"/>
        </w:rPr>
        <w:t xml:space="preserve"> </w:t>
      </w:r>
    </w:p>
    <w:p w14:paraId="124E85D0" w14:textId="77777777" w:rsidR="009F64C5" w:rsidRPr="004410BC" w:rsidRDefault="009F64C5" w:rsidP="00236C76">
      <w:pPr>
        <w:spacing w:after="161"/>
        <w:rPr>
          <w:rFonts w:cs="Arial"/>
        </w:rPr>
      </w:pPr>
      <w:r w:rsidRPr="004410BC">
        <w:rPr>
          <w:rFonts w:eastAsia="Calibri" w:cs="Arial"/>
        </w:rPr>
        <w:t xml:space="preserve"> </w:t>
      </w:r>
    </w:p>
    <w:p w14:paraId="69702984" w14:textId="77777777" w:rsidR="009F64C5" w:rsidRPr="004410BC" w:rsidRDefault="009F64C5" w:rsidP="00236C76">
      <w:pPr>
        <w:spacing w:after="172"/>
        <w:rPr>
          <w:rFonts w:cs="Arial"/>
        </w:rPr>
      </w:pPr>
      <w:r w:rsidRPr="004410BC">
        <w:rPr>
          <w:rFonts w:eastAsia="Calibri" w:cs="Arial"/>
        </w:rPr>
        <w:t xml:space="preserve"> </w:t>
      </w:r>
    </w:p>
    <w:p w14:paraId="0EF5AC8F" w14:textId="77777777" w:rsidR="009F64C5" w:rsidRPr="004410BC" w:rsidRDefault="009F64C5" w:rsidP="00236C76">
      <w:pPr>
        <w:spacing w:after="0"/>
        <w:rPr>
          <w:rFonts w:cs="Arial"/>
        </w:rPr>
      </w:pPr>
      <w:r w:rsidRPr="004410BC">
        <w:rPr>
          <w:rFonts w:cs="Arial"/>
        </w:rPr>
        <w:t xml:space="preserve">  </w:t>
      </w:r>
    </w:p>
    <w:sectPr w:rsidR="009F64C5" w:rsidRPr="004410BC" w:rsidSect="00B250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27420" w14:textId="77777777" w:rsidR="009F443E" w:rsidRDefault="009F443E">
      <w:pPr>
        <w:spacing w:after="0" w:line="240" w:lineRule="auto"/>
      </w:pPr>
      <w:r>
        <w:separator/>
      </w:r>
    </w:p>
  </w:endnote>
  <w:endnote w:type="continuationSeparator" w:id="0">
    <w:p w14:paraId="5BDB3292" w14:textId="77777777" w:rsidR="009F443E" w:rsidRDefault="009F44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3931085"/>
      <w:docPartObj>
        <w:docPartGallery w:val="Page Numbers (Bottom of Page)"/>
        <w:docPartUnique/>
      </w:docPartObj>
    </w:sdtPr>
    <w:sdtEndPr>
      <w:rPr>
        <w:noProof/>
      </w:rPr>
    </w:sdtEndPr>
    <w:sdtContent>
      <w:p w14:paraId="40D37C71" w14:textId="55F1B1FA" w:rsidR="00AD3804" w:rsidRDefault="00AD38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5E9739" w14:textId="6C4173A2" w:rsidR="00F94E9A" w:rsidRDefault="00AD3804">
    <w:pPr>
      <w:pStyle w:val="Footer"/>
    </w:pPr>
    <w:r w:rsidRPr="00AD3804">
      <w:t>Mahir Al Asif Masrur</w:t>
    </w:r>
    <w:r>
      <w:t xml:space="preserve">                    </w:t>
    </w:r>
    <w:r w:rsidR="000D5C2B">
      <w:t xml:space="preserve">   </w:t>
    </w:r>
    <w:r w:rsidR="00895786">
      <w:t xml:space="preserve">          </w:t>
    </w:r>
    <w:r>
      <w:t xml:space="preserve">   Dissertat</w:t>
    </w:r>
    <w:r w:rsidR="00B24A69">
      <w:t>ion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9AA3E" w14:textId="77777777"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B207A" w14:textId="77777777"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103D4A1C" w:rsidR="009A1B64" w:rsidRDefault="000F0249">
    <w:pPr>
      <w:tabs>
        <w:tab w:val="center" w:pos="4405"/>
      </w:tabs>
      <w:spacing w:after="0"/>
    </w:pPr>
    <w:r w:rsidRPr="000F0249">
      <w:rPr>
        <w:rFonts w:ascii="Calibri" w:eastAsia="Calibri" w:hAnsi="Calibri" w:cs="Calibri"/>
      </w:rPr>
      <w:t>Mahir Al Asif Masrur</w:t>
    </w:r>
    <w:r w:rsidR="007446D0">
      <w:rPr>
        <w:rFonts w:ascii="Calibri" w:eastAsia="Calibri" w:hAnsi="Calibri" w:cs="Calibri"/>
      </w:rPr>
      <w:tab/>
      <w:t xml:space="preserve">Dissertation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F907E" w14:textId="77777777"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9E9C9" w14:textId="77777777" w:rsidR="009F443E" w:rsidRDefault="009F443E">
      <w:pPr>
        <w:spacing w:after="0" w:line="240" w:lineRule="auto"/>
      </w:pPr>
      <w:r>
        <w:separator/>
      </w:r>
    </w:p>
  </w:footnote>
  <w:footnote w:type="continuationSeparator" w:id="0">
    <w:p w14:paraId="5601BABD" w14:textId="77777777" w:rsidR="009F443E" w:rsidRDefault="009F44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84E683D"/>
    <w:multiLevelType w:val="hybridMultilevel"/>
    <w:tmpl w:val="8D127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8"/>
  </w:num>
  <w:num w:numId="2">
    <w:abstractNumId w:val="0"/>
  </w:num>
  <w:num w:numId="3">
    <w:abstractNumId w:val="5"/>
  </w:num>
  <w:num w:numId="4">
    <w:abstractNumId w:val="2"/>
  </w:num>
  <w:num w:numId="5">
    <w:abstractNumId w:val="3"/>
  </w:num>
  <w:num w:numId="6">
    <w:abstractNumId w:val="6"/>
  </w:num>
  <w:num w:numId="7">
    <w:abstractNumId w:val="7"/>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AyMbA0MjQwNzY1NTZV0lEKTi0uzszPAymwqAUA/vKmNiwAAAA="/>
  </w:docVars>
  <w:rsids>
    <w:rsidRoot w:val="009F64C5"/>
    <w:rsid w:val="00012A79"/>
    <w:rsid w:val="00014E7F"/>
    <w:rsid w:val="00015FB9"/>
    <w:rsid w:val="00022AF0"/>
    <w:rsid w:val="00041404"/>
    <w:rsid w:val="00051303"/>
    <w:rsid w:val="0005169C"/>
    <w:rsid w:val="000555DE"/>
    <w:rsid w:val="00070639"/>
    <w:rsid w:val="00091CE6"/>
    <w:rsid w:val="00093FEE"/>
    <w:rsid w:val="000A36F2"/>
    <w:rsid w:val="000A3AA7"/>
    <w:rsid w:val="000B52FD"/>
    <w:rsid w:val="000C39D5"/>
    <w:rsid w:val="000D5C2B"/>
    <w:rsid w:val="000D702F"/>
    <w:rsid w:val="000F0249"/>
    <w:rsid w:val="000F05A6"/>
    <w:rsid w:val="000F065A"/>
    <w:rsid w:val="000F1E8E"/>
    <w:rsid w:val="00104B27"/>
    <w:rsid w:val="00111DC0"/>
    <w:rsid w:val="00113366"/>
    <w:rsid w:val="00122263"/>
    <w:rsid w:val="00127BC8"/>
    <w:rsid w:val="00151AD9"/>
    <w:rsid w:val="001665E8"/>
    <w:rsid w:val="001710F9"/>
    <w:rsid w:val="00176F80"/>
    <w:rsid w:val="001A0B94"/>
    <w:rsid w:val="001A77CC"/>
    <w:rsid w:val="001B6C5C"/>
    <w:rsid w:val="001C5965"/>
    <w:rsid w:val="001C5F5F"/>
    <w:rsid w:val="001D27AB"/>
    <w:rsid w:val="001D3C93"/>
    <w:rsid w:val="001F0D0F"/>
    <w:rsid w:val="001F5743"/>
    <w:rsid w:val="00200A43"/>
    <w:rsid w:val="002055C3"/>
    <w:rsid w:val="00225BC8"/>
    <w:rsid w:val="00232B7B"/>
    <w:rsid w:val="00236C76"/>
    <w:rsid w:val="00241C3C"/>
    <w:rsid w:val="0025408A"/>
    <w:rsid w:val="002744B9"/>
    <w:rsid w:val="0027754A"/>
    <w:rsid w:val="00286356"/>
    <w:rsid w:val="002B04A6"/>
    <w:rsid w:val="002B0EE1"/>
    <w:rsid w:val="002B523E"/>
    <w:rsid w:val="002C769C"/>
    <w:rsid w:val="002E0C82"/>
    <w:rsid w:val="002E754B"/>
    <w:rsid w:val="002F2FA5"/>
    <w:rsid w:val="00324E74"/>
    <w:rsid w:val="00333817"/>
    <w:rsid w:val="00342D42"/>
    <w:rsid w:val="00350A92"/>
    <w:rsid w:val="00361F5E"/>
    <w:rsid w:val="00366790"/>
    <w:rsid w:val="0038633B"/>
    <w:rsid w:val="003C336E"/>
    <w:rsid w:val="003C35D2"/>
    <w:rsid w:val="003D1998"/>
    <w:rsid w:val="00407EA7"/>
    <w:rsid w:val="00430F22"/>
    <w:rsid w:val="00435963"/>
    <w:rsid w:val="004410BC"/>
    <w:rsid w:val="00444E2E"/>
    <w:rsid w:val="004520B8"/>
    <w:rsid w:val="004528E6"/>
    <w:rsid w:val="00485CC4"/>
    <w:rsid w:val="0048612B"/>
    <w:rsid w:val="0049057B"/>
    <w:rsid w:val="00495BEF"/>
    <w:rsid w:val="004C08B4"/>
    <w:rsid w:val="004D54CF"/>
    <w:rsid w:val="004E16B6"/>
    <w:rsid w:val="004E7C15"/>
    <w:rsid w:val="004F336C"/>
    <w:rsid w:val="005134CE"/>
    <w:rsid w:val="00530687"/>
    <w:rsid w:val="00530D80"/>
    <w:rsid w:val="00532B42"/>
    <w:rsid w:val="00533259"/>
    <w:rsid w:val="00534D31"/>
    <w:rsid w:val="005436DC"/>
    <w:rsid w:val="00552A4D"/>
    <w:rsid w:val="00561626"/>
    <w:rsid w:val="005879A6"/>
    <w:rsid w:val="005B31F8"/>
    <w:rsid w:val="005B3A10"/>
    <w:rsid w:val="005D3406"/>
    <w:rsid w:val="00603E07"/>
    <w:rsid w:val="00606C61"/>
    <w:rsid w:val="00623C0E"/>
    <w:rsid w:val="00631E5F"/>
    <w:rsid w:val="00633A6B"/>
    <w:rsid w:val="00647364"/>
    <w:rsid w:val="006833B4"/>
    <w:rsid w:val="00691EE8"/>
    <w:rsid w:val="0069344D"/>
    <w:rsid w:val="006A1CF0"/>
    <w:rsid w:val="006A5364"/>
    <w:rsid w:val="006B63E0"/>
    <w:rsid w:val="006D2447"/>
    <w:rsid w:val="006F7703"/>
    <w:rsid w:val="0070279F"/>
    <w:rsid w:val="00734809"/>
    <w:rsid w:val="007446D0"/>
    <w:rsid w:val="007555B8"/>
    <w:rsid w:val="00756E9D"/>
    <w:rsid w:val="00770677"/>
    <w:rsid w:val="00770C87"/>
    <w:rsid w:val="00772F09"/>
    <w:rsid w:val="007843AD"/>
    <w:rsid w:val="00785BE9"/>
    <w:rsid w:val="00794FE7"/>
    <w:rsid w:val="00796AE6"/>
    <w:rsid w:val="00797228"/>
    <w:rsid w:val="00797BC6"/>
    <w:rsid w:val="007A19B3"/>
    <w:rsid w:val="007A44D9"/>
    <w:rsid w:val="007A5C19"/>
    <w:rsid w:val="007B2464"/>
    <w:rsid w:val="007B299C"/>
    <w:rsid w:val="007D34FA"/>
    <w:rsid w:val="007F1C8A"/>
    <w:rsid w:val="007F3292"/>
    <w:rsid w:val="00816B66"/>
    <w:rsid w:val="00844C9F"/>
    <w:rsid w:val="00846896"/>
    <w:rsid w:val="00851D37"/>
    <w:rsid w:val="00854A69"/>
    <w:rsid w:val="00870848"/>
    <w:rsid w:val="00895786"/>
    <w:rsid w:val="008A25CD"/>
    <w:rsid w:val="008A73BC"/>
    <w:rsid w:val="008A7D90"/>
    <w:rsid w:val="008B71A6"/>
    <w:rsid w:val="008C0B09"/>
    <w:rsid w:val="008C4F7B"/>
    <w:rsid w:val="008D5425"/>
    <w:rsid w:val="008D6BF7"/>
    <w:rsid w:val="008E4340"/>
    <w:rsid w:val="008F09C6"/>
    <w:rsid w:val="0090204C"/>
    <w:rsid w:val="009175D2"/>
    <w:rsid w:val="0094081E"/>
    <w:rsid w:val="0094768F"/>
    <w:rsid w:val="00954E4C"/>
    <w:rsid w:val="00962AE4"/>
    <w:rsid w:val="009667B1"/>
    <w:rsid w:val="009706D0"/>
    <w:rsid w:val="00971A83"/>
    <w:rsid w:val="00975D47"/>
    <w:rsid w:val="00986A40"/>
    <w:rsid w:val="00996D29"/>
    <w:rsid w:val="009A1B64"/>
    <w:rsid w:val="009C26A0"/>
    <w:rsid w:val="009C5CF6"/>
    <w:rsid w:val="009D522A"/>
    <w:rsid w:val="009F443E"/>
    <w:rsid w:val="009F64C5"/>
    <w:rsid w:val="00A1062F"/>
    <w:rsid w:val="00A23019"/>
    <w:rsid w:val="00A36C0D"/>
    <w:rsid w:val="00A41B9D"/>
    <w:rsid w:val="00A466F4"/>
    <w:rsid w:val="00A46C47"/>
    <w:rsid w:val="00A52F8B"/>
    <w:rsid w:val="00A55B04"/>
    <w:rsid w:val="00A9635A"/>
    <w:rsid w:val="00AC0778"/>
    <w:rsid w:val="00AD3804"/>
    <w:rsid w:val="00AE3240"/>
    <w:rsid w:val="00AF637C"/>
    <w:rsid w:val="00B02111"/>
    <w:rsid w:val="00B24A69"/>
    <w:rsid w:val="00B34D86"/>
    <w:rsid w:val="00B52406"/>
    <w:rsid w:val="00B55B15"/>
    <w:rsid w:val="00B81419"/>
    <w:rsid w:val="00B918A7"/>
    <w:rsid w:val="00BC67C0"/>
    <w:rsid w:val="00BD02BA"/>
    <w:rsid w:val="00BD5B20"/>
    <w:rsid w:val="00BE028D"/>
    <w:rsid w:val="00C10196"/>
    <w:rsid w:val="00C32E0E"/>
    <w:rsid w:val="00C45A3C"/>
    <w:rsid w:val="00C51B42"/>
    <w:rsid w:val="00C5275F"/>
    <w:rsid w:val="00C54361"/>
    <w:rsid w:val="00C65C6C"/>
    <w:rsid w:val="00C66788"/>
    <w:rsid w:val="00C72A93"/>
    <w:rsid w:val="00C735B9"/>
    <w:rsid w:val="00C74D71"/>
    <w:rsid w:val="00C87694"/>
    <w:rsid w:val="00CB2A26"/>
    <w:rsid w:val="00CC24E2"/>
    <w:rsid w:val="00CC554D"/>
    <w:rsid w:val="00CD2BA1"/>
    <w:rsid w:val="00CD6AE9"/>
    <w:rsid w:val="00CF5DBD"/>
    <w:rsid w:val="00CF7350"/>
    <w:rsid w:val="00D03735"/>
    <w:rsid w:val="00D16693"/>
    <w:rsid w:val="00D37282"/>
    <w:rsid w:val="00D521B8"/>
    <w:rsid w:val="00D5567C"/>
    <w:rsid w:val="00D648BC"/>
    <w:rsid w:val="00D70925"/>
    <w:rsid w:val="00D74D7F"/>
    <w:rsid w:val="00D77EE4"/>
    <w:rsid w:val="00D82AEF"/>
    <w:rsid w:val="00D95944"/>
    <w:rsid w:val="00DB6313"/>
    <w:rsid w:val="00DB6BBD"/>
    <w:rsid w:val="00DD744B"/>
    <w:rsid w:val="00DD7AA5"/>
    <w:rsid w:val="00DF2542"/>
    <w:rsid w:val="00DF2F20"/>
    <w:rsid w:val="00E10937"/>
    <w:rsid w:val="00E3363E"/>
    <w:rsid w:val="00E60E69"/>
    <w:rsid w:val="00E641F9"/>
    <w:rsid w:val="00E716C2"/>
    <w:rsid w:val="00E81AFD"/>
    <w:rsid w:val="00E945F0"/>
    <w:rsid w:val="00EE21DC"/>
    <w:rsid w:val="00EE5EF5"/>
    <w:rsid w:val="00EF3AF6"/>
    <w:rsid w:val="00EF401E"/>
    <w:rsid w:val="00F14266"/>
    <w:rsid w:val="00F14C60"/>
    <w:rsid w:val="00F24400"/>
    <w:rsid w:val="00F40302"/>
    <w:rsid w:val="00F526C9"/>
    <w:rsid w:val="00F638F3"/>
    <w:rsid w:val="00F81824"/>
    <w:rsid w:val="00F94E9A"/>
    <w:rsid w:val="00FA17BE"/>
    <w:rsid w:val="00FC7B33"/>
    <w:rsid w:val="00FD0BDD"/>
    <w:rsid w:val="00FE5787"/>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48605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E9A"/>
    <w:pPr>
      <w:spacing w:line="360" w:lineRule="auto"/>
      <w:jc w:val="both"/>
    </w:pPr>
    <w:rPr>
      <w:rFonts w:ascii="Arial" w:hAnsi="Arial"/>
      <w:sz w:val="24"/>
    </w:rPr>
  </w:style>
  <w:style w:type="paragraph" w:styleId="Heading1">
    <w:name w:val="heading 1"/>
    <w:next w:val="Normal"/>
    <w:link w:val="Heading1Char"/>
    <w:uiPriority w:val="9"/>
    <w:qFormat/>
    <w:rsid w:val="00F94E9A"/>
    <w:pPr>
      <w:keepNext/>
      <w:keepLines/>
      <w:spacing w:after="152" w:line="360" w:lineRule="auto"/>
      <w:ind w:left="10" w:right="2" w:hanging="10"/>
      <w:jc w:val="both"/>
      <w:outlineLvl w:val="0"/>
    </w:pPr>
    <w:rPr>
      <w:rFonts w:ascii="Arial" w:eastAsia="Times New Roman" w:hAnsi="Arial" w:cs="Times New Roman"/>
      <w:b/>
      <w:color w:val="44546A" w:themeColor="text2"/>
      <w:sz w:val="32"/>
    </w:rPr>
  </w:style>
  <w:style w:type="paragraph" w:styleId="Heading2">
    <w:name w:val="heading 2"/>
    <w:next w:val="Normal"/>
    <w:link w:val="Heading2Char"/>
    <w:uiPriority w:val="9"/>
    <w:unhideWhenUsed/>
    <w:qFormat/>
    <w:rsid w:val="00F94E9A"/>
    <w:pPr>
      <w:keepNext/>
      <w:keepLines/>
      <w:spacing w:after="152" w:line="360" w:lineRule="auto"/>
      <w:ind w:left="10" w:right="2" w:hanging="10"/>
      <w:jc w:val="both"/>
      <w:outlineLvl w:val="1"/>
    </w:pPr>
    <w:rPr>
      <w:rFonts w:ascii="Arial" w:eastAsia="Times New Roman" w:hAnsi="Arial" w:cs="Times New Roman"/>
      <w:b/>
      <w:color w:val="000000"/>
      <w:sz w:val="28"/>
    </w:rPr>
  </w:style>
  <w:style w:type="paragraph" w:styleId="Heading3">
    <w:name w:val="heading 3"/>
    <w:next w:val="Normal"/>
    <w:link w:val="Heading3Char"/>
    <w:uiPriority w:val="9"/>
    <w:unhideWhenUsed/>
    <w:qFormat/>
    <w:rsid w:val="00F94E9A"/>
    <w:pPr>
      <w:keepNext/>
      <w:keepLines/>
      <w:spacing w:after="181" w:line="360" w:lineRule="auto"/>
      <w:jc w:val="both"/>
      <w:outlineLvl w:val="2"/>
    </w:pPr>
    <w:rPr>
      <w:rFonts w:ascii="Arial" w:eastAsia="Times New Roman" w:hAnsi="Arial" w:cs="Times New Roman"/>
      <w:b/>
      <w:i/>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E9A"/>
    <w:rPr>
      <w:rFonts w:ascii="Arial" w:eastAsia="Times New Roman" w:hAnsi="Arial" w:cs="Times New Roman"/>
      <w:b/>
      <w:color w:val="44546A" w:themeColor="text2"/>
      <w:sz w:val="32"/>
    </w:rPr>
  </w:style>
  <w:style w:type="character" w:customStyle="1" w:styleId="Heading2Char">
    <w:name w:val="Heading 2 Char"/>
    <w:basedOn w:val="DefaultParagraphFont"/>
    <w:link w:val="Heading2"/>
    <w:uiPriority w:val="9"/>
    <w:rsid w:val="00F94E9A"/>
    <w:rPr>
      <w:rFonts w:ascii="Arial" w:eastAsia="Times New Roman" w:hAnsi="Arial" w:cs="Times New Roman"/>
      <w:b/>
      <w:color w:val="000000"/>
      <w:sz w:val="28"/>
    </w:rPr>
  </w:style>
  <w:style w:type="character" w:customStyle="1" w:styleId="Heading3Char">
    <w:name w:val="Heading 3 Char"/>
    <w:basedOn w:val="DefaultParagraphFont"/>
    <w:link w:val="Heading3"/>
    <w:uiPriority w:val="9"/>
    <w:rsid w:val="00F94E9A"/>
    <w:rPr>
      <w:rFonts w:ascii="Arial" w:eastAsia="Times New Roman" w:hAnsi="Arial" w:cs="Times New Roman"/>
      <w:b/>
      <w:i/>
      <w:color w:val="000000"/>
      <w:sz w:val="24"/>
      <w:u w:val="single"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Header">
    <w:name w:val="header"/>
    <w:basedOn w:val="Normal"/>
    <w:link w:val="HeaderChar"/>
    <w:uiPriority w:val="99"/>
    <w:unhideWhenUsed/>
    <w:rsid w:val="000F02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0249"/>
  </w:style>
  <w:style w:type="table" w:styleId="TableGrid">
    <w:name w:val="Table Grid"/>
    <w:basedOn w:val="TableNormal"/>
    <w:uiPriority w:val="39"/>
    <w:rsid w:val="00962AE4"/>
    <w:pPr>
      <w:spacing w:after="0" w:line="240" w:lineRule="auto"/>
      <w:jc w:val="both"/>
    </w:pPr>
    <w:rPr>
      <w:rFonts w:ascii="Arial" w:eastAsiaTheme="minorHAnsi" w:hAnsi="Arial" w:cs="Arial"/>
      <w:kern w:val="0"/>
      <w:sz w:val="24"/>
      <w:szCs w:val="24"/>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70848"/>
    <w:pPr>
      <w:spacing w:after="200" w:line="240" w:lineRule="auto"/>
    </w:pPr>
    <w:rPr>
      <w:rFonts w:eastAsiaTheme="minorHAnsi" w:cs="Arial"/>
      <w:i/>
      <w:iCs/>
      <w:color w:val="44546A" w:themeColor="text2"/>
      <w:kern w:val="0"/>
      <w:sz w:val="18"/>
      <w:szCs w:val="18"/>
      <w:lang w:val="en-US" w:eastAsia="en-US"/>
      <w14:ligatures w14:val="none"/>
    </w:rPr>
  </w:style>
  <w:style w:type="table" w:customStyle="1" w:styleId="TableGrid1">
    <w:name w:val="Table Grid1"/>
    <w:basedOn w:val="TableNormal"/>
    <w:next w:val="TableGrid"/>
    <w:uiPriority w:val="59"/>
    <w:rsid w:val="00870848"/>
    <w:pPr>
      <w:spacing w:after="0" w:line="240" w:lineRule="auto"/>
    </w:pPr>
    <w:rPr>
      <w:rFonts w:ascii="Cambria" w:eastAsia="MS Mincho" w:hAnsi="Cambria" w:cs="Times New Roman"/>
      <w:kern w:val="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8708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0848"/>
  </w:style>
  <w:style w:type="paragraph" w:styleId="TableofFigures">
    <w:name w:val="table of figures"/>
    <w:basedOn w:val="Normal"/>
    <w:next w:val="Normal"/>
    <w:uiPriority w:val="99"/>
    <w:unhideWhenUsed/>
    <w:rsid w:val="00975D47"/>
    <w:pPr>
      <w:spacing w:after="0"/>
    </w:pPr>
  </w:style>
  <w:style w:type="character" w:styleId="Hyperlink">
    <w:name w:val="Hyperlink"/>
    <w:basedOn w:val="DefaultParagraphFont"/>
    <w:uiPriority w:val="99"/>
    <w:unhideWhenUsed/>
    <w:rsid w:val="00975D47"/>
    <w:rPr>
      <w:color w:val="0563C1" w:themeColor="hyperlink"/>
      <w:u w:val="single"/>
    </w:rPr>
  </w:style>
  <w:style w:type="paragraph" w:styleId="TOCHeading">
    <w:name w:val="TOC Heading"/>
    <w:basedOn w:val="Heading1"/>
    <w:next w:val="Normal"/>
    <w:uiPriority w:val="39"/>
    <w:unhideWhenUsed/>
    <w:qFormat/>
    <w:rsid w:val="00530687"/>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2">
    <w:name w:val="toc 2"/>
    <w:basedOn w:val="Normal"/>
    <w:next w:val="Normal"/>
    <w:autoRedefine/>
    <w:uiPriority w:val="39"/>
    <w:unhideWhenUsed/>
    <w:rsid w:val="00530687"/>
    <w:pPr>
      <w:spacing w:after="100"/>
      <w:ind w:left="220"/>
    </w:pPr>
  </w:style>
  <w:style w:type="paragraph" w:styleId="TOC3">
    <w:name w:val="toc 3"/>
    <w:basedOn w:val="Normal"/>
    <w:next w:val="Normal"/>
    <w:autoRedefine/>
    <w:uiPriority w:val="39"/>
    <w:unhideWhenUsed/>
    <w:rsid w:val="00530687"/>
    <w:pPr>
      <w:spacing w:after="100"/>
      <w:ind w:left="440"/>
    </w:pPr>
  </w:style>
  <w:style w:type="paragraph" w:styleId="TOC4">
    <w:name w:val="toc 4"/>
    <w:basedOn w:val="Normal"/>
    <w:next w:val="Normal"/>
    <w:autoRedefine/>
    <w:uiPriority w:val="39"/>
    <w:unhideWhenUsed/>
    <w:rsid w:val="00530687"/>
    <w:pPr>
      <w:spacing w:after="100" w:line="278" w:lineRule="auto"/>
      <w:ind w:left="720"/>
    </w:pPr>
    <w:rPr>
      <w:szCs w:val="24"/>
      <w:lang w:val="en-US" w:eastAsia="en-US"/>
    </w:rPr>
  </w:style>
  <w:style w:type="paragraph" w:styleId="TOC5">
    <w:name w:val="toc 5"/>
    <w:basedOn w:val="Normal"/>
    <w:next w:val="Normal"/>
    <w:autoRedefine/>
    <w:uiPriority w:val="39"/>
    <w:unhideWhenUsed/>
    <w:rsid w:val="00530687"/>
    <w:pPr>
      <w:spacing w:after="100" w:line="278" w:lineRule="auto"/>
      <w:ind w:left="960"/>
    </w:pPr>
    <w:rPr>
      <w:szCs w:val="24"/>
      <w:lang w:val="en-US" w:eastAsia="en-US"/>
    </w:rPr>
  </w:style>
  <w:style w:type="paragraph" w:styleId="TOC6">
    <w:name w:val="toc 6"/>
    <w:basedOn w:val="Normal"/>
    <w:next w:val="Normal"/>
    <w:autoRedefine/>
    <w:uiPriority w:val="39"/>
    <w:unhideWhenUsed/>
    <w:rsid w:val="00530687"/>
    <w:pPr>
      <w:spacing w:after="100" w:line="278" w:lineRule="auto"/>
      <w:ind w:left="1200"/>
    </w:pPr>
    <w:rPr>
      <w:szCs w:val="24"/>
      <w:lang w:val="en-US" w:eastAsia="en-US"/>
    </w:rPr>
  </w:style>
  <w:style w:type="paragraph" w:styleId="TOC7">
    <w:name w:val="toc 7"/>
    <w:basedOn w:val="Normal"/>
    <w:next w:val="Normal"/>
    <w:autoRedefine/>
    <w:uiPriority w:val="39"/>
    <w:unhideWhenUsed/>
    <w:rsid w:val="00530687"/>
    <w:pPr>
      <w:spacing w:after="100" w:line="278" w:lineRule="auto"/>
      <w:ind w:left="1440"/>
    </w:pPr>
    <w:rPr>
      <w:szCs w:val="24"/>
      <w:lang w:val="en-US" w:eastAsia="en-US"/>
    </w:rPr>
  </w:style>
  <w:style w:type="paragraph" w:styleId="TOC8">
    <w:name w:val="toc 8"/>
    <w:basedOn w:val="Normal"/>
    <w:next w:val="Normal"/>
    <w:autoRedefine/>
    <w:uiPriority w:val="39"/>
    <w:unhideWhenUsed/>
    <w:rsid w:val="00530687"/>
    <w:pPr>
      <w:spacing w:after="100" w:line="278" w:lineRule="auto"/>
      <w:ind w:left="1680"/>
    </w:pPr>
    <w:rPr>
      <w:szCs w:val="24"/>
      <w:lang w:val="en-US" w:eastAsia="en-US"/>
    </w:rPr>
  </w:style>
  <w:style w:type="paragraph" w:styleId="TOC9">
    <w:name w:val="toc 9"/>
    <w:basedOn w:val="Normal"/>
    <w:next w:val="Normal"/>
    <w:autoRedefine/>
    <w:uiPriority w:val="39"/>
    <w:unhideWhenUsed/>
    <w:rsid w:val="00530687"/>
    <w:pPr>
      <w:spacing w:after="100" w:line="278" w:lineRule="auto"/>
      <w:ind w:left="1920"/>
    </w:pPr>
    <w:rPr>
      <w:szCs w:val="24"/>
      <w:lang w:val="en-US" w:eastAsia="en-US"/>
    </w:rPr>
  </w:style>
  <w:style w:type="character" w:styleId="UnresolvedMention">
    <w:name w:val="Unresolved Mention"/>
    <w:basedOn w:val="DefaultParagraphFont"/>
    <w:uiPriority w:val="99"/>
    <w:semiHidden/>
    <w:unhideWhenUsed/>
    <w:rsid w:val="005306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4.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3.png"/><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57D884-7518-4831-BAD1-A3D7D03A1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28565</Words>
  <Characters>162822</Characters>
  <Application>Microsoft Office Word</Application>
  <DocSecurity>0</DocSecurity>
  <Lines>1356</Lines>
  <Paragraphs>382</Paragraphs>
  <ScaleCrop>false</ScaleCrop>
  <Company/>
  <LinksUpToDate>false</LinksUpToDate>
  <CharactersWithSpaces>191005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2026-09-20T17:39:00Z</dcterms:created>
  <dcterms:modified xsi:type="dcterms:W3CDTF">2026-09-20T17:39:00Z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6b010b86-950c-40b4-87b2-18fe5973e025</vt:lpwstr>
  </property>
</Properties>
</file>