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2FF3A" w14:textId="77777777" w:rsidR="009A78CA" w:rsidRPr="00817C86" w:rsidRDefault="00000000">
      <w:pPr>
        <w:pStyle w:val="Title"/>
        <w:jc w:val="center"/>
        <w:rPr>
          <w:rFonts w:ascii="Calibri" w:hAnsi="Calibri" w:cs="Calibri"/>
        </w:rPr>
      </w:pPr>
      <w:r w:rsidRPr="00817C86">
        <w:rPr>
          <w:rFonts w:ascii="Calibri" w:hAnsi="Calibri" w:cs="Calibri"/>
        </w:rPr>
        <w:t>Barriers to Access and Early Engagement in Community-Based Mental Health Services among Young Adults in the United Kingdom</w:t>
      </w:r>
    </w:p>
    <w:p w14:paraId="51D63E8B" w14:textId="77777777" w:rsidR="009A78CA" w:rsidRPr="00817C86" w:rsidRDefault="00000000">
      <w:pPr>
        <w:pStyle w:val="Subtitle"/>
        <w:jc w:val="center"/>
        <w:rPr>
          <w:rFonts w:ascii="Calibri" w:hAnsi="Calibri" w:cs="Calibri"/>
        </w:rPr>
      </w:pPr>
      <w:r w:rsidRPr="00817C86">
        <w:rPr>
          <w:rFonts w:ascii="Calibri" w:hAnsi="Calibri" w:cs="Calibri"/>
        </w:rPr>
        <w:t>Written Research Proposal for LCHS7008</w:t>
      </w:r>
    </w:p>
    <w:tbl>
      <w:tblPr>
        <w:tblW w:w="0" w:type="auto"/>
        <w:jc w:val="center"/>
        <w:tblLayout w:type="fixed"/>
        <w:tblLook w:val="04A0" w:firstRow="1" w:lastRow="0" w:firstColumn="1" w:lastColumn="0" w:noHBand="0" w:noVBand="1"/>
      </w:tblPr>
      <w:tblGrid>
        <w:gridCol w:w="4824"/>
        <w:gridCol w:w="4824"/>
      </w:tblGrid>
      <w:tr w:rsidR="009A78CA" w:rsidRPr="00817C86" w14:paraId="50B9200E" w14:textId="77777777">
        <w:trPr>
          <w:jc w:val="center"/>
        </w:trPr>
        <w:tc>
          <w:tcPr>
            <w:tcW w:w="4824" w:type="dxa"/>
            <w:shd w:val="clear" w:color="auto" w:fill="EAF1F7"/>
            <w:vAlign w:val="center"/>
          </w:tcPr>
          <w:p w14:paraId="232A38AF" w14:textId="77777777" w:rsidR="009A78CA" w:rsidRPr="00817C86" w:rsidRDefault="00000000">
            <w:pPr>
              <w:rPr>
                <w:rFonts w:cs="Calibri"/>
                <w:szCs w:val="28"/>
              </w:rPr>
            </w:pPr>
            <w:r w:rsidRPr="00817C86">
              <w:rPr>
                <w:rFonts w:cs="Calibri"/>
                <w:b/>
                <w:szCs w:val="28"/>
              </w:rPr>
              <w:t>Student name</w:t>
            </w:r>
          </w:p>
        </w:tc>
        <w:tc>
          <w:tcPr>
            <w:tcW w:w="4824" w:type="dxa"/>
            <w:vAlign w:val="center"/>
          </w:tcPr>
          <w:p w14:paraId="25CD516A" w14:textId="77777777" w:rsidR="009A78CA" w:rsidRPr="00817C86" w:rsidRDefault="00000000">
            <w:pPr>
              <w:rPr>
                <w:rFonts w:cs="Calibri"/>
                <w:szCs w:val="28"/>
              </w:rPr>
            </w:pPr>
            <w:r w:rsidRPr="00817C86">
              <w:rPr>
                <w:rFonts w:cs="Calibri"/>
                <w:szCs w:val="28"/>
              </w:rPr>
              <w:t>Tahia Haque</w:t>
            </w:r>
          </w:p>
        </w:tc>
      </w:tr>
      <w:tr w:rsidR="009A78CA" w:rsidRPr="00817C86" w14:paraId="397CB932" w14:textId="77777777">
        <w:trPr>
          <w:jc w:val="center"/>
        </w:trPr>
        <w:tc>
          <w:tcPr>
            <w:tcW w:w="4824" w:type="dxa"/>
            <w:shd w:val="clear" w:color="auto" w:fill="EAF1F7"/>
            <w:vAlign w:val="center"/>
          </w:tcPr>
          <w:p w14:paraId="690F9D0A" w14:textId="77777777" w:rsidR="009A78CA" w:rsidRPr="00817C86" w:rsidRDefault="00000000">
            <w:pPr>
              <w:rPr>
                <w:rFonts w:cs="Calibri"/>
                <w:szCs w:val="28"/>
              </w:rPr>
            </w:pPr>
            <w:r w:rsidRPr="00817C86">
              <w:rPr>
                <w:rFonts w:cs="Calibri"/>
                <w:b/>
                <w:szCs w:val="28"/>
              </w:rPr>
              <w:t>Student ID</w:t>
            </w:r>
          </w:p>
        </w:tc>
        <w:tc>
          <w:tcPr>
            <w:tcW w:w="4824" w:type="dxa"/>
            <w:vAlign w:val="center"/>
          </w:tcPr>
          <w:p w14:paraId="17086E50" w14:textId="77777777" w:rsidR="009A78CA" w:rsidRPr="00817C86" w:rsidRDefault="00000000">
            <w:pPr>
              <w:rPr>
                <w:rFonts w:cs="Calibri"/>
                <w:szCs w:val="28"/>
              </w:rPr>
            </w:pPr>
            <w:r w:rsidRPr="00817C86">
              <w:rPr>
                <w:rFonts w:cs="Calibri"/>
                <w:szCs w:val="28"/>
              </w:rPr>
              <w:t>2513087</w:t>
            </w:r>
          </w:p>
        </w:tc>
      </w:tr>
      <w:tr w:rsidR="009A78CA" w:rsidRPr="00817C86" w14:paraId="48B04EC9" w14:textId="77777777">
        <w:trPr>
          <w:jc w:val="center"/>
        </w:trPr>
        <w:tc>
          <w:tcPr>
            <w:tcW w:w="4824" w:type="dxa"/>
            <w:shd w:val="clear" w:color="auto" w:fill="EAF1F7"/>
            <w:vAlign w:val="center"/>
          </w:tcPr>
          <w:p w14:paraId="00D98D9B" w14:textId="77777777" w:rsidR="009A78CA" w:rsidRPr="00817C86" w:rsidRDefault="00000000">
            <w:pPr>
              <w:rPr>
                <w:rFonts w:cs="Calibri"/>
                <w:szCs w:val="28"/>
              </w:rPr>
            </w:pPr>
            <w:r w:rsidRPr="00817C86">
              <w:rPr>
                <w:rFonts w:cs="Calibri"/>
                <w:b/>
                <w:szCs w:val="28"/>
              </w:rPr>
              <w:t>Module</w:t>
            </w:r>
          </w:p>
        </w:tc>
        <w:tc>
          <w:tcPr>
            <w:tcW w:w="4824" w:type="dxa"/>
            <w:vAlign w:val="center"/>
          </w:tcPr>
          <w:p w14:paraId="351A3000" w14:textId="77777777" w:rsidR="009A78CA" w:rsidRPr="00817C86" w:rsidRDefault="00000000">
            <w:pPr>
              <w:rPr>
                <w:rFonts w:cs="Calibri"/>
                <w:szCs w:val="28"/>
              </w:rPr>
            </w:pPr>
            <w:r w:rsidRPr="00817C86">
              <w:rPr>
                <w:rFonts w:cs="Calibri"/>
                <w:szCs w:val="28"/>
              </w:rPr>
              <w:t>LCHS7008</w:t>
            </w:r>
          </w:p>
        </w:tc>
      </w:tr>
      <w:tr w:rsidR="009A78CA" w:rsidRPr="00817C86" w14:paraId="64676076" w14:textId="77777777">
        <w:trPr>
          <w:jc w:val="center"/>
        </w:trPr>
        <w:tc>
          <w:tcPr>
            <w:tcW w:w="4824" w:type="dxa"/>
            <w:shd w:val="clear" w:color="auto" w:fill="EAF1F7"/>
            <w:vAlign w:val="center"/>
          </w:tcPr>
          <w:p w14:paraId="2ECB51BF" w14:textId="77777777" w:rsidR="009A78CA" w:rsidRPr="00817C86" w:rsidRDefault="00000000">
            <w:pPr>
              <w:rPr>
                <w:rFonts w:cs="Calibri"/>
                <w:szCs w:val="28"/>
              </w:rPr>
            </w:pPr>
            <w:r w:rsidRPr="00817C86">
              <w:rPr>
                <w:rFonts w:cs="Calibri"/>
                <w:b/>
                <w:szCs w:val="28"/>
              </w:rPr>
              <w:t>Assessment</w:t>
            </w:r>
          </w:p>
        </w:tc>
        <w:tc>
          <w:tcPr>
            <w:tcW w:w="4824" w:type="dxa"/>
            <w:vAlign w:val="center"/>
          </w:tcPr>
          <w:p w14:paraId="490BCA94" w14:textId="77777777" w:rsidR="009A78CA" w:rsidRPr="00817C86" w:rsidRDefault="00000000">
            <w:pPr>
              <w:rPr>
                <w:rFonts w:cs="Calibri"/>
                <w:szCs w:val="28"/>
              </w:rPr>
            </w:pPr>
            <w:r w:rsidRPr="00817C86">
              <w:rPr>
                <w:rFonts w:cs="Calibri"/>
                <w:szCs w:val="28"/>
              </w:rPr>
              <w:t>Component 2 Written Research Proposal</w:t>
            </w:r>
          </w:p>
        </w:tc>
      </w:tr>
      <w:tr w:rsidR="009A78CA" w:rsidRPr="00817C86" w14:paraId="53162AF7" w14:textId="77777777">
        <w:trPr>
          <w:jc w:val="center"/>
        </w:trPr>
        <w:tc>
          <w:tcPr>
            <w:tcW w:w="4824" w:type="dxa"/>
            <w:shd w:val="clear" w:color="auto" w:fill="EAF1F7"/>
            <w:vAlign w:val="center"/>
          </w:tcPr>
          <w:p w14:paraId="6CEC80C1" w14:textId="77777777" w:rsidR="009A78CA" w:rsidRPr="00817C86" w:rsidRDefault="00000000">
            <w:pPr>
              <w:rPr>
                <w:rFonts w:cs="Calibri"/>
                <w:szCs w:val="28"/>
              </w:rPr>
            </w:pPr>
            <w:r w:rsidRPr="00817C86">
              <w:rPr>
                <w:rFonts w:cs="Calibri"/>
                <w:b/>
                <w:szCs w:val="28"/>
              </w:rPr>
              <w:t>Word count</w:t>
            </w:r>
          </w:p>
        </w:tc>
        <w:tc>
          <w:tcPr>
            <w:tcW w:w="4824" w:type="dxa"/>
            <w:vAlign w:val="center"/>
          </w:tcPr>
          <w:p w14:paraId="48146FE9" w14:textId="77777777" w:rsidR="009A78CA" w:rsidRPr="00817C86" w:rsidRDefault="00000000">
            <w:pPr>
              <w:rPr>
                <w:rFonts w:cs="Calibri"/>
                <w:szCs w:val="28"/>
              </w:rPr>
            </w:pPr>
            <w:r w:rsidRPr="00817C86">
              <w:rPr>
                <w:rFonts w:cs="Calibri"/>
                <w:szCs w:val="28"/>
              </w:rPr>
              <w:t>Main body approximately 2,450 words</w:t>
            </w:r>
          </w:p>
        </w:tc>
      </w:tr>
    </w:tbl>
    <w:p w14:paraId="4237C44B" w14:textId="77777777" w:rsidR="00817C86" w:rsidRPr="00817C86" w:rsidRDefault="00817C86">
      <w:pPr>
        <w:rPr>
          <w:rFonts w:cs="Calibri"/>
        </w:rPr>
        <w:sectPr w:rsidR="00817C86" w:rsidRPr="00817C86" w:rsidSect="00817C86">
          <w:pgSz w:w="12240" w:h="15840" w:code="1"/>
          <w:pgMar w:top="1152" w:right="1296" w:bottom="1008" w:left="1296" w:header="720" w:footer="720" w:gutter="0"/>
          <w:cols w:space="720"/>
          <w:vAlign w:val="center"/>
          <w:docGrid w:linePitch="360"/>
        </w:sectPr>
      </w:pPr>
    </w:p>
    <w:p w14:paraId="147B2019" w14:textId="77777777" w:rsidR="009A78CA" w:rsidRPr="00817C86" w:rsidRDefault="009A78CA">
      <w:pPr>
        <w:rPr>
          <w:rFonts w:cs="Calibri"/>
        </w:rPr>
      </w:pPr>
    </w:p>
    <w:sdt>
      <w:sdtPr>
        <w:id w:val="1382440409"/>
        <w:docPartObj>
          <w:docPartGallery w:val="Table of Contents"/>
          <w:docPartUnique/>
        </w:docPartObj>
      </w:sdtPr>
      <w:sdtEndPr>
        <w:rPr>
          <w:rFonts w:ascii="Calibri" w:eastAsiaTheme="minorEastAsia" w:hAnsi="Calibri" w:cstheme="minorBidi"/>
          <w:noProof/>
          <w:color w:val="auto"/>
          <w:sz w:val="24"/>
          <w:szCs w:val="22"/>
        </w:rPr>
      </w:sdtEndPr>
      <w:sdtContent>
        <w:p w14:paraId="36FE4CEB" w14:textId="69D378F4" w:rsidR="00B00FEC" w:rsidRDefault="00B00FEC">
          <w:pPr>
            <w:pStyle w:val="TOCHeading"/>
          </w:pPr>
          <w:r>
            <w:t>Table of Contents</w:t>
          </w:r>
        </w:p>
        <w:p w14:paraId="34338B80" w14:textId="7EF2E738" w:rsidR="00B00FEC" w:rsidRDefault="00B00FEC">
          <w:pPr>
            <w:pStyle w:val="TOC1"/>
            <w:tabs>
              <w:tab w:val="right" w:leader="dot" w:pos="9638"/>
            </w:tabs>
            <w:rPr>
              <w:noProof/>
            </w:rPr>
          </w:pPr>
          <w:r>
            <w:fldChar w:fldCharType="begin"/>
          </w:r>
          <w:r>
            <w:instrText xml:space="preserve"> TOC \o "1-3" \h \z \u </w:instrText>
          </w:r>
          <w:r>
            <w:fldChar w:fldCharType="separate"/>
          </w:r>
          <w:hyperlink w:anchor="_Toc224756175" w:history="1">
            <w:r w:rsidRPr="00DA5013">
              <w:rPr>
                <w:rStyle w:val="Hyperlink"/>
                <w:rFonts w:cs="Calibri"/>
                <w:noProof/>
              </w:rPr>
              <w:t>The prevalence of the problem</w:t>
            </w:r>
            <w:r>
              <w:rPr>
                <w:noProof/>
                <w:webHidden/>
              </w:rPr>
              <w:tab/>
            </w:r>
            <w:r>
              <w:rPr>
                <w:noProof/>
                <w:webHidden/>
              </w:rPr>
              <w:fldChar w:fldCharType="begin"/>
            </w:r>
            <w:r>
              <w:rPr>
                <w:noProof/>
                <w:webHidden/>
              </w:rPr>
              <w:instrText xml:space="preserve"> PAGEREF _Toc224756175 \h </w:instrText>
            </w:r>
            <w:r>
              <w:rPr>
                <w:noProof/>
                <w:webHidden/>
              </w:rPr>
            </w:r>
            <w:r>
              <w:rPr>
                <w:noProof/>
                <w:webHidden/>
              </w:rPr>
              <w:fldChar w:fldCharType="separate"/>
            </w:r>
            <w:r>
              <w:rPr>
                <w:noProof/>
                <w:webHidden/>
              </w:rPr>
              <w:t>3</w:t>
            </w:r>
            <w:r>
              <w:rPr>
                <w:noProof/>
                <w:webHidden/>
              </w:rPr>
              <w:fldChar w:fldCharType="end"/>
            </w:r>
          </w:hyperlink>
        </w:p>
        <w:p w14:paraId="387B6D44" w14:textId="7B4065BD" w:rsidR="00B00FEC" w:rsidRDefault="00B00FEC">
          <w:pPr>
            <w:pStyle w:val="TOC1"/>
            <w:tabs>
              <w:tab w:val="right" w:leader="dot" w:pos="9638"/>
            </w:tabs>
            <w:rPr>
              <w:noProof/>
            </w:rPr>
          </w:pPr>
          <w:hyperlink w:anchor="_Toc224756176" w:history="1">
            <w:r w:rsidRPr="00DA5013">
              <w:rPr>
                <w:rStyle w:val="Hyperlink"/>
                <w:rFonts w:cs="Calibri"/>
                <w:noProof/>
              </w:rPr>
              <w:t>Introduction, including a literature-based background to the study</w:t>
            </w:r>
            <w:r>
              <w:rPr>
                <w:noProof/>
                <w:webHidden/>
              </w:rPr>
              <w:tab/>
            </w:r>
            <w:r>
              <w:rPr>
                <w:noProof/>
                <w:webHidden/>
              </w:rPr>
              <w:fldChar w:fldCharType="begin"/>
            </w:r>
            <w:r>
              <w:rPr>
                <w:noProof/>
                <w:webHidden/>
              </w:rPr>
              <w:instrText xml:space="preserve"> PAGEREF _Toc224756176 \h </w:instrText>
            </w:r>
            <w:r>
              <w:rPr>
                <w:noProof/>
                <w:webHidden/>
              </w:rPr>
            </w:r>
            <w:r>
              <w:rPr>
                <w:noProof/>
                <w:webHidden/>
              </w:rPr>
              <w:fldChar w:fldCharType="separate"/>
            </w:r>
            <w:r>
              <w:rPr>
                <w:noProof/>
                <w:webHidden/>
              </w:rPr>
              <w:t>3</w:t>
            </w:r>
            <w:r>
              <w:rPr>
                <w:noProof/>
                <w:webHidden/>
              </w:rPr>
              <w:fldChar w:fldCharType="end"/>
            </w:r>
          </w:hyperlink>
        </w:p>
        <w:p w14:paraId="721B9348" w14:textId="44AE3BEE" w:rsidR="00B00FEC" w:rsidRDefault="00B00FEC">
          <w:pPr>
            <w:pStyle w:val="TOC1"/>
            <w:tabs>
              <w:tab w:val="right" w:leader="dot" w:pos="9638"/>
            </w:tabs>
            <w:rPr>
              <w:noProof/>
            </w:rPr>
          </w:pPr>
          <w:hyperlink w:anchor="_Toc224756177" w:history="1">
            <w:r w:rsidRPr="00DA5013">
              <w:rPr>
                <w:rStyle w:val="Hyperlink"/>
                <w:rFonts w:cs="Calibri"/>
                <w:noProof/>
              </w:rPr>
              <w:t>Rationale</w:t>
            </w:r>
            <w:r>
              <w:rPr>
                <w:noProof/>
                <w:webHidden/>
              </w:rPr>
              <w:tab/>
            </w:r>
            <w:r>
              <w:rPr>
                <w:noProof/>
                <w:webHidden/>
              </w:rPr>
              <w:fldChar w:fldCharType="begin"/>
            </w:r>
            <w:r>
              <w:rPr>
                <w:noProof/>
                <w:webHidden/>
              </w:rPr>
              <w:instrText xml:space="preserve"> PAGEREF _Toc224756177 \h </w:instrText>
            </w:r>
            <w:r>
              <w:rPr>
                <w:noProof/>
                <w:webHidden/>
              </w:rPr>
            </w:r>
            <w:r>
              <w:rPr>
                <w:noProof/>
                <w:webHidden/>
              </w:rPr>
              <w:fldChar w:fldCharType="separate"/>
            </w:r>
            <w:r>
              <w:rPr>
                <w:noProof/>
                <w:webHidden/>
              </w:rPr>
              <w:t>5</w:t>
            </w:r>
            <w:r>
              <w:rPr>
                <w:noProof/>
                <w:webHidden/>
              </w:rPr>
              <w:fldChar w:fldCharType="end"/>
            </w:r>
          </w:hyperlink>
        </w:p>
        <w:p w14:paraId="26EE193C" w14:textId="40A639EC" w:rsidR="00B00FEC" w:rsidRDefault="00B00FEC">
          <w:pPr>
            <w:pStyle w:val="TOC1"/>
            <w:tabs>
              <w:tab w:val="right" w:leader="dot" w:pos="9638"/>
            </w:tabs>
            <w:rPr>
              <w:noProof/>
            </w:rPr>
          </w:pPr>
          <w:hyperlink w:anchor="_Toc224756178" w:history="1">
            <w:r w:rsidRPr="00DA5013">
              <w:rPr>
                <w:rStyle w:val="Hyperlink"/>
                <w:rFonts w:cs="Calibri"/>
                <w:noProof/>
              </w:rPr>
              <w:t>Research question, aim and objectives</w:t>
            </w:r>
            <w:r>
              <w:rPr>
                <w:noProof/>
                <w:webHidden/>
              </w:rPr>
              <w:tab/>
            </w:r>
            <w:r>
              <w:rPr>
                <w:noProof/>
                <w:webHidden/>
              </w:rPr>
              <w:fldChar w:fldCharType="begin"/>
            </w:r>
            <w:r>
              <w:rPr>
                <w:noProof/>
                <w:webHidden/>
              </w:rPr>
              <w:instrText xml:space="preserve"> PAGEREF _Toc224756178 \h </w:instrText>
            </w:r>
            <w:r>
              <w:rPr>
                <w:noProof/>
                <w:webHidden/>
              </w:rPr>
            </w:r>
            <w:r>
              <w:rPr>
                <w:noProof/>
                <w:webHidden/>
              </w:rPr>
              <w:fldChar w:fldCharType="separate"/>
            </w:r>
            <w:r>
              <w:rPr>
                <w:noProof/>
                <w:webHidden/>
              </w:rPr>
              <w:t>6</w:t>
            </w:r>
            <w:r>
              <w:rPr>
                <w:noProof/>
                <w:webHidden/>
              </w:rPr>
              <w:fldChar w:fldCharType="end"/>
            </w:r>
          </w:hyperlink>
        </w:p>
        <w:p w14:paraId="174AD1D0" w14:textId="274B7F59" w:rsidR="00B00FEC" w:rsidRDefault="00B00FEC">
          <w:pPr>
            <w:pStyle w:val="TOC1"/>
            <w:tabs>
              <w:tab w:val="right" w:leader="dot" w:pos="9638"/>
            </w:tabs>
            <w:rPr>
              <w:noProof/>
            </w:rPr>
          </w:pPr>
          <w:hyperlink w:anchor="_Toc224756179" w:history="1">
            <w:r w:rsidRPr="00DA5013">
              <w:rPr>
                <w:rStyle w:val="Hyperlink"/>
                <w:rFonts w:cs="Calibri"/>
                <w:noProof/>
              </w:rPr>
              <w:t>Research methodology</w:t>
            </w:r>
            <w:r>
              <w:rPr>
                <w:noProof/>
                <w:webHidden/>
              </w:rPr>
              <w:tab/>
            </w:r>
            <w:r>
              <w:rPr>
                <w:noProof/>
                <w:webHidden/>
              </w:rPr>
              <w:fldChar w:fldCharType="begin"/>
            </w:r>
            <w:r>
              <w:rPr>
                <w:noProof/>
                <w:webHidden/>
              </w:rPr>
              <w:instrText xml:space="preserve"> PAGEREF _Toc224756179 \h </w:instrText>
            </w:r>
            <w:r>
              <w:rPr>
                <w:noProof/>
                <w:webHidden/>
              </w:rPr>
            </w:r>
            <w:r>
              <w:rPr>
                <w:noProof/>
                <w:webHidden/>
              </w:rPr>
              <w:fldChar w:fldCharType="separate"/>
            </w:r>
            <w:r>
              <w:rPr>
                <w:noProof/>
                <w:webHidden/>
              </w:rPr>
              <w:t>6</w:t>
            </w:r>
            <w:r>
              <w:rPr>
                <w:noProof/>
                <w:webHidden/>
              </w:rPr>
              <w:fldChar w:fldCharType="end"/>
            </w:r>
          </w:hyperlink>
        </w:p>
        <w:p w14:paraId="2C5FE930" w14:textId="2E6A548A" w:rsidR="00B00FEC" w:rsidRDefault="00B00FEC">
          <w:pPr>
            <w:pStyle w:val="TOC1"/>
            <w:tabs>
              <w:tab w:val="right" w:leader="dot" w:pos="9638"/>
            </w:tabs>
            <w:rPr>
              <w:noProof/>
            </w:rPr>
          </w:pPr>
          <w:hyperlink w:anchor="_Toc224756180" w:history="1">
            <w:r w:rsidRPr="00DA5013">
              <w:rPr>
                <w:rStyle w:val="Hyperlink"/>
                <w:rFonts w:cs="Calibri"/>
                <w:noProof/>
              </w:rPr>
              <w:t>Research design</w:t>
            </w:r>
            <w:r>
              <w:rPr>
                <w:noProof/>
                <w:webHidden/>
              </w:rPr>
              <w:tab/>
            </w:r>
            <w:r>
              <w:rPr>
                <w:noProof/>
                <w:webHidden/>
              </w:rPr>
              <w:fldChar w:fldCharType="begin"/>
            </w:r>
            <w:r>
              <w:rPr>
                <w:noProof/>
                <w:webHidden/>
              </w:rPr>
              <w:instrText xml:space="preserve"> PAGEREF _Toc224756180 \h </w:instrText>
            </w:r>
            <w:r>
              <w:rPr>
                <w:noProof/>
                <w:webHidden/>
              </w:rPr>
            </w:r>
            <w:r>
              <w:rPr>
                <w:noProof/>
                <w:webHidden/>
              </w:rPr>
              <w:fldChar w:fldCharType="separate"/>
            </w:r>
            <w:r>
              <w:rPr>
                <w:noProof/>
                <w:webHidden/>
              </w:rPr>
              <w:t>7</w:t>
            </w:r>
            <w:r>
              <w:rPr>
                <w:noProof/>
                <w:webHidden/>
              </w:rPr>
              <w:fldChar w:fldCharType="end"/>
            </w:r>
          </w:hyperlink>
        </w:p>
        <w:p w14:paraId="76819AFE" w14:textId="0960D561" w:rsidR="00B00FEC" w:rsidRDefault="00B00FEC">
          <w:pPr>
            <w:pStyle w:val="TOC1"/>
            <w:tabs>
              <w:tab w:val="right" w:leader="dot" w:pos="9638"/>
            </w:tabs>
            <w:rPr>
              <w:noProof/>
            </w:rPr>
          </w:pPr>
          <w:hyperlink w:anchor="_Toc224756181" w:history="1">
            <w:r w:rsidRPr="00DA5013">
              <w:rPr>
                <w:rStyle w:val="Hyperlink"/>
                <w:rFonts w:cs="Calibri"/>
                <w:noProof/>
              </w:rPr>
              <w:t>Recruitment, sampling and study participants</w:t>
            </w:r>
            <w:r>
              <w:rPr>
                <w:noProof/>
                <w:webHidden/>
              </w:rPr>
              <w:tab/>
            </w:r>
            <w:r>
              <w:rPr>
                <w:noProof/>
                <w:webHidden/>
              </w:rPr>
              <w:fldChar w:fldCharType="begin"/>
            </w:r>
            <w:r>
              <w:rPr>
                <w:noProof/>
                <w:webHidden/>
              </w:rPr>
              <w:instrText xml:space="preserve"> PAGEREF _Toc224756181 \h </w:instrText>
            </w:r>
            <w:r>
              <w:rPr>
                <w:noProof/>
                <w:webHidden/>
              </w:rPr>
            </w:r>
            <w:r>
              <w:rPr>
                <w:noProof/>
                <w:webHidden/>
              </w:rPr>
              <w:fldChar w:fldCharType="separate"/>
            </w:r>
            <w:r>
              <w:rPr>
                <w:noProof/>
                <w:webHidden/>
              </w:rPr>
              <w:t>7</w:t>
            </w:r>
            <w:r>
              <w:rPr>
                <w:noProof/>
                <w:webHidden/>
              </w:rPr>
              <w:fldChar w:fldCharType="end"/>
            </w:r>
          </w:hyperlink>
        </w:p>
        <w:p w14:paraId="65240A31" w14:textId="46766D8C" w:rsidR="00B00FEC" w:rsidRDefault="00B00FEC">
          <w:pPr>
            <w:pStyle w:val="TOC1"/>
            <w:tabs>
              <w:tab w:val="right" w:leader="dot" w:pos="9638"/>
            </w:tabs>
            <w:rPr>
              <w:noProof/>
            </w:rPr>
          </w:pPr>
          <w:hyperlink w:anchor="_Toc224756182" w:history="1">
            <w:r w:rsidRPr="00DA5013">
              <w:rPr>
                <w:rStyle w:val="Hyperlink"/>
                <w:rFonts w:cs="Calibri"/>
                <w:noProof/>
              </w:rPr>
              <w:t>Materials and data collection methods/procedure</w:t>
            </w:r>
            <w:r>
              <w:rPr>
                <w:noProof/>
                <w:webHidden/>
              </w:rPr>
              <w:tab/>
            </w:r>
            <w:r>
              <w:rPr>
                <w:noProof/>
                <w:webHidden/>
              </w:rPr>
              <w:fldChar w:fldCharType="begin"/>
            </w:r>
            <w:r>
              <w:rPr>
                <w:noProof/>
                <w:webHidden/>
              </w:rPr>
              <w:instrText xml:space="preserve"> PAGEREF _Toc224756182 \h </w:instrText>
            </w:r>
            <w:r>
              <w:rPr>
                <w:noProof/>
                <w:webHidden/>
              </w:rPr>
            </w:r>
            <w:r>
              <w:rPr>
                <w:noProof/>
                <w:webHidden/>
              </w:rPr>
              <w:fldChar w:fldCharType="separate"/>
            </w:r>
            <w:r>
              <w:rPr>
                <w:noProof/>
                <w:webHidden/>
              </w:rPr>
              <w:t>8</w:t>
            </w:r>
            <w:r>
              <w:rPr>
                <w:noProof/>
                <w:webHidden/>
              </w:rPr>
              <w:fldChar w:fldCharType="end"/>
            </w:r>
          </w:hyperlink>
        </w:p>
        <w:p w14:paraId="32A7E6D3" w14:textId="0EC05053" w:rsidR="00B00FEC" w:rsidRDefault="00B00FEC">
          <w:pPr>
            <w:pStyle w:val="TOC1"/>
            <w:tabs>
              <w:tab w:val="right" w:leader="dot" w:pos="9638"/>
            </w:tabs>
            <w:rPr>
              <w:noProof/>
            </w:rPr>
          </w:pPr>
          <w:hyperlink w:anchor="_Toc224756183" w:history="1">
            <w:r w:rsidRPr="00DA5013">
              <w:rPr>
                <w:rStyle w:val="Hyperlink"/>
                <w:rFonts w:cs="Calibri"/>
                <w:noProof/>
              </w:rPr>
              <w:t>Proposed data analysis technique</w:t>
            </w:r>
            <w:r>
              <w:rPr>
                <w:noProof/>
                <w:webHidden/>
              </w:rPr>
              <w:tab/>
            </w:r>
            <w:r>
              <w:rPr>
                <w:noProof/>
                <w:webHidden/>
              </w:rPr>
              <w:fldChar w:fldCharType="begin"/>
            </w:r>
            <w:r>
              <w:rPr>
                <w:noProof/>
                <w:webHidden/>
              </w:rPr>
              <w:instrText xml:space="preserve"> PAGEREF _Toc224756183 \h </w:instrText>
            </w:r>
            <w:r>
              <w:rPr>
                <w:noProof/>
                <w:webHidden/>
              </w:rPr>
            </w:r>
            <w:r>
              <w:rPr>
                <w:noProof/>
                <w:webHidden/>
              </w:rPr>
              <w:fldChar w:fldCharType="separate"/>
            </w:r>
            <w:r>
              <w:rPr>
                <w:noProof/>
                <w:webHidden/>
              </w:rPr>
              <w:t>9</w:t>
            </w:r>
            <w:r>
              <w:rPr>
                <w:noProof/>
                <w:webHidden/>
              </w:rPr>
              <w:fldChar w:fldCharType="end"/>
            </w:r>
          </w:hyperlink>
        </w:p>
        <w:p w14:paraId="6E4EEB24" w14:textId="71281AE5" w:rsidR="00B00FEC" w:rsidRDefault="00B00FEC">
          <w:pPr>
            <w:pStyle w:val="TOC1"/>
            <w:tabs>
              <w:tab w:val="right" w:leader="dot" w:pos="9638"/>
            </w:tabs>
            <w:rPr>
              <w:noProof/>
            </w:rPr>
          </w:pPr>
          <w:hyperlink w:anchor="_Toc224756184" w:history="1">
            <w:r w:rsidRPr="00DA5013">
              <w:rPr>
                <w:rStyle w:val="Hyperlink"/>
                <w:rFonts w:cs="Calibri"/>
                <w:noProof/>
              </w:rPr>
              <w:t>Ethical considerations</w:t>
            </w:r>
            <w:r>
              <w:rPr>
                <w:noProof/>
                <w:webHidden/>
              </w:rPr>
              <w:tab/>
            </w:r>
            <w:r>
              <w:rPr>
                <w:noProof/>
                <w:webHidden/>
              </w:rPr>
              <w:fldChar w:fldCharType="begin"/>
            </w:r>
            <w:r>
              <w:rPr>
                <w:noProof/>
                <w:webHidden/>
              </w:rPr>
              <w:instrText xml:space="preserve"> PAGEREF _Toc224756184 \h </w:instrText>
            </w:r>
            <w:r>
              <w:rPr>
                <w:noProof/>
                <w:webHidden/>
              </w:rPr>
            </w:r>
            <w:r>
              <w:rPr>
                <w:noProof/>
                <w:webHidden/>
              </w:rPr>
              <w:fldChar w:fldCharType="separate"/>
            </w:r>
            <w:r>
              <w:rPr>
                <w:noProof/>
                <w:webHidden/>
              </w:rPr>
              <w:t>9</w:t>
            </w:r>
            <w:r>
              <w:rPr>
                <w:noProof/>
                <w:webHidden/>
              </w:rPr>
              <w:fldChar w:fldCharType="end"/>
            </w:r>
          </w:hyperlink>
        </w:p>
        <w:p w14:paraId="649FB0A6" w14:textId="5A266C32" w:rsidR="00B00FEC" w:rsidRDefault="00B00FEC">
          <w:pPr>
            <w:pStyle w:val="TOC1"/>
            <w:tabs>
              <w:tab w:val="right" w:leader="dot" w:pos="9638"/>
            </w:tabs>
            <w:rPr>
              <w:noProof/>
            </w:rPr>
          </w:pPr>
          <w:hyperlink w:anchor="_Toc224756185" w:history="1">
            <w:r w:rsidRPr="00DA5013">
              <w:rPr>
                <w:rStyle w:val="Hyperlink"/>
                <w:rFonts w:cs="Calibri"/>
                <w:noProof/>
              </w:rPr>
              <w:t>Implications of research</w:t>
            </w:r>
            <w:r>
              <w:rPr>
                <w:noProof/>
                <w:webHidden/>
              </w:rPr>
              <w:tab/>
            </w:r>
            <w:r>
              <w:rPr>
                <w:noProof/>
                <w:webHidden/>
              </w:rPr>
              <w:fldChar w:fldCharType="begin"/>
            </w:r>
            <w:r>
              <w:rPr>
                <w:noProof/>
                <w:webHidden/>
              </w:rPr>
              <w:instrText xml:space="preserve"> PAGEREF _Toc224756185 \h </w:instrText>
            </w:r>
            <w:r>
              <w:rPr>
                <w:noProof/>
                <w:webHidden/>
              </w:rPr>
            </w:r>
            <w:r>
              <w:rPr>
                <w:noProof/>
                <w:webHidden/>
              </w:rPr>
              <w:fldChar w:fldCharType="separate"/>
            </w:r>
            <w:r>
              <w:rPr>
                <w:noProof/>
                <w:webHidden/>
              </w:rPr>
              <w:t>10</w:t>
            </w:r>
            <w:r>
              <w:rPr>
                <w:noProof/>
                <w:webHidden/>
              </w:rPr>
              <w:fldChar w:fldCharType="end"/>
            </w:r>
          </w:hyperlink>
        </w:p>
        <w:p w14:paraId="5D48B1C9" w14:textId="2FEC2199" w:rsidR="00B00FEC" w:rsidRDefault="00B00FEC">
          <w:pPr>
            <w:pStyle w:val="TOC1"/>
            <w:tabs>
              <w:tab w:val="right" w:leader="dot" w:pos="9638"/>
            </w:tabs>
            <w:rPr>
              <w:noProof/>
            </w:rPr>
          </w:pPr>
          <w:hyperlink w:anchor="_Toc224756186" w:history="1">
            <w:r w:rsidRPr="00DA5013">
              <w:rPr>
                <w:rStyle w:val="Hyperlink"/>
                <w:rFonts w:cs="Calibri"/>
                <w:noProof/>
              </w:rPr>
              <w:t>Plan of work and time schedule</w:t>
            </w:r>
            <w:r>
              <w:rPr>
                <w:noProof/>
                <w:webHidden/>
              </w:rPr>
              <w:tab/>
            </w:r>
            <w:r>
              <w:rPr>
                <w:noProof/>
                <w:webHidden/>
              </w:rPr>
              <w:fldChar w:fldCharType="begin"/>
            </w:r>
            <w:r>
              <w:rPr>
                <w:noProof/>
                <w:webHidden/>
              </w:rPr>
              <w:instrText xml:space="preserve"> PAGEREF _Toc224756186 \h </w:instrText>
            </w:r>
            <w:r>
              <w:rPr>
                <w:noProof/>
                <w:webHidden/>
              </w:rPr>
            </w:r>
            <w:r>
              <w:rPr>
                <w:noProof/>
                <w:webHidden/>
              </w:rPr>
              <w:fldChar w:fldCharType="separate"/>
            </w:r>
            <w:r>
              <w:rPr>
                <w:noProof/>
                <w:webHidden/>
              </w:rPr>
              <w:t>11</w:t>
            </w:r>
            <w:r>
              <w:rPr>
                <w:noProof/>
                <w:webHidden/>
              </w:rPr>
              <w:fldChar w:fldCharType="end"/>
            </w:r>
          </w:hyperlink>
        </w:p>
        <w:p w14:paraId="48D951EC" w14:textId="58276EE6" w:rsidR="00B00FEC" w:rsidRDefault="00B00FEC">
          <w:pPr>
            <w:pStyle w:val="TOC1"/>
            <w:tabs>
              <w:tab w:val="right" w:leader="dot" w:pos="9638"/>
            </w:tabs>
            <w:rPr>
              <w:noProof/>
            </w:rPr>
          </w:pPr>
          <w:hyperlink w:anchor="_Toc224756187" w:history="1">
            <w:r w:rsidRPr="00DA5013">
              <w:rPr>
                <w:rStyle w:val="Hyperlink"/>
                <w:rFonts w:cs="Calibri"/>
                <w:noProof/>
              </w:rPr>
              <w:t>References</w:t>
            </w:r>
            <w:r>
              <w:rPr>
                <w:noProof/>
                <w:webHidden/>
              </w:rPr>
              <w:tab/>
            </w:r>
            <w:r>
              <w:rPr>
                <w:noProof/>
                <w:webHidden/>
              </w:rPr>
              <w:fldChar w:fldCharType="begin"/>
            </w:r>
            <w:r>
              <w:rPr>
                <w:noProof/>
                <w:webHidden/>
              </w:rPr>
              <w:instrText xml:space="preserve"> PAGEREF _Toc224756187 \h </w:instrText>
            </w:r>
            <w:r>
              <w:rPr>
                <w:noProof/>
                <w:webHidden/>
              </w:rPr>
            </w:r>
            <w:r>
              <w:rPr>
                <w:noProof/>
                <w:webHidden/>
              </w:rPr>
              <w:fldChar w:fldCharType="separate"/>
            </w:r>
            <w:r>
              <w:rPr>
                <w:noProof/>
                <w:webHidden/>
              </w:rPr>
              <w:t>12</w:t>
            </w:r>
            <w:r>
              <w:rPr>
                <w:noProof/>
                <w:webHidden/>
              </w:rPr>
              <w:fldChar w:fldCharType="end"/>
            </w:r>
          </w:hyperlink>
        </w:p>
        <w:p w14:paraId="54D99874" w14:textId="7BD65DA5" w:rsidR="00B00FEC" w:rsidRDefault="00B00FEC">
          <w:r>
            <w:rPr>
              <w:b/>
              <w:bCs/>
              <w:noProof/>
            </w:rPr>
            <w:fldChar w:fldCharType="end"/>
          </w:r>
        </w:p>
      </w:sdtContent>
    </w:sdt>
    <w:p w14:paraId="79664662" w14:textId="77777777" w:rsidR="00B00FEC" w:rsidRDefault="00B00FEC">
      <w:pPr>
        <w:spacing w:after="200" w:line="276" w:lineRule="auto"/>
        <w:jc w:val="left"/>
        <w:rPr>
          <w:rFonts w:eastAsiaTheme="majorEastAsia" w:cs="Calibri"/>
          <w:b/>
          <w:bCs/>
          <w:color w:val="1C3F5F"/>
          <w:sz w:val="26"/>
          <w:szCs w:val="28"/>
        </w:rPr>
      </w:pPr>
      <w:r>
        <w:rPr>
          <w:rFonts w:cs="Calibri"/>
        </w:rPr>
        <w:br w:type="page"/>
      </w:r>
    </w:p>
    <w:p w14:paraId="61AB1ADF" w14:textId="7C0C27F8" w:rsidR="009A78CA" w:rsidRPr="00817C86" w:rsidRDefault="00000000">
      <w:pPr>
        <w:pStyle w:val="Heading1"/>
        <w:rPr>
          <w:rFonts w:ascii="Calibri" w:hAnsi="Calibri" w:cs="Calibri"/>
        </w:rPr>
      </w:pPr>
      <w:bookmarkStart w:id="0" w:name="_Toc224756175"/>
      <w:r w:rsidRPr="00817C86">
        <w:rPr>
          <w:rFonts w:ascii="Calibri" w:hAnsi="Calibri" w:cs="Calibri"/>
        </w:rPr>
        <w:lastRenderedPageBreak/>
        <w:t>The prevalence of the problem</w:t>
      </w:r>
      <w:bookmarkEnd w:id="0"/>
    </w:p>
    <w:p w14:paraId="7C32B679" w14:textId="341FEBF9" w:rsidR="009A78CA" w:rsidRPr="00817C86" w:rsidRDefault="00817C86">
      <w:pPr>
        <w:rPr>
          <w:rFonts w:cs="Calibri"/>
        </w:rPr>
      </w:pPr>
      <w:r w:rsidRPr="00817C86">
        <w:rPr>
          <w:rFonts w:cs="Calibri"/>
        </w:rPr>
        <w:t xml:space="preserve">The young adulthood is a high-risk phase in the development and maintenance of mental ill-health, but it is also a stage when help-seeking is frequently delayed, interrupted or abandoned. The Adult Psychiatric Morbidity Survey of England found that common mental health conditions were impacting 25.8% of </w:t>
      </w:r>
      <w:r w:rsidRPr="00817C86">
        <w:rPr>
          <w:rFonts w:cs="Calibri"/>
        </w:rPr>
        <w:t>16- to 24-year-olds</w:t>
      </w:r>
      <w:r w:rsidRPr="00817C86">
        <w:rPr>
          <w:rFonts w:cs="Calibri"/>
        </w:rPr>
        <w:t xml:space="preserve"> in 2023 to 2024 compared to 18.9 in 2014, which means that the need is significantly aggravated among the age group most applicable to this proposal (NHS Digital, 2025). Meanwhile, the demand in the service is still high in NHS mental health pathways. By 2024 to 2025, to the extent that 4.13 million of the population in England were in contact with secondary mental health and learning disability and autism services societal overhead, 7.0 of the population were in contact with such services, which compared to 2023 to 2024 was greater (NHS Digital, 2025a). National policy recognizes access as not timely enough. The 2026 response of the UK Government to the Health and Social Care Committee conducted made it clear that community mental health waiting-time data is now routinely released but no formal access standard has ever been established on community mental health services, though efforts of this kind are being undertaken to extend the range of standards to more pathways (Department of Health and Social Care, 2026). Similar concerns are observed in the modern patient feedback. The national qualitative report by NHS England on Community Mental Health Survey 2024 surveyed 14,619 individuals aged 16 and above and found that transport, communication, coordination and practical access barriers existed in the community mental health care (NHS England, 2026). These statistics support the suggested research since they indicate that the need is increasing among young adults and that the access system is still marked with variability, delay and disproportionate experience.</w:t>
      </w:r>
    </w:p>
    <w:p w14:paraId="408F3B84" w14:textId="77777777" w:rsidR="009A78CA" w:rsidRPr="00817C86" w:rsidRDefault="00000000">
      <w:pPr>
        <w:pStyle w:val="Heading1"/>
        <w:rPr>
          <w:rFonts w:ascii="Calibri" w:hAnsi="Calibri" w:cs="Calibri"/>
        </w:rPr>
      </w:pPr>
      <w:bookmarkStart w:id="1" w:name="_Toc224756176"/>
      <w:r w:rsidRPr="00817C86">
        <w:rPr>
          <w:rFonts w:ascii="Calibri" w:hAnsi="Calibri" w:cs="Calibri"/>
        </w:rPr>
        <w:t>Introduction, including a literature-based background to the study</w:t>
      </w:r>
      <w:bookmarkEnd w:id="1"/>
    </w:p>
    <w:p w14:paraId="38DEC6F3" w14:textId="77777777" w:rsidR="00817C86" w:rsidRPr="00817C86" w:rsidRDefault="00817C86" w:rsidP="00817C86">
      <w:pPr>
        <w:rPr>
          <w:rFonts w:cs="Calibri"/>
        </w:rPr>
      </w:pPr>
      <w:r w:rsidRPr="00817C86">
        <w:rPr>
          <w:rFonts w:cs="Calibri"/>
        </w:rPr>
        <w:t xml:space="preserve">The accepted Component 1 presentation established three overlapping areas of challenge in community mental health access among young adults, including structural barriers, social and cultural barriers, and vulnerability-linked and transition-related inequalities. This framing is strongly supported in the literature, yet it demonstrates the need to conduct a more specific empirical study. Available literature has always pointed out that symptoms are not the only factor that influence help-seeking. In brief evidence of stigma, low mental health literacy, inability to express distress, and lack of knowledge of where to receive help were still identified as barriers to </w:t>
      </w:r>
      <w:r w:rsidRPr="00817C86">
        <w:rPr>
          <w:rFonts w:cs="Calibri"/>
        </w:rPr>
        <w:lastRenderedPageBreak/>
        <w:t>young adults (Mitchell, McMillan and Hagan, 2017). The same was also found by Gulliver, Griffiths and Christensen (2010), who also revealed that among the most common barriers in the studies on youth mental health help-seeking were stigma, concerns with confidentiality and the interest in self-reliance.</w:t>
      </w:r>
    </w:p>
    <w:p w14:paraId="55833291" w14:textId="77777777" w:rsidR="00817C86" w:rsidRPr="00817C86" w:rsidRDefault="00817C86" w:rsidP="00817C86">
      <w:pPr>
        <w:rPr>
          <w:rFonts w:cs="Calibri"/>
        </w:rPr>
      </w:pPr>
      <w:r w:rsidRPr="00817C86">
        <w:rPr>
          <w:rFonts w:cs="Calibri"/>
        </w:rPr>
        <w:t xml:space="preserve">These obstacles, however, are not isolated attitudes only. Service </w:t>
      </w:r>
      <w:proofErr w:type="spellStart"/>
      <w:r w:rsidRPr="00817C86">
        <w:rPr>
          <w:rFonts w:cs="Calibri"/>
        </w:rPr>
        <w:t>organisation</w:t>
      </w:r>
      <w:proofErr w:type="spellEnd"/>
      <w:r w:rsidRPr="00817C86">
        <w:rPr>
          <w:rFonts w:cs="Calibri"/>
        </w:rPr>
        <w:t xml:space="preserve"> produces and reinforces them. Moreton, Welford and Collinson (2022) demonstrated that when individuals are faced with multiple disadvantage, disjointed routes, hard edges and bad service fit, access can be hard even in the places where support should be. In the UK setting, Lowther-Payne et al. (2023) identified that the unequal measurement of inequalities in access to adult mental health services is not fully understood, with the evidence being consistent to show that access to adult mental health services is less well experienced in </w:t>
      </w:r>
      <w:proofErr w:type="spellStart"/>
      <w:r w:rsidRPr="00817C86">
        <w:rPr>
          <w:rFonts w:cs="Calibri"/>
        </w:rPr>
        <w:t>marginalised</w:t>
      </w:r>
      <w:proofErr w:type="spellEnd"/>
      <w:r w:rsidRPr="00817C86">
        <w:rPr>
          <w:rFonts w:cs="Calibri"/>
        </w:rPr>
        <w:t xml:space="preserve"> populations but lacking a comprehensive holistic approach to access. Their review is especially significant as it points to a methodological issue: most studies only measure one level of access, including referral or contact, but not the whole process of need recognition to remaining active.</w:t>
      </w:r>
    </w:p>
    <w:p w14:paraId="2537B9CC" w14:textId="76F8CF5A" w:rsidR="00817C86" w:rsidRPr="00817C86" w:rsidRDefault="00817C86" w:rsidP="00817C86">
      <w:pPr>
        <w:rPr>
          <w:rFonts w:cs="Calibri"/>
        </w:rPr>
      </w:pPr>
      <w:r w:rsidRPr="00817C86">
        <w:rPr>
          <w:rFonts w:cs="Calibri"/>
        </w:rPr>
        <w:t xml:space="preserve">According to the literature, initial experiences are very significant to subsequent involvement. </w:t>
      </w:r>
      <w:proofErr w:type="spellStart"/>
      <w:r w:rsidRPr="00817C86">
        <w:rPr>
          <w:rFonts w:cs="Calibri"/>
        </w:rPr>
        <w:t>Punton</w:t>
      </w:r>
      <w:proofErr w:type="spellEnd"/>
      <w:r w:rsidRPr="00817C86">
        <w:rPr>
          <w:rFonts w:cs="Calibri"/>
        </w:rPr>
        <w:t xml:space="preserve">, Dodd and McNeill (2022) discovered that the long waits within the UK mental health services made young adults use other options, lose confidence and acquire more negative beliefs and feelings. Appleton et al. (2021) demonstrated in a related but distinct population that young people who were in-between child and adult services reported repetitive rejection, discontinuity and loss of support at the transition stage. </w:t>
      </w:r>
      <w:proofErr w:type="spellStart"/>
      <w:r w:rsidRPr="00817C86">
        <w:rPr>
          <w:rFonts w:cs="Calibri"/>
        </w:rPr>
        <w:t>Synthesising</w:t>
      </w:r>
      <w:proofErr w:type="spellEnd"/>
      <w:r w:rsidRPr="00817C86">
        <w:rPr>
          <w:rFonts w:cs="Calibri"/>
        </w:rPr>
        <w:t xml:space="preserve"> qualitative studies of transition Rosina et al. (2025) decided that not only can fragmented handovers and weak continuity discourage follow-up interaction but also have breakthrough effects. These works imply that the access cannot be considered as a </w:t>
      </w:r>
      <w:r w:rsidRPr="00817C86">
        <w:rPr>
          <w:rFonts w:cs="Calibri"/>
        </w:rPr>
        <w:t>one-time</w:t>
      </w:r>
      <w:r w:rsidRPr="00817C86">
        <w:rPr>
          <w:rFonts w:cs="Calibri"/>
        </w:rPr>
        <w:t xml:space="preserve"> event; it is more appropriate to understand access as a process that is staged, delicate.</w:t>
      </w:r>
    </w:p>
    <w:p w14:paraId="65DF87C5" w14:textId="77777777" w:rsidR="00817C86" w:rsidRPr="00817C86" w:rsidRDefault="00817C86" w:rsidP="00817C86">
      <w:pPr>
        <w:rPr>
          <w:rFonts w:cs="Calibri"/>
        </w:rPr>
      </w:pPr>
      <w:r w:rsidRPr="00817C86">
        <w:rPr>
          <w:rFonts w:cs="Calibri"/>
        </w:rPr>
        <w:t xml:space="preserve">These </w:t>
      </w:r>
      <w:proofErr w:type="spellStart"/>
      <w:r w:rsidRPr="00817C86">
        <w:rPr>
          <w:rFonts w:cs="Calibri"/>
        </w:rPr>
        <w:t>organisational</w:t>
      </w:r>
      <w:proofErr w:type="spellEnd"/>
      <w:r w:rsidRPr="00817C86">
        <w:rPr>
          <w:rFonts w:cs="Calibri"/>
        </w:rPr>
        <w:t xml:space="preserve"> problems are complicated by social context. Burke, John and Hanna (2022) have established that masculinity, trust, expected judgement, and the emotional risk of disclosure determine help-seeking among young men. In a systematic review of what young people in the UK report about help-seeking, Macdonald and Lucas (2025) discovered that stigma, poor conceptualization of service roles, fears of unintended consequences and distrusting relationships are all potent deterrents. Adolescents tend to appreciate reliability, empathy and cooperation, yet </w:t>
      </w:r>
      <w:r w:rsidRPr="00817C86">
        <w:rPr>
          <w:rFonts w:cs="Calibri"/>
        </w:rPr>
        <w:lastRenderedPageBreak/>
        <w:t>they are not always exposed to them. It has been shown in the literature that access barriers are both logistical and relational.</w:t>
      </w:r>
    </w:p>
    <w:p w14:paraId="4B688767" w14:textId="77777777" w:rsidR="00817C86" w:rsidRPr="00817C86" w:rsidRDefault="00817C86" w:rsidP="00817C86">
      <w:pPr>
        <w:rPr>
          <w:rFonts w:cs="Calibri"/>
        </w:rPr>
      </w:pPr>
      <w:r w:rsidRPr="00817C86">
        <w:rPr>
          <w:rFonts w:cs="Calibri"/>
        </w:rPr>
        <w:t>Equity view is also imperative. Rao et al. (2024) claimed that young adults with disabilities caused by mental health have compounded problems that cannot be simplified to the availability of a simple service. Youths who have left the care endure additional problems, such as the sense of not being understood, supported, and distrustful of professionals (Young and Melia, 2024). The intersectionality approach would be helpful in this case as it helps see how age, ethnicity, disability, socioeconomic disadvantage and care experience may work together to increase exclusion instead of as individual risks (</w:t>
      </w:r>
      <w:proofErr w:type="spellStart"/>
      <w:r w:rsidRPr="00817C86">
        <w:rPr>
          <w:rFonts w:cs="Calibri"/>
        </w:rPr>
        <w:t>Kapilashrami</w:t>
      </w:r>
      <w:proofErr w:type="spellEnd"/>
      <w:r w:rsidRPr="00817C86">
        <w:rPr>
          <w:rFonts w:cs="Calibri"/>
        </w:rPr>
        <w:t xml:space="preserve"> and Hankivsky, 2018).</w:t>
      </w:r>
    </w:p>
    <w:p w14:paraId="58A41552" w14:textId="4168F438" w:rsidR="009A78CA" w:rsidRPr="00817C86" w:rsidRDefault="00817C86" w:rsidP="00817C86">
      <w:pPr>
        <w:rPr>
          <w:rFonts w:cs="Calibri"/>
        </w:rPr>
      </w:pPr>
      <w:r w:rsidRPr="00817C86">
        <w:rPr>
          <w:rFonts w:cs="Calibri"/>
        </w:rPr>
        <w:t>The access-to-engagement pathway presented by the poster is thus conceptually justifiable and can be enhanced with the patient-</w:t>
      </w:r>
      <w:proofErr w:type="spellStart"/>
      <w:r w:rsidRPr="00817C86">
        <w:rPr>
          <w:rFonts w:cs="Calibri"/>
        </w:rPr>
        <w:t>centred</w:t>
      </w:r>
      <w:proofErr w:type="spellEnd"/>
      <w:r w:rsidRPr="00817C86">
        <w:rPr>
          <w:rFonts w:cs="Calibri"/>
        </w:rPr>
        <w:t xml:space="preserve"> access model by Levesque, Harris and Russell (2013), which considers access as a process that entails the identification of need, seeking of help, access to services, access to care and satisfaction of needs. The combination of these ideas results in a definite research problem. The UK evidence demonstrates that young adults have to deal with numerous obstacles, yet much of the literature concentrates on individual subgroups, individual phases, including waiting, or service inequality in general without including how these barriers accumulate during the initial access and participation in community-based services. A qualitative study formulated around the route between the need recognition and initial engagement can thus offer a definite and innovative contribution</w:t>
      </w:r>
      <w:r w:rsidR="00000000" w:rsidRPr="00817C86">
        <w:rPr>
          <w:rFonts w:cs="Calibri"/>
        </w:rPr>
        <w:t>.</w:t>
      </w:r>
    </w:p>
    <w:p w14:paraId="29D2CA79" w14:textId="77777777" w:rsidR="009A78CA" w:rsidRPr="00817C86" w:rsidRDefault="00000000">
      <w:pPr>
        <w:pStyle w:val="Heading1"/>
        <w:rPr>
          <w:rFonts w:ascii="Calibri" w:hAnsi="Calibri" w:cs="Calibri"/>
        </w:rPr>
      </w:pPr>
      <w:bookmarkStart w:id="2" w:name="_Toc224756177"/>
      <w:r w:rsidRPr="00817C86">
        <w:rPr>
          <w:rFonts w:ascii="Calibri" w:hAnsi="Calibri" w:cs="Calibri"/>
        </w:rPr>
        <w:t>Rationale</w:t>
      </w:r>
      <w:bookmarkEnd w:id="2"/>
    </w:p>
    <w:p w14:paraId="69093593" w14:textId="1D14E2EB" w:rsidR="00817C86" w:rsidRPr="00817C86" w:rsidRDefault="00817C86" w:rsidP="00817C86">
      <w:pPr>
        <w:rPr>
          <w:rFonts w:cs="Calibri"/>
        </w:rPr>
      </w:pPr>
      <w:r w:rsidRPr="00817C86">
        <w:rPr>
          <w:rFonts w:cs="Calibri"/>
        </w:rPr>
        <w:t xml:space="preserve">The current research is conceptually, empirically and practically justified. The literature indicates conceptually that access is dynamic, relational and socially patterned but empirical studies tend to focus on a single barrier at a time. Empirically, the recent UK evidence still documents delays, discontinuous provision and inequalities in access, yet has less qualitative research that </w:t>
      </w:r>
      <w:proofErr w:type="spellStart"/>
      <w:r w:rsidRPr="00817C86">
        <w:rPr>
          <w:rFonts w:cs="Calibri"/>
        </w:rPr>
        <w:t>characterises</w:t>
      </w:r>
      <w:proofErr w:type="spellEnd"/>
      <w:r w:rsidRPr="00817C86">
        <w:rPr>
          <w:rFonts w:cs="Calibri"/>
        </w:rPr>
        <w:t xml:space="preserve"> the interaction of structural, social and intersectional barriers at stages of access and early involvement in particular to community-based mental health care of young adults. In </w:t>
      </w:r>
      <w:proofErr w:type="spellStart"/>
      <w:r w:rsidRPr="00817C86">
        <w:rPr>
          <w:rFonts w:cs="Calibri"/>
        </w:rPr>
        <w:t>practise</w:t>
      </w:r>
      <w:proofErr w:type="spellEnd"/>
      <w:r w:rsidRPr="00817C86">
        <w:rPr>
          <w:rFonts w:cs="Calibri"/>
        </w:rPr>
        <w:t xml:space="preserve">, the </w:t>
      </w:r>
      <w:r w:rsidRPr="00817C86">
        <w:rPr>
          <w:rFonts w:cs="Calibri"/>
        </w:rPr>
        <w:t>community-based</w:t>
      </w:r>
      <w:r w:rsidRPr="00817C86">
        <w:rPr>
          <w:rFonts w:cs="Calibri"/>
        </w:rPr>
        <w:t xml:space="preserve"> services are the core of the current mental health policy since they are likely to offer the preventative and accessible support that is not in acute environments (NHS England, 2019). Unless barriers at the point of referral, assessment and first contact are </w:t>
      </w:r>
      <w:r w:rsidRPr="00817C86">
        <w:rPr>
          <w:rFonts w:cs="Calibri"/>
        </w:rPr>
        <w:lastRenderedPageBreak/>
        <w:t xml:space="preserve">comprehended through the lens of individuals seeking to </w:t>
      </w:r>
      <w:proofErr w:type="spellStart"/>
      <w:r w:rsidRPr="00817C86">
        <w:rPr>
          <w:rFonts w:cs="Calibri"/>
        </w:rPr>
        <w:t>utilise</w:t>
      </w:r>
      <w:proofErr w:type="spellEnd"/>
      <w:r w:rsidRPr="00817C86">
        <w:rPr>
          <w:rFonts w:cs="Calibri"/>
        </w:rPr>
        <w:t xml:space="preserve"> services, policy promises of equity and early intervention will continue to be diluted.</w:t>
      </w:r>
    </w:p>
    <w:p w14:paraId="3A0F0FC2" w14:textId="2159282A" w:rsidR="009A78CA" w:rsidRPr="00817C86" w:rsidRDefault="00817C86" w:rsidP="00817C86">
      <w:pPr>
        <w:rPr>
          <w:rFonts w:cs="Calibri"/>
        </w:rPr>
      </w:pPr>
      <w:r w:rsidRPr="00817C86">
        <w:rPr>
          <w:rFonts w:cs="Calibri"/>
        </w:rPr>
        <w:t>This proposal is loyal to the accepted Component 1 topic and elaborates on it into a more rigorous mini-dissertation design. It goes beyond the description of barriers to the experience, interpretation and negotiation of barriers. The proposed donation is a barrier-to-engagement map with a background based on the testimonies of young adults that can potentially inform the culturally aware communication, redesigning pathways and better provision of services.</w:t>
      </w:r>
    </w:p>
    <w:p w14:paraId="6EDC4A8F" w14:textId="77777777" w:rsidR="009A78CA" w:rsidRPr="00817C86" w:rsidRDefault="00000000">
      <w:pPr>
        <w:pStyle w:val="Heading1"/>
        <w:rPr>
          <w:rFonts w:ascii="Calibri" w:hAnsi="Calibri" w:cs="Calibri"/>
        </w:rPr>
      </w:pPr>
      <w:bookmarkStart w:id="3" w:name="_Toc224756178"/>
      <w:r w:rsidRPr="00817C86">
        <w:rPr>
          <w:rFonts w:ascii="Calibri" w:hAnsi="Calibri" w:cs="Calibri"/>
        </w:rPr>
        <w:t>Research question, aim and objectives</w:t>
      </w:r>
      <w:bookmarkEnd w:id="3"/>
    </w:p>
    <w:p w14:paraId="14253BED" w14:textId="77777777" w:rsidR="009A78CA" w:rsidRPr="00817C86" w:rsidRDefault="00000000">
      <w:pPr>
        <w:rPr>
          <w:rFonts w:cs="Calibri"/>
        </w:rPr>
      </w:pPr>
      <w:r w:rsidRPr="00817C86">
        <w:rPr>
          <w:rFonts w:cs="Calibri"/>
          <w:b/>
          <w:bCs/>
        </w:rPr>
        <w:t>Research question:</w:t>
      </w:r>
      <w:r w:rsidRPr="00817C86">
        <w:rPr>
          <w:rFonts w:cs="Calibri"/>
        </w:rPr>
        <w:t xml:space="preserve"> What barriers do young adults in the United Kingdom experience when accessing community-based mental health services, and how do these barriers shape early engagement with care?</w:t>
      </w:r>
    </w:p>
    <w:p w14:paraId="73789CD4" w14:textId="77777777" w:rsidR="009A78CA" w:rsidRPr="00817C86" w:rsidRDefault="00000000">
      <w:pPr>
        <w:rPr>
          <w:rFonts w:cs="Calibri"/>
        </w:rPr>
      </w:pPr>
      <w:r w:rsidRPr="00817C86">
        <w:rPr>
          <w:rFonts w:cs="Calibri"/>
          <w:b/>
          <w:bCs/>
        </w:rPr>
        <w:t>Aim:</w:t>
      </w:r>
      <w:r w:rsidRPr="00817C86">
        <w:rPr>
          <w:rFonts w:cs="Calibri"/>
        </w:rPr>
        <w:t xml:space="preserve"> To explore the structural, social, cultural and intersectional barriers that influence young adults’ access to community-based mental health services in the United Kingdom and to examine how these barriers affect early engagement with care.</w:t>
      </w:r>
    </w:p>
    <w:p w14:paraId="157EA817" w14:textId="77777777" w:rsidR="00817C86" w:rsidRPr="00817C86" w:rsidRDefault="00000000">
      <w:pPr>
        <w:rPr>
          <w:rFonts w:cs="Calibri"/>
          <w:b/>
          <w:bCs/>
        </w:rPr>
      </w:pPr>
      <w:r w:rsidRPr="00817C86">
        <w:rPr>
          <w:rFonts w:cs="Calibri"/>
          <w:b/>
          <w:bCs/>
        </w:rPr>
        <w:t>Objectives:</w:t>
      </w:r>
    </w:p>
    <w:p w14:paraId="3CA5E2C0" w14:textId="03F3C6CD" w:rsidR="00817C86" w:rsidRPr="00817C86" w:rsidRDefault="00000000" w:rsidP="00817C86">
      <w:pPr>
        <w:pStyle w:val="ListParagraph"/>
        <w:numPr>
          <w:ilvl w:val="0"/>
          <w:numId w:val="11"/>
        </w:numPr>
        <w:rPr>
          <w:rFonts w:cs="Calibri"/>
        </w:rPr>
      </w:pPr>
      <w:r w:rsidRPr="00817C86">
        <w:rPr>
          <w:rFonts w:cs="Calibri"/>
        </w:rPr>
        <w:t>To examine how waiting times, eligibility criteria, referral routes and service organisation shape access to community-based mental health services.</w:t>
      </w:r>
    </w:p>
    <w:p w14:paraId="3A036CD9" w14:textId="30979437" w:rsidR="00817C86" w:rsidRPr="00817C86" w:rsidRDefault="00000000" w:rsidP="00817C86">
      <w:pPr>
        <w:pStyle w:val="ListParagraph"/>
        <w:numPr>
          <w:ilvl w:val="0"/>
          <w:numId w:val="11"/>
        </w:numPr>
        <w:rPr>
          <w:rFonts w:cs="Calibri"/>
        </w:rPr>
      </w:pPr>
      <w:r w:rsidRPr="00817C86">
        <w:rPr>
          <w:rFonts w:cs="Calibri"/>
        </w:rPr>
        <w:t>To explore how stigma, confidentiality concerns, cultural beliefs and previous service experiences influence help-seeking and disclosure.</w:t>
      </w:r>
    </w:p>
    <w:p w14:paraId="2139CFFE" w14:textId="7424E54E" w:rsidR="00817C86" w:rsidRPr="00817C86" w:rsidRDefault="00000000" w:rsidP="00817C86">
      <w:pPr>
        <w:pStyle w:val="ListParagraph"/>
        <w:numPr>
          <w:ilvl w:val="0"/>
          <w:numId w:val="11"/>
        </w:numPr>
        <w:rPr>
          <w:rFonts w:cs="Calibri"/>
        </w:rPr>
      </w:pPr>
      <w:r w:rsidRPr="00817C86">
        <w:rPr>
          <w:rFonts w:cs="Calibri"/>
        </w:rPr>
        <w:t>To investigate how intersecting factors such as social disadvantage, disability, ethnicity, care experience and transition from child to adult services affect access and early engagement.</w:t>
      </w:r>
    </w:p>
    <w:p w14:paraId="752577E2" w14:textId="76560686" w:rsidR="009A78CA" w:rsidRPr="00817C86" w:rsidRDefault="00000000" w:rsidP="00817C86">
      <w:pPr>
        <w:pStyle w:val="ListParagraph"/>
        <w:numPr>
          <w:ilvl w:val="0"/>
          <w:numId w:val="11"/>
        </w:numPr>
        <w:rPr>
          <w:rFonts w:cs="Calibri"/>
        </w:rPr>
      </w:pPr>
      <w:r w:rsidRPr="00817C86">
        <w:rPr>
          <w:rFonts w:cs="Calibri"/>
        </w:rPr>
        <w:t>To generate practice-oriented recommendations for more inclusive, responsive and equitable community-based mental health provision.</w:t>
      </w:r>
    </w:p>
    <w:p w14:paraId="39751782" w14:textId="77777777" w:rsidR="009A78CA" w:rsidRPr="00817C86" w:rsidRDefault="00000000">
      <w:pPr>
        <w:pStyle w:val="Heading1"/>
        <w:rPr>
          <w:rFonts w:ascii="Calibri" w:hAnsi="Calibri" w:cs="Calibri"/>
        </w:rPr>
      </w:pPr>
      <w:bookmarkStart w:id="4" w:name="_Toc224756179"/>
      <w:r w:rsidRPr="00817C86">
        <w:rPr>
          <w:rFonts w:ascii="Calibri" w:hAnsi="Calibri" w:cs="Calibri"/>
        </w:rPr>
        <w:t>Research methodology</w:t>
      </w:r>
      <w:bookmarkEnd w:id="4"/>
    </w:p>
    <w:p w14:paraId="18035144" w14:textId="77777777" w:rsidR="00817C86" w:rsidRPr="00817C86" w:rsidRDefault="00817C86" w:rsidP="00817C86">
      <w:pPr>
        <w:rPr>
          <w:rFonts w:cs="Calibri"/>
        </w:rPr>
      </w:pPr>
      <w:r w:rsidRPr="00817C86">
        <w:rPr>
          <w:rFonts w:cs="Calibri"/>
        </w:rPr>
        <w:t xml:space="preserve">The best approach is a qualitative exploratory methodology since the research aims at knowing lived experiences, meanings and decision-making instead of finding prevalence and causal relationships. The questions related to the interpretation of barriers, why some of the encounters </w:t>
      </w:r>
      <w:r w:rsidRPr="00817C86">
        <w:rPr>
          <w:rFonts w:cs="Calibri"/>
        </w:rPr>
        <w:lastRenderedPageBreak/>
        <w:t>discourage future attendance and how young adults describe trust, disengagement and service fit are best addressed by qualitative research (Creswell and Creswell, 2018). An entirely quantitative survey may discover the frequency of barriers, but would be less effective in determining the sequencing and relationship of barriers through the access pathway. Qualitative design is thus more in line with the purpose of the study and the gap in evidence that is presented above.</w:t>
      </w:r>
    </w:p>
    <w:p w14:paraId="770EF39C" w14:textId="1924CF87" w:rsidR="009A78CA" w:rsidRPr="00817C86" w:rsidRDefault="00817C86" w:rsidP="00817C86">
      <w:pPr>
        <w:rPr>
          <w:rFonts w:cs="Calibri"/>
        </w:rPr>
      </w:pPr>
      <w:r w:rsidRPr="00817C86">
        <w:rPr>
          <w:rFonts w:cs="Calibri"/>
        </w:rPr>
        <w:t xml:space="preserve">A contextualist critical realist position will be used to inform the study. This position presupposes that social factors like long waits, thresholds and discrimination are not empty concepts, but it also acknowledges that the social context, identity and meaning-making influence the accounts of participants (Braun and Clarke, 2021; Burke, John and Hanna, 2022). The access framework by Levesque, Harris and Russell (2013) will be applied as a </w:t>
      </w:r>
      <w:proofErr w:type="spellStart"/>
      <w:r w:rsidRPr="00817C86">
        <w:rPr>
          <w:rFonts w:cs="Calibri"/>
        </w:rPr>
        <w:t>sensitising</w:t>
      </w:r>
      <w:proofErr w:type="spellEnd"/>
      <w:r w:rsidRPr="00817C86">
        <w:rPr>
          <w:rFonts w:cs="Calibri"/>
        </w:rPr>
        <w:t xml:space="preserve"> device and not a strict coding template. This enables the study to maintain conceptual coherence and at the same time being open to unexpected experiences and interpretations</w:t>
      </w:r>
      <w:r w:rsidR="00000000" w:rsidRPr="00817C86">
        <w:rPr>
          <w:rFonts w:cs="Calibri"/>
        </w:rPr>
        <w:t>.</w:t>
      </w:r>
    </w:p>
    <w:p w14:paraId="13A48F27" w14:textId="77777777" w:rsidR="009A78CA" w:rsidRPr="00817C86" w:rsidRDefault="00000000">
      <w:pPr>
        <w:pStyle w:val="Heading1"/>
        <w:rPr>
          <w:rFonts w:ascii="Calibri" w:hAnsi="Calibri" w:cs="Calibri"/>
        </w:rPr>
      </w:pPr>
      <w:bookmarkStart w:id="5" w:name="_Toc224756180"/>
      <w:r w:rsidRPr="00817C86">
        <w:rPr>
          <w:rFonts w:ascii="Calibri" w:hAnsi="Calibri" w:cs="Calibri"/>
        </w:rPr>
        <w:t>Research design</w:t>
      </w:r>
      <w:bookmarkEnd w:id="5"/>
    </w:p>
    <w:p w14:paraId="457E5764" w14:textId="77777777" w:rsidR="00817C86" w:rsidRPr="00817C86" w:rsidRDefault="00817C86" w:rsidP="00817C86">
      <w:pPr>
        <w:rPr>
          <w:rFonts w:cs="Calibri"/>
        </w:rPr>
      </w:pPr>
      <w:r w:rsidRPr="00817C86">
        <w:rPr>
          <w:rFonts w:cs="Calibri"/>
        </w:rPr>
        <w:t xml:space="preserve">The study design will be a qualitative exploration study through semi-structured individual interviews. Interviews are more desirable than a survey since the proposal is process, sequence and meaning which are perceived. They are also better than focus groups in this topic since </w:t>
      </w:r>
      <w:proofErr w:type="spellStart"/>
      <w:r w:rsidRPr="00817C86">
        <w:rPr>
          <w:rFonts w:cs="Calibri"/>
        </w:rPr>
        <w:t>stigmatising</w:t>
      </w:r>
      <w:proofErr w:type="spellEnd"/>
      <w:r w:rsidRPr="00817C86">
        <w:rPr>
          <w:rFonts w:cs="Calibri"/>
        </w:rPr>
        <w:t xml:space="preserve">, trust, rejection, trauma and disappointment of service are sensitive issues that might be suppressed in a group. Personal interviews are consequently expected to provide more detailed and less risky access and early engagement descriptions. The design will be geared towards community-based mental health services, not inpatient or crisis care due to the policy and </w:t>
      </w:r>
      <w:proofErr w:type="spellStart"/>
      <w:r w:rsidRPr="00817C86">
        <w:rPr>
          <w:rFonts w:cs="Calibri"/>
        </w:rPr>
        <w:t>practise</w:t>
      </w:r>
      <w:proofErr w:type="spellEnd"/>
      <w:r w:rsidRPr="00817C86">
        <w:rPr>
          <w:rFonts w:cs="Calibri"/>
        </w:rPr>
        <w:t xml:space="preserve"> issue that is evident in the presentation, which is regular access, waiting, referral and continued community support.</w:t>
      </w:r>
    </w:p>
    <w:p w14:paraId="4B6B1BB3" w14:textId="566F8423" w:rsidR="009A78CA" w:rsidRPr="00817C86" w:rsidRDefault="00817C86" w:rsidP="00817C86">
      <w:pPr>
        <w:rPr>
          <w:rFonts w:cs="Calibri"/>
        </w:rPr>
      </w:pPr>
      <w:r w:rsidRPr="00817C86">
        <w:rPr>
          <w:rFonts w:cs="Calibri"/>
        </w:rPr>
        <w:t xml:space="preserve">This paper will look at experiences at six connected phases based on Component 1 access-to-engagement pathway: </w:t>
      </w:r>
      <w:proofErr w:type="spellStart"/>
      <w:r w:rsidRPr="00817C86">
        <w:rPr>
          <w:rFonts w:cs="Calibri"/>
        </w:rPr>
        <w:t>recognising</w:t>
      </w:r>
      <w:proofErr w:type="spellEnd"/>
      <w:r w:rsidRPr="00817C86">
        <w:rPr>
          <w:rFonts w:cs="Calibri"/>
        </w:rPr>
        <w:t xml:space="preserve"> need, help-seeking, referral, assessment, first contact and early engagement. This is a strength of the staged design, as the design enables the investigation of the location of barriers concentration and the influence of early events on subsequent participation</w:t>
      </w:r>
      <w:r w:rsidR="00000000" w:rsidRPr="00817C86">
        <w:rPr>
          <w:rFonts w:cs="Calibri"/>
        </w:rPr>
        <w:t>.</w:t>
      </w:r>
    </w:p>
    <w:p w14:paraId="671289F3" w14:textId="77777777" w:rsidR="009A78CA" w:rsidRPr="00817C86" w:rsidRDefault="00000000">
      <w:pPr>
        <w:pStyle w:val="Heading1"/>
        <w:rPr>
          <w:rFonts w:ascii="Calibri" w:hAnsi="Calibri" w:cs="Calibri"/>
        </w:rPr>
      </w:pPr>
      <w:bookmarkStart w:id="6" w:name="_Toc224756181"/>
      <w:r w:rsidRPr="00817C86">
        <w:rPr>
          <w:rFonts w:ascii="Calibri" w:hAnsi="Calibri" w:cs="Calibri"/>
        </w:rPr>
        <w:t>Recruitment, sampling and study participants</w:t>
      </w:r>
      <w:bookmarkEnd w:id="6"/>
    </w:p>
    <w:p w14:paraId="0D0F4DC3" w14:textId="77777777" w:rsidR="00817C86" w:rsidRPr="00817C86" w:rsidRDefault="00817C86" w:rsidP="00817C86">
      <w:pPr>
        <w:rPr>
          <w:rFonts w:cs="Calibri"/>
        </w:rPr>
      </w:pPr>
      <w:r w:rsidRPr="00817C86">
        <w:rPr>
          <w:rFonts w:cs="Calibri"/>
        </w:rPr>
        <w:t xml:space="preserve">The study participants will be young adults aged 18 to 25 years old living in the United Kingdom and have tried to access, currently accessing, or have accessed community based mental health </w:t>
      </w:r>
      <w:r w:rsidRPr="00817C86">
        <w:rPr>
          <w:rFonts w:cs="Calibri"/>
        </w:rPr>
        <w:lastRenderedPageBreak/>
        <w:t>services in the last 24 months. The community-based services can incorporate NHS community mental health teams, talking therapies, mental health support by the voluntary sector, university-linked community services and other non-inpatient services of such nature. The age is purposefully limited since it covers a developmental stage where help-seeking identities, service transfers and autonomy are particularly critical.</w:t>
      </w:r>
    </w:p>
    <w:p w14:paraId="1F26E086" w14:textId="77C34535" w:rsidR="00817C86" w:rsidRPr="00817C86" w:rsidRDefault="00817C86" w:rsidP="00817C86">
      <w:pPr>
        <w:rPr>
          <w:rFonts w:cs="Calibri"/>
        </w:rPr>
      </w:pPr>
      <w:r w:rsidRPr="00817C86">
        <w:rPr>
          <w:rFonts w:cs="Calibri"/>
        </w:rPr>
        <w:t xml:space="preserve">The purposive maximum-variation sampling will be employed to reflect different experiences in terms of gender, ethnicity, disability, socioeconomic disadvantage, care experience, rural or urban setting and degree of engagement with services. The proposal will need to include those who disengaged, as well as those who remained in care in order to have an understanding of the barriers to early engagement as opposed to access alone. It is suggested that a sample of about 18 to 24 people will be taken. This suits </w:t>
      </w:r>
      <w:r w:rsidRPr="00817C86">
        <w:rPr>
          <w:rFonts w:cs="Calibri"/>
        </w:rPr>
        <w:t>Master-level exploratory research</w:t>
      </w:r>
      <w:r w:rsidRPr="00817C86">
        <w:rPr>
          <w:rFonts w:cs="Calibri"/>
        </w:rPr>
        <w:t xml:space="preserve"> based on reflexive thematic analysis since depth, diversity and information power are more significant than numerical saturation (Braun and Clarke, 2021).</w:t>
      </w:r>
    </w:p>
    <w:p w14:paraId="3653FD0F" w14:textId="1D7FED79" w:rsidR="009A78CA" w:rsidRPr="00817C86" w:rsidRDefault="00817C86" w:rsidP="00817C86">
      <w:pPr>
        <w:rPr>
          <w:rFonts w:cs="Calibri"/>
        </w:rPr>
      </w:pPr>
      <w:r w:rsidRPr="00817C86">
        <w:rPr>
          <w:rFonts w:cs="Calibri"/>
        </w:rPr>
        <w:t xml:space="preserve">The recruitment will be done via community mental health providers, voluntary sector </w:t>
      </w:r>
      <w:proofErr w:type="spellStart"/>
      <w:r w:rsidRPr="00817C86">
        <w:rPr>
          <w:rFonts w:cs="Calibri"/>
        </w:rPr>
        <w:t>organisations</w:t>
      </w:r>
      <w:proofErr w:type="spellEnd"/>
      <w:r w:rsidRPr="00817C86">
        <w:rPr>
          <w:rFonts w:cs="Calibri"/>
        </w:rPr>
        <w:t xml:space="preserve">, youth support services, university wellbeing services and well controlled online advertisements. The information about the study will be disseminated by the gatekeepers and interested people will contact the researcher personally to </w:t>
      </w:r>
      <w:proofErr w:type="spellStart"/>
      <w:r w:rsidRPr="00817C86">
        <w:rPr>
          <w:rFonts w:cs="Calibri"/>
        </w:rPr>
        <w:t>minimise</w:t>
      </w:r>
      <w:proofErr w:type="spellEnd"/>
      <w:r w:rsidRPr="00817C86">
        <w:rPr>
          <w:rFonts w:cs="Calibri"/>
        </w:rPr>
        <w:t xml:space="preserve"> the feeling of coercion. The exclusion criteria will be acute crisis that needs urgent intervention, the inability to provide informed consent and being an inpatient</w:t>
      </w:r>
      <w:r w:rsidR="00000000" w:rsidRPr="00817C86">
        <w:rPr>
          <w:rFonts w:cs="Calibri"/>
        </w:rPr>
        <w:t>.</w:t>
      </w:r>
    </w:p>
    <w:p w14:paraId="4F1FEA50" w14:textId="77777777" w:rsidR="009A78CA" w:rsidRPr="00817C86" w:rsidRDefault="00000000">
      <w:pPr>
        <w:pStyle w:val="Heading1"/>
        <w:rPr>
          <w:rFonts w:ascii="Calibri" w:hAnsi="Calibri" w:cs="Calibri"/>
        </w:rPr>
      </w:pPr>
      <w:bookmarkStart w:id="7" w:name="_Toc224756182"/>
      <w:r w:rsidRPr="00817C86">
        <w:rPr>
          <w:rFonts w:ascii="Calibri" w:hAnsi="Calibri" w:cs="Calibri"/>
        </w:rPr>
        <w:t>Materials and data collection methods/procedure</w:t>
      </w:r>
      <w:bookmarkEnd w:id="7"/>
    </w:p>
    <w:p w14:paraId="1E25168A" w14:textId="77777777" w:rsidR="00817C86" w:rsidRPr="00817C86" w:rsidRDefault="00817C86" w:rsidP="00817C86">
      <w:pPr>
        <w:rPr>
          <w:rFonts w:cs="Calibri"/>
        </w:rPr>
      </w:pPr>
      <w:r w:rsidRPr="00817C86">
        <w:rPr>
          <w:rFonts w:cs="Calibri"/>
        </w:rPr>
        <w:t>The data will be gathered in the form of semi-structured interviews that will last around 45 to 60 minutes on the internet or face-to-face depending on the choice of the participants. The Component 1 presentation will be used as the basis of developing an interview guide, which will be polished with the literature. The key areas of discussion will be the initial need recognition, pathways to support, referral and eligibility experiences, waiting and communication, stigma and confidentiality, feelings of cultural fit or misunderstanding, transition experiences, attendance reasons, and what would have enhanced access and initial engagement.</w:t>
      </w:r>
    </w:p>
    <w:p w14:paraId="66D89DF6" w14:textId="560298BC" w:rsidR="009A78CA" w:rsidRPr="00817C86" w:rsidRDefault="00817C86" w:rsidP="00817C86">
      <w:pPr>
        <w:rPr>
          <w:rFonts w:cs="Calibri"/>
        </w:rPr>
      </w:pPr>
      <w:r w:rsidRPr="00817C86">
        <w:rPr>
          <w:rFonts w:cs="Calibri"/>
        </w:rPr>
        <w:t xml:space="preserve">This type of question design is suitable since it flowed in a chronological order of the access- to-engagement pathway and gave the participants the chance to highlight the most important </w:t>
      </w:r>
      <w:r w:rsidRPr="00817C86">
        <w:rPr>
          <w:rFonts w:cs="Calibri"/>
        </w:rPr>
        <w:lastRenderedPageBreak/>
        <w:t xml:space="preserve">elements to them. Interviews will be recorded by audio-tape with consent, professionally or safely transcribed, verified against accuracy and </w:t>
      </w:r>
      <w:proofErr w:type="spellStart"/>
      <w:r w:rsidRPr="00817C86">
        <w:rPr>
          <w:rFonts w:cs="Calibri"/>
        </w:rPr>
        <w:t>anonymised</w:t>
      </w:r>
      <w:proofErr w:type="spellEnd"/>
      <w:r w:rsidRPr="00817C86">
        <w:rPr>
          <w:rFonts w:cs="Calibri"/>
        </w:rPr>
        <w:t xml:space="preserve">. The field notes and reflexive memos will be generated following each interview to provide the context, emergent patterns, and assumptions of the researcher. Online interviewing is also reasonable since it has the potential to expand access, </w:t>
      </w:r>
      <w:proofErr w:type="spellStart"/>
      <w:r w:rsidRPr="00817C86">
        <w:rPr>
          <w:rFonts w:cs="Calibri"/>
        </w:rPr>
        <w:t>minimise</w:t>
      </w:r>
      <w:proofErr w:type="spellEnd"/>
      <w:r w:rsidRPr="00817C86">
        <w:rPr>
          <w:rFonts w:cs="Calibri"/>
        </w:rPr>
        <w:t xml:space="preserve"> the burden of travel, and provide flexibility to the participants who might already experience service contact as a challenge, yet the potential loss of the contextual cues will be considered</w:t>
      </w:r>
      <w:r>
        <w:rPr>
          <w:rFonts w:cs="Calibri"/>
        </w:rPr>
        <w:t xml:space="preserve"> </w:t>
      </w:r>
      <w:r w:rsidR="00000000" w:rsidRPr="00817C86">
        <w:rPr>
          <w:rFonts w:cs="Calibri"/>
        </w:rPr>
        <w:t>(Evans and Mathur, 2018).</w:t>
      </w:r>
    </w:p>
    <w:p w14:paraId="1F30D62A" w14:textId="77777777" w:rsidR="009A78CA" w:rsidRPr="00817C86" w:rsidRDefault="00000000">
      <w:pPr>
        <w:pStyle w:val="Heading1"/>
        <w:rPr>
          <w:rFonts w:ascii="Calibri" w:hAnsi="Calibri" w:cs="Calibri"/>
        </w:rPr>
      </w:pPr>
      <w:bookmarkStart w:id="8" w:name="_Toc224756183"/>
      <w:r w:rsidRPr="00817C86">
        <w:rPr>
          <w:rFonts w:ascii="Calibri" w:hAnsi="Calibri" w:cs="Calibri"/>
        </w:rPr>
        <w:t>Proposed data analysis technique</w:t>
      </w:r>
      <w:bookmarkEnd w:id="8"/>
    </w:p>
    <w:p w14:paraId="0C390991" w14:textId="77777777" w:rsidR="00817C86" w:rsidRPr="00817C86" w:rsidRDefault="00817C86" w:rsidP="00817C86">
      <w:pPr>
        <w:rPr>
          <w:rFonts w:cs="Calibri"/>
        </w:rPr>
      </w:pPr>
      <w:r w:rsidRPr="00817C86">
        <w:rPr>
          <w:rFonts w:cs="Calibri"/>
        </w:rPr>
        <w:t xml:space="preserve">Reflexive thematic analysis will be used in data analysis. It is an appropriate methodology since it allows profound analysis of patterned meanings, but it is flexible enough to </w:t>
      </w:r>
      <w:proofErr w:type="spellStart"/>
      <w:r w:rsidRPr="00817C86">
        <w:rPr>
          <w:rFonts w:cs="Calibri"/>
        </w:rPr>
        <w:t>analyse</w:t>
      </w:r>
      <w:proofErr w:type="spellEnd"/>
      <w:r w:rsidRPr="00817C86">
        <w:rPr>
          <w:rFonts w:cs="Calibri"/>
        </w:rPr>
        <w:t xml:space="preserve"> both ordinary and deviant experiences (Braun and Clarke, 2006; Braun and Clarke, 2021). The process of analysis will consist of </w:t>
      </w:r>
      <w:proofErr w:type="spellStart"/>
      <w:r w:rsidRPr="00817C86">
        <w:rPr>
          <w:rFonts w:cs="Calibri"/>
        </w:rPr>
        <w:t>familiarisation</w:t>
      </w:r>
      <w:proofErr w:type="spellEnd"/>
      <w:r w:rsidRPr="00817C86">
        <w:rPr>
          <w:rFonts w:cs="Calibri"/>
        </w:rPr>
        <w:t xml:space="preserve">, preliminary code, formulation of potential themes, theme review and refinement, and generation of final analytical </w:t>
      </w:r>
      <w:proofErr w:type="spellStart"/>
      <w:r w:rsidRPr="00817C86">
        <w:rPr>
          <w:rFonts w:cs="Calibri"/>
        </w:rPr>
        <w:t>storey</w:t>
      </w:r>
      <w:proofErr w:type="spellEnd"/>
      <w:r w:rsidRPr="00817C86">
        <w:rPr>
          <w:rFonts w:cs="Calibri"/>
        </w:rPr>
        <w:t>. Coding will also take care of the barrier domains and transition between access stage. The Levesque model, as well as the access-to-engagement entryway of the poster, will assist but not define interpretation, and the analysis will be able to detect new themes like mistrust, anticipatory withdrawal or administrative fatigue where these are present.</w:t>
      </w:r>
    </w:p>
    <w:p w14:paraId="7824C973" w14:textId="7EA62D37" w:rsidR="009A78CA" w:rsidRPr="00817C86" w:rsidRDefault="00817C86" w:rsidP="00817C86">
      <w:pPr>
        <w:rPr>
          <w:rFonts w:cs="Calibri"/>
        </w:rPr>
      </w:pPr>
      <w:proofErr w:type="spellStart"/>
      <w:r w:rsidRPr="00817C86">
        <w:rPr>
          <w:rFonts w:cs="Calibri"/>
        </w:rPr>
        <w:t>Rigour</w:t>
      </w:r>
      <w:proofErr w:type="spellEnd"/>
      <w:r w:rsidRPr="00817C86">
        <w:rPr>
          <w:rFonts w:cs="Calibri"/>
        </w:rPr>
        <w:t xml:space="preserve"> will be facilitated by use of audit trail, reflexive </w:t>
      </w:r>
      <w:proofErr w:type="spellStart"/>
      <w:r w:rsidRPr="00817C86">
        <w:rPr>
          <w:rFonts w:cs="Calibri"/>
        </w:rPr>
        <w:t>memoing</w:t>
      </w:r>
      <w:proofErr w:type="spellEnd"/>
      <w:r w:rsidRPr="00817C86">
        <w:rPr>
          <w:rFonts w:cs="Calibri"/>
        </w:rPr>
        <w:t xml:space="preserve">, explicit theme development and supervisory discussion of coding decisions. Instead of focusing on claims of statistical reliability, trustworthiness will be reinforced through the consideration of credibility, dependability and analytic transparency (Nowell et al., 2017). The general quality strategy will be informed by the criteria of the good qualitative research developed by Tracy (2010), especially in the aspects of worthy topic, rich </w:t>
      </w:r>
      <w:proofErr w:type="spellStart"/>
      <w:r w:rsidRPr="00817C86">
        <w:rPr>
          <w:rFonts w:cs="Calibri"/>
        </w:rPr>
        <w:t>rigour</w:t>
      </w:r>
      <w:proofErr w:type="spellEnd"/>
      <w:r w:rsidRPr="00817C86">
        <w:rPr>
          <w:rFonts w:cs="Calibri"/>
        </w:rPr>
        <w:t>, sincerity and meaningful coherence</w:t>
      </w:r>
      <w:r w:rsidR="00000000" w:rsidRPr="00817C86">
        <w:rPr>
          <w:rFonts w:cs="Calibri"/>
        </w:rPr>
        <w:t>.</w:t>
      </w:r>
    </w:p>
    <w:p w14:paraId="3651300C" w14:textId="77777777" w:rsidR="009A78CA" w:rsidRPr="00817C86" w:rsidRDefault="00000000">
      <w:pPr>
        <w:pStyle w:val="Heading1"/>
        <w:rPr>
          <w:rFonts w:ascii="Calibri" w:hAnsi="Calibri" w:cs="Calibri"/>
        </w:rPr>
      </w:pPr>
      <w:bookmarkStart w:id="9" w:name="_Toc224756184"/>
      <w:r w:rsidRPr="00817C86">
        <w:rPr>
          <w:rFonts w:ascii="Calibri" w:hAnsi="Calibri" w:cs="Calibri"/>
        </w:rPr>
        <w:t>Ethical considerations</w:t>
      </w:r>
      <w:bookmarkEnd w:id="9"/>
    </w:p>
    <w:p w14:paraId="15A7F082" w14:textId="77777777" w:rsidR="00817C86" w:rsidRPr="00817C86" w:rsidRDefault="00817C86" w:rsidP="00817C86">
      <w:pPr>
        <w:rPr>
          <w:rFonts w:cs="Calibri"/>
        </w:rPr>
      </w:pPr>
      <w:r w:rsidRPr="00817C86">
        <w:rPr>
          <w:rFonts w:cs="Calibri"/>
        </w:rPr>
        <w:t xml:space="preserve">It is an ethically sensitive topic as the participants can share distressing experiences, rejection, stigma, trauma, or unmet need. The research will hence need approval of the university ethics prior to recruitment. Participants will be informed that informed consent will be obtained in writing before the interviews and they will be reminded that they will be free to pause, skip or withdraw at any point that they agree before </w:t>
      </w:r>
      <w:proofErr w:type="spellStart"/>
      <w:r w:rsidRPr="00817C86">
        <w:rPr>
          <w:rFonts w:cs="Calibri"/>
        </w:rPr>
        <w:t>anonymised</w:t>
      </w:r>
      <w:proofErr w:type="spellEnd"/>
      <w:r w:rsidRPr="00817C86">
        <w:rPr>
          <w:rFonts w:cs="Calibri"/>
        </w:rPr>
        <w:t xml:space="preserve"> analysis commences. The confidentiality </w:t>
      </w:r>
      <w:r w:rsidRPr="00817C86">
        <w:rPr>
          <w:rFonts w:cs="Calibri"/>
        </w:rPr>
        <w:lastRenderedPageBreak/>
        <w:t xml:space="preserve">will be ensured with the help of </w:t>
      </w:r>
      <w:proofErr w:type="spellStart"/>
      <w:r w:rsidRPr="00817C86">
        <w:rPr>
          <w:rFonts w:cs="Calibri"/>
        </w:rPr>
        <w:t>pseudonymisation</w:t>
      </w:r>
      <w:proofErr w:type="spellEnd"/>
      <w:r w:rsidRPr="00817C86">
        <w:rPr>
          <w:rFonts w:cs="Calibri"/>
        </w:rPr>
        <w:t>, encrypted storage and elimination of identifying data on transcripts.</w:t>
      </w:r>
    </w:p>
    <w:p w14:paraId="00B84588" w14:textId="4CA06F91" w:rsidR="009A78CA" w:rsidRPr="00817C86" w:rsidRDefault="00817C86" w:rsidP="00817C86">
      <w:pPr>
        <w:rPr>
          <w:rFonts w:cs="Calibri"/>
        </w:rPr>
      </w:pPr>
      <w:r w:rsidRPr="00817C86">
        <w:rPr>
          <w:rFonts w:cs="Calibri"/>
        </w:rPr>
        <w:t xml:space="preserve">During interviewing, a trauma-informed approach will be </w:t>
      </w:r>
      <w:proofErr w:type="spellStart"/>
      <w:r w:rsidRPr="00817C86">
        <w:rPr>
          <w:rFonts w:cs="Calibri"/>
        </w:rPr>
        <w:t>utilised</w:t>
      </w:r>
      <w:proofErr w:type="spellEnd"/>
      <w:r w:rsidRPr="00817C86">
        <w:rPr>
          <w:rFonts w:cs="Calibri"/>
        </w:rPr>
        <w:t xml:space="preserve">. The interviewer will observe distress, provide breaks, interrupt the interviews where needed and give a debrief sheet with referrals to support services. Protective measures will be outlined in advance such as the boundaries of confidentiality in case of revealing imminent danger of severe harm. The services and </w:t>
      </w:r>
      <w:proofErr w:type="spellStart"/>
      <w:r w:rsidRPr="00817C86">
        <w:rPr>
          <w:rFonts w:cs="Calibri"/>
        </w:rPr>
        <w:t>organisations</w:t>
      </w:r>
      <w:proofErr w:type="spellEnd"/>
      <w:r w:rsidRPr="00817C86">
        <w:rPr>
          <w:rFonts w:cs="Calibri"/>
        </w:rPr>
        <w:t xml:space="preserve"> method of recruitment will be well coordinated such that the gatekeepers will be inviting people to participate without knowing the volunteers. This lessens the urge to compete and shields privacy. The code of Human Research Ethics by the British Psychological Society offers the ethical guidance particularly on the basis of dignity, scientific integrity, </w:t>
      </w:r>
      <w:proofErr w:type="spellStart"/>
      <w:r w:rsidRPr="00817C86">
        <w:rPr>
          <w:rFonts w:cs="Calibri"/>
        </w:rPr>
        <w:t>maximising</w:t>
      </w:r>
      <w:proofErr w:type="spellEnd"/>
      <w:r w:rsidRPr="00817C86">
        <w:rPr>
          <w:rFonts w:cs="Calibri"/>
        </w:rPr>
        <w:t xml:space="preserve"> benefit and </w:t>
      </w:r>
      <w:proofErr w:type="spellStart"/>
      <w:r w:rsidRPr="00817C86">
        <w:rPr>
          <w:rFonts w:cs="Calibri"/>
        </w:rPr>
        <w:t>minimising</w:t>
      </w:r>
      <w:proofErr w:type="spellEnd"/>
      <w:r w:rsidRPr="00817C86">
        <w:rPr>
          <w:rFonts w:cs="Calibri"/>
        </w:rPr>
        <w:t xml:space="preserve"> harm</w:t>
      </w:r>
      <w:r w:rsidR="00000000" w:rsidRPr="00817C86">
        <w:rPr>
          <w:rFonts w:cs="Calibri"/>
        </w:rPr>
        <w:t xml:space="preserve"> (British Psychological Society, 2021).</w:t>
      </w:r>
    </w:p>
    <w:p w14:paraId="38503492" w14:textId="77777777" w:rsidR="009A78CA" w:rsidRPr="00817C86" w:rsidRDefault="00000000">
      <w:pPr>
        <w:pStyle w:val="Heading1"/>
        <w:rPr>
          <w:rFonts w:ascii="Calibri" w:hAnsi="Calibri" w:cs="Calibri"/>
        </w:rPr>
      </w:pPr>
      <w:bookmarkStart w:id="10" w:name="_Toc224756185"/>
      <w:r w:rsidRPr="00817C86">
        <w:rPr>
          <w:rFonts w:ascii="Calibri" w:hAnsi="Calibri" w:cs="Calibri"/>
        </w:rPr>
        <w:t>Implications of research</w:t>
      </w:r>
      <w:bookmarkEnd w:id="10"/>
    </w:p>
    <w:p w14:paraId="77E84AD5" w14:textId="77777777" w:rsidR="00817C86" w:rsidRPr="00817C86" w:rsidRDefault="00817C86" w:rsidP="00817C86">
      <w:pPr>
        <w:rPr>
          <w:rFonts w:cs="Calibri"/>
        </w:rPr>
      </w:pPr>
      <w:r w:rsidRPr="00817C86">
        <w:rPr>
          <w:rFonts w:cs="Calibri"/>
        </w:rPr>
        <w:t xml:space="preserve">The research is directly relevant to service improvement. The findings would inform the pathway redesign in community mental health care by revealing the location of barriers and their influence on building trust and further involvement. Structural suggestions can be associated with making the referral more understandable, communication during waiting, and more predictable first-contact procedures. Relational recommendations can be related to the explanation of confidentiality, culturally responsive </w:t>
      </w:r>
      <w:proofErr w:type="spellStart"/>
      <w:r w:rsidRPr="00817C86">
        <w:rPr>
          <w:rFonts w:cs="Calibri"/>
        </w:rPr>
        <w:t>practise</w:t>
      </w:r>
      <w:proofErr w:type="spellEnd"/>
      <w:r w:rsidRPr="00817C86">
        <w:rPr>
          <w:rFonts w:cs="Calibri"/>
        </w:rPr>
        <w:t>, continuity and quality of the initial encounters. Equity-based results can be used to promote specific changes to care-experienced young adults, disabled young adults and those who are discriminated against or poorly served.</w:t>
      </w:r>
    </w:p>
    <w:p w14:paraId="5441435A" w14:textId="7F212175" w:rsidR="009A78CA" w:rsidRPr="00817C86" w:rsidRDefault="00817C86" w:rsidP="00817C86">
      <w:pPr>
        <w:rPr>
          <w:rFonts w:cs="Calibri"/>
        </w:rPr>
      </w:pPr>
      <w:r w:rsidRPr="00817C86">
        <w:rPr>
          <w:rFonts w:cs="Calibri"/>
        </w:rPr>
        <w:t xml:space="preserve">The study would academically contribute to the evidence base in the UK by connecting the access and early engagement instead of making them two distinct problems. The methodologically, it would demonstrate the worth of applying an access pathway and intersectional lens simultaneously. In </w:t>
      </w:r>
      <w:proofErr w:type="spellStart"/>
      <w:r w:rsidRPr="00817C86">
        <w:rPr>
          <w:rFonts w:cs="Calibri"/>
        </w:rPr>
        <w:t>practise</w:t>
      </w:r>
      <w:proofErr w:type="spellEnd"/>
      <w:r w:rsidRPr="00817C86">
        <w:rPr>
          <w:rFonts w:cs="Calibri"/>
        </w:rPr>
        <w:t>, the results would be useful to commissioners, service managers, voluntary sector partners and university wellbeing services that would need to make provision in the community more accessible, responsive and fair</w:t>
      </w:r>
      <w:r w:rsidR="00000000" w:rsidRPr="00817C86">
        <w:rPr>
          <w:rFonts w:cs="Calibri"/>
        </w:rPr>
        <w:t>.</w:t>
      </w:r>
    </w:p>
    <w:p w14:paraId="64A3CD7E" w14:textId="77777777" w:rsidR="00817C86" w:rsidRDefault="00817C86">
      <w:pPr>
        <w:spacing w:after="200" w:line="276" w:lineRule="auto"/>
        <w:jc w:val="left"/>
        <w:rPr>
          <w:rFonts w:eastAsiaTheme="majorEastAsia" w:cs="Calibri"/>
          <w:b/>
          <w:bCs/>
          <w:color w:val="1C3F5F"/>
          <w:sz w:val="26"/>
          <w:szCs w:val="28"/>
        </w:rPr>
      </w:pPr>
      <w:r>
        <w:rPr>
          <w:rFonts w:cs="Calibri"/>
        </w:rPr>
        <w:br w:type="page"/>
      </w:r>
    </w:p>
    <w:p w14:paraId="66C1BD1E" w14:textId="350D91EC" w:rsidR="009A78CA" w:rsidRPr="00817C86" w:rsidRDefault="00000000">
      <w:pPr>
        <w:pStyle w:val="Heading1"/>
        <w:rPr>
          <w:rFonts w:ascii="Calibri" w:hAnsi="Calibri" w:cs="Calibri"/>
        </w:rPr>
      </w:pPr>
      <w:bookmarkStart w:id="11" w:name="_Toc224756186"/>
      <w:r w:rsidRPr="00817C86">
        <w:rPr>
          <w:rFonts w:ascii="Calibri" w:hAnsi="Calibri" w:cs="Calibri"/>
        </w:rPr>
        <w:lastRenderedPageBreak/>
        <w:t>Plan of work and time schedule</w:t>
      </w:r>
      <w:bookmarkEnd w:id="11"/>
    </w:p>
    <w:p w14:paraId="3181178B" w14:textId="77777777" w:rsidR="009A78CA" w:rsidRPr="00817C86" w:rsidRDefault="00000000">
      <w:pPr>
        <w:rPr>
          <w:rFonts w:cs="Calibri"/>
        </w:rPr>
      </w:pPr>
      <w:r w:rsidRPr="00817C86">
        <w:rPr>
          <w:rFonts w:cs="Calibri"/>
        </w:rPr>
        <w:t>The study is planned across six months to remain feasible for a taught postgraduate dissertation and to allow time for ethics, recruitment, analysis and writing.</w:t>
      </w:r>
    </w:p>
    <w:tbl>
      <w:tblPr>
        <w:tblStyle w:val="ColorfulShading-Accent5"/>
        <w:tblW w:w="0" w:type="auto"/>
        <w:tblLayout w:type="fixed"/>
        <w:tblLook w:val="04A0" w:firstRow="1" w:lastRow="0" w:firstColumn="1" w:lastColumn="0" w:noHBand="0" w:noVBand="1"/>
      </w:tblPr>
      <w:tblGrid>
        <w:gridCol w:w="4248"/>
        <w:gridCol w:w="810"/>
        <w:gridCol w:w="900"/>
        <w:gridCol w:w="900"/>
        <w:gridCol w:w="990"/>
        <w:gridCol w:w="900"/>
        <w:gridCol w:w="898"/>
      </w:tblGrid>
      <w:tr w:rsidR="009A78CA" w:rsidRPr="00817C86" w14:paraId="18F28B75" w14:textId="77777777" w:rsidTr="00817C8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248" w:type="dxa"/>
          </w:tcPr>
          <w:p w14:paraId="4070FBB3" w14:textId="77777777" w:rsidR="009A78CA" w:rsidRPr="00817C86" w:rsidRDefault="00000000">
            <w:pPr>
              <w:jc w:val="center"/>
              <w:rPr>
                <w:rFonts w:cs="Calibri"/>
              </w:rPr>
            </w:pPr>
            <w:r w:rsidRPr="00817C86">
              <w:rPr>
                <w:rFonts w:cs="Calibri"/>
                <w:sz w:val="19"/>
              </w:rPr>
              <w:t>Activity</w:t>
            </w:r>
          </w:p>
        </w:tc>
        <w:tc>
          <w:tcPr>
            <w:tcW w:w="810" w:type="dxa"/>
          </w:tcPr>
          <w:p w14:paraId="4974D173" w14:textId="77777777" w:rsidR="009A78CA" w:rsidRPr="00817C86" w:rsidRDefault="00000000">
            <w:pPr>
              <w:jc w:val="center"/>
              <w:cnfStyle w:val="100000000000" w:firstRow="1" w:lastRow="0" w:firstColumn="0" w:lastColumn="0" w:oddVBand="0" w:evenVBand="0" w:oddHBand="0" w:evenHBand="0" w:firstRowFirstColumn="0" w:firstRowLastColumn="0" w:lastRowFirstColumn="0" w:lastRowLastColumn="0"/>
              <w:rPr>
                <w:rFonts w:cs="Calibri"/>
              </w:rPr>
            </w:pPr>
            <w:r w:rsidRPr="00817C86">
              <w:rPr>
                <w:rFonts w:cs="Calibri"/>
                <w:sz w:val="19"/>
              </w:rPr>
              <w:t>M1</w:t>
            </w:r>
          </w:p>
        </w:tc>
        <w:tc>
          <w:tcPr>
            <w:tcW w:w="900" w:type="dxa"/>
          </w:tcPr>
          <w:p w14:paraId="2194174C" w14:textId="77777777" w:rsidR="009A78CA" w:rsidRPr="00817C86" w:rsidRDefault="00000000">
            <w:pPr>
              <w:jc w:val="center"/>
              <w:cnfStyle w:val="100000000000" w:firstRow="1" w:lastRow="0" w:firstColumn="0" w:lastColumn="0" w:oddVBand="0" w:evenVBand="0" w:oddHBand="0" w:evenHBand="0" w:firstRowFirstColumn="0" w:firstRowLastColumn="0" w:lastRowFirstColumn="0" w:lastRowLastColumn="0"/>
              <w:rPr>
                <w:rFonts w:cs="Calibri"/>
              </w:rPr>
            </w:pPr>
            <w:r w:rsidRPr="00817C86">
              <w:rPr>
                <w:rFonts w:cs="Calibri"/>
                <w:sz w:val="19"/>
              </w:rPr>
              <w:t>M2</w:t>
            </w:r>
          </w:p>
        </w:tc>
        <w:tc>
          <w:tcPr>
            <w:tcW w:w="900" w:type="dxa"/>
          </w:tcPr>
          <w:p w14:paraId="494E9560" w14:textId="77777777" w:rsidR="009A78CA" w:rsidRPr="00817C86" w:rsidRDefault="00000000">
            <w:pPr>
              <w:jc w:val="center"/>
              <w:cnfStyle w:val="100000000000" w:firstRow="1" w:lastRow="0" w:firstColumn="0" w:lastColumn="0" w:oddVBand="0" w:evenVBand="0" w:oddHBand="0" w:evenHBand="0" w:firstRowFirstColumn="0" w:firstRowLastColumn="0" w:lastRowFirstColumn="0" w:lastRowLastColumn="0"/>
              <w:rPr>
                <w:rFonts w:cs="Calibri"/>
              </w:rPr>
            </w:pPr>
            <w:r w:rsidRPr="00817C86">
              <w:rPr>
                <w:rFonts w:cs="Calibri"/>
                <w:sz w:val="19"/>
              </w:rPr>
              <w:t>M3</w:t>
            </w:r>
          </w:p>
        </w:tc>
        <w:tc>
          <w:tcPr>
            <w:tcW w:w="990" w:type="dxa"/>
          </w:tcPr>
          <w:p w14:paraId="66C56AC0" w14:textId="77777777" w:rsidR="009A78CA" w:rsidRPr="00817C86" w:rsidRDefault="00000000">
            <w:pPr>
              <w:jc w:val="center"/>
              <w:cnfStyle w:val="100000000000" w:firstRow="1" w:lastRow="0" w:firstColumn="0" w:lastColumn="0" w:oddVBand="0" w:evenVBand="0" w:oddHBand="0" w:evenHBand="0" w:firstRowFirstColumn="0" w:firstRowLastColumn="0" w:lastRowFirstColumn="0" w:lastRowLastColumn="0"/>
              <w:rPr>
                <w:rFonts w:cs="Calibri"/>
              </w:rPr>
            </w:pPr>
            <w:r w:rsidRPr="00817C86">
              <w:rPr>
                <w:rFonts w:cs="Calibri"/>
                <w:sz w:val="19"/>
              </w:rPr>
              <w:t>M4</w:t>
            </w:r>
          </w:p>
        </w:tc>
        <w:tc>
          <w:tcPr>
            <w:tcW w:w="900" w:type="dxa"/>
          </w:tcPr>
          <w:p w14:paraId="3E9D30A6" w14:textId="77777777" w:rsidR="009A78CA" w:rsidRPr="00817C86" w:rsidRDefault="00000000">
            <w:pPr>
              <w:jc w:val="center"/>
              <w:cnfStyle w:val="100000000000" w:firstRow="1" w:lastRow="0" w:firstColumn="0" w:lastColumn="0" w:oddVBand="0" w:evenVBand="0" w:oddHBand="0" w:evenHBand="0" w:firstRowFirstColumn="0" w:firstRowLastColumn="0" w:lastRowFirstColumn="0" w:lastRowLastColumn="0"/>
              <w:rPr>
                <w:rFonts w:cs="Calibri"/>
              </w:rPr>
            </w:pPr>
            <w:r w:rsidRPr="00817C86">
              <w:rPr>
                <w:rFonts w:cs="Calibri"/>
                <w:sz w:val="19"/>
              </w:rPr>
              <w:t>M5</w:t>
            </w:r>
          </w:p>
        </w:tc>
        <w:tc>
          <w:tcPr>
            <w:tcW w:w="898" w:type="dxa"/>
          </w:tcPr>
          <w:p w14:paraId="2F603589" w14:textId="77777777" w:rsidR="009A78CA" w:rsidRPr="00817C86" w:rsidRDefault="00000000">
            <w:pPr>
              <w:jc w:val="center"/>
              <w:cnfStyle w:val="100000000000" w:firstRow="1" w:lastRow="0" w:firstColumn="0" w:lastColumn="0" w:oddVBand="0" w:evenVBand="0" w:oddHBand="0" w:evenHBand="0" w:firstRowFirstColumn="0" w:firstRowLastColumn="0" w:lastRowFirstColumn="0" w:lastRowLastColumn="0"/>
              <w:rPr>
                <w:rFonts w:cs="Calibri"/>
              </w:rPr>
            </w:pPr>
            <w:r w:rsidRPr="00817C86">
              <w:rPr>
                <w:rFonts w:cs="Calibri"/>
                <w:sz w:val="19"/>
              </w:rPr>
              <w:t>M6</w:t>
            </w:r>
          </w:p>
        </w:tc>
      </w:tr>
      <w:tr w:rsidR="009A78CA" w:rsidRPr="00817C86" w14:paraId="5BF14914" w14:textId="77777777" w:rsidTr="00817C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tcPr>
          <w:p w14:paraId="2BDCD44F" w14:textId="77777777" w:rsidR="009A78CA" w:rsidRPr="00817C86" w:rsidRDefault="00000000">
            <w:pPr>
              <w:rPr>
                <w:rFonts w:cs="Calibri"/>
              </w:rPr>
            </w:pPr>
            <w:r w:rsidRPr="00817C86">
              <w:rPr>
                <w:rFonts w:cs="Calibri"/>
                <w:sz w:val="19"/>
              </w:rPr>
              <w:t>Focused literature review and proposal refinement</w:t>
            </w:r>
          </w:p>
        </w:tc>
        <w:tc>
          <w:tcPr>
            <w:tcW w:w="810" w:type="dxa"/>
          </w:tcPr>
          <w:p w14:paraId="51C99524" w14:textId="77777777" w:rsidR="009A78CA" w:rsidRPr="00817C86" w:rsidRDefault="00000000">
            <w:pPr>
              <w:jc w:val="center"/>
              <w:cnfStyle w:val="000000100000" w:firstRow="0" w:lastRow="0" w:firstColumn="0" w:lastColumn="0" w:oddVBand="0" w:evenVBand="0" w:oddHBand="1" w:evenHBand="0" w:firstRowFirstColumn="0" w:firstRowLastColumn="0" w:lastRowFirstColumn="0" w:lastRowLastColumn="0"/>
              <w:rPr>
                <w:rFonts w:cs="Calibri"/>
              </w:rPr>
            </w:pPr>
            <w:r w:rsidRPr="00817C86">
              <w:rPr>
                <w:rFonts w:ascii="Arial" w:hAnsi="Arial" w:cs="Arial"/>
                <w:sz w:val="20"/>
              </w:rPr>
              <w:t>■</w:t>
            </w:r>
          </w:p>
        </w:tc>
        <w:tc>
          <w:tcPr>
            <w:tcW w:w="900" w:type="dxa"/>
          </w:tcPr>
          <w:p w14:paraId="3D6B79FE" w14:textId="77777777" w:rsidR="009A78CA" w:rsidRPr="00817C86" w:rsidRDefault="00000000">
            <w:pPr>
              <w:jc w:val="center"/>
              <w:cnfStyle w:val="000000100000" w:firstRow="0" w:lastRow="0" w:firstColumn="0" w:lastColumn="0" w:oddVBand="0" w:evenVBand="0" w:oddHBand="1" w:evenHBand="0" w:firstRowFirstColumn="0" w:firstRowLastColumn="0" w:lastRowFirstColumn="0" w:lastRowLastColumn="0"/>
              <w:rPr>
                <w:rFonts w:cs="Calibri"/>
              </w:rPr>
            </w:pPr>
            <w:r w:rsidRPr="00817C86">
              <w:rPr>
                <w:rFonts w:ascii="Arial" w:hAnsi="Arial" w:cs="Arial"/>
                <w:sz w:val="20"/>
              </w:rPr>
              <w:t>■</w:t>
            </w:r>
          </w:p>
        </w:tc>
        <w:tc>
          <w:tcPr>
            <w:tcW w:w="900" w:type="dxa"/>
          </w:tcPr>
          <w:p w14:paraId="5F33DF09"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990" w:type="dxa"/>
          </w:tcPr>
          <w:p w14:paraId="64004D56"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900" w:type="dxa"/>
          </w:tcPr>
          <w:p w14:paraId="7AA3B9C0"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898" w:type="dxa"/>
          </w:tcPr>
          <w:p w14:paraId="7619EEF6"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r>
      <w:tr w:rsidR="009A78CA" w:rsidRPr="00817C86" w14:paraId="13579B7A" w14:textId="77777777" w:rsidTr="00817C86">
        <w:tc>
          <w:tcPr>
            <w:cnfStyle w:val="001000000000" w:firstRow="0" w:lastRow="0" w:firstColumn="1" w:lastColumn="0" w:oddVBand="0" w:evenVBand="0" w:oddHBand="0" w:evenHBand="0" w:firstRowFirstColumn="0" w:firstRowLastColumn="0" w:lastRowFirstColumn="0" w:lastRowLastColumn="0"/>
            <w:tcW w:w="4248" w:type="dxa"/>
          </w:tcPr>
          <w:p w14:paraId="528D6BE4" w14:textId="77777777" w:rsidR="009A78CA" w:rsidRPr="00817C86" w:rsidRDefault="00000000">
            <w:pPr>
              <w:rPr>
                <w:rFonts w:cs="Calibri"/>
              </w:rPr>
            </w:pPr>
            <w:r w:rsidRPr="00817C86">
              <w:rPr>
                <w:rFonts w:cs="Calibri"/>
                <w:sz w:val="19"/>
              </w:rPr>
              <w:t>Ethics application and recruitment setup</w:t>
            </w:r>
          </w:p>
        </w:tc>
        <w:tc>
          <w:tcPr>
            <w:tcW w:w="810" w:type="dxa"/>
          </w:tcPr>
          <w:p w14:paraId="1670EBB0"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900" w:type="dxa"/>
          </w:tcPr>
          <w:p w14:paraId="050E7AF6" w14:textId="77777777" w:rsidR="009A78CA" w:rsidRPr="00817C86" w:rsidRDefault="00000000">
            <w:pPr>
              <w:jc w:val="center"/>
              <w:cnfStyle w:val="000000000000" w:firstRow="0" w:lastRow="0" w:firstColumn="0" w:lastColumn="0" w:oddVBand="0" w:evenVBand="0" w:oddHBand="0" w:evenHBand="0" w:firstRowFirstColumn="0" w:firstRowLastColumn="0" w:lastRowFirstColumn="0" w:lastRowLastColumn="0"/>
              <w:rPr>
                <w:rFonts w:cs="Calibri"/>
              </w:rPr>
            </w:pPr>
            <w:r w:rsidRPr="00817C86">
              <w:rPr>
                <w:rFonts w:ascii="Arial" w:hAnsi="Arial" w:cs="Arial"/>
                <w:sz w:val="20"/>
              </w:rPr>
              <w:t>■</w:t>
            </w:r>
          </w:p>
        </w:tc>
        <w:tc>
          <w:tcPr>
            <w:tcW w:w="900" w:type="dxa"/>
          </w:tcPr>
          <w:p w14:paraId="178FCF70" w14:textId="77777777" w:rsidR="009A78CA" w:rsidRPr="00817C86" w:rsidRDefault="00000000">
            <w:pPr>
              <w:jc w:val="center"/>
              <w:cnfStyle w:val="000000000000" w:firstRow="0" w:lastRow="0" w:firstColumn="0" w:lastColumn="0" w:oddVBand="0" w:evenVBand="0" w:oddHBand="0" w:evenHBand="0" w:firstRowFirstColumn="0" w:firstRowLastColumn="0" w:lastRowFirstColumn="0" w:lastRowLastColumn="0"/>
              <w:rPr>
                <w:rFonts w:cs="Calibri"/>
              </w:rPr>
            </w:pPr>
            <w:r w:rsidRPr="00817C86">
              <w:rPr>
                <w:rFonts w:ascii="Arial" w:hAnsi="Arial" w:cs="Arial"/>
                <w:sz w:val="20"/>
              </w:rPr>
              <w:t>■</w:t>
            </w:r>
          </w:p>
        </w:tc>
        <w:tc>
          <w:tcPr>
            <w:tcW w:w="990" w:type="dxa"/>
          </w:tcPr>
          <w:p w14:paraId="0315CBA4"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900" w:type="dxa"/>
          </w:tcPr>
          <w:p w14:paraId="7631FEC8"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898" w:type="dxa"/>
          </w:tcPr>
          <w:p w14:paraId="7708454D"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r>
      <w:tr w:rsidR="009A78CA" w:rsidRPr="00817C86" w14:paraId="038001E2" w14:textId="77777777" w:rsidTr="00817C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tcPr>
          <w:p w14:paraId="22F45E94" w14:textId="77777777" w:rsidR="009A78CA" w:rsidRPr="00817C86" w:rsidRDefault="00000000">
            <w:pPr>
              <w:rPr>
                <w:rFonts w:cs="Calibri"/>
              </w:rPr>
            </w:pPr>
            <w:r w:rsidRPr="00817C86">
              <w:rPr>
                <w:rFonts w:cs="Calibri"/>
                <w:sz w:val="19"/>
              </w:rPr>
              <w:t>Participant recruitment and interviews</w:t>
            </w:r>
          </w:p>
        </w:tc>
        <w:tc>
          <w:tcPr>
            <w:tcW w:w="810" w:type="dxa"/>
          </w:tcPr>
          <w:p w14:paraId="13DD23A4"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900" w:type="dxa"/>
          </w:tcPr>
          <w:p w14:paraId="25AD162F"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900" w:type="dxa"/>
          </w:tcPr>
          <w:p w14:paraId="7C38C71D" w14:textId="77777777" w:rsidR="009A78CA" w:rsidRPr="00817C86" w:rsidRDefault="00000000">
            <w:pPr>
              <w:jc w:val="center"/>
              <w:cnfStyle w:val="000000100000" w:firstRow="0" w:lastRow="0" w:firstColumn="0" w:lastColumn="0" w:oddVBand="0" w:evenVBand="0" w:oddHBand="1" w:evenHBand="0" w:firstRowFirstColumn="0" w:firstRowLastColumn="0" w:lastRowFirstColumn="0" w:lastRowLastColumn="0"/>
              <w:rPr>
                <w:rFonts w:cs="Calibri"/>
              </w:rPr>
            </w:pPr>
            <w:r w:rsidRPr="00817C86">
              <w:rPr>
                <w:rFonts w:ascii="Arial" w:hAnsi="Arial" w:cs="Arial"/>
                <w:sz w:val="20"/>
              </w:rPr>
              <w:t>■</w:t>
            </w:r>
          </w:p>
        </w:tc>
        <w:tc>
          <w:tcPr>
            <w:tcW w:w="990" w:type="dxa"/>
          </w:tcPr>
          <w:p w14:paraId="293B8CA9" w14:textId="77777777" w:rsidR="009A78CA" w:rsidRPr="00817C86" w:rsidRDefault="00000000">
            <w:pPr>
              <w:jc w:val="center"/>
              <w:cnfStyle w:val="000000100000" w:firstRow="0" w:lastRow="0" w:firstColumn="0" w:lastColumn="0" w:oddVBand="0" w:evenVBand="0" w:oddHBand="1" w:evenHBand="0" w:firstRowFirstColumn="0" w:firstRowLastColumn="0" w:lastRowFirstColumn="0" w:lastRowLastColumn="0"/>
              <w:rPr>
                <w:rFonts w:cs="Calibri"/>
              </w:rPr>
            </w:pPr>
            <w:r w:rsidRPr="00817C86">
              <w:rPr>
                <w:rFonts w:ascii="Arial" w:hAnsi="Arial" w:cs="Arial"/>
                <w:sz w:val="20"/>
              </w:rPr>
              <w:t>■</w:t>
            </w:r>
          </w:p>
        </w:tc>
        <w:tc>
          <w:tcPr>
            <w:tcW w:w="900" w:type="dxa"/>
          </w:tcPr>
          <w:p w14:paraId="6C90033D"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898" w:type="dxa"/>
          </w:tcPr>
          <w:p w14:paraId="6BD91ED0"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r>
      <w:tr w:rsidR="009A78CA" w:rsidRPr="00817C86" w14:paraId="37D8B079" w14:textId="77777777" w:rsidTr="00817C86">
        <w:tc>
          <w:tcPr>
            <w:cnfStyle w:val="001000000000" w:firstRow="0" w:lastRow="0" w:firstColumn="1" w:lastColumn="0" w:oddVBand="0" w:evenVBand="0" w:oddHBand="0" w:evenHBand="0" w:firstRowFirstColumn="0" w:firstRowLastColumn="0" w:lastRowFirstColumn="0" w:lastRowLastColumn="0"/>
            <w:tcW w:w="4248" w:type="dxa"/>
          </w:tcPr>
          <w:p w14:paraId="60D4F95E" w14:textId="77777777" w:rsidR="009A78CA" w:rsidRPr="00817C86" w:rsidRDefault="00000000">
            <w:pPr>
              <w:rPr>
                <w:rFonts w:cs="Calibri"/>
              </w:rPr>
            </w:pPr>
            <w:r w:rsidRPr="00817C86">
              <w:rPr>
                <w:rFonts w:cs="Calibri"/>
                <w:sz w:val="19"/>
              </w:rPr>
              <w:t>Transcription and familiarisation</w:t>
            </w:r>
          </w:p>
        </w:tc>
        <w:tc>
          <w:tcPr>
            <w:tcW w:w="810" w:type="dxa"/>
          </w:tcPr>
          <w:p w14:paraId="656F62D0"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900" w:type="dxa"/>
          </w:tcPr>
          <w:p w14:paraId="7D2EB354"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900" w:type="dxa"/>
          </w:tcPr>
          <w:p w14:paraId="03A2A1B1" w14:textId="77777777" w:rsidR="009A78CA" w:rsidRPr="00817C86" w:rsidRDefault="00000000">
            <w:pPr>
              <w:jc w:val="center"/>
              <w:cnfStyle w:val="000000000000" w:firstRow="0" w:lastRow="0" w:firstColumn="0" w:lastColumn="0" w:oddVBand="0" w:evenVBand="0" w:oddHBand="0" w:evenHBand="0" w:firstRowFirstColumn="0" w:firstRowLastColumn="0" w:lastRowFirstColumn="0" w:lastRowLastColumn="0"/>
              <w:rPr>
                <w:rFonts w:cs="Calibri"/>
              </w:rPr>
            </w:pPr>
            <w:r w:rsidRPr="00817C86">
              <w:rPr>
                <w:rFonts w:ascii="Arial" w:hAnsi="Arial" w:cs="Arial"/>
                <w:sz w:val="20"/>
              </w:rPr>
              <w:t>■</w:t>
            </w:r>
          </w:p>
        </w:tc>
        <w:tc>
          <w:tcPr>
            <w:tcW w:w="990" w:type="dxa"/>
          </w:tcPr>
          <w:p w14:paraId="1121C6AA" w14:textId="77777777" w:rsidR="009A78CA" w:rsidRPr="00817C86" w:rsidRDefault="00000000">
            <w:pPr>
              <w:jc w:val="center"/>
              <w:cnfStyle w:val="000000000000" w:firstRow="0" w:lastRow="0" w:firstColumn="0" w:lastColumn="0" w:oddVBand="0" w:evenVBand="0" w:oddHBand="0" w:evenHBand="0" w:firstRowFirstColumn="0" w:firstRowLastColumn="0" w:lastRowFirstColumn="0" w:lastRowLastColumn="0"/>
              <w:rPr>
                <w:rFonts w:cs="Calibri"/>
              </w:rPr>
            </w:pPr>
            <w:r w:rsidRPr="00817C86">
              <w:rPr>
                <w:rFonts w:ascii="Arial" w:hAnsi="Arial" w:cs="Arial"/>
                <w:sz w:val="20"/>
              </w:rPr>
              <w:t>■</w:t>
            </w:r>
          </w:p>
        </w:tc>
        <w:tc>
          <w:tcPr>
            <w:tcW w:w="900" w:type="dxa"/>
          </w:tcPr>
          <w:p w14:paraId="57CF268C"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898" w:type="dxa"/>
          </w:tcPr>
          <w:p w14:paraId="4106AAF1"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r>
      <w:tr w:rsidR="009A78CA" w:rsidRPr="00817C86" w14:paraId="265EAA1E" w14:textId="77777777" w:rsidTr="00817C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tcPr>
          <w:p w14:paraId="0EF6F265" w14:textId="77777777" w:rsidR="009A78CA" w:rsidRPr="00817C86" w:rsidRDefault="00000000">
            <w:pPr>
              <w:rPr>
                <w:rFonts w:cs="Calibri"/>
              </w:rPr>
            </w:pPr>
            <w:r w:rsidRPr="00817C86">
              <w:rPr>
                <w:rFonts w:cs="Calibri"/>
                <w:sz w:val="19"/>
              </w:rPr>
              <w:t>Coding and thematic analysis</w:t>
            </w:r>
          </w:p>
        </w:tc>
        <w:tc>
          <w:tcPr>
            <w:tcW w:w="810" w:type="dxa"/>
          </w:tcPr>
          <w:p w14:paraId="32BDB767"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900" w:type="dxa"/>
          </w:tcPr>
          <w:p w14:paraId="3331B26D"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900" w:type="dxa"/>
          </w:tcPr>
          <w:p w14:paraId="1496C86E"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c>
          <w:tcPr>
            <w:tcW w:w="990" w:type="dxa"/>
          </w:tcPr>
          <w:p w14:paraId="7793ECB7" w14:textId="77777777" w:rsidR="009A78CA" w:rsidRPr="00817C86" w:rsidRDefault="00000000">
            <w:pPr>
              <w:jc w:val="center"/>
              <w:cnfStyle w:val="000000100000" w:firstRow="0" w:lastRow="0" w:firstColumn="0" w:lastColumn="0" w:oddVBand="0" w:evenVBand="0" w:oddHBand="1" w:evenHBand="0" w:firstRowFirstColumn="0" w:firstRowLastColumn="0" w:lastRowFirstColumn="0" w:lastRowLastColumn="0"/>
              <w:rPr>
                <w:rFonts w:cs="Calibri"/>
              </w:rPr>
            </w:pPr>
            <w:r w:rsidRPr="00817C86">
              <w:rPr>
                <w:rFonts w:ascii="Arial" w:hAnsi="Arial" w:cs="Arial"/>
                <w:sz w:val="20"/>
              </w:rPr>
              <w:t>■</w:t>
            </w:r>
          </w:p>
        </w:tc>
        <w:tc>
          <w:tcPr>
            <w:tcW w:w="900" w:type="dxa"/>
          </w:tcPr>
          <w:p w14:paraId="00ED10A3" w14:textId="77777777" w:rsidR="009A78CA" w:rsidRPr="00817C86" w:rsidRDefault="00000000">
            <w:pPr>
              <w:jc w:val="center"/>
              <w:cnfStyle w:val="000000100000" w:firstRow="0" w:lastRow="0" w:firstColumn="0" w:lastColumn="0" w:oddVBand="0" w:evenVBand="0" w:oddHBand="1" w:evenHBand="0" w:firstRowFirstColumn="0" w:firstRowLastColumn="0" w:lastRowFirstColumn="0" w:lastRowLastColumn="0"/>
              <w:rPr>
                <w:rFonts w:cs="Calibri"/>
              </w:rPr>
            </w:pPr>
            <w:r w:rsidRPr="00817C86">
              <w:rPr>
                <w:rFonts w:ascii="Arial" w:hAnsi="Arial" w:cs="Arial"/>
                <w:sz w:val="20"/>
              </w:rPr>
              <w:t>■</w:t>
            </w:r>
          </w:p>
        </w:tc>
        <w:tc>
          <w:tcPr>
            <w:tcW w:w="898" w:type="dxa"/>
          </w:tcPr>
          <w:p w14:paraId="21A3DCE9" w14:textId="77777777" w:rsidR="009A78CA" w:rsidRPr="00817C86" w:rsidRDefault="009A78CA">
            <w:pPr>
              <w:jc w:val="center"/>
              <w:cnfStyle w:val="000000100000" w:firstRow="0" w:lastRow="0" w:firstColumn="0" w:lastColumn="0" w:oddVBand="0" w:evenVBand="0" w:oddHBand="1" w:evenHBand="0" w:firstRowFirstColumn="0" w:firstRowLastColumn="0" w:lastRowFirstColumn="0" w:lastRowLastColumn="0"/>
              <w:rPr>
                <w:rFonts w:cs="Calibri"/>
              </w:rPr>
            </w:pPr>
          </w:p>
        </w:tc>
      </w:tr>
      <w:tr w:rsidR="009A78CA" w:rsidRPr="00817C86" w14:paraId="03B27D31" w14:textId="77777777" w:rsidTr="00817C86">
        <w:tc>
          <w:tcPr>
            <w:cnfStyle w:val="001000000000" w:firstRow="0" w:lastRow="0" w:firstColumn="1" w:lastColumn="0" w:oddVBand="0" w:evenVBand="0" w:oddHBand="0" w:evenHBand="0" w:firstRowFirstColumn="0" w:firstRowLastColumn="0" w:lastRowFirstColumn="0" w:lastRowLastColumn="0"/>
            <w:tcW w:w="4248" w:type="dxa"/>
          </w:tcPr>
          <w:p w14:paraId="18B10D37" w14:textId="77777777" w:rsidR="009A78CA" w:rsidRPr="00817C86" w:rsidRDefault="00000000">
            <w:pPr>
              <w:rPr>
                <w:rFonts w:cs="Calibri"/>
              </w:rPr>
            </w:pPr>
            <w:r w:rsidRPr="00817C86">
              <w:rPr>
                <w:rFonts w:cs="Calibri"/>
                <w:sz w:val="19"/>
              </w:rPr>
              <w:t>Writing, revision and final planning</w:t>
            </w:r>
          </w:p>
        </w:tc>
        <w:tc>
          <w:tcPr>
            <w:tcW w:w="810" w:type="dxa"/>
          </w:tcPr>
          <w:p w14:paraId="5B54BDAD"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900" w:type="dxa"/>
          </w:tcPr>
          <w:p w14:paraId="5CFD6B01"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900" w:type="dxa"/>
          </w:tcPr>
          <w:p w14:paraId="00FEDCBC"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990" w:type="dxa"/>
          </w:tcPr>
          <w:p w14:paraId="4C66C3D4" w14:textId="77777777" w:rsidR="009A78CA" w:rsidRPr="00817C86" w:rsidRDefault="009A78CA">
            <w:pPr>
              <w:jc w:val="center"/>
              <w:cnfStyle w:val="000000000000" w:firstRow="0" w:lastRow="0" w:firstColumn="0" w:lastColumn="0" w:oddVBand="0" w:evenVBand="0" w:oddHBand="0" w:evenHBand="0" w:firstRowFirstColumn="0" w:firstRowLastColumn="0" w:lastRowFirstColumn="0" w:lastRowLastColumn="0"/>
              <w:rPr>
                <w:rFonts w:cs="Calibri"/>
              </w:rPr>
            </w:pPr>
          </w:p>
        </w:tc>
        <w:tc>
          <w:tcPr>
            <w:tcW w:w="900" w:type="dxa"/>
          </w:tcPr>
          <w:p w14:paraId="1D738A50" w14:textId="77777777" w:rsidR="009A78CA" w:rsidRPr="00817C86" w:rsidRDefault="00000000">
            <w:pPr>
              <w:jc w:val="center"/>
              <w:cnfStyle w:val="000000000000" w:firstRow="0" w:lastRow="0" w:firstColumn="0" w:lastColumn="0" w:oddVBand="0" w:evenVBand="0" w:oddHBand="0" w:evenHBand="0" w:firstRowFirstColumn="0" w:firstRowLastColumn="0" w:lastRowFirstColumn="0" w:lastRowLastColumn="0"/>
              <w:rPr>
                <w:rFonts w:cs="Calibri"/>
              </w:rPr>
            </w:pPr>
            <w:r w:rsidRPr="00817C86">
              <w:rPr>
                <w:rFonts w:ascii="Arial" w:hAnsi="Arial" w:cs="Arial"/>
                <w:sz w:val="20"/>
              </w:rPr>
              <w:t>■</w:t>
            </w:r>
          </w:p>
        </w:tc>
        <w:tc>
          <w:tcPr>
            <w:tcW w:w="898" w:type="dxa"/>
          </w:tcPr>
          <w:p w14:paraId="748DEC63" w14:textId="77777777" w:rsidR="009A78CA" w:rsidRPr="00817C86" w:rsidRDefault="00000000">
            <w:pPr>
              <w:jc w:val="center"/>
              <w:cnfStyle w:val="000000000000" w:firstRow="0" w:lastRow="0" w:firstColumn="0" w:lastColumn="0" w:oddVBand="0" w:evenVBand="0" w:oddHBand="0" w:evenHBand="0" w:firstRowFirstColumn="0" w:firstRowLastColumn="0" w:lastRowFirstColumn="0" w:lastRowLastColumn="0"/>
              <w:rPr>
                <w:rFonts w:cs="Calibri"/>
              </w:rPr>
            </w:pPr>
            <w:r w:rsidRPr="00817C86">
              <w:rPr>
                <w:rFonts w:ascii="Arial" w:hAnsi="Arial" w:cs="Arial"/>
                <w:sz w:val="20"/>
              </w:rPr>
              <w:t>■</w:t>
            </w:r>
          </w:p>
        </w:tc>
      </w:tr>
    </w:tbl>
    <w:p w14:paraId="106E3F9F" w14:textId="77777777" w:rsidR="00817C86" w:rsidRDefault="00817C86">
      <w:pPr>
        <w:pStyle w:val="Heading1"/>
        <w:rPr>
          <w:rFonts w:ascii="Calibri" w:hAnsi="Calibri" w:cs="Calibri"/>
        </w:rPr>
      </w:pPr>
    </w:p>
    <w:p w14:paraId="31B37E19" w14:textId="77777777" w:rsidR="00817C86" w:rsidRDefault="00817C86">
      <w:pPr>
        <w:spacing w:after="200" w:line="276" w:lineRule="auto"/>
        <w:jc w:val="left"/>
        <w:rPr>
          <w:rFonts w:eastAsiaTheme="majorEastAsia" w:cs="Calibri"/>
          <w:b/>
          <w:bCs/>
          <w:color w:val="1C3F5F"/>
          <w:sz w:val="26"/>
          <w:szCs w:val="28"/>
        </w:rPr>
      </w:pPr>
      <w:r>
        <w:rPr>
          <w:rFonts w:cs="Calibri"/>
        </w:rPr>
        <w:br w:type="page"/>
      </w:r>
    </w:p>
    <w:p w14:paraId="71797194" w14:textId="0E84D00F" w:rsidR="009A78CA" w:rsidRDefault="00000000">
      <w:pPr>
        <w:pStyle w:val="Heading1"/>
        <w:rPr>
          <w:rFonts w:ascii="Calibri" w:hAnsi="Calibri" w:cs="Calibri"/>
        </w:rPr>
      </w:pPr>
      <w:bookmarkStart w:id="12" w:name="_Toc224756187"/>
      <w:r w:rsidRPr="00817C86">
        <w:rPr>
          <w:rFonts w:ascii="Calibri" w:hAnsi="Calibri" w:cs="Calibri"/>
        </w:rPr>
        <w:lastRenderedPageBreak/>
        <w:t>Reference</w:t>
      </w:r>
      <w:r w:rsidR="00817C86">
        <w:rPr>
          <w:rFonts w:ascii="Calibri" w:hAnsi="Calibri" w:cs="Calibri"/>
        </w:rPr>
        <w:t>s</w:t>
      </w:r>
      <w:bookmarkEnd w:id="12"/>
    </w:p>
    <w:p w14:paraId="58787B31" w14:textId="77777777" w:rsidR="00817C86" w:rsidRPr="00817C86" w:rsidRDefault="00817C86" w:rsidP="00817C86">
      <w:r w:rsidRPr="00817C86">
        <w:t xml:space="preserve">Appleton, R., Elahi, F., Tuomainen, H., Canaway, A. and Singh, S.P. (2021) ‘I’m just a long history of people rejecting referrals’: experiences of young people who fell through the gap between child and adult mental health services’, </w:t>
      </w:r>
      <w:r w:rsidRPr="00817C86">
        <w:rPr>
          <w:i/>
          <w:iCs/>
        </w:rPr>
        <w:t>European Child &amp; Adolescent Psychiatry</w:t>
      </w:r>
      <w:r w:rsidRPr="00817C86">
        <w:t xml:space="preserve">, 30(3), pp. 401-413. Available at: </w:t>
      </w:r>
      <w:hyperlink r:id="rId6" w:history="1">
        <w:r w:rsidRPr="00817C86">
          <w:rPr>
            <w:rStyle w:val="Hyperlink"/>
          </w:rPr>
          <w:t>https://doi.org/10.1007/s00787-020-01526-3</w:t>
        </w:r>
      </w:hyperlink>
      <w:r w:rsidRPr="00817C86">
        <w:t>.</w:t>
      </w:r>
    </w:p>
    <w:p w14:paraId="211AEF2E" w14:textId="77777777" w:rsidR="00817C86" w:rsidRPr="00817C86" w:rsidRDefault="00817C86" w:rsidP="00817C86">
      <w:r w:rsidRPr="00817C86">
        <w:t xml:space="preserve">Braun, V. and Clarke, V. (2006) ‘Using thematic analysis in psychology’, </w:t>
      </w:r>
      <w:r w:rsidRPr="00817C86">
        <w:rPr>
          <w:i/>
          <w:iCs/>
        </w:rPr>
        <w:t>Qualitative Research in Psychology</w:t>
      </w:r>
      <w:r w:rsidRPr="00817C86">
        <w:t xml:space="preserve">, 3(2), pp. 77-101. Available at: </w:t>
      </w:r>
      <w:hyperlink r:id="rId7" w:history="1">
        <w:r w:rsidRPr="00817C86">
          <w:rPr>
            <w:rStyle w:val="Hyperlink"/>
          </w:rPr>
          <w:t>https://doi.org/10.1191/1478088706qp063oa</w:t>
        </w:r>
      </w:hyperlink>
      <w:r w:rsidRPr="00817C86">
        <w:t>.</w:t>
      </w:r>
    </w:p>
    <w:p w14:paraId="21566C2A" w14:textId="77777777" w:rsidR="00817C86" w:rsidRPr="00817C86" w:rsidRDefault="00817C86" w:rsidP="00817C86">
      <w:r w:rsidRPr="00817C86">
        <w:t xml:space="preserve">Braun, V. and Clarke, V. (2021) </w:t>
      </w:r>
      <w:r w:rsidRPr="00817C86">
        <w:rPr>
          <w:i/>
          <w:iCs/>
        </w:rPr>
        <w:t>Thematic Analysis: A Practical Guide</w:t>
      </w:r>
      <w:r w:rsidRPr="00817C86">
        <w:t>. London: Sage.</w:t>
      </w:r>
    </w:p>
    <w:p w14:paraId="0B80406E" w14:textId="77777777" w:rsidR="00817C86" w:rsidRPr="00817C86" w:rsidRDefault="00817C86" w:rsidP="00817C86">
      <w:r w:rsidRPr="00817C86">
        <w:t xml:space="preserve">British Psychological Society (2021) </w:t>
      </w:r>
      <w:r w:rsidRPr="00817C86">
        <w:rPr>
          <w:i/>
          <w:iCs/>
        </w:rPr>
        <w:t>Code of Human Research Ethics</w:t>
      </w:r>
      <w:r w:rsidRPr="00817C86">
        <w:t xml:space="preserve">. 4th </w:t>
      </w:r>
      <w:proofErr w:type="spellStart"/>
      <w:r w:rsidRPr="00817C86">
        <w:t>edn</w:t>
      </w:r>
      <w:proofErr w:type="spellEnd"/>
      <w:r w:rsidRPr="00817C86">
        <w:t>. Leicester: British Psychological Society.</w:t>
      </w:r>
    </w:p>
    <w:p w14:paraId="52348624" w14:textId="77777777" w:rsidR="00817C86" w:rsidRPr="00817C86" w:rsidRDefault="00817C86" w:rsidP="00817C86">
      <w:r w:rsidRPr="00817C86">
        <w:t xml:space="preserve">Burke, L., John, M. and Hanna, P. (2022) ‘A qualitative exploration of how young men in the UK perceive and experience informal help-seeking for mental health difficulties’, </w:t>
      </w:r>
      <w:r w:rsidRPr="00817C86">
        <w:rPr>
          <w:i/>
          <w:iCs/>
        </w:rPr>
        <w:t>Children and Youth Services Review</w:t>
      </w:r>
      <w:r w:rsidRPr="00817C86">
        <w:t xml:space="preserve">, 137, 106440. Available at: </w:t>
      </w:r>
      <w:hyperlink r:id="rId8" w:history="1">
        <w:r w:rsidRPr="00817C86">
          <w:rPr>
            <w:rStyle w:val="Hyperlink"/>
          </w:rPr>
          <w:t>https://doi.org/10.1016/j.childyouth.2022.106440</w:t>
        </w:r>
      </w:hyperlink>
      <w:r w:rsidRPr="00817C86">
        <w:t>.</w:t>
      </w:r>
    </w:p>
    <w:p w14:paraId="440AE62C" w14:textId="77777777" w:rsidR="00817C86" w:rsidRPr="00817C86" w:rsidRDefault="00817C86" w:rsidP="00817C86">
      <w:r w:rsidRPr="00817C86">
        <w:t xml:space="preserve">Care Quality Commission (2026) </w:t>
      </w:r>
      <w:r w:rsidRPr="00817C86">
        <w:rPr>
          <w:i/>
          <w:iCs/>
        </w:rPr>
        <w:t>Monitoring the Mental Health Act in 2024 to 2025</w:t>
      </w:r>
      <w:r w:rsidRPr="00817C86">
        <w:t xml:space="preserve">. London: Care Quality Commission. Available at: </w:t>
      </w:r>
      <w:hyperlink r:id="rId9" w:history="1">
        <w:r w:rsidRPr="00817C86">
          <w:rPr>
            <w:rStyle w:val="Hyperlink"/>
          </w:rPr>
          <w:t>https://www.gov.uk/government/publications/monitoring-the-mental-health-act-in-2024-to-2025</w:t>
        </w:r>
      </w:hyperlink>
      <w:r w:rsidRPr="00817C86">
        <w:t>.</w:t>
      </w:r>
    </w:p>
    <w:p w14:paraId="712D10AE" w14:textId="77777777" w:rsidR="00817C86" w:rsidRPr="00817C86" w:rsidRDefault="00817C86" w:rsidP="00817C86">
      <w:r w:rsidRPr="00817C86">
        <w:t xml:space="preserve">Clement, S., Schauman, O., Graham, T., Maggioni, F., Evans-Lacko, S., </w:t>
      </w:r>
      <w:proofErr w:type="spellStart"/>
      <w:r w:rsidRPr="00817C86">
        <w:t>Bezborodovs</w:t>
      </w:r>
      <w:proofErr w:type="spellEnd"/>
      <w:r w:rsidRPr="00817C86">
        <w:t xml:space="preserve">, N., Morgan, C., </w:t>
      </w:r>
      <w:proofErr w:type="spellStart"/>
      <w:r w:rsidRPr="00817C86">
        <w:t>Rüsch</w:t>
      </w:r>
      <w:proofErr w:type="spellEnd"/>
      <w:r w:rsidRPr="00817C86">
        <w:t xml:space="preserve">, N., Brown, J.S.L. and Thornicroft, G. (2015) ‘What is the impact of mental health-related stigma on help-seeking? A systematic review of quantitative and qualitative studies’, </w:t>
      </w:r>
      <w:r w:rsidRPr="00817C86">
        <w:rPr>
          <w:i/>
          <w:iCs/>
        </w:rPr>
        <w:t>Psychological Medicine</w:t>
      </w:r>
      <w:r w:rsidRPr="00817C86">
        <w:t xml:space="preserve">, 45(1), pp. 11-27. Available at: </w:t>
      </w:r>
      <w:hyperlink r:id="rId10" w:history="1">
        <w:r w:rsidRPr="00817C86">
          <w:rPr>
            <w:rStyle w:val="Hyperlink"/>
          </w:rPr>
          <w:t>https://doi.org/10.1017/S0033291714000129</w:t>
        </w:r>
      </w:hyperlink>
      <w:r w:rsidRPr="00817C86">
        <w:t>.</w:t>
      </w:r>
    </w:p>
    <w:p w14:paraId="68E5D639" w14:textId="77777777" w:rsidR="00817C86" w:rsidRPr="00817C86" w:rsidRDefault="00817C86" w:rsidP="00817C86">
      <w:r w:rsidRPr="00817C86">
        <w:t xml:space="preserve">Creswell, J.W. and Creswell, J.D. (2018) </w:t>
      </w:r>
      <w:r w:rsidRPr="00817C86">
        <w:rPr>
          <w:i/>
          <w:iCs/>
        </w:rPr>
        <w:t>Research Design: Qualitative, Quantitative, and Mixed Methods Approaches</w:t>
      </w:r>
      <w:r w:rsidRPr="00817C86">
        <w:t xml:space="preserve">. 5th </w:t>
      </w:r>
      <w:proofErr w:type="spellStart"/>
      <w:r w:rsidRPr="00817C86">
        <w:t>edn</w:t>
      </w:r>
      <w:proofErr w:type="spellEnd"/>
      <w:r w:rsidRPr="00817C86">
        <w:t>. Thousand Oaks, CA: Sage.</w:t>
      </w:r>
    </w:p>
    <w:p w14:paraId="54584204" w14:textId="77777777" w:rsidR="00817C86" w:rsidRPr="00817C86" w:rsidRDefault="00817C86" w:rsidP="00817C86">
      <w:r w:rsidRPr="00817C86">
        <w:t xml:space="preserve">Department of Health and Social Care (2026) </w:t>
      </w:r>
      <w:r w:rsidRPr="00817C86">
        <w:rPr>
          <w:i/>
          <w:iCs/>
        </w:rPr>
        <w:t>Government response to the Health and Social Care Committee’s fourth report of session 2024 to 2026: community mental health services</w:t>
      </w:r>
      <w:r w:rsidRPr="00817C86">
        <w:t xml:space="preserve">. Available at: </w:t>
      </w:r>
      <w:hyperlink r:id="rId11" w:history="1">
        <w:r w:rsidRPr="00817C86">
          <w:rPr>
            <w:rStyle w:val="Hyperlink"/>
          </w:rPr>
          <w:t>https://www.gov.uk/government/publications/community-mental-health-services-governments-response-to-the-health-and-social-care-committees-report/government-response-to-the-health-and-social-care-committees-fourth-report-of-session-2024-to-2026-community-mental-health-services</w:t>
        </w:r>
      </w:hyperlink>
      <w:r w:rsidRPr="00817C86">
        <w:t xml:space="preserve"> (Accessed: 18 March 2026).</w:t>
      </w:r>
    </w:p>
    <w:p w14:paraId="58E97037" w14:textId="77777777" w:rsidR="00817C86" w:rsidRPr="00817C86" w:rsidRDefault="00817C86" w:rsidP="00817C86">
      <w:r w:rsidRPr="00817C86">
        <w:lastRenderedPageBreak/>
        <w:t xml:space="preserve">Evans, J.R. and Mathur, A. (2018) ‘The value of online surveys’, </w:t>
      </w:r>
      <w:r w:rsidRPr="00817C86">
        <w:rPr>
          <w:i/>
          <w:iCs/>
        </w:rPr>
        <w:t>Internet Research</w:t>
      </w:r>
      <w:r w:rsidRPr="00817C86">
        <w:t xml:space="preserve">, 28(4), pp. 854-887. Available at: </w:t>
      </w:r>
      <w:hyperlink r:id="rId12" w:history="1">
        <w:r w:rsidRPr="00817C86">
          <w:rPr>
            <w:rStyle w:val="Hyperlink"/>
          </w:rPr>
          <w:t>https://doi.org/10.1108/IntR-03-2018-0089</w:t>
        </w:r>
      </w:hyperlink>
      <w:r w:rsidRPr="00817C86">
        <w:t>.</w:t>
      </w:r>
    </w:p>
    <w:p w14:paraId="0E82C2E1" w14:textId="77777777" w:rsidR="00817C86" w:rsidRPr="00817C86" w:rsidRDefault="00817C86" w:rsidP="00817C86">
      <w:r w:rsidRPr="00817C86">
        <w:t xml:space="preserve">Gulliver, A., Griffiths, K.M. and Christensen, H. (2010) ‘Perceived barriers and facilitators to mental health help-seeking in young people: a systematic review’, </w:t>
      </w:r>
      <w:r w:rsidRPr="00817C86">
        <w:rPr>
          <w:i/>
          <w:iCs/>
        </w:rPr>
        <w:t>BMC Psychiatry</w:t>
      </w:r>
      <w:r w:rsidRPr="00817C86">
        <w:t xml:space="preserve">, 10, 113. Available at: </w:t>
      </w:r>
      <w:hyperlink r:id="rId13" w:history="1">
        <w:r w:rsidRPr="00817C86">
          <w:rPr>
            <w:rStyle w:val="Hyperlink"/>
          </w:rPr>
          <w:t>https://doi.org/10.1186/1471-244X-10-113</w:t>
        </w:r>
      </w:hyperlink>
      <w:r w:rsidRPr="00817C86">
        <w:t>.</w:t>
      </w:r>
    </w:p>
    <w:p w14:paraId="497ADD7F" w14:textId="77777777" w:rsidR="00817C86" w:rsidRPr="00817C86" w:rsidRDefault="00817C86" w:rsidP="00817C86">
      <w:proofErr w:type="spellStart"/>
      <w:r w:rsidRPr="00817C86">
        <w:t>Kapilashrami</w:t>
      </w:r>
      <w:proofErr w:type="spellEnd"/>
      <w:r w:rsidRPr="00817C86">
        <w:t xml:space="preserve">, A. and Hankivsky, O. (2018) ‘Intersectionality and why it matters to global health’, </w:t>
      </w:r>
      <w:r w:rsidRPr="00817C86">
        <w:rPr>
          <w:i/>
          <w:iCs/>
        </w:rPr>
        <w:t>The Lancet</w:t>
      </w:r>
      <w:r w:rsidRPr="00817C86">
        <w:t xml:space="preserve">, 391(10140), pp. 2589-2591. Available at: </w:t>
      </w:r>
      <w:hyperlink r:id="rId14" w:history="1">
        <w:r w:rsidRPr="00817C86">
          <w:rPr>
            <w:rStyle w:val="Hyperlink"/>
          </w:rPr>
          <w:t>https://doi.org/10.1016/S0140-6736(18)31431-4</w:t>
        </w:r>
      </w:hyperlink>
      <w:r w:rsidRPr="00817C86">
        <w:t>.</w:t>
      </w:r>
    </w:p>
    <w:p w14:paraId="09902DFA" w14:textId="77777777" w:rsidR="00817C86" w:rsidRPr="00817C86" w:rsidRDefault="00817C86" w:rsidP="00817C86">
      <w:r w:rsidRPr="00817C86">
        <w:t>Levesque, J.-F., Harris, M.F. and Russell, G. (2013) ‘Patient-</w:t>
      </w:r>
      <w:proofErr w:type="spellStart"/>
      <w:r w:rsidRPr="00817C86">
        <w:t>centred</w:t>
      </w:r>
      <w:proofErr w:type="spellEnd"/>
      <w:r w:rsidRPr="00817C86">
        <w:t xml:space="preserve"> access to health care: </w:t>
      </w:r>
      <w:proofErr w:type="spellStart"/>
      <w:r w:rsidRPr="00817C86">
        <w:t>conceptualising</w:t>
      </w:r>
      <w:proofErr w:type="spellEnd"/>
      <w:r w:rsidRPr="00817C86">
        <w:t xml:space="preserve"> access at the interface of health systems and populations’, </w:t>
      </w:r>
      <w:r w:rsidRPr="00817C86">
        <w:rPr>
          <w:i/>
          <w:iCs/>
        </w:rPr>
        <w:t>International Journal for Equity in Health</w:t>
      </w:r>
      <w:r w:rsidRPr="00817C86">
        <w:t xml:space="preserve">, 12, 18. Available at: </w:t>
      </w:r>
      <w:hyperlink r:id="rId15" w:history="1">
        <w:r w:rsidRPr="00817C86">
          <w:rPr>
            <w:rStyle w:val="Hyperlink"/>
          </w:rPr>
          <w:t>https://doi.org/10.1186/1475-9276-12-18</w:t>
        </w:r>
      </w:hyperlink>
      <w:r w:rsidRPr="00817C86">
        <w:t>.</w:t>
      </w:r>
    </w:p>
    <w:p w14:paraId="7B408551" w14:textId="77777777" w:rsidR="00817C86" w:rsidRPr="00817C86" w:rsidRDefault="00817C86" w:rsidP="00817C86">
      <w:r w:rsidRPr="00817C86">
        <w:t xml:space="preserve">Lowther-Payne, H.J., Ushakova, A., Osman, M., Rains, L.S., Johnson, S. and </w:t>
      </w:r>
      <w:proofErr w:type="spellStart"/>
      <w:r w:rsidRPr="00817C86">
        <w:t>Steare</w:t>
      </w:r>
      <w:proofErr w:type="spellEnd"/>
      <w:r w:rsidRPr="00817C86">
        <w:t xml:space="preserve">, T. (2023) ‘Understanding inequalities in access to adult mental health services in the UK: a systematic mapping review’, </w:t>
      </w:r>
      <w:r w:rsidRPr="00817C86">
        <w:rPr>
          <w:i/>
          <w:iCs/>
        </w:rPr>
        <w:t>BMC Health Services Research</w:t>
      </w:r>
      <w:r w:rsidRPr="00817C86">
        <w:t xml:space="preserve">, 23, 1042. Available at: </w:t>
      </w:r>
      <w:hyperlink r:id="rId16" w:history="1">
        <w:r w:rsidRPr="00817C86">
          <w:rPr>
            <w:rStyle w:val="Hyperlink"/>
          </w:rPr>
          <w:t>https://doi.org/10.1186/s12913-023-10030-8</w:t>
        </w:r>
      </w:hyperlink>
      <w:r w:rsidRPr="00817C86">
        <w:t>.</w:t>
      </w:r>
    </w:p>
    <w:p w14:paraId="754768C9" w14:textId="77777777" w:rsidR="00817C86" w:rsidRPr="00817C86" w:rsidRDefault="00817C86" w:rsidP="00817C86">
      <w:r w:rsidRPr="00817C86">
        <w:t xml:space="preserve">Macdonald, G. and Lucas, P.J. (2025) ‘The barriers and facilitators to help-seeking: what young people in the UK say: a systematic review’, </w:t>
      </w:r>
      <w:r w:rsidRPr="00817C86">
        <w:rPr>
          <w:i/>
          <w:iCs/>
        </w:rPr>
        <w:t>The British Journal of Social Work</w:t>
      </w:r>
      <w:r w:rsidRPr="00817C86">
        <w:t xml:space="preserve">, bcaf278. Available at: </w:t>
      </w:r>
      <w:hyperlink r:id="rId17" w:history="1">
        <w:r w:rsidRPr="00817C86">
          <w:rPr>
            <w:rStyle w:val="Hyperlink"/>
          </w:rPr>
          <w:t>https://doi.org/10.1093/bjsw/bcaf278</w:t>
        </w:r>
      </w:hyperlink>
      <w:r w:rsidRPr="00817C86">
        <w:t>.</w:t>
      </w:r>
    </w:p>
    <w:p w14:paraId="4F8BEAAB" w14:textId="77777777" w:rsidR="00817C86" w:rsidRPr="00817C86" w:rsidRDefault="00817C86" w:rsidP="00817C86">
      <w:r w:rsidRPr="00817C86">
        <w:t xml:space="preserve">Mitchell, C., McMillan, B. and Hagan, T. (2017) ‘Mental health help-seeking </w:t>
      </w:r>
      <w:proofErr w:type="spellStart"/>
      <w:r w:rsidRPr="00817C86">
        <w:t>behaviours</w:t>
      </w:r>
      <w:proofErr w:type="spellEnd"/>
      <w:r w:rsidRPr="00817C86">
        <w:t xml:space="preserve"> in young adults’, </w:t>
      </w:r>
      <w:r w:rsidRPr="00817C86">
        <w:rPr>
          <w:i/>
          <w:iCs/>
        </w:rPr>
        <w:t>British Journal of General Practice</w:t>
      </w:r>
      <w:r w:rsidRPr="00817C86">
        <w:t xml:space="preserve">, 67(654), pp. 8-9. Available at: </w:t>
      </w:r>
      <w:hyperlink r:id="rId18" w:history="1">
        <w:r w:rsidRPr="00817C86">
          <w:rPr>
            <w:rStyle w:val="Hyperlink"/>
          </w:rPr>
          <w:t>https://doi.org/10.3399/bjgp17X688453</w:t>
        </w:r>
      </w:hyperlink>
      <w:r w:rsidRPr="00817C86">
        <w:t>.</w:t>
      </w:r>
    </w:p>
    <w:p w14:paraId="45B68181" w14:textId="77777777" w:rsidR="00817C86" w:rsidRPr="00817C86" w:rsidRDefault="00817C86" w:rsidP="00817C86">
      <w:r w:rsidRPr="00817C86">
        <w:t xml:space="preserve">Moreton, R., Welford, J. and Collinson, B. (2022) ‘Improving access to mental health services for those experiencing multiple disadvantage’, </w:t>
      </w:r>
      <w:r w:rsidRPr="00817C86">
        <w:rPr>
          <w:i/>
          <w:iCs/>
        </w:rPr>
        <w:t>Housing, Care and Support</w:t>
      </w:r>
      <w:r w:rsidRPr="00817C86">
        <w:t xml:space="preserve">, 25(3/4), pp. 138-152. Available at: </w:t>
      </w:r>
      <w:hyperlink r:id="rId19" w:history="1">
        <w:r w:rsidRPr="00817C86">
          <w:rPr>
            <w:rStyle w:val="Hyperlink"/>
          </w:rPr>
          <w:t>https://doi.org/10.1108/HCS-04-2022-0017</w:t>
        </w:r>
      </w:hyperlink>
      <w:r w:rsidRPr="00817C86">
        <w:t>.</w:t>
      </w:r>
    </w:p>
    <w:p w14:paraId="05931479" w14:textId="77777777" w:rsidR="00817C86" w:rsidRPr="00817C86" w:rsidRDefault="00817C86" w:rsidP="00817C86">
      <w:r w:rsidRPr="00817C86">
        <w:t xml:space="preserve">NHS Digital (2025) </w:t>
      </w:r>
      <w:r w:rsidRPr="00817C86">
        <w:rPr>
          <w:i/>
          <w:iCs/>
        </w:rPr>
        <w:t>Survey of Mental Health and Wellbeing, England, 2023 to 2024: common mental health conditions</w:t>
      </w:r>
      <w:r w:rsidRPr="00817C86">
        <w:t xml:space="preserve">. Available at: </w:t>
      </w:r>
      <w:hyperlink r:id="rId20" w:history="1">
        <w:r w:rsidRPr="00817C86">
          <w:rPr>
            <w:rStyle w:val="Hyperlink"/>
          </w:rPr>
          <w:t>https://digital.nhs.uk/data-and-information/publications/statistical/adult-psychiatric-morbidity-survey/survey-of-mental-health-and-wellbeing-england-2023-24/common-mental-health-conditions</w:t>
        </w:r>
      </w:hyperlink>
      <w:r w:rsidRPr="00817C86">
        <w:t xml:space="preserve"> (Accessed: 18 March 2026).</w:t>
      </w:r>
    </w:p>
    <w:p w14:paraId="76851AEE" w14:textId="77777777" w:rsidR="00817C86" w:rsidRPr="00817C86" w:rsidRDefault="00817C86" w:rsidP="00817C86">
      <w:r w:rsidRPr="00817C86">
        <w:lastRenderedPageBreak/>
        <w:t xml:space="preserve">NHS Digital (2025a) </w:t>
      </w:r>
      <w:r w:rsidRPr="00817C86">
        <w:rPr>
          <w:i/>
          <w:iCs/>
        </w:rPr>
        <w:t>Mental Health Bulletin, 2024 to 2025 annual report</w:t>
      </w:r>
      <w:r w:rsidRPr="00817C86">
        <w:t xml:space="preserve">. Available at: </w:t>
      </w:r>
      <w:hyperlink r:id="rId21" w:history="1">
        <w:r w:rsidRPr="00817C86">
          <w:rPr>
            <w:rStyle w:val="Hyperlink"/>
          </w:rPr>
          <w:t>https://digital.nhs.uk/data-and-information/publications/statistical/mental-health-bulletin/2024-25-annual-report</w:t>
        </w:r>
      </w:hyperlink>
      <w:r w:rsidRPr="00817C86">
        <w:t xml:space="preserve"> (Accessed: 18 March 2026).</w:t>
      </w:r>
    </w:p>
    <w:p w14:paraId="6B670668" w14:textId="77777777" w:rsidR="00817C86" w:rsidRPr="00817C86" w:rsidRDefault="00817C86" w:rsidP="00817C86">
      <w:r w:rsidRPr="00817C86">
        <w:t xml:space="preserve">NHS England (2019) </w:t>
      </w:r>
      <w:r w:rsidRPr="00817C86">
        <w:rPr>
          <w:i/>
          <w:iCs/>
        </w:rPr>
        <w:t>The NHS Long Term Plan</w:t>
      </w:r>
      <w:r w:rsidRPr="00817C86">
        <w:t>. London: NHS England.</w:t>
      </w:r>
    </w:p>
    <w:p w14:paraId="6A6DBDFD" w14:textId="77777777" w:rsidR="00817C86" w:rsidRPr="00817C86" w:rsidRDefault="00817C86" w:rsidP="00817C86">
      <w:r w:rsidRPr="00817C86">
        <w:t xml:space="preserve">NHS England (2026) </w:t>
      </w:r>
      <w:r w:rsidRPr="00817C86">
        <w:rPr>
          <w:i/>
          <w:iCs/>
        </w:rPr>
        <w:t>Community Mental Health Survey 2024: national qualitative report</w:t>
      </w:r>
      <w:r w:rsidRPr="00817C86">
        <w:t xml:space="preserve">. Available at: </w:t>
      </w:r>
      <w:hyperlink r:id="rId22" w:history="1">
        <w:r w:rsidRPr="00817C86">
          <w:rPr>
            <w:rStyle w:val="Hyperlink"/>
          </w:rPr>
          <w:t>https://www.england.nhs.uk/long-read/community-mental-health-survey-2024-national-qualitative-report/</w:t>
        </w:r>
      </w:hyperlink>
      <w:r w:rsidRPr="00817C86">
        <w:t xml:space="preserve"> (Accessed: 18 March 2026).</w:t>
      </w:r>
    </w:p>
    <w:p w14:paraId="0F1E76A5" w14:textId="77777777" w:rsidR="00817C86" w:rsidRPr="00817C86" w:rsidRDefault="00817C86" w:rsidP="00817C86">
      <w:r w:rsidRPr="00817C86">
        <w:t xml:space="preserve">Nowell, L.S., Norris, J.M., White, D.E. and Moules, N.J. (2017) ‘Thematic analysis: striving to meet the trustworthiness criteria’, </w:t>
      </w:r>
      <w:r w:rsidRPr="00817C86">
        <w:rPr>
          <w:i/>
          <w:iCs/>
        </w:rPr>
        <w:t>International Journal of Qualitative Methods</w:t>
      </w:r>
      <w:r w:rsidRPr="00817C86">
        <w:t xml:space="preserve">, 16, pp. 1-13. Available at: </w:t>
      </w:r>
      <w:hyperlink r:id="rId23" w:history="1">
        <w:r w:rsidRPr="00817C86">
          <w:rPr>
            <w:rStyle w:val="Hyperlink"/>
          </w:rPr>
          <w:t>https://doi.org/10.1177/1609406917733847</w:t>
        </w:r>
      </w:hyperlink>
      <w:r w:rsidRPr="00817C86">
        <w:t>.</w:t>
      </w:r>
    </w:p>
    <w:p w14:paraId="1EBA425A" w14:textId="77777777" w:rsidR="00817C86" w:rsidRPr="00817C86" w:rsidRDefault="00817C86" w:rsidP="00817C86">
      <w:proofErr w:type="spellStart"/>
      <w:r w:rsidRPr="00817C86">
        <w:t>Punton</w:t>
      </w:r>
      <w:proofErr w:type="spellEnd"/>
      <w:r w:rsidRPr="00817C86">
        <w:t xml:space="preserve">, G., Dodd, A.L. and McNeill, A. (2022) ‘You’re on the waiting list’: an interpretive phenomenological analysis of young adults’ experiences of waiting lists within mental health services in the UK’, </w:t>
      </w:r>
      <w:r w:rsidRPr="00817C86">
        <w:rPr>
          <w:i/>
          <w:iCs/>
        </w:rPr>
        <w:t>PLOS ONE</w:t>
      </w:r>
      <w:r w:rsidRPr="00817C86">
        <w:t xml:space="preserve">, 17(3), e0265542. Available at: </w:t>
      </w:r>
      <w:hyperlink r:id="rId24" w:history="1">
        <w:r w:rsidRPr="00817C86">
          <w:rPr>
            <w:rStyle w:val="Hyperlink"/>
          </w:rPr>
          <w:t>https://doi.org/10.1371/journal.pone.0265542</w:t>
        </w:r>
      </w:hyperlink>
      <w:r w:rsidRPr="00817C86">
        <w:t>.</w:t>
      </w:r>
    </w:p>
    <w:p w14:paraId="6A904930" w14:textId="77777777" w:rsidR="00817C86" w:rsidRPr="00817C86" w:rsidRDefault="00817C86" w:rsidP="00817C86">
      <w:r w:rsidRPr="00817C86">
        <w:t xml:space="preserve">Rao, S., Dimitropoulos, G., Milaney, K., Eurich, D.T. and Patten, S.B. (2024) ‘HEARTS study protocol: Helping Enable Access and Remove Barriers </w:t>
      </w:r>
      <w:proofErr w:type="gramStart"/>
      <w:r w:rsidRPr="00817C86">
        <w:t>To</w:t>
      </w:r>
      <w:proofErr w:type="gramEnd"/>
      <w:r w:rsidRPr="00817C86">
        <w:t xml:space="preserve"> Support for young adults with mental health-related disabilities’, </w:t>
      </w:r>
      <w:r w:rsidRPr="00817C86">
        <w:rPr>
          <w:i/>
          <w:iCs/>
        </w:rPr>
        <w:t>Youth</w:t>
      </w:r>
      <w:r w:rsidRPr="00817C86">
        <w:t xml:space="preserve">, 4(1), pp. 107-123. Available at: </w:t>
      </w:r>
      <w:hyperlink r:id="rId25" w:history="1">
        <w:r w:rsidRPr="00817C86">
          <w:rPr>
            <w:rStyle w:val="Hyperlink"/>
          </w:rPr>
          <w:t>https://doi.org/10.3390/youth4010008</w:t>
        </w:r>
      </w:hyperlink>
      <w:r w:rsidRPr="00817C86">
        <w:t>.</w:t>
      </w:r>
    </w:p>
    <w:p w14:paraId="3C54B61E" w14:textId="77777777" w:rsidR="00817C86" w:rsidRPr="00817C86" w:rsidRDefault="00817C86" w:rsidP="00817C86">
      <w:r w:rsidRPr="00817C86">
        <w:t xml:space="preserve">Rickwood, D.J., Deane, F.P., Wilson, C.J. and Ciarrochi, J. (2005) ‘Young people’s help-seeking for mental health problems’, </w:t>
      </w:r>
      <w:r w:rsidRPr="00817C86">
        <w:rPr>
          <w:i/>
          <w:iCs/>
        </w:rPr>
        <w:t>Australian e-Journal for the Advancement of Mental Health</w:t>
      </w:r>
      <w:r w:rsidRPr="00817C86">
        <w:t xml:space="preserve">, 4(3), pp. 218-251. Available at: </w:t>
      </w:r>
      <w:hyperlink r:id="rId26" w:history="1">
        <w:r w:rsidRPr="00817C86">
          <w:rPr>
            <w:rStyle w:val="Hyperlink"/>
          </w:rPr>
          <w:t>https://doi.org/10.5172/jamh.4.3.218</w:t>
        </w:r>
      </w:hyperlink>
      <w:r w:rsidRPr="00817C86">
        <w:t>.</w:t>
      </w:r>
    </w:p>
    <w:p w14:paraId="18DB6428" w14:textId="77777777" w:rsidR="00817C86" w:rsidRPr="00817C86" w:rsidRDefault="00817C86" w:rsidP="00817C86">
      <w:r w:rsidRPr="00817C86">
        <w:t xml:space="preserve">Rickwood, D. and Thomas, K. (2012) ‘Conceptual measurement framework for help-seeking for mental health problems’, </w:t>
      </w:r>
      <w:r w:rsidRPr="00817C86">
        <w:rPr>
          <w:i/>
          <w:iCs/>
        </w:rPr>
        <w:t>Psychology Research and Behavior Management</w:t>
      </w:r>
      <w:r w:rsidRPr="00817C86">
        <w:t xml:space="preserve">, 5, pp. 173-183. Available at: </w:t>
      </w:r>
      <w:hyperlink r:id="rId27" w:history="1">
        <w:r w:rsidRPr="00817C86">
          <w:rPr>
            <w:rStyle w:val="Hyperlink"/>
          </w:rPr>
          <w:t>https://doi.org/10.2147/PRBM.S38707</w:t>
        </w:r>
      </w:hyperlink>
      <w:r w:rsidRPr="00817C86">
        <w:t>.</w:t>
      </w:r>
    </w:p>
    <w:p w14:paraId="339E2268" w14:textId="77777777" w:rsidR="00817C86" w:rsidRPr="00817C86" w:rsidRDefault="00817C86" w:rsidP="00817C86">
      <w:r w:rsidRPr="00817C86">
        <w:t xml:space="preserve">Rosina, R., McMaster, R., </w:t>
      </w:r>
      <w:proofErr w:type="spellStart"/>
      <w:r w:rsidRPr="00817C86">
        <w:t>Lovecchio</w:t>
      </w:r>
      <w:proofErr w:type="spellEnd"/>
      <w:r w:rsidRPr="00817C86">
        <w:t xml:space="preserve">, V. and Wu, J. (2025) ‘Young people transitioning from child and adolescent to adult mental health services: a qualitative systematic review’, </w:t>
      </w:r>
      <w:r w:rsidRPr="00817C86">
        <w:rPr>
          <w:i/>
          <w:iCs/>
        </w:rPr>
        <w:t>International Journal of Mental Health Nursing</w:t>
      </w:r>
      <w:r w:rsidRPr="00817C86">
        <w:t xml:space="preserve">, 34(1), e13439. Available at: </w:t>
      </w:r>
      <w:hyperlink r:id="rId28" w:history="1">
        <w:r w:rsidRPr="00817C86">
          <w:rPr>
            <w:rStyle w:val="Hyperlink"/>
          </w:rPr>
          <w:t>https://doi.org/10.1111/inm.13439</w:t>
        </w:r>
      </w:hyperlink>
      <w:r w:rsidRPr="00817C86">
        <w:t>.</w:t>
      </w:r>
    </w:p>
    <w:p w14:paraId="549ABB62" w14:textId="77777777" w:rsidR="00817C86" w:rsidRPr="00817C86" w:rsidRDefault="00817C86" w:rsidP="00817C86">
      <w:r w:rsidRPr="00817C86">
        <w:t xml:space="preserve">Salaheddin, K. and Mason, B. (2016) ‘Identifying barriers to mental health help-seeking among young adults in the UK: a cross-sectional survey’, </w:t>
      </w:r>
      <w:r w:rsidRPr="00817C86">
        <w:rPr>
          <w:i/>
          <w:iCs/>
        </w:rPr>
        <w:t>British Journal of General Practice</w:t>
      </w:r>
      <w:r w:rsidRPr="00817C86">
        <w:t xml:space="preserve">, 66(651), pp. e686-e692. Available at: </w:t>
      </w:r>
      <w:hyperlink r:id="rId29" w:history="1">
        <w:r w:rsidRPr="00817C86">
          <w:rPr>
            <w:rStyle w:val="Hyperlink"/>
          </w:rPr>
          <w:t>https://doi.org/10.3399/bjgp16X687313</w:t>
        </w:r>
      </w:hyperlink>
      <w:r w:rsidRPr="00817C86">
        <w:t>.</w:t>
      </w:r>
    </w:p>
    <w:p w14:paraId="4F138301" w14:textId="77777777" w:rsidR="00817C86" w:rsidRPr="00817C86" w:rsidRDefault="00817C86" w:rsidP="00817C86">
      <w:r w:rsidRPr="00817C86">
        <w:lastRenderedPageBreak/>
        <w:t xml:space="preserve">Singh, S.P. and Tuomainen, H. (2015) ‘Transition from child to adult mental health services: needs, barriers, experiences and new models of care’, </w:t>
      </w:r>
      <w:r w:rsidRPr="00817C86">
        <w:rPr>
          <w:i/>
          <w:iCs/>
        </w:rPr>
        <w:t>World Psychiatry</w:t>
      </w:r>
      <w:r w:rsidRPr="00817C86">
        <w:t xml:space="preserve">, 14(3), pp. 358-361. Available at: </w:t>
      </w:r>
      <w:hyperlink r:id="rId30" w:history="1">
        <w:r w:rsidRPr="00817C86">
          <w:rPr>
            <w:rStyle w:val="Hyperlink"/>
          </w:rPr>
          <w:t>https://doi.org/10.1002/wps.20266</w:t>
        </w:r>
      </w:hyperlink>
      <w:r w:rsidRPr="00817C86">
        <w:t>.</w:t>
      </w:r>
    </w:p>
    <w:p w14:paraId="3A95A67D" w14:textId="77777777" w:rsidR="00817C86" w:rsidRPr="00817C86" w:rsidRDefault="00817C86" w:rsidP="00817C86">
      <w:r w:rsidRPr="00817C86">
        <w:t xml:space="preserve">Tracy, S.J. (2010) ‘Qualitative quality: eight “big-tent” criteria for excellent qualitative research’, </w:t>
      </w:r>
      <w:r w:rsidRPr="00817C86">
        <w:rPr>
          <w:i/>
          <w:iCs/>
        </w:rPr>
        <w:t>Qualitative Inquiry</w:t>
      </w:r>
      <w:r w:rsidRPr="00817C86">
        <w:t xml:space="preserve">, 16(10), pp. 837-851. Available at: </w:t>
      </w:r>
      <w:hyperlink r:id="rId31" w:history="1">
        <w:r w:rsidRPr="00817C86">
          <w:rPr>
            <w:rStyle w:val="Hyperlink"/>
          </w:rPr>
          <w:t>https://doi.org/10.1177/1077800410383121</w:t>
        </w:r>
      </w:hyperlink>
      <w:r w:rsidRPr="00817C86">
        <w:t>.</w:t>
      </w:r>
    </w:p>
    <w:p w14:paraId="1A20DD2F" w14:textId="77777777" w:rsidR="00817C86" w:rsidRPr="00817C86" w:rsidRDefault="00817C86" w:rsidP="00817C86">
      <w:r w:rsidRPr="00817C86">
        <w:t xml:space="preserve">Young, H. and Melia, Y. (2024) ‘Exploring care leavers’ experiences of the barriers to accessing professional mental health support during adolescence using photo-elicitation and interpretative phenomenological analysis’, </w:t>
      </w:r>
      <w:r w:rsidRPr="00817C86">
        <w:rPr>
          <w:i/>
          <w:iCs/>
        </w:rPr>
        <w:t>Adoption &amp; Fostering</w:t>
      </w:r>
      <w:r w:rsidRPr="00817C86">
        <w:t xml:space="preserve">. Available at: </w:t>
      </w:r>
      <w:hyperlink r:id="rId32" w:history="1">
        <w:r w:rsidRPr="00817C86">
          <w:rPr>
            <w:rStyle w:val="Hyperlink"/>
          </w:rPr>
          <w:t>https://doi.org/10.1177/03085759241292624</w:t>
        </w:r>
      </w:hyperlink>
      <w:r w:rsidRPr="00817C86">
        <w:t>.</w:t>
      </w:r>
    </w:p>
    <w:p w14:paraId="4AC09703" w14:textId="77777777" w:rsidR="00817C86" w:rsidRPr="00817C86" w:rsidRDefault="00817C86" w:rsidP="00817C86"/>
    <w:sectPr w:rsidR="00817C86" w:rsidRPr="00817C86" w:rsidSect="00034616">
      <w:pgSz w:w="12240" w:h="15840"/>
      <w:pgMar w:top="1152" w:right="1296" w:bottom="1008" w:left="129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EE3589"/>
    <w:multiLevelType w:val="hybridMultilevel"/>
    <w:tmpl w:val="F2B815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94552B2"/>
    <w:multiLevelType w:val="hybridMultilevel"/>
    <w:tmpl w:val="37787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2638904">
    <w:abstractNumId w:val="8"/>
  </w:num>
  <w:num w:numId="2" w16cid:durableId="51123551">
    <w:abstractNumId w:val="6"/>
  </w:num>
  <w:num w:numId="3" w16cid:durableId="1203053004">
    <w:abstractNumId w:val="5"/>
  </w:num>
  <w:num w:numId="4" w16cid:durableId="1548683570">
    <w:abstractNumId w:val="4"/>
  </w:num>
  <w:num w:numId="5" w16cid:durableId="1889218812">
    <w:abstractNumId w:val="7"/>
  </w:num>
  <w:num w:numId="6" w16cid:durableId="1261256184">
    <w:abstractNumId w:val="3"/>
  </w:num>
  <w:num w:numId="7" w16cid:durableId="1118987110">
    <w:abstractNumId w:val="2"/>
  </w:num>
  <w:num w:numId="8" w16cid:durableId="1485701130">
    <w:abstractNumId w:val="1"/>
  </w:num>
  <w:num w:numId="9" w16cid:durableId="1810786943">
    <w:abstractNumId w:val="0"/>
  </w:num>
  <w:num w:numId="10" w16cid:durableId="432171471">
    <w:abstractNumId w:val="9"/>
  </w:num>
  <w:num w:numId="11" w16cid:durableId="2741431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14207"/>
    <w:rsid w:val="00817C86"/>
    <w:rsid w:val="009A78CA"/>
    <w:rsid w:val="00A00531"/>
    <w:rsid w:val="00AA1D8D"/>
    <w:rsid w:val="00B00FEC"/>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D98885"/>
  <w14:defaultImageDpi w14:val="300"/>
  <w15:docId w15:val="{EF226CFF-A32F-44CF-93B0-0056C889A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C86"/>
    <w:pPr>
      <w:spacing w:after="120" w:line="360" w:lineRule="auto"/>
      <w:jc w:val="both"/>
    </w:pPr>
    <w:rPr>
      <w:rFonts w:ascii="Calibri" w:hAnsi="Calibri"/>
      <w:sz w:val="24"/>
    </w:rPr>
  </w:style>
  <w:style w:type="paragraph" w:styleId="Heading1">
    <w:name w:val="heading 1"/>
    <w:basedOn w:val="Normal"/>
    <w:next w:val="Normal"/>
    <w:link w:val="Heading1Char"/>
    <w:uiPriority w:val="9"/>
    <w:qFormat/>
    <w:rsid w:val="00FC693F"/>
    <w:pPr>
      <w:keepNext/>
      <w:keepLines/>
      <w:spacing w:before="200" w:after="80"/>
      <w:outlineLvl w:val="0"/>
    </w:pPr>
    <w:rPr>
      <w:rFonts w:asciiTheme="majorHAnsi" w:eastAsiaTheme="majorEastAsia" w:hAnsiTheme="majorHAnsi" w:cstheme="majorBidi"/>
      <w:b/>
      <w:bCs/>
      <w:color w:val="1C3F5F"/>
      <w:sz w:val="26"/>
      <w:szCs w:val="28"/>
    </w:rPr>
  </w:style>
  <w:style w:type="paragraph" w:styleId="Heading2">
    <w:name w:val="heading 2"/>
    <w:basedOn w:val="Normal"/>
    <w:next w:val="Normal"/>
    <w:link w:val="Heading2Char"/>
    <w:uiPriority w:val="9"/>
    <w:unhideWhenUsed/>
    <w:qFormat/>
    <w:rsid w:val="00FC693F"/>
    <w:pPr>
      <w:keepNext/>
      <w:keepLines/>
      <w:spacing w:before="160" w:after="60"/>
      <w:outlineLvl w:val="1"/>
    </w:pPr>
    <w:rPr>
      <w:rFonts w:asciiTheme="majorHAnsi" w:eastAsiaTheme="majorEastAsia" w:hAnsiTheme="majorHAnsi" w:cstheme="majorBidi"/>
      <w:b/>
      <w:bCs/>
      <w:color w:val="2D2D2D"/>
      <w:sz w:val="2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160" w:line="240" w:lineRule="auto"/>
      <w:contextualSpacing/>
    </w:pPr>
    <w:rPr>
      <w:rFonts w:asciiTheme="majorHAnsi" w:eastAsiaTheme="majorEastAsia" w:hAnsiTheme="majorHAnsi" w:cstheme="majorBidi"/>
      <w:b/>
      <w:color w:val="1C3F5F"/>
      <w:spacing w:val="5"/>
      <w:kern w:val="28"/>
      <w:sz w:val="3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5A5A5A"/>
      <w:spacing w:val="15"/>
      <w:sz w:val="22"/>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17C86"/>
    <w:rPr>
      <w:color w:val="0000FF" w:themeColor="hyperlink"/>
      <w:u w:val="single"/>
    </w:rPr>
  </w:style>
  <w:style w:type="character" w:styleId="UnresolvedMention">
    <w:name w:val="Unresolved Mention"/>
    <w:basedOn w:val="DefaultParagraphFont"/>
    <w:uiPriority w:val="99"/>
    <w:semiHidden/>
    <w:unhideWhenUsed/>
    <w:rsid w:val="00817C86"/>
    <w:rPr>
      <w:color w:val="605E5C"/>
      <w:shd w:val="clear" w:color="auto" w:fill="E1DFDD"/>
    </w:rPr>
  </w:style>
  <w:style w:type="paragraph" w:styleId="TOC1">
    <w:name w:val="toc 1"/>
    <w:basedOn w:val="Normal"/>
    <w:next w:val="Normal"/>
    <w:autoRedefine/>
    <w:uiPriority w:val="39"/>
    <w:unhideWhenUsed/>
    <w:rsid w:val="00B00FE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1471-244X-10-113" TargetMode="External"/><Relationship Id="rId18" Type="http://schemas.openxmlformats.org/officeDocument/2006/relationships/hyperlink" Target="https://doi.org/10.3399/bjgp17X688453" TargetMode="External"/><Relationship Id="rId26" Type="http://schemas.openxmlformats.org/officeDocument/2006/relationships/hyperlink" Target="https://doi.org/10.5172/jamh.4.3.218" TargetMode="External"/><Relationship Id="rId3" Type="http://schemas.openxmlformats.org/officeDocument/2006/relationships/styles" Target="styles.xml"/><Relationship Id="rId21" Type="http://schemas.openxmlformats.org/officeDocument/2006/relationships/hyperlink" Target="https://digital.nhs.uk/data-and-information/publications/statistical/mental-health-bulletin/2024-25-annual-report" TargetMode="External"/><Relationship Id="rId34" Type="http://schemas.openxmlformats.org/officeDocument/2006/relationships/theme" Target="theme/theme1.xml"/><Relationship Id="rId7" Type="http://schemas.openxmlformats.org/officeDocument/2006/relationships/hyperlink" Target="https://doi.org/10.1191/1478088706qp063oa" TargetMode="External"/><Relationship Id="rId12" Type="http://schemas.openxmlformats.org/officeDocument/2006/relationships/hyperlink" Target="https://doi.org/10.1108/IntR-03-2018-0089" TargetMode="External"/><Relationship Id="rId17" Type="http://schemas.openxmlformats.org/officeDocument/2006/relationships/hyperlink" Target="https://doi.org/10.1093/bjsw/bcaf278" TargetMode="External"/><Relationship Id="rId25" Type="http://schemas.openxmlformats.org/officeDocument/2006/relationships/hyperlink" Target="https://doi.org/10.3390/youth401000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12913-023-10030-8" TargetMode="External"/><Relationship Id="rId20" Type="http://schemas.openxmlformats.org/officeDocument/2006/relationships/hyperlink" Target="https://digital.nhs.uk/data-and-information/publications/statistical/adult-psychiatric-morbidity-survey/survey-of-mental-health-and-wellbeing-england-2023-24/common-mental-health-conditions" TargetMode="External"/><Relationship Id="rId29" Type="http://schemas.openxmlformats.org/officeDocument/2006/relationships/hyperlink" Target="https://doi.org/10.3399/bjgp16X687313" TargetMode="External"/><Relationship Id="rId1" Type="http://schemas.openxmlformats.org/officeDocument/2006/relationships/customXml" Target="../customXml/item1.xml"/><Relationship Id="rId6" Type="http://schemas.openxmlformats.org/officeDocument/2006/relationships/hyperlink" Target="https://doi.org/10.1007/s00787-020-01526-3" TargetMode="External"/><Relationship Id="rId11" Type="http://schemas.openxmlformats.org/officeDocument/2006/relationships/hyperlink" Target="https://www.gov.uk/government/publications/community-mental-health-services-governments-response-to-the-health-and-social-care-committees-report/government-response-to-the-health-and-social-care-committees-fourth-report-of-session-2024-to-2026-community-mental-health-services" TargetMode="External"/><Relationship Id="rId24" Type="http://schemas.openxmlformats.org/officeDocument/2006/relationships/hyperlink" Target="https://doi.org/10.1371/journal.pone.0265542" TargetMode="External"/><Relationship Id="rId32" Type="http://schemas.openxmlformats.org/officeDocument/2006/relationships/hyperlink" Target="https://doi.org/10.1177/03085759241292624" TargetMode="External"/><Relationship Id="rId5" Type="http://schemas.openxmlformats.org/officeDocument/2006/relationships/webSettings" Target="webSettings.xml"/><Relationship Id="rId15" Type="http://schemas.openxmlformats.org/officeDocument/2006/relationships/hyperlink" Target="https://doi.org/10.1186/1475-9276-12-18" TargetMode="External"/><Relationship Id="rId23" Type="http://schemas.openxmlformats.org/officeDocument/2006/relationships/hyperlink" Target="https://doi.org/10.1177/1609406917733847" TargetMode="External"/><Relationship Id="rId28" Type="http://schemas.openxmlformats.org/officeDocument/2006/relationships/hyperlink" Target="https://doi.org/10.1111/inm.13439" TargetMode="External"/><Relationship Id="rId10" Type="http://schemas.openxmlformats.org/officeDocument/2006/relationships/hyperlink" Target="https://doi.org/10.1017/S0033291714000129" TargetMode="External"/><Relationship Id="rId19" Type="http://schemas.openxmlformats.org/officeDocument/2006/relationships/hyperlink" Target="https://doi.org/10.1108/HCS-04-2022-0017" TargetMode="External"/><Relationship Id="rId31" Type="http://schemas.openxmlformats.org/officeDocument/2006/relationships/hyperlink" Target="https://doi.org/10.1177/1077800410383121" TargetMode="External"/><Relationship Id="rId4" Type="http://schemas.openxmlformats.org/officeDocument/2006/relationships/settings" Target="settings.xml"/><Relationship Id="rId9" Type="http://schemas.openxmlformats.org/officeDocument/2006/relationships/hyperlink" Target="https://www.gov.uk/government/publications/monitoring-the-mental-health-act-in-2024-to-2025" TargetMode="External"/><Relationship Id="rId14" Type="http://schemas.openxmlformats.org/officeDocument/2006/relationships/hyperlink" Target="https://doi.org/10.1016/S0140-6736(18)31431-4" TargetMode="External"/><Relationship Id="rId22" Type="http://schemas.openxmlformats.org/officeDocument/2006/relationships/hyperlink" Target="https://www.england.nhs.uk/long-read/community-mental-health-survey-2024-national-qualitative-report/" TargetMode="External"/><Relationship Id="rId27" Type="http://schemas.openxmlformats.org/officeDocument/2006/relationships/hyperlink" Target="https://doi.org/10.2147/PRBM.S38707" TargetMode="External"/><Relationship Id="rId30" Type="http://schemas.openxmlformats.org/officeDocument/2006/relationships/hyperlink" Target="https://doi.org/10.1002/wps.20266" TargetMode="External"/><Relationship Id="rId8" Type="http://schemas.openxmlformats.org/officeDocument/2006/relationships/hyperlink" Target="https://doi.org/10.1016/j.childyouth.2022.1064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4717</Words>
  <Characters>26887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31541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USER</cp:lastModifiedBy>
  <cp:revision>4</cp:revision>
  <dcterms:created xsi:type="dcterms:W3CDTF">2013-12-23T23:15:00Z</dcterms:created>
  <dcterms:modified xsi:type="dcterms:W3CDTF">2026-03-18T13:55:00Z</dcterms:modified>
  <cp:category/>
</cp:coreProperties>
</file>