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F8A89" w14:textId="77777777" w:rsidR="00532F6A" w:rsidRDefault="00532F6A">
      <w:pPr>
        <w:spacing w:line="360" w:lineRule="auto"/>
        <w:jc w:val="center"/>
        <w:rPr>
          <w:rFonts w:ascii="Times New Roman" w:eastAsia="Times New Roman" w:hAnsi="Times New Roman" w:cs="Times New Roman"/>
          <w:b/>
          <w:sz w:val="28"/>
          <w:szCs w:val="28"/>
        </w:rPr>
      </w:pPr>
    </w:p>
    <w:p w14:paraId="100270E1" w14:textId="77777777" w:rsidR="00532F6A" w:rsidRDefault="00532F6A">
      <w:pPr>
        <w:spacing w:line="360" w:lineRule="auto"/>
        <w:jc w:val="center"/>
        <w:rPr>
          <w:rFonts w:ascii="Times New Roman" w:eastAsia="Times New Roman" w:hAnsi="Times New Roman" w:cs="Times New Roman"/>
          <w:b/>
          <w:sz w:val="28"/>
          <w:szCs w:val="28"/>
        </w:rPr>
      </w:pPr>
    </w:p>
    <w:p w14:paraId="48B129AD" w14:textId="77777777" w:rsidR="00532F6A" w:rsidRDefault="00532F6A">
      <w:pPr>
        <w:spacing w:line="360" w:lineRule="auto"/>
        <w:jc w:val="center"/>
        <w:rPr>
          <w:rFonts w:ascii="Times New Roman" w:eastAsia="Times New Roman" w:hAnsi="Times New Roman" w:cs="Times New Roman"/>
          <w:b/>
          <w:sz w:val="28"/>
          <w:szCs w:val="28"/>
        </w:rPr>
      </w:pPr>
    </w:p>
    <w:p w14:paraId="4F98A5B1" w14:textId="77777777" w:rsidR="00532F6A" w:rsidRDefault="00532F6A">
      <w:pPr>
        <w:spacing w:line="360" w:lineRule="auto"/>
        <w:jc w:val="center"/>
        <w:rPr>
          <w:rFonts w:ascii="Times New Roman" w:eastAsia="Times New Roman" w:hAnsi="Times New Roman" w:cs="Times New Roman"/>
          <w:b/>
          <w:sz w:val="28"/>
          <w:szCs w:val="28"/>
        </w:rPr>
      </w:pPr>
    </w:p>
    <w:p w14:paraId="2E195AF5" w14:textId="77777777" w:rsidR="00532F6A" w:rsidRDefault="00532F6A">
      <w:pPr>
        <w:spacing w:line="360" w:lineRule="auto"/>
        <w:jc w:val="center"/>
        <w:rPr>
          <w:rFonts w:ascii="Times New Roman" w:eastAsia="Times New Roman" w:hAnsi="Times New Roman" w:cs="Times New Roman"/>
          <w:b/>
          <w:sz w:val="28"/>
          <w:szCs w:val="28"/>
        </w:rPr>
      </w:pPr>
    </w:p>
    <w:p w14:paraId="1DC332D0" w14:textId="77777777" w:rsidR="00532F6A" w:rsidRDefault="00532F6A">
      <w:pPr>
        <w:spacing w:line="360" w:lineRule="auto"/>
        <w:jc w:val="center"/>
        <w:rPr>
          <w:rFonts w:ascii="Times New Roman" w:eastAsia="Times New Roman" w:hAnsi="Times New Roman" w:cs="Times New Roman"/>
          <w:b/>
          <w:sz w:val="28"/>
          <w:szCs w:val="28"/>
        </w:rPr>
      </w:pPr>
    </w:p>
    <w:p w14:paraId="648105D0" w14:textId="77777777" w:rsidR="00532F6A" w:rsidRDefault="00532F6A">
      <w:pPr>
        <w:spacing w:line="360" w:lineRule="auto"/>
        <w:jc w:val="center"/>
        <w:rPr>
          <w:rFonts w:ascii="Times New Roman" w:eastAsia="Times New Roman" w:hAnsi="Times New Roman" w:cs="Times New Roman"/>
          <w:b/>
          <w:sz w:val="28"/>
          <w:szCs w:val="28"/>
        </w:rPr>
      </w:pPr>
    </w:p>
    <w:p w14:paraId="44C8FBDE" w14:textId="77777777" w:rsidR="00532F6A" w:rsidRDefault="00532F6A">
      <w:pPr>
        <w:spacing w:line="360" w:lineRule="auto"/>
        <w:rPr>
          <w:rFonts w:ascii="Times New Roman" w:eastAsia="Times New Roman" w:hAnsi="Times New Roman" w:cs="Times New Roman"/>
          <w:b/>
          <w:sz w:val="28"/>
          <w:szCs w:val="28"/>
        </w:rPr>
      </w:pPr>
    </w:p>
    <w:p w14:paraId="6D733E6D" w14:textId="77777777" w:rsidR="00532F6A" w:rsidRDefault="00532F6A">
      <w:pPr>
        <w:spacing w:line="360" w:lineRule="auto"/>
        <w:jc w:val="center"/>
        <w:rPr>
          <w:rFonts w:ascii="Times New Roman" w:eastAsia="Times New Roman" w:hAnsi="Times New Roman" w:cs="Times New Roman"/>
          <w:b/>
          <w:sz w:val="28"/>
          <w:szCs w:val="28"/>
        </w:rPr>
      </w:pPr>
    </w:p>
    <w:p w14:paraId="792EC013" w14:textId="77777777" w:rsidR="00532F6A"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36"/>
          <w:szCs w:val="28"/>
        </w:rPr>
        <w:t>GLOBAL BUSINESS ENVIRONMENT</w:t>
      </w:r>
    </w:p>
    <w:p w14:paraId="118B8913" w14:textId="77777777" w:rsidR="00532F6A" w:rsidRDefault="00532F6A">
      <w:pPr>
        <w:spacing w:line="360" w:lineRule="auto"/>
        <w:jc w:val="center"/>
        <w:rPr>
          <w:rFonts w:ascii="Times New Roman" w:eastAsia="Times New Roman" w:hAnsi="Times New Roman" w:cs="Times New Roman"/>
          <w:b/>
          <w:sz w:val="28"/>
          <w:szCs w:val="28"/>
        </w:rPr>
      </w:pPr>
    </w:p>
    <w:p w14:paraId="31164E3B" w14:textId="77777777" w:rsidR="00532F6A" w:rsidRDefault="00532F6A">
      <w:pPr>
        <w:spacing w:line="360" w:lineRule="auto"/>
        <w:jc w:val="center"/>
        <w:rPr>
          <w:rFonts w:ascii="Times New Roman" w:eastAsia="Times New Roman" w:hAnsi="Times New Roman" w:cs="Times New Roman"/>
          <w:b/>
          <w:sz w:val="28"/>
          <w:szCs w:val="28"/>
        </w:rPr>
      </w:pPr>
    </w:p>
    <w:p w14:paraId="3FC40D58" w14:textId="46C8AB1B" w:rsidR="00532F6A"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Number:</w:t>
      </w:r>
      <w:r w:rsidR="00B11D34">
        <w:rPr>
          <w:rFonts w:ascii="Times New Roman" w:eastAsia="Times New Roman" w:hAnsi="Times New Roman" w:cs="Times New Roman"/>
          <w:b/>
          <w:sz w:val="28"/>
          <w:szCs w:val="28"/>
        </w:rPr>
        <w:t xml:space="preserve"> 2310013</w:t>
      </w:r>
    </w:p>
    <w:p w14:paraId="5F40AFA0" w14:textId="77777777" w:rsidR="00532F6A" w:rsidRDefault="00532F6A">
      <w:pPr>
        <w:spacing w:line="360" w:lineRule="auto"/>
        <w:jc w:val="center"/>
        <w:rPr>
          <w:rFonts w:ascii="Times New Roman" w:eastAsia="Times New Roman" w:hAnsi="Times New Roman" w:cs="Times New Roman"/>
          <w:b/>
          <w:sz w:val="28"/>
          <w:szCs w:val="28"/>
        </w:rPr>
      </w:pPr>
    </w:p>
    <w:p w14:paraId="4F9E71FA" w14:textId="2AF582B1" w:rsidR="00532F6A"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w:t>
      </w:r>
      <w:r w:rsidR="00B11D34">
        <w:rPr>
          <w:rFonts w:ascii="Times New Roman" w:eastAsia="Times New Roman" w:hAnsi="Times New Roman" w:cs="Times New Roman"/>
          <w:b/>
          <w:sz w:val="28"/>
          <w:szCs w:val="28"/>
        </w:rPr>
        <w:t>: Mihaela Hermeneanu</w:t>
      </w:r>
    </w:p>
    <w:p w14:paraId="0C877065" w14:textId="77777777" w:rsidR="00532F6A" w:rsidRDefault="00532F6A">
      <w:pPr>
        <w:spacing w:line="360" w:lineRule="auto"/>
        <w:jc w:val="center"/>
        <w:rPr>
          <w:rFonts w:ascii="Times New Roman" w:eastAsia="Times New Roman" w:hAnsi="Times New Roman" w:cs="Times New Roman"/>
          <w:b/>
          <w:sz w:val="28"/>
          <w:szCs w:val="28"/>
        </w:rPr>
      </w:pPr>
    </w:p>
    <w:p w14:paraId="42EF8DBC" w14:textId="44064D1E" w:rsidR="00532F6A"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Degree of Study: </w:t>
      </w:r>
      <w:r w:rsidR="00B11D34">
        <w:rPr>
          <w:b/>
        </w:rPr>
        <w:t>BA (Hons) Business Management</w:t>
      </w:r>
    </w:p>
    <w:p w14:paraId="7B1D443A" w14:textId="77777777" w:rsidR="00532F6A" w:rsidRDefault="00000000">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sdt>
      <w:sdtPr>
        <w:rPr>
          <w:rFonts w:ascii="Times New Roman" w:eastAsia="Arial" w:hAnsi="Times New Roman" w:cs="Times New Roman"/>
          <w:color w:val="auto"/>
          <w:sz w:val="24"/>
          <w:szCs w:val="24"/>
          <w:lang w:val="en" w:eastAsia="en-IN"/>
        </w:rPr>
        <w:id w:val="476959272"/>
        <w:docPartObj>
          <w:docPartGallery w:val="Table of Contents"/>
          <w:docPartUnique/>
        </w:docPartObj>
      </w:sdtPr>
      <w:sdtEndPr>
        <w:rPr>
          <w:b/>
          <w:bCs/>
        </w:rPr>
      </w:sdtEndPr>
      <w:sdtContent>
        <w:p w14:paraId="2CCF6A98" w14:textId="77777777" w:rsidR="00532F6A" w:rsidRDefault="00000000">
          <w:pPr>
            <w:pStyle w:val="TOCHeading1"/>
            <w:spacing w:line="360" w:lineRule="auto"/>
            <w:jc w:val="center"/>
            <w:rPr>
              <w:rFonts w:ascii="Times New Roman" w:hAnsi="Times New Roman" w:cs="Times New Roman"/>
              <w:color w:val="auto"/>
              <w:sz w:val="24"/>
              <w:szCs w:val="24"/>
            </w:rPr>
          </w:pPr>
          <w:r>
            <w:rPr>
              <w:rFonts w:ascii="Times New Roman" w:hAnsi="Times New Roman" w:cs="Times New Roman"/>
              <w:b/>
              <w:color w:val="auto"/>
              <w:sz w:val="24"/>
              <w:szCs w:val="24"/>
            </w:rPr>
            <w:t>Table of Contents</w:t>
          </w:r>
        </w:p>
        <w:p w14:paraId="2C391712" w14:textId="77777777" w:rsidR="00532F6A" w:rsidRDefault="00000000">
          <w:pPr>
            <w:pStyle w:val="TOC1"/>
            <w:tabs>
              <w:tab w:val="left" w:pos="440"/>
              <w:tab w:val="right" w:leader="dot" w:pos="9350"/>
            </w:tabs>
            <w:spacing w:line="360" w:lineRule="auto"/>
            <w:jc w:val="center"/>
            <w:rPr>
              <w:rFonts w:ascii="Times New Roman" w:eastAsiaTheme="minorEastAsia" w:hAnsi="Times New Roman" w:cs="Times New Roman"/>
              <w:sz w:val="24"/>
              <w:szCs w:val="24"/>
              <w:lang w:val="en-I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68929149" w:history="1">
            <w:r>
              <w:rPr>
                <w:rStyle w:val="Hyperlink"/>
                <w:rFonts w:ascii="Times New Roman" w:hAnsi="Times New Roman" w:cs="Times New Roman"/>
                <w:color w:val="auto"/>
                <w:sz w:val="24"/>
                <w:szCs w:val="24"/>
              </w:rPr>
              <w:t>1.</w:t>
            </w:r>
            <w:r>
              <w:rPr>
                <w:rFonts w:ascii="Times New Roman" w:eastAsiaTheme="minorEastAsia" w:hAnsi="Times New Roman" w:cs="Times New Roman"/>
                <w:sz w:val="24"/>
                <w:szCs w:val="24"/>
                <w:lang w:val="en-IN"/>
              </w:rPr>
              <w:tab/>
            </w:r>
            <w:r>
              <w:rPr>
                <w:rStyle w:val="Hyperlink"/>
                <w:rFonts w:ascii="Times New Roman" w:hAnsi="Times New Roman" w:cs="Times New Roman"/>
                <w:color w:val="auto"/>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_Toc168929149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2536DCD1" w14:textId="77777777" w:rsidR="00532F6A" w:rsidRDefault="00000000">
          <w:pPr>
            <w:pStyle w:val="TOC1"/>
            <w:tabs>
              <w:tab w:val="left" w:pos="440"/>
              <w:tab w:val="right" w:leader="dot" w:pos="9350"/>
            </w:tabs>
            <w:spacing w:line="360" w:lineRule="auto"/>
            <w:jc w:val="center"/>
            <w:rPr>
              <w:rFonts w:ascii="Times New Roman" w:eastAsiaTheme="minorEastAsia" w:hAnsi="Times New Roman" w:cs="Times New Roman"/>
              <w:sz w:val="24"/>
              <w:szCs w:val="24"/>
              <w:lang w:val="en-IN"/>
            </w:rPr>
          </w:pPr>
          <w:hyperlink w:anchor="_Toc168929150" w:history="1">
            <w:r>
              <w:rPr>
                <w:rStyle w:val="Hyperlink"/>
                <w:rFonts w:ascii="Times New Roman" w:hAnsi="Times New Roman" w:cs="Times New Roman"/>
                <w:color w:val="auto"/>
                <w:sz w:val="24"/>
                <w:szCs w:val="24"/>
              </w:rPr>
              <w:t>2.</w:t>
            </w:r>
            <w:r>
              <w:rPr>
                <w:rFonts w:ascii="Times New Roman" w:eastAsiaTheme="minorEastAsia" w:hAnsi="Times New Roman" w:cs="Times New Roman"/>
                <w:sz w:val="24"/>
                <w:szCs w:val="24"/>
                <w:lang w:val="en-IN"/>
              </w:rPr>
              <w:tab/>
            </w:r>
            <w:r>
              <w:rPr>
                <w:rStyle w:val="Hyperlink"/>
                <w:rFonts w:ascii="Times New Roman" w:hAnsi="Times New Roman" w:cs="Times New Roman"/>
                <w:color w:val="auto"/>
                <w:sz w:val="24"/>
                <w:szCs w:val="24"/>
              </w:rPr>
              <w:t>Detail Explanation of Each PESTLE Variable with an Example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_Toc168929150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44C1F825" w14:textId="77777777" w:rsidR="00532F6A" w:rsidRDefault="00000000">
          <w:pPr>
            <w:pStyle w:val="TOC1"/>
            <w:tabs>
              <w:tab w:val="left" w:pos="440"/>
              <w:tab w:val="right" w:leader="dot" w:pos="9350"/>
            </w:tabs>
            <w:spacing w:line="360" w:lineRule="auto"/>
            <w:jc w:val="center"/>
            <w:rPr>
              <w:rFonts w:ascii="Times New Roman" w:eastAsiaTheme="minorEastAsia" w:hAnsi="Times New Roman" w:cs="Times New Roman"/>
              <w:sz w:val="24"/>
              <w:szCs w:val="24"/>
              <w:lang w:val="en-IN"/>
            </w:rPr>
          </w:pPr>
          <w:hyperlink w:anchor="_Toc168929151" w:history="1">
            <w:r>
              <w:rPr>
                <w:rStyle w:val="Hyperlink"/>
                <w:rFonts w:ascii="Times New Roman" w:hAnsi="Times New Roman" w:cs="Times New Roman"/>
                <w:color w:val="auto"/>
                <w:sz w:val="24"/>
                <w:szCs w:val="24"/>
              </w:rPr>
              <w:t>3.</w:t>
            </w:r>
            <w:r>
              <w:rPr>
                <w:rFonts w:ascii="Times New Roman" w:eastAsiaTheme="minorEastAsia" w:hAnsi="Times New Roman" w:cs="Times New Roman"/>
                <w:sz w:val="24"/>
                <w:szCs w:val="24"/>
                <w:lang w:val="en-IN"/>
              </w:rPr>
              <w:tab/>
            </w:r>
            <w:r>
              <w:rPr>
                <w:rStyle w:val="Hyperlink"/>
                <w:rFonts w:ascii="Times New Roman" w:hAnsi="Times New Roman" w:cs="Times New Roman"/>
                <w:color w:val="auto"/>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_Toc168929151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14:paraId="60598273" w14:textId="77777777" w:rsidR="00532F6A" w:rsidRDefault="00000000">
          <w:pPr>
            <w:pStyle w:val="TOC1"/>
            <w:tabs>
              <w:tab w:val="right" w:leader="dot" w:pos="9350"/>
            </w:tabs>
            <w:spacing w:line="360" w:lineRule="auto"/>
            <w:jc w:val="center"/>
            <w:rPr>
              <w:rFonts w:ascii="Times New Roman" w:eastAsiaTheme="minorEastAsia" w:hAnsi="Times New Roman" w:cs="Times New Roman"/>
              <w:sz w:val="24"/>
              <w:szCs w:val="24"/>
              <w:lang w:val="en-IN"/>
            </w:rPr>
          </w:pPr>
          <w:hyperlink w:anchor="_Toc168929152" w:history="1">
            <w:r>
              <w:rPr>
                <w:rStyle w:val="Hyperlink"/>
                <w:rFonts w:ascii="Times New Roman" w:hAnsi="Times New Roman" w:cs="Times New Roman"/>
                <w:color w:val="auto"/>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_Toc168929152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hyperlink>
        </w:p>
        <w:p w14:paraId="64EE5BE7" w14:textId="77777777" w:rsidR="00532F6A" w:rsidRDefault="00000000">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fldChar w:fldCharType="end"/>
          </w:r>
        </w:p>
      </w:sdtContent>
    </w:sdt>
    <w:p w14:paraId="27489CDD" w14:textId="77777777" w:rsidR="00532F6A" w:rsidRDefault="00000000">
      <w:pPr>
        <w:spacing w:line="360" w:lineRule="auto"/>
        <w:jc w:val="center"/>
        <w:rPr>
          <w:rFonts w:ascii="Times New Roman" w:eastAsia="Times New Roman" w:hAnsi="Times New Roman" w:cs="Times New Roman"/>
          <w:b/>
          <w:sz w:val="28"/>
          <w:szCs w:val="28"/>
        </w:rPr>
      </w:pPr>
      <w:r>
        <w:br w:type="page"/>
      </w:r>
    </w:p>
    <w:p w14:paraId="27B68C00" w14:textId="77777777" w:rsidR="00532F6A" w:rsidRDefault="00000000">
      <w:pPr>
        <w:pStyle w:val="Heading1"/>
        <w:numPr>
          <w:ilvl w:val="0"/>
          <w:numId w:val="1"/>
        </w:numPr>
        <w:spacing w:line="360" w:lineRule="auto"/>
        <w:ind w:left="426"/>
      </w:pPr>
      <w:bookmarkStart w:id="0" w:name="_8r1elp8lnv8q" w:colFirst="0" w:colLast="0"/>
      <w:bookmarkStart w:id="1" w:name="_Toc168929149"/>
      <w:bookmarkEnd w:id="0"/>
      <w:r>
        <w:lastRenderedPageBreak/>
        <w:t>Introduction</w:t>
      </w:r>
      <w:bookmarkEnd w:id="1"/>
    </w:p>
    <w:p w14:paraId="21259AF1"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essay discussion is based on PESTLE analysis, a macro environment analysis tool which is mainly used to gather an idea about how the external factors of a country can affect a business operation (Cooper and Nguyen, 2020). Additionally, the factors under this analysis tool include political, economic, social, technological, legal, and environmental factors</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In preparing any business tactics or marketing plan, a fundamental need for situation analysis is required. Looking at its benefits, any possible external business environment change tracking is easier for the organization. The current essay aims to detail the Pestle analysis factors determination to understand its priority for the business benefits. Additionally, real organization is used as an example to make it well connected, facilitating depth of understanding. </w:t>
      </w:r>
    </w:p>
    <w:p w14:paraId="3AB5D935" w14:textId="77777777" w:rsidR="00532F6A" w:rsidRDefault="00000000">
      <w:pPr>
        <w:pStyle w:val="Heading1"/>
        <w:numPr>
          <w:ilvl w:val="0"/>
          <w:numId w:val="1"/>
        </w:numPr>
        <w:spacing w:line="360" w:lineRule="auto"/>
      </w:pPr>
      <w:bookmarkStart w:id="2" w:name="_6sp4j247dco2" w:colFirst="0" w:colLast="0"/>
      <w:bookmarkStart w:id="3" w:name="_Toc168929150"/>
      <w:bookmarkEnd w:id="2"/>
      <w:r>
        <w:t>Detail Explanation of Each PESTLE Variable with an Example</w:t>
      </w:r>
      <w:bookmarkEnd w:id="3"/>
      <w:r>
        <w:t xml:space="preserve"> </w:t>
      </w:r>
    </w:p>
    <w:p w14:paraId="6D5A8EEF" w14:textId="77777777" w:rsidR="00532F6A" w:rsidRDefault="00000000">
      <w:pPr>
        <w:spacing w:line="360" w:lineRule="auto"/>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Political</w:t>
      </w:r>
      <w:r>
        <w:rPr>
          <w:rFonts w:ascii="Times New Roman" w:eastAsia="Times New Roman" w:hAnsi="Times New Roman" w:cs="Times New Roman"/>
          <w:i/>
          <w:sz w:val="24"/>
          <w:szCs w:val="24"/>
        </w:rPr>
        <w:t xml:space="preserve"> </w:t>
      </w:r>
    </w:p>
    <w:p w14:paraId="462A4802"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variable of the Pestle analysis is political, which includes trade barriers, political stability, and tax policies with different potential business impacts. As per Azmeh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trade barriers are the government regulations that ensure business protection in international competition. However, strict trade barriers limited business services, especially during globalization. It can be considered a negative influence when trade policy and taxes become stiff &amp; complex. According to Cooper and Nguyen (2020), tax policy affects favorable business investment and flexibility of business operations. A business can face barriers to gaining wider investor reach due to this high taxation, which can impact the income level of the business. For example, if looking at the political factors of the UK context, there are no significant trade barriers or transfer restrictions that Static System Group can lead throughout the country (Findlay</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 As they are in a smart care delivery company, these political benefits help them lead in efficiency in business. On the other hand, </w:t>
      </w:r>
      <w:proofErr w:type="gramStart"/>
      <w:r>
        <w:rPr>
          <w:rFonts w:ascii="Times New Roman" w:eastAsia="Times New Roman" w:hAnsi="Times New Roman" w:cs="Times New Roman"/>
          <w:sz w:val="24"/>
          <w:szCs w:val="24"/>
        </w:rPr>
        <w:t>As</w:t>
      </w:r>
      <w:proofErr w:type="gramEnd"/>
      <w:r>
        <w:rPr>
          <w:rFonts w:ascii="Times New Roman" w:eastAsia="Times New Roman" w:hAnsi="Times New Roman" w:cs="Times New Roman"/>
          <w:sz w:val="24"/>
          <w:szCs w:val="24"/>
        </w:rPr>
        <w:t xml:space="preserve"> per Chang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tax policies noticed that healthcare organizations are free and are paid by general taxation. In evidence, 18% of citizens' income is provided to healthcare, which provides the flexibility for Static System Group to lead in the UK market (Chang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w:t>
      </w:r>
    </w:p>
    <w:p w14:paraId="5F193ED4" w14:textId="77777777" w:rsidR="00532F6A"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Economical</w:t>
      </w:r>
    </w:p>
    <w:p w14:paraId="668C3D81"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Economic aspects, such as country growth, accelerated or depleted GDP, and even changing inflation, are all considered. As per </w:t>
      </w:r>
      <w:proofErr w:type="spellStart"/>
      <w:r>
        <w:rPr>
          <w:rFonts w:ascii="Times New Roman" w:eastAsia="Times New Roman" w:hAnsi="Times New Roman" w:cs="Times New Roman"/>
          <w:sz w:val="24"/>
          <w:szCs w:val="24"/>
        </w:rPr>
        <w:t>Yakubi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the standard of GDP is deemed essential to business as its lowering value directly impacts a business's average income. It is also linked to </w:t>
      </w:r>
      <w:r>
        <w:rPr>
          <w:rFonts w:ascii="Times New Roman" w:eastAsia="Times New Roman" w:hAnsi="Times New Roman" w:cs="Times New Roman"/>
          <w:sz w:val="24"/>
          <w:szCs w:val="24"/>
        </w:rPr>
        <w:lastRenderedPageBreak/>
        <w:t>lower consumer demand, which hurts the country's industry. The chances of depleted sales and income return may shrink the scope of the business expansion. On the other hand, Ditch and Stern (2023), higher inflation always facilitates the burden of raising expenses, even if it is linked with wage elevation. The influencing impact of this economic variable puts pressure on business operations in this environment. For example, the inflation rate of the UK is explored to show the correlation with Static System Group.</w:t>
      </w:r>
    </w:p>
    <w:p w14:paraId="2D206CAF"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2024 and 2023 data on UK inflation showed that lower inflation was noticed. As of December 2023, the identified inflation was observed at 5.2%, dropping to 2.3% in 2024 (Ons.gov.uk, 2024). As a benefit of this slower price increase, Static System Group has opportunities for better service. People of the UK lead with better affordability, directly influencing them to engage in better health care delivery. Though it enhances the reach out for better customer engagement in the business, the GDP fall is noticed in the UK, which needs to be explained. As per the 2023 quarter, the 4th GDP fall was seen at 0.3%, resulting in a rise in economic recession (Ons.gov.uk, 2024). This negatively affects Static System Group as investments become vulnerable, which declines sales and profitability and indicates business uncertainty from an economic aspect (Investopedia, 2023).</w:t>
      </w:r>
    </w:p>
    <w:p w14:paraId="4FF641DA" w14:textId="77777777" w:rsidR="00532F6A"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Social</w:t>
      </w:r>
    </w:p>
    <w:p w14:paraId="35491E97"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aspect of Pestle analysis, different variables include customer lifestyle, consumer belief, and demographic considerations. The tangible nature of social factors shapes our industry expansion when people become health conscious and aware of lifestyle (</w:t>
      </w:r>
      <w:r>
        <w:rPr>
          <w:rFonts w:ascii="Times New Roman" w:hAnsi="Times New Roman" w:cs="Times New Roman"/>
          <w:color w:val="222222"/>
          <w:sz w:val="24"/>
          <w:szCs w:val="24"/>
          <w:highlight w:val="white"/>
        </w:rPr>
        <w:t>Vivancos</w:t>
      </w:r>
      <w:r>
        <w:rPr>
          <w:rFonts w:ascii="Times New Roman" w:hAnsi="Times New Roman" w:cs="Times New Roman"/>
          <w:color w:val="222222"/>
          <w:sz w:val="24"/>
          <w:szCs w:val="24"/>
        </w:rPr>
        <w:t xml:space="preserve"> </w:t>
      </w:r>
      <w:r>
        <w:rPr>
          <w:rFonts w:ascii="Times New Roman" w:hAnsi="Times New Roman" w:cs="Times New Roman"/>
          <w:i/>
          <w:color w:val="222222"/>
          <w:sz w:val="24"/>
          <w:szCs w:val="24"/>
        </w:rPr>
        <w:t>et al.,</w:t>
      </w:r>
      <w:r>
        <w:rPr>
          <w:rFonts w:ascii="Times New Roman" w:hAnsi="Times New Roman" w:cs="Times New Roman"/>
          <w:color w:val="222222"/>
          <w:sz w:val="24"/>
          <w:szCs w:val="24"/>
        </w:rPr>
        <w:t xml:space="preserve"> 2022)</w:t>
      </w:r>
      <w:r>
        <w:rPr>
          <w:rFonts w:ascii="Times New Roman" w:eastAsia="Times New Roman" w:hAnsi="Times New Roman" w:cs="Times New Roman"/>
          <w:sz w:val="24"/>
          <w:szCs w:val="24"/>
        </w:rPr>
        <w:t>. The demand for health-associated technology and services comes in demand, and their demand needs to be understood. In terms of consumer lifestyle, innovative healthcare services attract them the most if they have a hectic schedule due to being fitness freaks (</w:t>
      </w:r>
      <w:r>
        <w:rPr>
          <w:rFonts w:ascii="Times New Roman" w:hAnsi="Times New Roman" w:cs="Times New Roman"/>
          <w:color w:val="222222"/>
          <w:sz w:val="24"/>
          <w:szCs w:val="24"/>
          <w:highlight w:val="white"/>
        </w:rPr>
        <w:t>Dash and Sharma</w:t>
      </w:r>
      <w:r>
        <w:rPr>
          <w:rFonts w:ascii="Times New Roman" w:hAnsi="Times New Roman" w:cs="Times New Roman"/>
          <w:color w:val="222222"/>
          <w:sz w:val="24"/>
          <w:szCs w:val="24"/>
        </w:rPr>
        <w:t>, 2022)</w:t>
      </w:r>
      <w:r>
        <w:rPr>
          <w:rFonts w:ascii="Times New Roman" w:eastAsia="Times New Roman" w:hAnsi="Times New Roman" w:cs="Times New Roman"/>
          <w:sz w:val="24"/>
          <w:szCs w:val="24"/>
        </w:rPr>
        <w:t>. Now, this influence impacts the industry, leading to change and offering scope for expansion. However, meeting customers' expectations and leaving up any gap always tends to switch tendencies, which need to be considered by the business (</w:t>
      </w:r>
      <w:r>
        <w:rPr>
          <w:rFonts w:ascii="Times New Roman" w:eastAsia="Times New Roman" w:hAnsi="Times New Roman" w:cs="Times New Roman"/>
          <w:color w:val="222222"/>
          <w:sz w:val="24"/>
          <w:szCs w:val="24"/>
          <w:highlight w:val="white"/>
        </w:rPr>
        <w:t>Findlay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2022)</w:t>
      </w:r>
      <w:r>
        <w:rPr>
          <w:rFonts w:ascii="Times New Roman" w:eastAsia="Times New Roman" w:hAnsi="Times New Roman" w:cs="Times New Roman"/>
          <w:sz w:val="24"/>
          <w:szCs w:val="24"/>
        </w:rPr>
        <w:t xml:space="preserve">. For example, in Static System Group, this link can be explored in detail, which helps to understand the actual influence. It has been found that healthcare demands are growing in the UK due to the aging population. Even with a high lifespan and change in healthcare demand, UK healthcare faces pressure (England.nhs.uk, 2023). In this scenario, Static System Group worked with the motto to accurately serve people. They have existed for 60 years to emerge innovative solutions in acute healthcare settings that ensure an </w:t>
      </w:r>
      <w:r>
        <w:rPr>
          <w:rFonts w:ascii="Times New Roman" w:eastAsia="Times New Roman" w:hAnsi="Times New Roman" w:cs="Times New Roman"/>
          <w:sz w:val="24"/>
          <w:szCs w:val="24"/>
        </w:rPr>
        <w:lastRenderedPageBreak/>
        <w:t xml:space="preserve">intelligent connection with people (Static System group, 2023). Additionally, linking market demand and organization services creates an opportunity for Static System Group to lead up as a care provider for the UK population. Their technologically advanced nature always progresses their reach and enables demand according to flexibility adoption by the organization. </w:t>
      </w:r>
    </w:p>
    <w:p w14:paraId="51274AE4" w14:textId="77777777" w:rsidR="00532F6A"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Technology</w:t>
      </w:r>
      <w:r>
        <w:rPr>
          <w:rFonts w:ascii="Times New Roman" w:eastAsia="Times New Roman" w:hAnsi="Times New Roman" w:cs="Times New Roman"/>
          <w:i/>
          <w:sz w:val="24"/>
          <w:szCs w:val="24"/>
        </w:rPr>
        <w:t xml:space="preserve"> </w:t>
      </w:r>
    </w:p>
    <w:p w14:paraId="6B70E3F8"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technology aspect is the most ever-changing dimension of the business, defining its reach and expansion potential. In terms of technology, cyber security, automation, and technology infrastructure are all considered. Dash and Sharma (2022) state cyber security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vital as the digital revolution manages consumer-centric and business data. At the time of working with change, understanding its risks is essential. In this consideration, without cybersecurity, business safety is becoming a doubt, and sales are dropping (</w:t>
      </w:r>
      <w:r>
        <w:rPr>
          <w:rFonts w:ascii="Times New Roman" w:hAnsi="Times New Roman" w:cs="Times New Roman"/>
          <w:color w:val="222222"/>
          <w:sz w:val="24"/>
          <w:szCs w:val="24"/>
          <w:highlight w:val="white"/>
        </w:rPr>
        <w:t>Vivancos</w:t>
      </w:r>
      <w:r>
        <w:rPr>
          <w:rFonts w:ascii="Times New Roman" w:hAnsi="Times New Roman" w:cs="Times New Roman"/>
          <w:color w:val="222222"/>
          <w:sz w:val="24"/>
          <w:szCs w:val="24"/>
        </w:rPr>
        <w:t xml:space="preserve"> </w:t>
      </w:r>
      <w:r>
        <w:rPr>
          <w:rFonts w:ascii="Times New Roman" w:hAnsi="Times New Roman" w:cs="Times New Roman"/>
          <w:i/>
          <w:color w:val="222222"/>
          <w:sz w:val="24"/>
          <w:szCs w:val="24"/>
        </w:rPr>
        <w:t>et al.,</w:t>
      </w:r>
      <w:r>
        <w:rPr>
          <w:rFonts w:ascii="Times New Roman" w:hAnsi="Times New Roman" w:cs="Times New Roman"/>
          <w:color w:val="222222"/>
          <w:sz w:val="24"/>
          <w:szCs w:val="24"/>
        </w:rPr>
        <w:t xml:space="preserve"> 2022)</w:t>
      </w:r>
      <w:r>
        <w:rPr>
          <w:rFonts w:ascii="Times New Roman" w:eastAsia="Times New Roman" w:hAnsi="Times New Roman" w:cs="Times New Roman"/>
          <w:sz w:val="24"/>
          <w:szCs w:val="24"/>
        </w:rPr>
        <w:t xml:space="preserve">. However, technological advancement always transforms as a threat if the security does not match actual operational standards. For example, the UK government adopted initiatives for cyber security optimization for which different standards are enforced (IT Governance.co.uk, 2023). Specifically, ISO 27032 is considered an international standard for security control. This needs to be understood by Static System Group (IT Governance.co.uk, 2023). It can be an opportunity or threat for the organization when dealing with patient data. Strict data handling through this standard enhances reputation; otherwise, they can face legal issues. Additionally, their goal of making inclusive teams is required to link safety training with a better market position they can attend (Static System Group, 2023). Otherwise, existing protocols and high competition directly impact the organization's stability.  </w:t>
      </w:r>
    </w:p>
    <w:p w14:paraId="64E68472" w14:textId="77777777" w:rsidR="00532F6A"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Legal</w:t>
      </w:r>
    </w:p>
    <w:p w14:paraId="7A740438"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legal variables that come under this are industry regulation, operational licenses, employment &amp; consumer protection laws, and IP protection. In the presence of business laws, the safety and protection of the business and its operation are managed. This causes an explicit knowledge of the obligation of country-specific law adaptation; otherwise, it raises legal complexity (Dash and Sharma, 2022). In the case of consumer protection laws, they are the center for business growth, and their safety regarding legislation enforced into practice is essential. This reflects on the business standard, which influences the future business potential. In this context, Static System Group needs to review the UK healthcare industry's legislation used in practice.</w:t>
      </w:r>
    </w:p>
    <w:p w14:paraId="4FD2CD62"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2022 Health and Care Act is used by UK Health, which is aiming to make its delivery easier (</w:t>
      </w:r>
      <w:r>
        <w:rPr>
          <w:rFonts w:ascii="Times New Roman" w:eastAsia="Times New Roman" w:hAnsi="Times New Roman" w:cs="Times New Roman"/>
          <w:color w:val="222222"/>
          <w:sz w:val="24"/>
          <w:szCs w:val="24"/>
          <w:highlight w:val="white"/>
        </w:rPr>
        <w:t>Chang</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2023)</w:t>
      </w:r>
      <w:r>
        <w:rPr>
          <w:rFonts w:ascii="Times New Roman" w:eastAsia="Times New Roman" w:hAnsi="Times New Roman" w:cs="Times New Roman"/>
          <w:sz w:val="24"/>
          <w:szCs w:val="24"/>
        </w:rPr>
        <w:t xml:space="preserve">. They also used smart technology to maximize healthcare </w:t>
      </w:r>
      <w:r>
        <w:rPr>
          <w:rFonts w:ascii="Times New Roman" w:eastAsia="Times New Roman" w:hAnsi="Times New Roman" w:cs="Times New Roman"/>
          <w:sz w:val="24"/>
          <w:szCs w:val="24"/>
        </w:rPr>
        <w:lastRenderedPageBreak/>
        <w:t>communication through broad reach aligning with the organization. In addition to this, laws in practice directly cause long-term survival benefits, improving market competitiveness.</w:t>
      </w:r>
    </w:p>
    <w:p w14:paraId="651DF7F3" w14:textId="77777777" w:rsidR="00532F6A"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Environment </w:t>
      </w:r>
    </w:p>
    <w:p w14:paraId="49BE0CD4"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the most sensible part of the business progression and facilitates the responsibility the business needs to take care of for sustainable operation. As per Ali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the business progression and investment opportunity gain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linked with the environmental responsibility they obligate. Otherwise, it develops risk and opportunity and depends on the business's practices and adaptability levels. Environment policy and sustainability are the variables that define the business operation standard based on future stability. The Climate Change Act and initiatives for reducing emissions must be understood to align with business goals (Ali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This only creates opportunity; otherwise, a higher possibility for a raise on legal allegation is possible. As a result of this concern about the penalty, extreme business restrictions may be faced. To avoid this, explicit knowledge and adopting practices are required for businesses running in the UK environment. For example, Static System Group must understand the environmental goal and its responsibility to avoid further complications across the business environment. Explicit knowledge and active participation in the climate change plan enhance business reputation.</w:t>
      </w:r>
    </w:p>
    <w:p w14:paraId="1AFEFBE8" w14:textId="77777777" w:rsidR="00532F6A" w:rsidRDefault="00000000">
      <w:pPr>
        <w:pStyle w:val="Heading1"/>
        <w:numPr>
          <w:ilvl w:val="0"/>
          <w:numId w:val="1"/>
        </w:numPr>
        <w:spacing w:line="360" w:lineRule="auto"/>
        <w:ind w:left="426"/>
      </w:pPr>
      <w:bookmarkStart w:id="4" w:name="_kj31s5mbbvzr" w:colFirst="0" w:colLast="0"/>
      <w:bookmarkStart w:id="5" w:name="_Toc168929151"/>
      <w:bookmarkEnd w:id="4"/>
      <w:r>
        <w:t>Conclusion</w:t>
      </w:r>
      <w:bookmarkEnd w:id="5"/>
      <w:r>
        <w:t xml:space="preserve"> </w:t>
      </w:r>
    </w:p>
    <w:p w14:paraId="4312B36C" w14:textId="77777777" w:rsidR="00532F6A" w:rsidRDefault="00000000">
      <w:pPr>
        <w:spacing w:line="360" w:lineRule="auto"/>
        <w:jc w:val="both"/>
      </w:pPr>
      <w:bookmarkStart w:id="6" w:name="_9p7ypxh07139" w:colFirst="0" w:colLast="0"/>
      <w:bookmarkEnd w:id="6"/>
      <w:r>
        <w:rPr>
          <w:rFonts w:ascii="Times New Roman" w:hAnsi="Times New Roman" w:cs="Times New Roman"/>
          <w:sz w:val="24"/>
          <w:szCs w:val="24"/>
        </w:rPr>
        <w:t>In the above essay, the discussion is made by identifying different variables of pestle analysis and their impact on the business. The detailed analysis showed how the political trade barriers impact business flexibility. Additionally, the economic concerns of GDP and inflation are simulated as business growth is determined. On the other hand, this analysis framework's technological, legal, and environmental aspects are explained for the business aspect. As a result, an apparent change in the business influences from Pestle analysis variables is understood.</w:t>
      </w:r>
      <w:r>
        <w:br w:type="page"/>
      </w:r>
    </w:p>
    <w:p w14:paraId="3F79FC4B" w14:textId="77777777" w:rsidR="00532F6A" w:rsidRDefault="00000000">
      <w:pPr>
        <w:pStyle w:val="Heading1"/>
        <w:spacing w:line="360" w:lineRule="auto"/>
      </w:pPr>
      <w:bookmarkStart w:id="7" w:name="_ikl3opyemfom" w:colFirst="0" w:colLast="0"/>
      <w:bookmarkStart w:id="8" w:name="_Toc168929152"/>
      <w:bookmarkEnd w:id="7"/>
      <w:r>
        <w:lastRenderedPageBreak/>
        <w:t>References</w:t>
      </w:r>
      <w:bookmarkEnd w:id="8"/>
    </w:p>
    <w:p w14:paraId="45D09CB7" w14:textId="77777777" w:rsidR="00532F6A" w:rsidRDefault="00000000">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t xml:space="preserve">Ali, M.A., Khan, A.Z., Azeem, M.U. and Inam, U.H., 2023. How does environmental corporate social responsibility contribute to the development of a green corporate image? The sequential mediating roles of employees' environmental passion and pro‐environmental behavior. </w:t>
      </w:r>
      <w:r>
        <w:rPr>
          <w:rFonts w:ascii="Times New Roman" w:hAnsi="Times New Roman" w:cs="Times New Roman"/>
          <w:i/>
          <w:color w:val="222222"/>
          <w:sz w:val="24"/>
          <w:szCs w:val="24"/>
          <w:highlight w:val="white"/>
        </w:rPr>
        <w:t>Business Ethics, the Environment &amp; Responsibility</w:t>
      </w:r>
      <w:r>
        <w:rPr>
          <w:rFonts w:ascii="Times New Roman" w:hAnsi="Times New Roman" w:cs="Times New Roman"/>
          <w:color w:val="222222"/>
          <w:sz w:val="24"/>
          <w:szCs w:val="24"/>
          <w:highlight w:val="white"/>
        </w:rPr>
        <w:t xml:space="preserve">, </w:t>
      </w:r>
      <w:r>
        <w:rPr>
          <w:rFonts w:ascii="Times New Roman" w:hAnsi="Times New Roman" w:cs="Times New Roman"/>
          <w:i/>
          <w:color w:val="222222"/>
          <w:sz w:val="24"/>
          <w:szCs w:val="24"/>
          <w:highlight w:val="white"/>
        </w:rPr>
        <w:t>32</w:t>
      </w:r>
      <w:r>
        <w:rPr>
          <w:rFonts w:ascii="Times New Roman" w:hAnsi="Times New Roman" w:cs="Times New Roman"/>
          <w:color w:val="222222"/>
          <w:sz w:val="24"/>
          <w:szCs w:val="24"/>
          <w:highlight w:val="white"/>
        </w:rPr>
        <w:t>(3), pp.896-909.</w:t>
      </w:r>
    </w:p>
    <w:p w14:paraId="6F18FFA7" w14:textId="77777777" w:rsidR="00532F6A" w:rsidRDefault="00000000">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t xml:space="preserve">Azmeh, S., Foster, C. and Echavarri, J., 2020. The international trade regime and the quest for free digital trade. </w:t>
      </w:r>
      <w:r>
        <w:rPr>
          <w:rFonts w:ascii="Times New Roman" w:hAnsi="Times New Roman" w:cs="Times New Roman"/>
          <w:i/>
          <w:color w:val="222222"/>
          <w:sz w:val="24"/>
          <w:szCs w:val="24"/>
          <w:highlight w:val="white"/>
        </w:rPr>
        <w:t>International Studies Review</w:t>
      </w:r>
      <w:r>
        <w:rPr>
          <w:rFonts w:ascii="Times New Roman" w:hAnsi="Times New Roman" w:cs="Times New Roman"/>
          <w:color w:val="222222"/>
          <w:sz w:val="24"/>
          <w:szCs w:val="24"/>
          <w:highlight w:val="white"/>
        </w:rPr>
        <w:t xml:space="preserve">, </w:t>
      </w:r>
      <w:r>
        <w:rPr>
          <w:rFonts w:ascii="Times New Roman" w:hAnsi="Times New Roman" w:cs="Times New Roman"/>
          <w:i/>
          <w:color w:val="222222"/>
          <w:sz w:val="24"/>
          <w:szCs w:val="24"/>
          <w:highlight w:val="white"/>
        </w:rPr>
        <w:t>22</w:t>
      </w:r>
      <w:r>
        <w:rPr>
          <w:rFonts w:ascii="Times New Roman" w:hAnsi="Times New Roman" w:cs="Times New Roman"/>
          <w:color w:val="222222"/>
          <w:sz w:val="24"/>
          <w:szCs w:val="24"/>
          <w:highlight w:val="white"/>
        </w:rPr>
        <w:t>(3), pp.671-692.</w:t>
      </w:r>
    </w:p>
    <w:p w14:paraId="2D14AE71" w14:textId="77777777" w:rsidR="00532F6A"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Chang, </w:t>
      </w:r>
      <w:proofErr w:type="spellStart"/>
      <w:r>
        <w:rPr>
          <w:rFonts w:ascii="Times New Roman" w:eastAsia="Times New Roman" w:hAnsi="Times New Roman" w:cs="Times New Roman"/>
          <w:color w:val="222222"/>
          <w:sz w:val="24"/>
          <w:szCs w:val="24"/>
          <w:highlight w:val="white"/>
        </w:rPr>
        <w:t>Peysakhovich</w:t>
      </w:r>
      <w:proofErr w:type="spellEnd"/>
      <w:r>
        <w:rPr>
          <w:rFonts w:ascii="Times New Roman" w:eastAsia="Times New Roman" w:hAnsi="Times New Roman" w:cs="Times New Roman"/>
          <w:color w:val="222222"/>
          <w:sz w:val="24"/>
          <w:szCs w:val="24"/>
          <w:highlight w:val="white"/>
        </w:rPr>
        <w:t>, Wang and Zhu, 2023.</w:t>
      </w:r>
      <w:r>
        <w:rPr>
          <w:rFonts w:ascii="Times New Roman" w:eastAsia="Times New Roman" w:hAnsi="Times New Roman" w:cs="Times New Roman"/>
          <w:i/>
          <w:color w:val="222222"/>
          <w:sz w:val="24"/>
          <w:szCs w:val="24"/>
          <w:highlight w:val="white"/>
        </w:rPr>
        <w:t xml:space="preserve"> The UK Health Care System.</w:t>
      </w:r>
      <w:r>
        <w:rPr>
          <w:rFonts w:ascii="Times New Roman" w:eastAsia="Times New Roman" w:hAnsi="Times New Roman" w:cs="Times New Roman"/>
          <w:color w:val="222222"/>
          <w:sz w:val="24"/>
          <w:szCs w:val="24"/>
          <w:highlight w:val="white"/>
        </w:rPr>
        <w:t xml:space="preserve"> Available at: </w:t>
      </w:r>
      <w:hyperlink r:id="rId8">
        <w:r>
          <w:rPr>
            <w:rFonts w:ascii="Times New Roman" w:eastAsia="Times New Roman" w:hAnsi="Times New Roman" w:cs="Times New Roman"/>
            <w:color w:val="1155CC"/>
            <w:sz w:val="24"/>
            <w:szCs w:val="24"/>
            <w:highlight w:val="white"/>
            <w:u w:val="single"/>
          </w:rPr>
          <w:t>http://assets.ce.columbia.edu/pdf/actu/actu-uk.pdf</w:t>
        </w:r>
      </w:hyperlink>
      <w:r>
        <w:rPr>
          <w:rFonts w:ascii="Times New Roman" w:eastAsia="Times New Roman" w:hAnsi="Times New Roman" w:cs="Times New Roman"/>
          <w:color w:val="222222"/>
          <w:sz w:val="24"/>
          <w:szCs w:val="24"/>
          <w:highlight w:val="white"/>
        </w:rPr>
        <w:t xml:space="preserve"> [Accessed on: 10th June, 2024]</w:t>
      </w:r>
    </w:p>
    <w:p w14:paraId="0D74F9CC" w14:textId="77777777" w:rsidR="00532F6A" w:rsidRDefault="00000000">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t xml:space="preserve">Cooper, M. and Nguyen, Q.T., 2020. Multinational enterprises and corporate tax planning: A review of literature and suggestions for a future research agenda. </w:t>
      </w:r>
      <w:r>
        <w:rPr>
          <w:rFonts w:ascii="Times New Roman" w:hAnsi="Times New Roman" w:cs="Times New Roman"/>
          <w:i/>
          <w:color w:val="222222"/>
          <w:sz w:val="24"/>
          <w:szCs w:val="24"/>
          <w:highlight w:val="white"/>
        </w:rPr>
        <w:t>International Business Review</w:t>
      </w:r>
      <w:r>
        <w:rPr>
          <w:rFonts w:ascii="Times New Roman" w:hAnsi="Times New Roman" w:cs="Times New Roman"/>
          <w:color w:val="222222"/>
          <w:sz w:val="24"/>
          <w:szCs w:val="24"/>
          <w:highlight w:val="white"/>
        </w:rPr>
        <w:t xml:space="preserve">, </w:t>
      </w:r>
      <w:r>
        <w:rPr>
          <w:rFonts w:ascii="Times New Roman" w:hAnsi="Times New Roman" w:cs="Times New Roman"/>
          <w:i/>
          <w:color w:val="222222"/>
          <w:sz w:val="24"/>
          <w:szCs w:val="24"/>
          <w:highlight w:val="white"/>
        </w:rPr>
        <w:t>29</w:t>
      </w:r>
      <w:r>
        <w:rPr>
          <w:rFonts w:ascii="Times New Roman" w:hAnsi="Times New Roman" w:cs="Times New Roman"/>
          <w:color w:val="222222"/>
          <w:sz w:val="24"/>
          <w:szCs w:val="24"/>
          <w:highlight w:val="white"/>
        </w:rPr>
        <w:t>(3), p.101692.</w:t>
      </w:r>
    </w:p>
    <w:p w14:paraId="5B9FCB4B" w14:textId="77777777" w:rsidR="00532F6A" w:rsidRDefault="00000000">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t xml:space="preserve">Dash, B. and Sharma, P., 2022, December. Impact of Digitalization on Shaping Consumer-Centered Smart Healthcare System-A Comprehensive Study. In </w:t>
      </w:r>
      <w:r>
        <w:rPr>
          <w:rFonts w:ascii="Times New Roman" w:hAnsi="Times New Roman" w:cs="Times New Roman"/>
          <w:i/>
          <w:color w:val="222222"/>
          <w:sz w:val="24"/>
          <w:szCs w:val="24"/>
          <w:highlight w:val="white"/>
        </w:rPr>
        <w:t>2nd International Conference on Advances in Computing &amp; Information Technologies (CACIT 2022)</w:t>
      </w:r>
      <w:r>
        <w:rPr>
          <w:rFonts w:ascii="Times New Roman" w:hAnsi="Times New Roman" w:cs="Times New Roman"/>
          <w:color w:val="222222"/>
          <w:sz w:val="24"/>
          <w:szCs w:val="24"/>
          <w:highlight w:val="white"/>
        </w:rPr>
        <w:t>.</w:t>
      </w:r>
    </w:p>
    <w:p w14:paraId="1C46E154" w14:textId="77777777" w:rsidR="00532F6A" w:rsidRDefault="00000000">
      <w:pPr>
        <w:spacing w:line="360" w:lineRule="auto"/>
        <w:jc w:val="both"/>
        <w:rPr>
          <w:rFonts w:ascii="Times New Roman" w:hAnsi="Times New Roman" w:cs="Times New Roman"/>
          <w:color w:val="222222"/>
          <w:sz w:val="24"/>
          <w:szCs w:val="24"/>
          <w:highlight w:val="white"/>
        </w:rPr>
      </w:pPr>
      <w:r>
        <w:rPr>
          <w:rFonts w:ascii="Times New Roman" w:hAnsi="Times New Roman" w:cs="Times New Roman"/>
          <w:color w:val="222222"/>
          <w:sz w:val="24"/>
          <w:szCs w:val="24"/>
          <w:highlight w:val="white"/>
        </w:rPr>
        <w:t xml:space="preserve">Ditch, D. and Stern, R., 2023. The Road to Inflation: How an Unprecedented Federal Spending Spree Created Economic Turmoil. </w:t>
      </w:r>
      <w:r>
        <w:rPr>
          <w:rFonts w:ascii="Times New Roman" w:hAnsi="Times New Roman" w:cs="Times New Roman"/>
          <w:i/>
          <w:color w:val="222222"/>
          <w:sz w:val="24"/>
          <w:szCs w:val="24"/>
          <w:highlight w:val="white"/>
        </w:rPr>
        <w:t>Heritage Foundation, September</w:t>
      </w:r>
      <w:r>
        <w:rPr>
          <w:rFonts w:ascii="Times New Roman" w:hAnsi="Times New Roman" w:cs="Times New Roman"/>
          <w:color w:val="222222"/>
          <w:sz w:val="24"/>
          <w:szCs w:val="24"/>
          <w:highlight w:val="white"/>
        </w:rPr>
        <w:t xml:space="preserve">, </w:t>
      </w:r>
      <w:r>
        <w:rPr>
          <w:rFonts w:ascii="Times New Roman" w:hAnsi="Times New Roman" w:cs="Times New Roman"/>
          <w:i/>
          <w:color w:val="222222"/>
          <w:sz w:val="24"/>
          <w:szCs w:val="24"/>
          <w:highlight w:val="white"/>
        </w:rPr>
        <w:t>21</w:t>
      </w:r>
      <w:r>
        <w:rPr>
          <w:rFonts w:ascii="Times New Roman" w:hAnsi="Times New Roman" w:cs="Times New Roman"/>
          <w:color w:val="222222"/>
          <w:sz w:val="24"/>
          <w:szCs w:val="24"/>
          <w:highlight w:val="white"/>
        </w:rPr>
        <w:t>.</w:t>
      </w:r>
    </w:p>
    <w:p w14:paraId="663F0843" w14:textId="77777777" w:rsidR="00532F6A"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England.nhs.uk, 2023.</w:t>
      </w:r>
      <w:r>
        <w:rPr>
          <w:rFonts w:ascii="Times New Roman" w:eastAsia="Times New Roman" w:hAnsi="Times New Roman" w:cs="Times New Roman"/>
          <w:i/>
          <w:sz w:val="24"/>
          <w:szCs w:val="24"/>
        </w:rPr>
        <w:t xml:space="preserve"> </w:t>
      </w:r>
      <w:r>
        <w:rPr>
          <w:rFonts w:ascii="Times New Roman" w:eastAsia="Times New Roman" w:hAnsi="Times New Roman" w:cs="Times New Roman"/>
          <w:i/>
          <w:color w:val="202A30"/>
          <w:sz w:val="24"/>
          <w:szCs w:val="24"/>
        </w:rPr>
        <w:t>Evolving to meet a changing world.</w:t>
      </w:r>
      <w:r>
        <w:rPr>
          <w:rFonts w:ascii="Times New Roman" w:eastAsia="Times New Roman" w:hAnsi="Times New Roman" w:cs="Times New Roman"/>
          <w:color w:val="202A30"/>
          <w:sz w:val="24"/>
          <w:szCs w:val="24"/>
        </w:rPr>
        <w:t xml:space="preserve"> </w:t>
      </w:r>
      <w:r>
        <w:rPr>
          <w:rFonts w:ascii="Times New Roman" w:eastAsia="Times New Roman" w:hAnsi="Times New Roman" w:cs="Times New Roman"/>
          <w:color w:val="222222"/>
          <w:sz w:val="24"/>
          <w:szCs w:val="24"/>
          <w:highlight w:val="white"/>
        </w:rPr>
        <w:t xml:space="preserve">Available at: </w:t>
      </w:r>
      <w:hyperlink r:id="rId9" w:anchor=":~:text=There%20is%20more%20competition%20for,larger%20workforce%20will%20be%20needed">
        <w:r>
          <w:rPr>
            <w:rFonts w:ascii="Times New Roman" w:eastAsia="Times New Roman" w:hAnsi="Times New Roman" w:cs="Times New Roman"/>
            <w:color w:val="1155CC"/>
            <w:sz w:val="24"/>
            <w:szCs w:val="24"/>
            <w:highlight w:val="white"/>
            <w:u w:val="single"/>
          </w:rPr>
          <w:t>https://www.england.nhs.uk/future-of-human-resources-and-organisational-development/the-future-of-nhs-human-resources-and-organisational-development-report/evolving-to-meet-a-changing-world/#:~:text=There%20is%20more%20competition%20for,larger%20workforce%20will%20be%20needed</w:t>
        </w:r>
      </w:hyperlink>
      <w:r>
        <w:rPr>
          <w:rFonts w:ascii="Times New Roman" w:eastAsia="Times New Roman" w:hAnsi="Times New Roman" w:cs="Times New Roman"/>
          <w:color w:val="222222"/>
          <w:sz w:val="24"/>
          <w:szCs w:val="24"/>
          <w:highlight w:val="white"/>
        </w:rPr>
        <w:t>. [Accessed on: 10th June, 2024]</w:t>
      </w:r>
    </w:p>
    <w:p w14:paraId="1B2CEDC0" w14:textId="77777777" w:rsidR="00532F6A"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Findlay, C., Rammal, H.G., Rose, E. and Pereira, V., 2022. Internationalization and knowledge management strategies of service firms: impact of regulatory environment in regional markets. </w:t>
      </w:r>
      <w:r>
        <w:rPr>
          <w:rFonts w:ascii="Times New Roman" w:eastAsia="Times New Roman" w:hAnsi="Times New Roman" w:cs="Times New Roman"/>
          <w:i/>
          <w:color w:val="222222"/>
          <w:sz w:val="24"/>
          <w:szCs w:val="24"/>
          <w:highlight w:val="white"/>
        </w:rPr>
        <w:t>Journal of Knowledge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(9), pp.2177-2194.</w:t>
      </w:r>
    </w:p>
    <w:p w14:paraId="25A99872" w14:textId="77777777" w:rsidR="00532F6A"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Investopedia, 2023.</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i/>
          <w:color w:val="111111"/>
          <w:sz w:val="24"/>
          <w:szCs w:val="24"/>
          <w:highlight w:val="white"/>
        </w:rPr>
        <w:t>The Impact of Recessions on Businesses.</w:t>
      </w:r>
      <w:r>
        <w:rPr>
          <w:rFonts w:ascii="Times New Roman" w:eastAsia="Times New Roman" w:hAnsi="Times New Roman" w:cs="Times New Roman"/>
          <w:color w:val="111111"/>
          <w:sz w:val="24"/>
          <w:szCs w:val="24"/>
          <w:highlight w:val="white"/>
        </w:rPr>
        <w:t xml:space="preserve"> </w:t>
      </w:r>
      <w:r>
        <w:rPr>
          <w:rFonts w:ascii="Times New Roman" w:eastAsia="Times New Roman" w:hAnsi="Times New Roman" w:cs="Times New Roman"/>
          <w:color w:val="222222"/>
          <w:sz w:val="24"/>
          <w:szCs w:val="24"/>
          <w:highlight w:val="white"/>
        </w:rPr>
        <w:t xml:space="preserve">Available at: </w:t>
      </w:r>
      <w:hyperlink r:id="rId10" w:anchor=":~:text=Recessions%20are%20significant%2C%20widespread%2C%20and,and%20profits%20in%20a%20recession">
        <w:r>
          <w:rPr>
            <w:rFonts w:ascii="Times New Roman" w:eastAsia="Times New Roman" w:hAnsi="Times New Roman" w:cs="Times New Roman"/>
            <w:color w:val="1155CC"/>
            <w:sz w:val="24"/>
            <w:szCs w:val="24"/>
            <w:highlight w:val="white"/>
            <w:u w:val="single"/>
          </w:rPr>
          <w:t>https://www.investopedia.com/articles/economics/08/recession-affecting-business.asp#:~:text=Recessions%20are%20significant%2C%20widespread%2C%20and,and%20profits%20in%20a%20recession</w:t>
        </w:r>
      </w:hyperlink>
      <w:r>
        <w:rPr>
          <w:rFonts w:ascii="Times New Roman" w:eastAsia="Times New Roman" w:hAnsi="Times New Roman" w:cs="Times New Roman"/>
          <w:color w:val="222222"/>
          <w:sz w:val="24"/>
          <w:szCs w:val="24"/>
          <w:highlight w:val="white"/>
        </w:rPr>
        <w:t>. [Accessed on: 10th June, 2024]</w:t>
      </w:r>
    </w:p>
    <w:p w14:paraId="764A2201"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Governance.co.uk, 2023.</w:t>
      </w:r>
      <w:r>
        <w:rPr>
          <w:rFonts w:ascii="Times New Roman" w:eastAsia="Times New Roman" w:hAnsi="Times New Roman" w:cs="Times New Roman"/>
          <w:i/>
          <w:sz w:val="24"/>
          <w:szCs w:val="24"/>
        </w:rPr>
        <w:t xml:space="preserve"> Cyber Security Standards. </w:t>
      </w:r>
      <w:r>
        <w:rPr>
          <w:rFonts w:ascii="Times New Roman" w:eastAsia="Times New Roman" w:hAnsi="Times New Roman" w:cs="Times New Roman"/>
          <w:i/>
          <w:color w:val="000000"/>
          <w:sz w:val="24"/>
          <w:szCs w:val="24"/>
        </w:rPr>
        <w:t xml:space="preserve">The most popular cyber security standards </w:t>
      </w:r>
      <w:r>
        <w:rPr>
          <w:rFonts w:ascii="Times New Roman" w:eastAsia="Times New Roman" w:hAnsi="Times New Roman" w:cs="Times New Roman"/>
          <w:i/>
          <w:sz w:val="24"/>
          <w:szCs w:val="24"/>
        </w:rPr>
        <w:t xml:space="preserve">are </w:t>
      </w:r>
      <w:r>
        <w:rPr>
          <w:rFonts w:ascii="Times New Roman" w:eastAsia="Times New Roman" w:hAnsi="Times New Roman" w:cs="Times New Roman"/>
          <w:i/>
          <w:color w:val="000000"/>
          <w:sz w:val="24"/>
          <w:szCs w:val="24"/>
        </w:rPr>
        <w:t>explained.</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222222"/>
          <w:sz w:val="24"/>
          <w:szCs w:val="24"/>
          <w:highlight w:val="white"/>
        </w:rPr>
        <w:t xml:space="preserve">Available at: </w:t>
      </w:r>
      <w:hyperlink r:id="rId11" w:anchor=":~:text=ISO%2027032%20is%20an%20international,risks%20and%20implement%20security%20controls">
        <w:r>
          <w:rPr>
            <w:rFonts w:ascii="Times New Roman" w:eastAsia="Times New Roman" w:hAnsi="Times New Roman" w:cs="Times New Roman"/>
            <w:color w:val="1155CC"/>
            <w:sz w:val="24"/>
            <w:szCs w:val="24"/>
            <w:highlight w:val="white"/>
            <w:u w:val="single"/>
          </w:rPr>
          <w:t>https://www.itgovernance.co.uk/cybersecurity-standards#:~:text=ISO%2027032%20is%20an%20international,risks%20and%20implement%20security%20controls</w:t>
        </w:r>
      </w:hyperlink>
      <w:r>
        <w:rPr>
          <w:rFonts w:ascii="Times New Roman" w:eastAsia="Times New Roman" w:hAnsi="Times New Roman" w:cs="Times New Roman"/>
          <w:color w:val="222222"/>
          <w:sz w:val="24"/>
          <w:szCs w:val="24"/>
          <w:highlight w:val="white"/>
        </w:rPr>
        <w:t>. [Accessed on: 10th June, 2024]</w:t>
      </w:r>
    </w:p>
    <w:p w14:paraId="15078357"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Ons.gov.uk, 2024.</w:t>
      </w:r>
      <w:r>
        <w:rPr>
          <w:rFonts w:ascii="Times New Roman" w:eastAsia="Times New Roman" w:hAnsi="Times New Roman" w:cs="Times New Roman"/>
          <w:i/>
          <w:sz w:val="24"/>
          <w:szCs w:val="24"/>
        </w:rPr>
        <w:t xml:space="preserve"> Consumer price inflation, UK: December 2023.</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Available at: </w:t>
      </w:r>
      <w:hyperlink r:id="rId12" w:anchor=":~:text=The%20core%20CPIH%20annual%20inflation,in%20the%20constructed%20historical%20series">
        <w:r>
          <w:rPr>
            <w:rFonts w:ascii="Times New Roman" w:eastAsia="Times New Roman" w:hAnsi="Times New Roman" w:cs="Times New Roman"/>
            <w:color w:val="1155CC"/>
            <w:sz w:val="24"/>
            <w:szCs w:val="24"/>
            <w:highlight w:val="white"/>
            <w:u w:val="single"/>
          </w:rPr>
          <w:t>https://www.ons.gov.uk/economy/inflationandpriceindices/bulletins/consumerpriceinflation/december2023#:~:text=The%20core%20CPIH%20annual%20inflation,in%20the%20constructed%20historical%20series</w:t>
        </w:r>
      </w:hyperlink>
      <w:r>
        <w:rPr>
          <w:rFonts w:ascii="Times New Roman" w:eastAsia="Times New Roman" w:hAnsi="Times New Roman" w:cs="Times New Roman"/>
          <w:color w:val="222222"/>
          <w:sz w:val="24"/>
          <w:szCs w:val="24"/>
          <w:highlight w:val="white"/>
        </w:rPr>
        <w:t>. [Accessed on: 10th June, 2024]</w:t>
      </w:r>
    </w:p>
    <w:p w14:paraId="5C466790" w14:textId="77777777" w:rsidR="00532F6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Ons.gov.uk, 2024.</w:t>
      </w:r>
      <w:r>
        <w:rPr>
          <w:rFonts w:ascii="Times New Roman" w:eastAsia="Times New Roman" w:hAnsi="Times New Roman" w:cs="Times New Roman"/>
          <w:i/>
          <w:sz w:val="24"/>
          <w:szCs w:val="24"/>
        </w:rPr>
        <w:t xml:space="preserve"> GDP first quarterly estimate, UK: October to December 2023.</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Available at: </w:t>
      </w:r>
      <w:hyperlink r:id="rId13" w:anchor=":~:text=1.,by%200.1%25%20compared%20with%202022">
        <w:r>
          <w:rPr>
            <w:rFonts w:ascii="Times New Roman" w:eastAsia="Times New Roman" w:hAnsi="Times New Roman" w:cs="Times New Roman"/>
            <w:color w:val="1155CC"/>
            <w:sz w:val="24"/>
            <w:szCs w:val="24"/>
            <w:highlight w:val="white"/>
            <w:u w:val="single"/>
          </w:rPr>
          <w:t>https://www.ons.gov.uk/economy/grossdomesticproductgdp/bulletins/gdpfirstquarterlyestimateuk/octobertodecember2023#:~:text=1.,by%200.1%25%20compared%20with%202022</w:t>
        </w:r>
      </w:hyperlink>
      <w:r>
        <w:rPr>
          <w:rFonts w:ascii="Times New Roman" w:eastAsia="Times New Roman" w:hAnsi="Times New Roman" w:cs="Times New Roman"/>
          <w:color w:val="222222"/>
          <w:sz w:val="24"/>
          <w:szCs w:val="24"/>
          <w:highlight w:val="white"/>
        </w:rPr>
        <w:t>. [Accessed on: 10th June, 2024]</w:t>
      </w:r>
    </w:p>
    <w:p w14:paraId="13FFD9AE" w14:textId="77777777" w:rsidR="00532F6A"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Static System Group, 2023.</w:t>
      </w:r>
      <w:r>
        <w:rPr>
          <w:rFonts w:ascii="Times New Roman" w:eastAsia="Times New Roman" w:hAnsi="Times New Roman" w:cs="Times New Roman"/>
          <w:i/>
          <w:color w:val="222222"/>
          <w:sz w:val="24"/>
          <w:szCs w:val="24"/>
          <w:highlight w:val="white"/>
        </w:rPr>
        <w:t xml:space="preserve"> About us.</w:t>
      </w:r>
      <w:r>
        <w:rPr>
          <w:rFonts w:ascii="Times New Roman" w:eastAsia="Times New Roman" w:hAnsi="Times New Roman" w:cs="Times New Roman"/>
          <w:color w:val="222222"/>
          <w:sz w:val="24"/>
          <w:szCs w:val="24"/>
          <w:highlight w:val="white"/>
        </w:rPr>
        <w:t xml:space="preserve"> Available at: </w:t>
      </w:r>
      <w:hyperlink r:id="rId14">
        <w:r>
          <w:rPr>
            <w:rFonts w:ascii="Times New Roman" w:eastAsia="Times New Roman" w:hAnsi="Times New Roman" w:cs="Times New Roman"/>
            <w:color w:val="1155CC"/>
            <w:sz w:val="24"/>
            <w:szCs w:val="24"/>
            <w:highlight w:val="white"/>
            <w:u w:val="single"/>
          </w:rPr>
          <w:t>https://www.staticsystems.co.uk/about-us/</w:t>
        </w:r>
      </w:hyperlink>
      <w:r>
        <w:rPr>
          <w:rFonts w:ascii="Times New Roman" w:eastAsia="Times New Roman" w:hAnsi="Times New Roman" w:cs="Times New Roman"/>
          <w:color w:val="222222"/>
          <w:sz w:val="24"/>
          <w:szCs w:val="24"/>
          <w:highlight w:val="white"/>
        </w:rPr>
        <w:t xml:space="preserve"> [Accessed on: 10th June, 2024]</w:t>
      </w:r>
    </w:p>
    <w:p w14:paraId="594E9DEF" w14:textId="77777777" w:rsidR="00532F6A"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color w:val="222222"/>
          <w:sz w:val="24"/>
          <w:szCs w:val="24"/>
          <w:highlight w:val="white"/>
        </w:rPr>
        <w:t xml:space="preserve">Static System Group, 2023. </w:t>
      </w:r>
      <w:r>
        <w:rPr>
          <w:rFonts w:ascii="Times New Roman" w:eastAsia="Times New Roman" w:hAnsi="Times New Roman" w:cs="Times New Roman"/>
          <w:i/>
          <w:color w:val="222222"/>
          <w:sz w:val="24"/>
          <w:szCs w:val="24"/>
          <w:highlight w:val="white"/>
        </w:rPr>
        <w:t>Work with us.</w:t>
      </w:r>
      <w:r>
        <w:rPr>
          <w:rFonts w:ascii="Times New Roman" w:eastAsia="Times New Roman" w:hAnsi="Times New Roman" w:cs="Times New Roman"/>
          <w:color w:val="222222"/>
          <w:sz w:val="24"/>
          <w:szCs w:val="24"/>
          <w:highlight w:val="white"/>
        </w:rPr>
        <w:t xml:space="preserve"> Available at: </w:t>
      </w:r>
      <w:hyperlink r:id="rId15">
        <w:r>
          <w:rPr>
            <w:rFonts w:ascii="Times New Roman" w:eastAsia="Times New Roman" w:hAnsi="Times New Roman" w:cs="Times New Roman"/>
            <w:color w:val="1155CC"/>
            <w:sz w:val="24"/>
            <w:szCs w:val="24"/>
            <w:highlight w:val="white"/>
            <w:u w:val="single"/>
          </w:rPr>
          <w:t>https://www.staticsystems.co.uk/work-with-us/</w:t>
        </w:r>
      </w:hyperlink>
      <w:r>
        <w:rPr>
          <w:rFonts w:ascii="Times New Roman" w:eastAsia="Times New Roman" w:hAnsi="Times New Roman" w:cs="Times New Roman"/>
          <w:color w:val="222222"/>
          <w:sz w:val="24"/>
          <w:szCs w:val="24"/>
          <w:highlight w:val="white"/>
        </w:rPr>
        <w:t xml:space="preserve"> [Accessed on: 10th June, 2024]</w:t>
      </w:r>
    </w:p>
    <w:p w14:paraId="380DBCBB" w14:textId="77777777" w:rsidR="00532F6A"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hAnsi="Times New Roman" w:cs="Times New Roman"/>
          <w:color w:val="222222"/>
          <w:sz w:val="24"/>
          <w:szCs w:val="24"/>
          <w:highlight w:val="white"/>
        </w:rPr>
        <w:t xml:space="preserve">Vivancos, R., Anderson, C., Blomquist, P., </w:t>
      </w:r>
      <w:proofErr w:type="spellStart"/>
      <w:r>
        <w:rPr>
          <w:rFonts w:ascii="Times New Roman" w:hAnsi="Times New Roman" w:cs="Times New Roman"/>
          <w:color w:val="222222"/>
          <w:sz w:val="24"/>
          <w:szCs w:val="24"/>
          <w:highlight w:val="white"/>
        </w:rPr>
        <w:t>Balasegaram</w:t>
      </w:r>
      <w:proofErr w:type="spellEnd"/>
      <w:r>
        <w:rPr>
          <w:rFonts w:ascii="Times New Roman" w:hAnsi="Times New Roman" w:cs="Times New Roman"/>
          <w:color w:val="222222"/>
          <w:sz w:val="24"/>
          <w:szCs w:val="24"/>
          <w:highlight w:val="white"/>
        </w:rPr>
        <w:t xml:space="preserve">, S., Bell, A., Bishop, L., Brown, C.S., Chow, Y., </w:t>
      </w:r>
      <w:proofErr w:type="spellStart"/>
      <w:r>
        <w:rPr>
          <w:rFonts w:ascii="Times New Roman" w:hAnsi="Times New Roman" w:cs="Times New Roman"/>
          <w:color w:val="222222"/>
          <w:sz w:val="24"/>
          <w:szCs w:val="24"/>
          <w:highlight w:val="white"/>
        </w:rPr>
        <w:t>Edeghere</w:t>
      </w:r>
      <w:proofErr w:type="spellEnd"/>
      <w:r>
        <w:rPr>
          <w:rFonts w:ascii="Times New Roman" w:hAnsi="Times New Roman" w:cs="Times New Roman"/>
          <w:color w:val="222222"/>
          <w:sz w:val="24"/>
          <w:szCs w:val="24"/>
          <w:highlight w:val="white"/>
        </w:rPr>
        <w:t xml:space="preserve">, O., Florence, I. and Logan, S., 2022. Community transmission of monkeypox in the United Kingdom, April to May 2022. </w:t>
      </w:r>
      <w:r>
        <w:rPr>
          <w:rFonts w:ascii="Times New Roman" w:hAnsi="Times New Roman" w:cs="Times New Roman"/>
          <w:i/>
          <w:color w:val="222222"/>
          <w:sz w:val="24"/>
          <w:szCs w:val="24"/>
          <w:highlight w:val="white"/>
        </w:rPr>
        <w:t>Eurosurveillance</w:t>
      </w:r>
      <w:r>
        <w:rPr>
          <w:rFonts w:ascii="Times New Roman" w:hAnsi="Times New Roman" w:cs="Times New Roman"/>
          <w:color w:val="222222"/>
          <w:sz w:val="24"/>
          <w:szCs w:val="24"/>
          <w:highlight w:val="white"/>
        </w:rPr>
        <w:t xml:space="preserve">, </w:t>
      </w:r>
      <w:r>
        <w:rPr>
          <w:rFonts w:ascii="Times New Roman" w:hAnsi="Times New Roman" w:cs="Times New Roman"/>
          <w:i/>
          <w:color w:val="222222"/>
          <w:sz w:val="24"/>
          <w:szCs w:val="24"/>
          <w:highlight w:val="white"/>
        </w:rPr>
        <w:t>27</w:t>
      </w:r>
      <w:r>
        <w:rPr>
          <w:rFonts w:ascii="Times New Roman" w:hAnsi="Times New Roman" w:cs="Times New Roman"/>
          <w:color w:val="222222"/>
          <w:sz w:val="24"/>
          <w:szCs w:val="24"/>
          <w:highlight w:val="white"/>
        </w:rPr>
        <w:t>(22), p.2200422.</w:t>
      </w:r>
    </w:p>
    <w:p w14:paraId="020E22C9" w14:textId="77777777" w:rsidR="00532F6A" w:rsidRDefault="00000000">
      <w:pPr>
        <w:spacing w:line="360" w:lineRule="auto"/>
        <w:jc w:val="both"/>
        <w:rPr>
          <w:rFonts w:ascii="Times New Roman" w:hAnsi="Times New Roman" w:cs="Times New Roman"/>
          <w:color w:val="222222"/>
          <w:sz w:val="24"/>
          <w:szCs w:val="24"/>
          <w:highlight w:val="white"/>
        </w:rPr>
      </w:pPr>
      <w:proofErr w:type="spellStart"/>
      <w:r>
        <w:rPr>
          <w:rFonts w:ascii="Times New Roman" w:hAnsi="Times New Roman" w:cs="Times New Roman"/>
          <w:color w:val="222222"/>
          <w:sz w:val="24"/>
          <w:szCs w:val="24"/>
          <w:highlight w:val="white"/>
        </w:rPr>
        <w:t>Yakubi</w:t>
      </w:r>
      <w:proofErr w:type="spellEnd"/>
      <w:r>
        <w:rPr>
          <w:rFonts w:ascii="Times New Roman" w:hAnsi="Times New Roman" w:cs="Times New Roman"/>
          <w:color w:val="222222"/>
          <w:sz w:val="24"/>
          <w:szCs w:val="24"/>
          <w:highlight w:val="white"/>
        </w:rPr>
        <w:t xml:space="preserve">, Y.A.Y., Basuki, B., </w:t>
      </w:r>
      <w:proofErr w:type="spellStart"/>
      <w:r>
        <w:rPr>
          <w:rFonts w:ascii="Times New Roman" w:hAnsi="Times New Roman" w:cs="Times New Roman"/>
          <w:color w:val="222222"/>
          <w:sz w:val="24"/>
          <w:szCs w:val="24"/>
          <w:highlight w:val="white"/>
        </w:rPr>
        <w:t>Purwono</w:t>
      </w:r>
      <w:proofErr w:type="spellEnd"/>
      <w:r>
        <w:rPr>
          <w:rFonts w:ascii="Times New Roman" w:hAnsi="Times New Roman" w:cs="Times New Roman"/>
          <w:color w:val="222222"/>
          <w:sz w:val="24"/>
          <w:szCs w:val="24"/>
          <w:highlight w:val="white"/>
        </w:rPr>
        <w:t xml:space="preserve">, R. and Usman, I., 2022. The impact of digital technology and business regulations on financial inclusion and socio-economic development in low-income countries. </w:t>
      </w:r>
      <w:r>
        <w:rPr>
          <w:rFonts w:ascii="Times New Roman" w:hAnsi="Times New Roman" w:cs="Times New Roman"/>
          <w:i/>
          <w:color w:val="222222"/>
          <w:sz w:val="24"/>
          <w:szCs w:val="24"/>
          <w:highlight w:val="white"/>
        </w:rPr>
        <w:t>Sage Open</w:t>
      </w:r>
      <w:r>
        <w:rPr>
          <w:rFonts w:ascii="Times New Roman" w:hAnsi="Times New Roman" w:cs="Times New Roman"/>
          <w:color w:val="222222"/>
          <w:sz w:val="24"/>
          <w:szCs w:val="24"/>
          <w:highlight w:val="white"/>
        </w:rPr>
        <w:t xml:space="preserve">, </w:t>
      </w:r>
      <w:r>
        <w:rPr>
          <w:rFonts w:ascii="Times New Roman" w:hAnsi="Times New Roman" w:cs="Times New Roman"/>
          <w:i/>
          <w:color w:val="222222"/>
          <w:sz w:val="24"/>
          <w:szCs w:val="24"/>
          <w:highlight w:val="white"/>
        </w:rPr>
        <w:t>12</w:t>
      </w:r>
      <w:r>
        <w:rPr>
          <w:rFonts w:ascii="Times New Roman" w:hAnsi="Times New Roman" w:cs="Times New Roman"/>
          <w:color w:val="222222"/>
          <w:sz w:val="24"/>
          <w:szCs w:val="24"/>
          <w:highlight w:val="white"/>
        </w:rPr>
        <w:t>(3), p.21582440221116112.</w:t>
      </w:r>
    </w:p>
    <w:sectPr w:rsidR="00532F6A">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61CA2" w14:textId="77777777" w:rsidR="00BA2172" w:rsidRDefault="00BA2172">
      <w:pPr>
        <w:spacing w:line="240" w:lineRule="auto"/>
      </w:pPr>
      <w:r>
        <w:separator/>
      </w:r>
    </w:p>
  </w:endnote>
  <w:endnote w:type="continuationSeparator" w:id="0">
    <w:p w14:paraId="0358A848" w14:textId="77777777" w:rsidR="00BA2172" w:rsidRDefault="00BA21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4786196"/>
      <w:docPartObj>
        <w:docPartGallery w:val="AutoText"/>
      </w:docPartObj>
    </w:sdtPr>
    <w:sdtEndPr>
      <w:rPr>
        <w:rFonts w:ascii="Times New Roman" w:hAnsi="Times New Roman" w:cs="Times New Roman"/>
        <w:sz w:val="20"/>
        <w:szCs w:val="20"/>
      </w:rPr>
    </w:sdtEndPr>
    <w:sdtContent>
      <w:p w14:paraId="11BBD424" w14:textId="77777777" w:rsidR="00532F6A" w:rsidRDefault="00000000">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2</w:t>
        </w:r>
        <w:r>
          <w:rPr>
            <w:rFonts w:ascii="Times New Roman" w:hAnsi="Times New Roman" w:cs="Times New Roman"/>
            <w:sz w:val="20"/>
            <w:szCs w:val="20"/>
          </w:rPr>
          <w:fldChar w:fldCharType="end"/>
        </w:r>
      </w:p>
    </w:sdtContent>
  </w:sdt>
  <w:p w14:paraId="6DC61D13" w14:textId="77777777" w:rsidR="00532F6A" w:rsidRDefault="00532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C382F" w14:textId="77777777" w:rsidR="00BA2172" w:rsidRDefault="00BA2172">
      <w:r>
        <w:separator/>
      </w:r>
    </w:p>
  </w:footnote>
  <w:footnote w:type="continuationSeparator" w:id="0">
    <w:p w14:paraId="1420AFC6" w14:textId="77777777" w:rsidR="00BA2172" w:rsidRDefault="00BA21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325462"/>
    <w:multiLevelType w:val="multilevel"/>
    <w:tmpl w:val="713254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78286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KxNDQ2sTCyMDAwMTZQ0lEKTi0uzszPAykwrAUAk1os3SwAAAA="/>
  </w:docVars>
  <w:rsids>
    <w:rsidRoot w:val="003B051D"/>
    <w:rsid w:val="000D7471"/>
    <w:rsid w:val="000E6BFB"/>
    <w:rsid w:val="003A6FE7"/>
    <w:rsid w:val="003B051D"/>
    <w:rsid w:val="00532F6A"/>
    <w:rsid w:val="005B5396"/>
    <w:rsid w:val="00642334"/>
    <w:rsid w:val="007E5032"/>
    <w:rsid w:val="00836F56"/>
    <w:rsid w:val="009C59CE"/>
    <w:rsid w:val="00B11D34"/>
    <w:rsid w:val="00BA2172"/>
    <w:rsid w:val="00F65B4F"/>
    <w:rsid w:val="5E093A02"/>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B0E1A"/>
  <w15:docId w15:val="{EBE8A4E1-23B1-4903-A10D-392FBA161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line="276" w:lineRule="auto"/>
    </w:pPr>
    <w:rPr>
      <w:sz w:val="22"/>
      <w:szCs w:val="22"/>
      <w:lang w:val="en" w:eastAsia="en-IN"/>
    </w:rPr>
  </w:style>
  <w:style w:type="paragraph" w:styleId="Heading1">
    <w:name w:val="heading 1"/>
    <w:basedOn w:val="Normal"/>
    <w:next w:val="Normal"/>
    <w:pPr>
      <w:keepNext/>
      <w:keepLines/>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styleId="Header">
    <w:name w:val="header"/>
    <w:basedOn w:val="Normal"/>
    <w:link w:val="HeaderChar"/>
    <w:uiPriority w:val="99"/>
    <w:unhideWhenUsed/>
    <w:pPr>
      <w:tabs>
        <w:tab w:val="center" w:pos="4513"/>
        <w:tab w:val="right" w:pos="9026"/>
      </w:tabs>
      <w:spacing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paragraph" w:styleId="TOC1">
    <w:name w:val="toc 1"/>
    <w:basedOn w:val="Normal"/>
    <w:next w:val="Normal"/>
    <w:autoRedefine/>
    <w:uiPriority w:val="39"/>
    <w:unhideWhenUsed/>
    <w:pPr>
      <w:spacing w:after="100"/>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assets.ce.columbia.edu/pdf/actu/actu-uk.pdf" TargetMode="External"/><Relationship Id="rId13" Type="http://schemas.openxmlformats.org/officeDocument/2006/relationships/hyperlink" Target="https://www.ons.gov.uk/economy/grossdomesticproductgdp/bulletins/gdpfirstquarterlyestimateuk/octobertodecember202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economy/inflationandpriceindices/bulletins/consumerpriceinflation/december202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governance.co.uk/cybersecurity-standards" TargetMode="External"/><Relationship Id="rId5" Type="http://schemas.openxmlformats.org/officeDocument/2006/relationships/webSettings" Target="webSettings.xml"/><Relationship Id="rId15" Type="http://schemas.openxmlformats.org/officeDocument/2006/relationships/hyperlink" Target="https://www.staticsystems.co.uk/work-with-us/" TargetMode="External"/><Relationship Id="rId10" Type="http://schemas.openxmlformats.org/officeDocument/2006/relationships/hyperlink" Target="https://www.investopedia.com/articles/economics/08/recession-affecting-business.asp" TargetMode="External"/><Relationship Id="rId4" Type="http://schemas.openxmlformats.org/officeDocument/2006/relationships/settings" Target="settings.xml"/><Relationship Id="rId9" Type="http://schemas.openxmlformats.org/officeDocument/2006/relationships/hyperlink" Target="https://www.england.nhs.uk/future-of-human-resources-and-organisational-development/the-future-of-nhs-human-resources-and-organisational-development-report/evolving-to-meet-a-changing-world/" TargetMode="External"/><Relationship Id="rId14" Type="http://schemas.openxmlformats.org/officeDocument/2006/relationships/hyperlink" Target="https://www.staticsystems.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6B6BC-6498-4F4C-B544-0609A750E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2368</Words>
  <Characters>13500</Characters>
  <Application>Microsoft Office Word</Application>
  <DocSecurity>0</DocSecurity>
  <Lines>112</Lines>
  <Paragraphs>31</Paragraphs>
  <ScaleCrop>false</ScaleCrop>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hermeneanu</cp:lastModifiedBy>
  <cp:revision>2</cp:revision>
  <dcterms:created xsi:type="dcterms:W3CDTF">2024-06-10T10:52:00Z</dcterms:created>
  <dcterms:modified xsi:type="dcterms:W3CDTF">2024-07-17T17:46:00Z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1d46ad77e6194ed936f60c34b75e7c5029b15d1b36c2ba5fbb3dfeefa2a704a7</vt:lpwstr>
  </property>
  <property fmtid="{D5CDD505-2E9C-101B-9397-08002B2CF9AE}" pid="3" name="KSOProductBuildVer">
    <vt:lpwstr>1033-12.2.0.17119</vt:lpwstr>
  </property>
  <property fmtid="{D5CDD505-2E9C-101B-9397-08002B2CF9AE}" pid="4" name="ICV">
    <vt:lpwstr>3A19E6F22DFA44BF81F616247317E791_12</vt:lpwstr>
  </property>
</Properties>
</file>