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56F1D" w:rsidRPr="00B16639" w:rsidRDefault="00756F1D" w:rsidP="00756F1D">
      <w:pPr>
        <w:spacing w:after="0"/>
        <w:rPr>
          <w:b/>
          <w:i/>
        </w:rPr>
      </w:pPr>
      <w:r w:rsidRPr="00B16639">
        <w:rPr>
          <w:b/>
          <w:i/>
        </w:rPr>
        <w:t>How did the cult of Asclepius arrive in Athens?</w:t>
      </w:r>
      <w:r>
        <w:rPr>
          <w:b/>
          <w:i/>
        </w:rPr>
        <w:t xml:space="preserve"> (500 Words) Due in on Wednesday 3</w:t>
      </w:r>
      <w:r w:rsidRPr="0084152E">
        <w:rPr>
          <w:b/>
          <w:i/>
          <w:vertAlign w:val="superscript"/>
        </w:rPr>
        <w:t>rd</w:t>
      </w:r>
      <w:r>
        <w:rPr>
          <w:b/>
          <w:i/>
        </w:rPr>
        <w:t xml:space="preserve"> October 2018</w:t>
      </w:r>
    </w:p>
    <w:p w:rsidR="00301CBD" w:rsidRDefault="00301CBD" w:rsidP="00756F1D">
      <w:pPr>
        <w:spacing w:after="0"/>
      </w:pPr>
    </w:p>
    <w:p w:rsidR="005B5F41" w:rsidRDefault="000D7B65" w:rsidP="00756F1D">
      <w:pPr>
        <w:spacing w:after="0"/>
      </w:pPr>
      <w:r>
        <w:t xml:space="preserve">In both the </w:t>
      </w:r>
      <w:r w:rsidR="005C0993">
        <w:t>Archaic</w:t>
      </w:r>
      <w:r>
        <w:t xml:space="preserve"> and the </w:t>
      </w:r>
      <w:r w:rsidR="005C0993">
        <w:t>Classical period</w:t>
      </w:r>
      <w:r>
        <w:t xml:space="preserve"> an introduction of a new </w:t>
      </w:r>
      <w:r w:rsidR="005A59CE">
        <w:t>deity</w:t>
      </w:r>
      <w:r>
        <w:t xml:space="preserve"> was common practice, often as a reaction to an event or </w:t>
      </w:r>
      <w:r w:rsidR="005A59CE">
        <w:t>to an Oracle</w:t>
      </w:r>
      <w:r w:rsidR="007B20AB">
        <w:t>’</w:t>
      </w:r>
      <w:r w:rsidR="005A59CE">
        <w:t xml:space="preserve">s prophecy. This introduction </w:t>
      </w:r>
      <w:r w:rsidR="005C0993">
        <w:t>was sometimes just of the rights or</w:t>
      </w:r>
      <w:r w:rsidR="007B20AB">
        <w:t xml:space="preserve"> even perhaps a physical statue; but in this essay I will be identifying the major factors in how the cult of Asclepius in particular came to arrive in Athens.</w:t>
      </w:r>
    </w:p>
    <w:p w:rsidR="000825D4" w:rsidRDefault="000825D4" w:rsidP="00756F1D">
      <w:pPr>
        <w:spacing w:after="0"/>
      </w:pPr>
    </w:p>
    <w:p w:rsidR="00D63F34" w:rsidRDefault="00C025A3" w:rsidP="00756F1D">
      <w:pPr>
        <w:spacing w:after="0"/>
      </w:pPr>
      <w:r>
        <w:t>The cult of Asclepius was the name given to the dev</w:t>
      </w:r>
      <w:r w:rsidR="00694AB3">
        <w:t>ou</w:t>
      </w:r>
      <w:r>
        <w:t>t worshippers of Asclepius, but its origins suggest it had developed from and branched out of a ‘</w:t>
      </w:r>
      <w:r w:rsidR="00694AB3">
        <w:t>pre-existing</w:t>
      </w:r>
      <w:r>
        <w:t xml:space="preserve"> cult of Apollo’.</w:t>
      </w:r>
      <w:r>
        <w:rPr>
          <w:rStyle w:val="FootnoteReference"/>
        </w:rPr>
        <w:footnoteReference w:id="1"/>
      </w:r>
      <w:r>
        <w:t xml:space="preserve"> </w:t>
      </w:r>
      <w:r w:rsidR="000D7B65">
        <w:t>Asclepius</w:t>
      </w:r>
      <w:r w:rsidR="005C0993">
        <w:t xml:space="preserve"> (also spelt </w:t>
      </w:r>
      <w:proofErr w:type="spellStart"/>
      <w:r w:rsidR="005C0993">
        <w:t>Asklepios</w:t>
      </w:r>
      <w:proofErr w:type="spellEnd"/>
      <w:r w:rsidR="005C0993">
        <w:t>)</w:t>
      </w:r>
      <w:r w:rsidR="000D7B65">
        <w:t xml:space="preserve"> was </w:t>
      </w:r>
      <w:r w:rsidR="005C0993">
        <w:t xml:space="preserve">said to have been </w:t>
      </w:r>
      <w:r w:rsidR="000D7B65">
        <w:t xml:space="preserve">the </w:t>
      </w:r>
      <w:r w:rsidR="00694AB3">
        <w:t>god of medicine/</w:t>
      </w:r>
      <w:r w:rsidR="00B13426">
        <w:t>healing</w:t>
      </w:r>
      <w:r w:rsidR="00694AB3">
        <w:t xml:space="preserve"> and son to Apollo</w:t>
      </w:r>
      <w:r w:rsidR="005C0993">
        <w:t xml:space="preserve"> and a human </w:t>
      </w:r>
      <w:bookmarkStart w:id="0" w:name="_GoBack"/>
      <w:bookmarkEnd w:id="0"/>
      <w:r w:rsidR="00A675BC">
        <w:t>female</w:t>
      </w:r>
      <w:r w:rsidR="005C0993">
        <w:rPr>
          <w:rStyle w:val="FootnoteReference"/>
        </w:rPr>
        <w:footnoteReference w:id="2"/>
      </w:r>
      <w:r w:rsidR="00A675BC">
        <w:t>.</w:t>
      </w:r>
    </w:p>
    <w:p w:rsidR="000825D4" w:rsidRDefault="000825D4" w:rsidP="00756F1D">
      <w:pPr>
        <w:spacing w:after="0"/>
      </w:pPr>
    </w:p>
    <w:p w:rsidR="00F738DA" w:rsidRDefault="00F738DA" w:rsidP="00F738DA">
      <w:pPr>
        <w:spacing w:after="0"/>
      </w:pPr>
      <w:r>
        <w:t>Within Athens t</w:t>
      </w:r>
      <w:r w:rsidR="007B20AB">
        <w:t>here is an inscription known as the ‘</w:t>
      </w:r>
      <w:proofErr w:type="spellStart"/>
      <w:r w:rsidR="007B20AB">
        <w:t>Monumnet</w:t>
      </w:r>
      <w:proofErr w:type="spellEnd"/>
      <w:r w:rsidR="007B20AB">
        <w:t xml:space="preserve"> of </w:t>
      </w:r>
      <w:proofErr w:type="spellStart"/>
      <w:r w:rsidR="007B20AB">
        <w:t>Telemachos</w:t>
      </w:r>
      <w:proofErr w:type="spellEnd"/>
      <w:r w:rsidR="007B20AB">
        <w:t>’</w:t>
      </w:r>
      <w:r>
        <w:rPr>
          <w:rStyle w:val="FootnoteReference"/>
        </w:rPr>
        <w:footnoteReference w:id="3"/>
      </w:r>
      <w:r>
        <w:t xml:space="preserve"> which provides an overview as to the </w:t>
      </w:r>
      <w:proofErr w:type="spellStart"/>
      <w:r>
        <w:t>Asklepieion’s</w:t>
      </w:r>
      <w:proofErr w:type="spellEnd"/>
      <w:r>
        <w:t xml:space="preserve"> construction in 420/419 BCE and the early stages of its inception. The inscription references ‘something’ being brought to Athens via a wagon; as part of the text is missing it can only be speculated what it was but it is most likely either a statue of </w:t>
      </w:r>
      <w:proofErr w:type="spellStart"/>
      <w:r>
        <w:t>Asclepion</w:t>
      </w:r>
      <w:proofErr w:type="spellEnd"/>
      <w:r>
        <w:t xml:space="preserve"> himself or a snake, which was considered to be an animal sacred to the god. </w:t>
      </w:r>
      <w:r>
        <w:rPr>
          <w:rStyle w:val="FootnoteReference"/>
        </w:rPr>
        <w:footnoteReference w:id="4"/>
      </w:r>
    </w:p>
    <w:p w:rsidR="000825D4" w:rsidRDefault="00632021" w:rsidP="007A4A74">
      <w:pPr>
        <w:spacing w:after="0"/>
      </w:pPr>
      <w:r>
        <w:t xml:space="preserve">In regards to where </w:t>
      </w:r>
      <w:proofErr w:type="spellStart"/>
      <w:r>
        <w:t>Telemachos</w:t>
      </w:r>
      <w:proofErr w:type="spellEnd"/>
      <w:r>
        <w:t xml:space="preserve"> ‘brought </w:t>
      </w:r>
      <w:proofErr w:type="spellStart"/>
      <w:r>
        <w:t>Ascelpius</w:t>
      </w:r>
      <w:proofErr w:type="spellEnd"/>
      <w:r>
        <w:t xml:space="preserve"> from’</w:t>
      </w:r>
      <w:r w:rsidR="00554CE0">
        <w:t>,</w:t>
      </w:r>
      <w:r w:rsidR="007A4A74">
        <w:t xml:space="preserve"> there is no written record to have survived as so it is up for academic debate. The ‘Monument of </w:t>
      </w:r>
      <w:proofErr w:type="spellStart"/>
      <w:r w:rsidR="007A4A74">
        <w:t>Telemachos</w:t>
      </w:r>
      <w:proofErr w:type="spellEnd"/>
      <w:r w:rsidR="007A4A74">
        <w:t>’ mentions</w:t>
      </w:r>
      <w:r w:rsidR="00E559E8">
        <w:t xml:space="preserve"> </w:t>
      </w:r>
      <w:proofErr w:type="spellStart"/>
      <w:r w:rsidR="00E559E8">
        <w:t>Zea</w:t>
      </w:r>
      <w:proofErr w:type="spellEnd"/>
      <w:r w:rsidR="00554CE0">
        <w:rPr>
          <w:rStyle w:val="FootnoteReference"/>
        </w:rPr>
        <w:footnoteReference w:id="5"/>
      </w:r>
      <w:r w:rsidR="007A4A74">
        <w:t xml:space="preserve">, which is a harbour </w:t>
      </w:r>
      <w:r w:rsidR="00E559E8">
        <w:t>in Pirae</w:t>
      </w:r>
      <w:r w:rsidR="00554CE0">
        <w:t>us</w:t>
      </w:r>
      <w:r w:rsidR="007A4A74">
        <w:t>; the more likely argument would be that Asclepius’ influence was brought by ship from Epidaurus,</w:t>
      </w:r>
      <w:r w:rsidR="00554CE0">
        <w:t xml:space="preserve"> which was said to have been Asclepius’ birthplace and contained his major sanctuary within Greece. </w:t>
      </w:r>
      <w:proofErr w:type="spellStart"/>
      <w:r w:rsidR="00554CE0">
        <w:t>Wickkiser</w:t>
      </w:r>
      <w:proofErr w:type="spellEnd"/>
      <w:r w:rsidR="00554CE0">
        <w:t xml:space="preserve"> however, suggests that the sanctuary in Piraeus</w:t>
      </w:r>
      <w:r w:rsidR="00554CE0">
        <w:rPr>
          <w:rStyle w:val="FootnoteReference"/>
        </w:rPr>
        <w:footnoteReference w:id="6"/>
      </w:r>
      <w:r w:rsidR="007A4A74">
        <w:t xml:space="preserve"> could have already existed during this time</w:t>
      </w:r>
      <w:r w:rsidR="00160867">
        <w:rPr>
          <w:rStyle w:val="FootnoteReference"/>
        </w:rPr>
        <w:footnoteReference w:id="7"/>
      </w:r>
      <w:r w:rsidR="007A4A74">
        <w:t xml:space="preserve"> and thus could possibly have been where </w:t>
      </w:r>
      <w:proofErr w:type="spellStart"/>
      <w:r w:rsidR="007A4A74">
        <w:t>Telechamos</w:t>
      </w:r>
      <w:proofErr w:type="spellEnd"/>
      <w:r w:rsidR="007A4A74">
        <w:t xml:space="preserve"> ‘brought Asclepius from’, however she does however </w:t>
      </w:r>
      <w:r w:rsidR="00160867">
        <w:t>concede</w:t>
      </w:r>
      <w:r w:rsidR="007A4A74">
        <w:t xml:space="preserve"> that there is little</w:t>
      </w:r>
      <w:r w:rsidR="00160867">
        <w:t xml:space="preserve"> to no</w:t>
      </w:r>
      <w:r w:rsidR="007A4A74">
        <w:t xml:space="preserve"> evid</w:t>
      </w:r>
      <w:r w:rsidR="00160867">
        <w:t>ence to support this hypothesis</w:t>
      </w:r>
      <w:r w:rsidR="00160867">
        <w:rPr>
          <w:rStyle w:val="FootnoteReference"/>
        </w:rPr>
        <w:footnoteReference w:id="8"/>
      </w:r>
      <w:r w:rsidR="00160867">
        <w:t>, as is there is the situation in both cases.</w:t>
      </w:r>
    </w:p>
    <w:p w:rsidR="00756F1D" w:rsidRDefault="00756F1D" w:rsidP="00756F1D">
      <w:pPr>
        <w:spacing w:after="0"/>
      </w:pPr>
    </w:p>
    <w:p w:rsidR="00F40EE6" w:rsidRDefault="00F40EE6" w:rsidP="00756F1D">
      <w:pPr>
        <w:spacing w:after="0"/>
      </w:pPr>
      <w:r>
        <w:t>Much of the information found in th</w:t>
      </w:r>
      <w:r w:rsidR="00160867">
        <w:t>e</w:t>
      </w:r>
      <w:r>
        <w:t xml:space="preserve"> inscriptions has only just become accessible to the masses, with </w:t>
      </w:r>
      <w:r w:rsidR="00160867">
        <w:t>translations of them having</w:t>
      </w:r>
      <w:r>
        <w:t xml:space="preserve"> come into being within th</w:t>
      </w:r>
      <w:r w:rsidR="00160867">
        <w:t>e last decade or so. Whilst these translations do</w:t>
      </w:r>
      <w:r>
        <w:t xml:space="preserve"> allow us </w:t>
      </w:r>
      <w:r w:rsidR="00160867">
        <w:t xml:space="preserve">a </w:t>
      </w:r>
      <w:r>
        <w:t>greater insight into the past than before</w:t>
      </w:r>
      <w:r w:rsidR="00160867">
        <w:t>, there is much information still</w:t>
      </w:r>
      <w:r>
        <w:t xml:space="preserve"> missing to us. Throughout the centuries</w:t>
      </w:r>
      <w:r w:rsidR="00160867">
        <w:t xml:space="preserve"> the</w:t>
      </w:r>
      <w:r>
        <w:t xml:space="preserve"> monuments and other such works have been worn away at by the elements and as such have had words and sentences corroded away. This in itself can be quite problematic as the editors have had to attempt to provide the missing information by what is granted to them by the rest of the inscription. In this instance there are several lines throughout inscription IGII</w:t>
      </w:r>
      <w:r>
        <w:rPr>
          <w:vertAlign w:val="superscript"/>
        </w:rPr>
        <w:t>2</w:t>
      </w:r>
      <w:r>
        <w:t xml:space="preserve"> that are missing, preventing the reader from getting a more complete image on the foundation of this sanctuary.</w:t>
      </w:r>
    </w:p>
    <w:p w:rsidR="00160867" w:rsidRDefault="00160867" w:rsidP="00756F1D">
      <w:pPr>
        <w:spacing w:after="0"/>
      </w:pPr>
    </w:p>
    <w:p w:rsidR="00160867" w:rsidRDefault="00160867" w:rsidP="00756F1D">
      <w:pPr>
        <w:spacing w:after="0"/>
      </w:pPr>
    </w:p>
    <w:p w:rsidR="00160867" w:rsidRDefault="00160867" w:rsidP="00756F1D">
      <w:pPr>
        <w:spacing w:after="0"/>
      </w:pPr>
    </w:p>
    <w:p w:rsidR="00160867" w:rsidRPr="00276EC9" w:rsidRDefault="00160867" w:rsidP="00160867">
      <w:pPr>
        <w:spacing w:after="0"/>
        <w:jc w:val="center"/>
        <w:rPr>
          <w:b/>
          <w:u w:val="single"/>
        </w:rPr>
      </w:pPr>
      <w:r w:rsidRPr="00276EC9">
        <w:rPr>
          <w:b/>
          <w:u w:val="single"/>
        </w:rPr>
        <w:lastRenderedPageBreak/>
        <w:t>Bibliography</w:t>
      </w:r>
    </w:p>
    <w:p w:rsidR="00160867" w:rsidRPr="00276EC9" w:rsidRDefault="00160867" w:rsidP="00160867">
      <w:pPr>
        <w:spacing w:after="0"/>
        <w:rPr>
          <w:b/>
        </w:rPr>
      </w:pPr>
      <w:r w:rsidRPr="00276EC9">
        <w:rPr>
          <w:b/>
        </w:rPr>
        <w:t>Modern Sources:</w:t>
      </w:r>
    </w:p>
    <w:p w:rsidR="00160867" w:rsidRPr="002F26EB" w:rsidRDefault="00160867" w:rsidP="00160867">
      <w:pPr>
        <w:spacing w:after="0"/>
        <w:rPr>
          <w:rFonts w:cs="Helvetica"/>
          <w:shd w:val="clear" w:color="auto" w:fill="FFFFFF"/>
        </w:rPr>
      </w:pPr>
      <w:proofErr w:type="gramStart"/>
      <w:r w:rsidRPr="002F26EB">
        <w:rPr>
          <w:rFonts w:cs="Helvetica"/>
          <w:shd w:val="clear" w:color="auto" w:fill="FFFFFF"/>
        </w:rPr>
        <w:t>Compton, M. (1998).</w:t>
      </w:r>
      <w:proofErr w:type="gramEnd"/>
      <w:r w:rsidRPr="002F26EB">
        <w:rPr>
          <w:rFonts w:cs="Helvetica"/>
          <w:shd w:val="clear" w:color="auto" w:fill="FFFFFF"/>
        </w:rPr>
        <w:t xml:space="preserve"> </w:t>
      </w:r>
      <w:proofErr w:type="gramStart"/>
      <w:r w:rsidRPr="002F26EB">
        <w:rPr>
          <w:rFonts w:cs="Helvetica"/>
          <w:shd w:val="clear" w:color="auto" w:fill="FFFFFF"/>
        </w:rPr>
        <w:t xml:space="preserve">The Union of Religion and Health in Ancient </w:t>
      </w:r>
      <w:proofErr w:type="spellStart"/>
      <w:r w:rsidRPr="002F26EB">
        <w:rPr>
          <w:rFonts w:cs="Helvetica"/>
          <w:shd w:val="clear" w:color="auto" w:fill="FFFFFF"/>
        </w:rPr>
        <w:t>Asklepieia</w:t>
      </w:r>
      <w:proofErr w:type="spellEnd"/>
      <w:r w:rsidRPr="002F26EB">
        <w:rPr>
          <w:rFonts w:cs="Helvetica"/>
          <w:shd w:val="clear" w:color="auto" w:fill="FFFFFF"/>
        </w:rPr>
        <w:t>.</w:t>
      </w:r>
      <w:proofErr w:type="gramEnd"/>
      <w:r w:rsidRPr="002F26EB">
        <w:rPr>
          <w:rFonts w:cs="Helvetica"/>
          <w:shd w:val="clear" w:color="auto" w:fill="FFFFFF"/>
        </w:rPr>
        <w:t> </w:t>
      </w:r>
      <w:r w:rsidRPr="002F26EB">
        <w:rPr>
          <w:rFonts w:cs="Helvetica"/>
          <w:i/>
          <w:iCs/>
          <w:shd w:val="clear" w:color="auto" w:fill="FFFFFF"/>
        </w:rPr>
        <w:t>Journal of Religion and Health,</w:t>
      </w:r>
      <w:r w:rsidRPr="002F26EB">
        <w:rPr>
          <w:rFonts w:cs="Helvetica"/>
          <w:shd w:val="clear" w:color="auto" w:fill="FFFFFF"/>
        </w:rPr>
        <w:t> </w:t>
      </w:r>
      <w:r w:rsidRPr="002F26EB">
        <w:rPr>
          <w:rFonts w:cs="Helvetica"/>
          <w:i/>
          <w:iCs/>
          <w:shd w:val="clear" w:color="auto" w:fill="FFFFFF"/>
        </w:rPr>
        <w:t>37</w:t>
      </w:r>
      <w:r w:rsidRPr="002F26EB">
        <w:rPr>
          <w:rFonts w:cs="Helvetica"/>
          <w:shd w:val="clear" w:color="auto" w:fill="FFFFFF"/>
        </w:rPr>
        <w:t>(4), 301-312.</w:t>
      </w:r>
    </w:p>
    <w:p w:rsidR="00160867" w:rsidRDefault="00160867" w:rsidP="00160867">
      <w:pPr>
        <w:spacing w:after="0"/>
      </w:pPr>
      <w:proofErr w:type="spellStart"/>
      <w:r>
        <w:t>Wickkiser</w:t>
      </w:r>
      <w:proofErr w:type="spellEnd"/>
      <w:r>
        <w:t xml:space="preserve">, B (2008) </w:t>
      </w:r>
      <w:proofErr w:type="spellStart"/>
      <w:r>
        <w:rPr>
          <w:i/>
        </w:rPr>
        <w:t>Asklepios</w:t>
      </w:r>
      <w:proofErr w:type="spellEnd"/>
      <w:r>
        <w:rPr>
          <w:i/>
        </w:rPr>
        <w:t>, Medicine, and the politics of Healing in Fifth-Century Greece: Between Craft and Cult.</w:t>
      </w:r>
      <w:r>
        <w:t xml:space="preserve"> Baltimore: John Hopkins University Press.</w:t>
      </w:r>
    </w:p>
    <w:p w:rsidR="00160867" w:rsidRDefault="00160867" w:rsidP="00160867">
      <w:pPr>
        <w:spacing w:after="0"/>
      </w:pPr>
    </w:p>
    <w:p w:rsidR="00160867" w:rsidRPr="00276EC9" w:rsidRDefault="00160867" w:rsidP="00160867">
      <w:pPr>
        <w:spacing w:after="0"/>
        <w:rPr>
          <w:b/>
        </w:rPr>
      </w:pPr>
      <w:r w:rsidRPr="00276EC9">
        <w:rPr>
          <w:b/>
        </w:rPr>
        <w:t>Ancient Sources:</w:t>
      </w:r>
    </w:p>
    <w:p w:rsidR="00160867" w:rsidRDefault="00160867" w:rsidP="00160867">
      <w:pPr>
        <w:spacing w:after="0"/>
      </w:pPr>
      <w:proofErr w:type="gramStart"/>
      <w:r>
        <w:t>IGII</w:t>
      </w:r>
      <w:r>
        <w:rPr>
          <w:vertAlign w:val="superscript"/>
        </w:rPr>
        <w:t>2</w:t>
      </w:r>
      <w:r>
        <w:t xml:space="preserve"> 4960.</w:t>
      </w:r>
      <w:proofErr w:type="gramEnd"/>
      <w:r>
        <w:t xml:space="preserve"> </w:t>
      </w:r>
      <w:proofErr w:type="gramStart"/>
      <w:r>
        <w:t xml:space="preserve">Stephen Lambert &amp; </w:t>
      </w:r>
      <w:proofErr w:type="spellStart"/>
      <w:r>
        <w:t>Feyo</w:t>
      </w:r>
      <w:proofErr w:type="spellEnd"/>
      <w:r>
        <w:t xml:space="preserve"> </w:t>
      </w:r>
      <w:proofErr w:type="spellStart"/>
      <w:r>
        <w:t>Schuddeboom</w:t>
      </w:r>
      <w:proofErr w:type="spellEnd"/>
      <w:r>
        <w:t xml:space="preserve"> (trans.) Attic Inscriptions Online.</w:t>
      </w:r>
      <w:proofErr w:type="gramEnd"/>
      <w:r>
        <w:t xml:space="preserve"> </w:t>
      </w:r>
      <w:hyperlink r:id="rId8" w:history="1">
        <w:r w:rsidRPr="003F05BF">
          <w:rPr>
            <w:rStyle w:val="Hyperlink"/>
          </w:rPr>
          <w:t>https://www.atticinscriptions.com/inscription/IGII2/4960-fr-a-and-b</w:t>
        </w:r>
      </w:hyperlink>
      <w:r w:rsidR="00276EC9">
        <w:t xml:space="preserve"> [Accessed 1st October 2018</w:t>
      </w:r>
      <w:r>
        <w:t>]</w:t>
      </w:r>
    </w:p>
    <w:p w:rsidR="00160867" w:rsidRPr="00DD2409" w:rsidRDefault="00160867" w:rsidP="00160867">
      <w:pPr>
        <w:spacing w:after="0"/>
      </w:pPr>
      <w:proofErr w:type="gramStart"/>
      <w:r>
        <w:t>IGII</w:t>
      </w:r>
      <w:r>
        <w:rPr>
          <w:vertAlign w:val="superscript"/>
        </w:rPr>
        <w:t xml:space="preserve">2 </w:t>
      </w:r>
      <w:r>
        <w:t>4962</w:t>
      </w:r>
      <w:r w:rsidR="00276EC9">
        <w:t>.</w:t>
      </w:r>
      <w:proofErr w:type="gramEnd"/>
      <w:r w:rsidR="00276EC9">
        <w:t xml:space="preserve"> </w:t>
      </w:r>
      <w:proofErr w:type="gramStart"/>
      <w:r w:rsidR="00276EC9">
        <w:t xml:space="preserve">Stephen Lambert &amp; </w:t>
      </w:r>
      <w:proofErr w:type="spellStart"/>
      <w:r w:rsidR="00276EC9">
        <w:t>Feyo</w:t>
      </w:r>
      <w:proofErr w:type="spellEnd"/>
      <w:r w:rsidR="00276EC9">
        <w:t xml:space="preserve"> </w:t>
      </w:r>
      <w:proofErr w:type="spellStart"/>
      <w:r w:rsidR="00276EC9">
        <w:t>Schuddeboom</w:t>
      </w:r>
      <w:proofErr w:type="spellEnd"/>
      <w:r w:rsidR="00276EC9">
        <w:t xml:space="preserve"> (trans.) Attic Inscriptions Online.</w:t>
      </w:r>
      <w:proofErr w:type="gramEnd"/>
      <w:r w:rsidR="00276EC9">
        <w:t xml:space="preserve"> </w:t>
      </w:r>
      <w:hyperlink r:id="rId9" w:history="1">
        <w:r w:rsidR="00276EC9" w:rsidRPr="003F05BF">
          <w:rPr>
            <w:rStyle w:val="Hyperlink"/>
          </w:rPr>
          <w:t>https://www.atticinscriptions.com/inscription/IGII2/4962</w:t>
        </w:r>
      </w:hyperlink>
      <w:r w:rsidR="00276EC9">
        <w:t xml:space="preserve"> [Accessed 3rd October 2018]</w:t>
      </w:r>
    </w:p>
    <w:p w:rsidR="00160867" w:rsidRDefault="00160867" w:rsidP="00160867"/>
    <w:p w:rsidR="00160867" w:rsidRDefault="00160867" w:rsidP="00160867"/>
    <w:p w:rsidR="00160867" w:rsidRDefault="00160867" w:rsidP="00160867"/>
    <w:p w:rsidR="00160867" w:rsidRPr="00F40EE6" w:rsidRDefault="00160867" w:rsidP="00756F1D">
      <w:pPr>
        <w:spacing w:after="0"/>
      </w:pPr>
    </w:p>
    <w:sectPr w:rsidR="00160867" w:rsidRPr="00F40E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7128" w:rsidRDefault="00407128" w:rsidP="005C0993">
      <w:pPr>
        <w:spacing w:after="0" w:line="240" w:lineRule="auto"/>
      </w:pPr>
      <w:r>
        <w:separator/>
      </w:r>
    </w:p>
  </w:endnote>
  <w:endnote w:type="continuationSeparator" w:id="0">
    <w:p w:rsidR="00407128" w:rsidRDefault="00407128" w:rsidP="005C0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7128" w:rsidRDefault="00407128" w:rsidP="005C0993">
      <w:pPr>
        <w:spacing w:after="0" w:line="240" w:lineRule="auto"/>
      </w:pPr>
      <w:r>
        <w:separator/>
      </w:r>
    </w:p>
  </w:footnote>
  <w:footnote w:type="continuationSeparator" w:id="0">
    <w:p w:rsidR="00407128" w:rsidRDefault="00407128" w:rsidP="005C0993">
      <w:pPr>
        <w:spacing w:after="0" w:line="240" w:lineRule="auto"/>
      </w:pPr>
      <w:r>
        <w:continuationSeparator/>
      </w:r>
    </w:p>
  </w:footnote>
  <w:footnote w:id="1">
    <w:p w:rsidR="00C025A3" w:rsidRDefault="00C025A3">
      <w:pPr>
        <w:pStyle w:val="FootnoteText"/>
      </w:pPr>
      <w:r>
        <w:rPr>
          <w:rStyle w:val="FootnoteReference"/>
        </w:rPr>
        <w:footnoteRef/>
      </w:r>
      <w:r>
        <w:t xml:space="preserve"> </w:t>
      </w:r>
      <w:proofErr w:type="spellStart"/>
      <w:r>
        <w:t>Wickkiser</w:t>
      </w:r>
      <w:proofErr w:type="spellEnd"/>
      <w:r>
        <w:t xml:space="preserve"> (2008;35)</w:t>
      </w:r>
    </w:p>
  </w:footnote>
  <w:footnote w:id="2">
    <w:p w:rsidR="005C0993" w:rsidRDefault="005C0993">
      <w:pPr>
        <w:pStyle w:val="FootnoteText"/>
      </w:pPr>
      <w:r>
        <w:rPr>
          <w:rStyle w:val="FootnoteReference"/>
        </w:rPr>
        <w:footnoteRef/>
      </w:r>
      <w:r>
        <w:t xml:space="preserve"> </w:t>
      </w:r>
      <w:proofErr w:type="spellStart"/>
      <w:r>
        <w:t>Wickkiser</w:t>
      </w:r>
      <w:proofErr w:type="spellEnd"/>
      <w:r>
        <w:t xml:space="preserve"> (</w:t>
      </w:r>
      <w:r w:rsidR="00695B6F">
        <w:t>2008</w:t>
      </w:r>
      <w:r>
        <w:t>;1)</w:t>
      </w:r>
    </w:p>
  </w:footnote>
  <w:footnote w:id="3">
    <w:p w:rsidR="00F738DA" w:rsidRPr="00F738DA" w:rsidRDefault="00F738DA">
      <w:pPr>
        <w:pStyle w:val="FootnoteText"/>
      </w:pPr>
      <w:r>
        <w:rPr>
          <w:rStyle w:val="FootnoteReference"/>
        </w:rPr>
        <w:footnoteRef/>
      </w:r>
      <w:r>
        <w:t xml:space="preserve"> IGII</w:t>
      </w:r>
      <w:r>
        <w:rPr>
          <w:vertAlign w:val="superscript"/>
        </w:rPr>
        <w:t xml:space="preserve">2 </w:t>
      </w:r>
      <w:r>
        <w:t>4960.20</w:t>
      </w:r>
    </w:p>
  </w:footnote>
  <w:footnote w:id="4">
    <w:p w:rsidR="00F738DA" w:rsidRDefault="00F738DA" w:rsidP="00F738DA">
      <w:pPr>
        <w:pStyle w:val="FootnoteText"/>
      </w:pPr>
      <w:r>
        <w:rPr>
          <w:rStyle w:val="FootnoteReference"/>
        </w:rPr>
        <w:footnoteRef/>
      </w:r>
      <w:r>
        <w:t xml:space="preserve"> Compton (1998;302)</w:t>
      </w:r>
    </w:p>
  </w:footnote>
  <w:footnote w:id="5">
    <w:p w:rsidR="00554CE0" w:rsidRDefault="00554CE0">
      <w:pPr>
        <w:pStyle w:val="FootnoteText"/>
      </w:pPr>
      <w:r>
        <w:rPr>
          <w:rStyle w:val="FootnoteReference"/>
        </w:rPr>
        <w:footnoteRef/>
      </w:r>
      <w:r>
        <w:t xml:space="preserve"> IGII</w:t>
      </w:r>
      <w:r>
        <w:rPr>
          <w:vertAlign w:val="superscript"/>
        </w:rPr>
        <w:t xml:space="preserve">2 </w:t>
      </w:r>
      <w:r>
        <w:t>4960.9</w:t>
      </w:r>
    </w:p>
  </w:footnote>
  <w:footnote w:id="6">
    <w:p w:rsidR="00554CE0" w:rsidRPr="00554CE0" w:rsidRDefault="00554CE0">
      <w:pPr>
        <w:pStyle w:val="FootnoteText"/>
      </w:pPr>
      <w:r>
        <w:rPr>
          <w:rStyle w:val="FootnoteReference"/>
        </w:rPr>
        <w:footnoteRef/>
      </w:r>
      <w:r>
        <w:t xml:space="preserve"> IGII</w:t>
      </w:r>
      <w:r>
        <w:rPr>
          <w:vertAlign w:val="superscript"/>
        </w:rPr>
        <w:t xml:space="preserve">2 </w:t>
      </w:r>
      <w:r>
        <w:t>4962</w:t>
      </w:r>
    </w:p>
  </w:footnote>
  <w:footnote w:id="7">
    <w:p w:rsidR="00160867" w:rsidRDefault="00160867">
      <w:pPr>
        <w:pStyle w:val="FootnoteText"/>
      </w:pPr>
      <w:r>
        <w:rPr>
          <w:rStyle w:val="FootnoteReference"/>
        </w:rPr>
        <w:footnoteRef/>
      </w:r>
      <w:r>
        <w:t xml:space="preserve"> </w:t>
      </w:r>
      <w:proofErr w:type="spellStart"/>
      <w:r>
        <w:t>Wickkiser</w:t>
      </w:r>
      <w:proofErr w:type="spellEnd"/>
      <w:r>
        <w:t xml:space="preserve"> (2008;125)</w:t>
      </w:r>
    </w:p>
  </w:footnote>
  <w:footnote w:id="8">
    <w:p w:rsidR="00160867" w:rsidRDefault="00160867">
      <w:pPr>
        <w:pStyle w:val="FootnoteText"/>
      </w:pPr>
      <w:r>
        <w:rPr>
          <w:rStyle w:val="FootnoteReference"/>
        </w:rPr>
        <w:footnoteRef/>
      </w:r>
      <w:r>
        <w:t xml:space="preserve"> </w:t>
      </w:r>
      <w:proofErr w:type="spellStart"/>
      <w:r>
        <w:t>Wickkiser</w:t>
      </w:r>
      <w:proofErr w:type="spellEnd"/>
      <w:r>
        <w:t xml:space="preserve"> (2008;125)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6F1D"/>
    <w:rsid w:val="000825D4"/>
    <w:rsid w:val="00096CEC"/>
    <w:rsid w:val="000D7B65"/>
    <w:rsid w:val="00160867"/>
    <w:rsid w:val="001728D6"/>
    <w:rsid w:val="00276EC9"/>
    <w:rsid w:val="002F26EB"/>
    <w:rsid w:val="00301CBD"/>
    <w:rsid w:val="00407128"/>
    <w:rsid w:val="00554CE0"/>
    <w:rsid w:val="005A59CE"/>
    <w:rsid w:val="005B5F41"/>
    <w:rsid w:val="005C0993"/>
    <w:rsid w:val="005E7063"/>
    <w:rsid w:val="00632021"/>
    <w:rsid w:val="00694AB3"/>
    <w:rsid w:val="00695B6F"/>
    <w:rsid w:val="006B082E"/>
    <w:rsid w:val="00721188"/>
    <w:rsid w:val="00756F1D"/>
    <w:rsid w:val="007A4A74"/>
    <w:rsid w:val="007B20AB"/>
    <w:rsid w:val="00852ECB"/>
    <w:rsid w:val="008866EF"/>
    <w:rsid w:val="00A040A5"/>
    <w:rsid w:val="00A50F60"/>
    <w:rsid w:val="00A675BC"/>
    <w:rsid w:val="00B13426"/>
    <w:rsid w:val="00BF103B"/>
    <w:rsid w:val="00C025A3"/>
    <w:rsid w:val="00C26000"/>
    <w:rsid w:val="00D63F34"/>
    <w:rsid w:val="00E53EC7"/>
    <w:rsid w:val="00E559E8"/>
    <w:rsid w:val="00E70FF7"/>
    <w:rsid w:val="00F40EE6"/>
    <w:rsid w:val="00F73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6F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0FF7"/>
    <w:rPr>
      <w:color w:val="0000FF" w:themeColor="hyperlink"/>
      <w:u w:val="single"/>
    </w:rPr>
  </w:style>
  <w:style w:type="paragraph" w:styleId="FootnoteText">
    <w:name w:val="footnote text"/>
    <w:basedOn w:val="Normal"/>
    <w:link w:val="FootnoteTextChar"/>
    <w:uiPriority w:val="99"/>
    <w:semiHidden/>
    <w:unhideWhenUsed/>
    <w:rsid w:val="005C09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0993"/>
    <w:rPr>
      <w:sz w:val="20"/>
      <w:szCs w:val="20"/>
    </w:rPr>
  </w:style>
  <w:style w:type="character" w:styleId="FootnoteReference">
    <w:name w:val="footnote reference"/>
    <w:basedOn w:val="DefaultParagraphFont"/>
    <w:uiPriority w:val="99"/>
    <w:semiHidden/>
    <w:unhideWhenUsed/>
    <w:rsid w:val="005C0993"/>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6F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0FF7"/>
    <w:rPr>
      <w:color w:val="0000FF" w:themeColor="hyperlink"/>
      <w:u w:val="single"/>
    </w:rPr>
  </w:style>
  <w:style w:type="paragraph" w:styleId="FootnoteText">
    <w:name w:val="footnote text"/>
    <w:basedOn w:val="Normal"/>
    <w:link w:val="FootnoteTextChar"/>
    <w:uiPriority w:val="99"/>
    <w:semiHidden/>
    <w:unhideWhenUsed/>
    <w:rsid w:val="005C09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0993"/>
    <w:rPr>
      <w:sz w:val="20"/>
      <w:szCs w:val="20"/>
    </w:rPr>
  </w:style>
  <w:style w:type="character" w:styleId="FootnoteReference">
    <w:name w:val="footnote reference"/>
    <w:basedOn w:val="DefaultParagraphFont"/>
    <w:uiPriority w:val="99"/>
    <w:semiHidden/>
    <w:unhideWhenUsed/>
    <w:rsid w:val="005C099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ticinscriptions.com/inscription/IGII2/4960-fr-a-and-b"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tticinscriptions.com/inscription/IGII2/49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5B73BD-E9C7-400F-B202-5726A1323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616</TotalTime>
  <Pages>2</Pages>
  <Words>541</Words>
  <Characters>3086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Hadie</dc:creator>
  <cp:lastModifiedBy>Hadie</cp:lastModifiedBy>
  <cp:revision>10</cp:revision>
  <dcterms:created xsi:type="dcterms:W3CDTF">2018-10-02T14:27:00Z</dcterms:created>
  <dcterms:modified xsi:type="dcterms:W3CDTF">2018-10-03T21:54:00Z</dcterms:modified>
</cp:coreProperties>
</file>